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C73B19A9B5A4C1BA7341F82312BE6B4" style="width:450.45pt;height:365.75pt">
            <v:imagedata r:id="rId8" o:title=""/>
          </v:shape>
        </w:pict>
      </w:r>
    </w:p>
    <w:p>
      <w:pPr>
        <w:rPr>
          <w:noProof/>
        </w:rPr>
        <w:sectPr>
          <w:footerReference w:type="default" r:id="rId9"/>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ΑΙΤΙΟΛΟΓΙΚΗ ΕΚΘΕΣΗ</w:t>
      </w:r>
    </w:p>
    <w:p>
      <w:pPr>
        <w:pStyle w:val="ManualHeading1"/>
        <w:rPr>
          <w:noProof/>
        </w:rPr>
      </w:pPr>
      <w:r>
        <w:rPr>
          <w:noProof/>
        </w:rPr>
        <w:t>1.</w:t>
      </w:r>
      <w:r>
        <w:rPr>
          <w:noProof/>
        </w:rPr>
        <w:tab/>
        <w:t>ΠΛΑΙΣΙΟ ΤΗΣ ΠΡΟΤΑΣΗΣ</w:t>
      </w:r>
    </w:p>
    <w:p>
      <w:pPr>
        <w:rPr>
          <w:rFonts w:eastAsia="Times New Roman"/>
          <w:noProof/>
        </w:rPr>
      </w:pPr>
      <w:r>
        <w:rPr>
          <w:noProof/>
        </w:rPr>
        <w:t xml:space="preserve">Η Συνθήκη για τη λειτουργία της Ευρωπαϊκής Ένωσης θεσπίζει ως θεμελιώδη κανόνα που διέπει τη χρηματοδότηση της Ένωσης ότι ο ετήσιος προϋπολογισμός της Ένωσης πρέπει να τηρεί το πολυετές δημοσιονομικό πλαίσιο (ΠΔΠ). </w:t>
      </w:r>
    </w:p>
    <w:p>
      <w:pPr>
        <w:rPr>
          <w:rFonts w:eastAsia="Times New Roman"/>
          <w:noProof/>
        </w:rPr>
      </w:pPr>
      <w:r>
        <w:rPr>
          <w:noProof/>
        </w:rPr>
        <w:t>Για τη στήριξη του γεωργικού τομέα σε περίπτωση σοβαρών κρίσεων που επηρεάζουν τη γεωργική παραγωγή ή τη διανομή, θα πρέπει να καθορίζεται ένα αποθεματικό για τις κρίσεις μέσω της εφαρμογής, στην αρχή κάθε έτους, μείωσης των άμεσων ενισχύσεων μέσω ενός μηχανισμού δημοσιονομικής πειθαρχίας, ο οποίος προβλέπεται στο άρθρο 26 του κανονισμού (ΕΕ) αριθ. 1306/2013, της 17ης Δεκεμβρίου 2013, του Ευρωπαϊκού Κοινοβουλίου και του Συμβουλίου για τη χρηματοδότηση, τη διαχείριση και την παρακολούθηση της κοινής γεωργικής πολιτικής</w:t>
      </w:r>
      <w:r>
        <w:rPr>
          <w:rStyle w:val="FootnoteReference"/>
          <w:noProof/>
        </w:rPr>
        <w:footnoteReference w:id="1"/>
      </w:r>
      <w:r>
        <w:rPr>
          <w:noProof/>
        </w:rPr>
        <w:t>. Το άρθρο 25 του εν λόγω κανονισμού ορίζει ότι το συνολικό ποσό του αποθεματικού για τις κρίσεις στον γεωργικό τομέα ανέρχεται σε 2 800 εκατ. EUR με ισόποσες ετήσιες δόσεις των 400 εκατ. EUR (σε τιμές 2011) για την περίοδο 2014-2020 και περιλαμβάνεται στον τομέα 2 του Πολυετούς Δημοσιονομικού Πλαισίου. Το ποσό του αποθεματικού που πρέπει να περιληφθεί στο σχέδιο προϋπολογισμού της Επιτροπής για το 2018 ανέρχεται σε 459,5 εκατ. EUR σε τρέχουσες τιμές και καλύπτεται μέσω της μείωσης των άμεσων ενισχύσεων που απαριθμούνται στο παράρτημα Ι του κανονισμού (ΕΕ) αριθ. 1307/2013 του Ευρωπαϊκού Κοινοβουλίου και του Συμβουλίου, της 17ης Δεκεμβρίου 2013, περί θεσπίσεως κανόνων για άμεσες ενισχύσεις στους γεωργούς βάσει καθεστώτων στήριξης στο πλαίσιο της κοινής γεωργικής πολιτικής</w:t>
      </w:r>
      <w:r>
        <w:rPr>
          <w:rStyle w:val="FootnoteReference"/>
          <w:noProof/>
        </w:rPr>
        <w:footnoteReference w:id="2"/>
      </w:r>
      <w:r>
        <w:rPr>
          <w:noProof/>
        </w:rPr>
        <w:t>.</w:t>
      </w:r>
    </w:p>
    <w:p>
      <w:pPr>
        <w:rPr>
          <w:rFonts w:eastAsia="Times New Roman"/>
          <w:noProof/>
          <w:sz w:val="23"/>
          <w:szCs w:val="23"/>
        </w:rPr>
      </w:pPr>
      <w:r>
        <w:rPr>
          <w:noProof/>
        </w:rPr>
        <w:t>Εξάλλου, προκειμένου να εξασφαλιστεί ότι τα ποσά για τη χρηματοδότηση της κοινής γεωργικής πολιτικής (ΚΓΠ) είναι σύμφωνα με τα ετήσια επιμέρους ανώτατα όρια για τις σχετικές με την αγορά δαπάνες και τις άμεσες ενισχύσεις στο πλαίσιο του τομέα 2 που θεσπίστηκαν με τον κανονισμό (EE, Ευρατόμ) αριθ. 1311/2013 του Συμβουλίου, της 2ας Δεκεμβρίου 2013, για τον καθορισμό του πολυετούς δημοσιονομικού πλαισίου για την περίοδο 2014-2020</w:t>
      </w:r>
      <w:r>
        <w:rPr>
          <w:rStyle w:val="FootnoteReference"/>
          <w:noProof/>
        </w:rPr>
        <w:footnoteReference w:id="3"/>
      </w:r>
      <w:r>
        <w:rPr>
          <w:noProof/>
        </w:rPr>
        <w:t>, ο μηχανισμός δημοσιονομικής πειθαρχίας πρέπει να εφαρμόζεται όταν οι προβλέψεις για τη χρηματοδότηση των άμεσων ενισχύσεων και τις σχετικές με την αγορά δαπάνες δείχνουν ότι θα υπάρξει υπέρβαση του ετήσιου επιμέρους ανώτατου ορίου του τομέα 2 του πολυετούς δημοσιονομικού πλαισίου το οποίο έχει αναπροσαρμοστεί προκειμένου να ληφθούν υπόψη τυχόν δημοσιονομικές μεταφορές μεταξύ του Ευρωπαϊκού Γεωργικού Ταμείου Εγγυήσεων (ΕΓΤΕ) και του Ευρωπαϊκού Γεωργικού Ταμείου Αγροτικής Ανάπτυξης (ΕΓΤΑΑ). Το καθαρό αυτό υπόλοιπο που είναι διαθέσιμο για τις δαπάνες του ΕΓΤΕ για το 2018 καθορίστηκε με τον εκτελεστικό κανονισμό (ΕΕ) 2016/257 της Επιτροπής</w:t>
      </w:r>
      <w:r>
        <w:rPr>
          <w:rStyle w:val="FootnoteReference"/>
          <w:noProof/>
        </w:rPr>
        <w:footnoteReference w:id="4"/>
      </w:r>
      <w:r>
        <w:rPr>
          <w:noProof/>
        </w:rPr>
        <w:t xml:space="preserve"> σύμφωνα με το άρθρο 16 του κανονισμού (ΕΕ) αριθ. 1306/2013 και ανέρχεται σε 44 162 εκατ. EUR.</w:t>
      </w:r>
    </w:p>
    <w:p>
      <w:pPr>
        <w:rPr>
          <w:rFonts w:eastAsia="Times New Roman"/>
          <w:noProof/>
        </w:rPr>
      </w:pPr>
      <w:r>
        <w:rPr>
          <w:noProof/>
        </w:rPr>
        <w:t>Κατά την κατάρτιση του σχεδίου προϋπολογισμού για το 2018, από τις πρώτες εκτιμήσεις του προϋπολογισμού για τις άμεσες ενισχύσεις και τις δαπάνες που συνδέονται με την αγορά προέκυψε ότι δεν ενδέχεται να σημειωθεί υπέρβαση του καθαρού υπολοίπου που είναι διαθέσιμο για τις δαπάνες του ΕΓΤΕ για το 2018 και ότι, ως εκ τούτου, δεν απαιτείται περαιτέρω δημοσιονομική πειθαρχία.</w:t>
      </w:r>
    </w:p>
    <w:p>
      <w:pPr>
        <w:rPr>
          <w:rFonts w:eastAsia="Times New Roman"/>
          <w:noProof/>
        </w:rPr>
      </w:pPr>
      <w:r>
        <w:rPr>
          <w:noProof/>
        </w:rPr>
        <w:t xml:space="preserve">Με βάση τα ανωτέρω, η Επιτροπή υποβάλλει πρόταση για τον καθορισμό του ποσοστού αναπροσαρμογής των άμεσων ενισχύσεων για το ημερολογιακό έτος 2017, το οποίο, σύμφωνα με το άρθρο 26 παράγραφος 3 του κανονισμού (ΕΕ) αριθ. 1306/2013, θα πρέπει να εγκριθεί από το Ευρωπαϊκό Κοινοβούλιο και το Συμβούλιο έως τις 30 Ιουνίου 2017. Εάν αυτό το ποσοστό αναπροσαρμογής δεν έχει καθοριστεί έως τις 30 Ιουνίου 2017, σύμφωνα με το ίδιο άρθρο, η Επιτροπή θα ορίσει το εν λόγω ποσοστό. </w:t>
      </w:r>
    </w:p>
    <w:p>
      <w:pPr>
        <w:pStyle w:val="ManualHeading1"/>
        <w:rPr>
          <w:noProof/>
        </w:rPr>
      </w:pPr>
      <w:r>
        <w:rPr>
          <w:noProof/>
        </w:rPr>
        <w:t>2.</w:t>
      </w:r>
      <w:r>
        <w:rPr>
          <w:noProof/>
        </w:rPr>
        <w:tab/>
        <w:t>ΝΟΜΙΚΗ ΒΑΣΗ, ΕΠΙΚΟΥΡΙΚΟΤΗΤΑ ΚΑΙ ΑΝΑΛΟΓΙΚΟΤΗΤΑ</w:t>
      </w:r>
    </w:p>
    <w:p>
      <w:pPr>
        <w:rPr>
          <w:rFonts w:eastAsia="Times New Roman"/>
          <w:noProof/>
        </w:rPr>
      </w:pPr>
      <w:r>
        <w:rPr>
          <w:noProof/>
        </w:rPr>
        <w:t xml:space="preserve">Η παρούσα πρόταση καθορίζει το ποσοστό αναπροσαρμογής στο πλαίσιο της δημοσιονομικής πειθαρχίας για το ημερολογιακό έτος 2017. </w:t>
      </w:r>
    </w:p>
    <w:p>
      <w:pPr>
        <w:rPr>
          <w:rFonts w:eastAsia="Times New Roman"/>
          <w:noProof/>
        </w:rPr>
      </w:pPr>
      <w:r>
        <w:rPr>
          <w:noProof/>
        </w:rPr>
        <w:t>Δεδομένου ότι τα κράτη μέλη έχουν τη δυνατότητα να καθυστερήσουν την καταβολή των ενισχύσεων στους γεωργούς πέραν της κανονιστικής περιόδου πληρωμής που εφαρμόζεται στις άμεσες ενισχύσεις και ότι το ποσοστό αναπροσαρμογής στο πλαίσιο της δημοσιονομικής πειθαρχίας ποικίλλει από ένα ημερολογιακό έτος στο άλλο, τα ποσά των άμεσων ενισχύσεων που πρόκειται να χορηγηθούν στους γεωργούς δεν θα πρέπει να επηρεάζονται από τη δημοσιονομική πειθαρχία με διαφορετικό τρόπο ανάλογα με τη χρονική στιγμή που καταβάλλεται η ενίσχυση στους γεωργούς από τα κράτη μέλη. Ως εκ τούτου, προκειμένου να εξασφαλιστεί η ίση μεταχείριση μεταξύ γεωργών, το ποσοστό αναπροσαρμογής θα πρέπει να εφαρμόζεται στα ποσά των άμεσων ενισχύσεων που πρόκειται να χορηγηθούν στους γεωργούς για τις αιτήσεις ενισχύσεων που υποβάλλονται μόνο κατά το ημερολογιακό έτος 2017, ανεξαρτήτως του πότε θα καταβληθεί πράγματι η ενίσχυση στον γεωργό.</w:t>
      </w:r>
    </w:p>
    <w:p>
      <w:pPr>
        <w:pBdr>
          <w:top w:val="nil"/>
          <w:left w:val="nil"/>
          <w:bottom w:val="nil"/>
          <w:right w:val="nil"/>
          <w:between w:val="nil"/>
          <w:bar w:val="nil"/>
        </w:pBdr>
        <w:spacing w:before="0" w:after="240"/>
        <w:rPr>
          <w:rFonts w:eastAsia="Arial Unicode MS"/>
          <w:noProof/>
        </w:rPr>
      </w:pPr>
      <w:r>
        <w:rPr>
          <w:noProof/>
        </w:rPr>
        <w:t>Το άρθρο 8 παράγραφος 1 του κανονισμού (ΕΕ) αριθ. 1307/2013 προβλέπει ότι το ποσοστό αναπροσαρμογής που εφαρμόζεται στις άμεσες ενισχύσεις αφορά μόνο τις άμεσες ενισχύσεις ύψους άνω των 2 000 EUR. Το ημερολογιακό έτος 2017, οι άμεσες ενισχύσεις στην Κροατία βρίσκονται στη διαδικασία της σταδιακής εισαγωγής. Κατά συνέπεια, η δημοσιονομική πειθαρχία δεν θα εφαρμοστεί στο εν λόγω κράτος μέλος.</w:t>
      </w:r>
    </w:p>
    <w:p>
      <w:pPr>
        <w:pStyle w:val="ManualHeading1"/>
        <w:rPr>
          <w:noProof/>
        </w:rPr>
      </w:pPr>
      <w:r>
        <w:rPr>
          <w:noProof/>
        </w:rPr>
        <w:t>3.</w:t>
      </w:r>
      <w:r>
        <w:rPr>
          <w:noProof/>
        </w:rPr>
        <w:tab/>
        <w:t>ΑΠΟΤΕΛΕΣΜΑΤΑ ΤΩΝ ΕΚ ΤΩΝ ΥΣΤΕΡΩΝ ΑΞΙΟΛΟΓΗΣΕΩΝ, ΤΩΝ ΔΙΑΒΟΥΛΕΥΣΕΩΝ ΜΕ ΤΑ ΕΝΔΙΑΦΕΡΟΜΕΝΑ ΜΕΡΗ ΚΑΙ ΤΩΝ ΕΚΤΙΜΗΣΕΩΝ ΕΠΙΠΤΩΣΕΩΝ</w:t>
      </w:r>
    </w:p>
    <w:p>
      <w:pPr>
        <w:pBdr>
          <w:top w:val="nil"/>
          <w:left w:val="nil"/>
          <w:bottom w:val="nil"/>
          <w:right w:val="nil"/>
          <w:between w:val="nil"/>
          <w:bar w:val="nil"/>
        </w:pBdr>
        <w:spacing w:before="0" w:after="240"/>
        <w:rPr>
          <w:rFonts w:eastAsia="Arial Unicode MS"/>
          <w:noProof/>
        </w:rPr>
      </w:pPr>
      <w:r>
        <w:rPr>
          <w:noProof/>
        </w:rPr>
        <w:t>Η παρούσα πρόταση εφαρμόζει τους κανόνες που προβλέπονται στο άρθρο 26 του κανονισμού (ΕΕ) αριθ. 1306/2013 και στο άρθρο 8 του κανονισμού (ΕΕ) αριθ. 1307/2013. Η προηγούμενη διαβούλευση με τα ενδιαφερόμενα μέρη, καθώς και η προετοιμασία της εκτίμησης επιπτώσεων δεν ήταν αναγκαίες.</w:t>
      </w:r>
    </w:p>
    <w:p>
      <w:pPr>
        <w:pStyle w:val="ManualHeading1"/>
        <w:rPr>
          <w:noProof/>
        </w:rPr>
      </w:pPr>
      <w:r>
        <w:rPr>
          <w:noProof/>
        </w:rPr>
        <w:t>4.</w:t>
      </w:r>
      <w:r>
        <w:rPr>
          <w:noProof/>
        </w:rPr>
        <w:tab/>
        <w:t>ΔΗΜΟΣΙΟΝΟΜΙΚΕΣ ΕΠΙΠΤΩΣΕΙΣ</w:t>
      </w:r>
    </w:p>
    <w:p>
      <w:pPr>
        <w:rPr>
          <w:rFonts w:eastAsia="Times New Roman"/>
          <w:noProof/>
        </w:rPr>
      </w:pPr>
      <w:r>
        <w:rPr>
          <w:noProof/>
        </w:rPr>
        <w:t xml:space="preserve">Ο υπολογισμός του ποσοστού αναπροσαρμογής στο πλαίσιο της δημοσιονομικής πειθαρχίας αποτελεί μέρος της προετοιμασίας του σχεδίου προϋπολογισμού 2018. </w:t>
      </w:r>
    </w:p>
    <w:p>
      <w:pPr>
        <w:rPr>
          <w:rFonts w:eastAsia="Times New Roman"/>
          <w:noProof/>
        </w:rPr>
      </w:pPr>
      <w:r>
        <w:rPr>
          <w:noProof/>
        </w:rPr>
        <w:t>Το ποσό του αποθεματικού για τις κρίσεις στον γεωργικό τομέα, που προβλέπεται να περιληφθεί στο σχέδιο προϋπολογισμού της Επιτροπής για το 2018, ανέρχεται σε 459,5 εκατ. EUR σε τρέχουσες τιμές. Από τις πρώτες εκτιμήσεις των πιστώσεων του προϋπολογισμού για τις άμεσες ενισχύσεις και τις δαπάνες που συνδέονται με την αγορά προέκυψε ότι δεν ενδέχεται να σημειωθεί υπέρβαση του καθαρού υπολοίπου που είναι διαθέσιμο για τις δαπάνες του ΕΓΤΕ για το 2018.</w:t>
      </w:r>
    </w:p>
    <w:p>
      <w:pPr>
        <w:rPr>
          <w:rFonts w:eastAsia="Times New Roman"/>
          <w:noProof/>
        </w:rPr>
      </w:pPr>
      <w:r>
        <w:rPr>
          <w:noProof/>
        </w:rPr>
        <w:t>Συνεπώς, η συνολική μείωση που προκύπτει από την εφαρμογή της δημοσιονομικής πειθαρχίας ανέρχεται σε 459,5 εκατ. EUR. Το ποσοστό αναπροσαρμογής στο πλαίσιο της δημοσιονομικής πειθαρχίας είναι 1.388149 %. Υπολογίστηκε λαμβάνοντας υπόψη ότι πρέπει να εφαρμόζεται μόνο στα ποσά άμεσων ενισχύσεων ανά γεωργό τα οποία υπερβαίνουν τις 2 000 EUR και όχι στην Κροατία.</w:t>
      </w:r>
    </w:p>
    <w:p>
      <w:pPr>
        <w:rPr>
          <w:rFonts w:eastAsia="Times New Roman"/>
          <w:noProof/>
        </w:rPr>
      </w:pPr>
      <w:r>
        <w:rPr>
          <w:noProof/>
        </w:rPr>
        <w:t xml:space="preserve">Η εφαρμογή του εν λόγω ποσοστού αναπροσαρμογής θα οδηγήσει στη μείωση των ποσών των άμεσων ενισχύσεων για τις γραμμές του προϋπολογισμού που καλύπτουν τις δαπάνες για τις αιτήσεις ενισχύσεων που υποβάλλονται από τους γεωργούς για το ημερολογιακό έτος 2017 (οικονομικό έτος 2018). </w:t>
      </w:r>
    </w:p>
    <w:p>
      <w:pPr>
        <w:pStyle w:val="ManualHeading1"/>
        <w:rPr>
          <w:noProof/>
        </w:rPr>
      </w:pPr>
      <w:r>
        <w:rPr>
          <w:noProof/>
        </w:rPr>
        <w:t>5.</w:t>
      </w:r>
      <w:r>
        <w:rPr>
          <w:noProof/>
        </w:rPr>
        <w:tab/>
        <w:t>ΛΟΙΠΑ ΣΤΟΙΧΕΙΑ</w:t>
      </w:r>
    </w:p>
    <w:p>
      <w:pPr>
        <w:rPr>
          <w:rFonts w:eastAsia="Times New Roman"/>
          <w:noProof/>
          <w:highlight w:val="yellow"/>
        </w:rPr>
      </w:pPr>
      <w:r>
        <w:rPr>
          <w:noProof/>
        </w:rPr>
        <w:t xml:space="preserve">Επιπλέον του καθορισμού του ποσοστού αναπροσαρμογής που προβλέπεται στον παρόντα κανονισμό, το άρθρο 26 παράγραφος 4 του κανονισμού (ΕΕ) αριθ. 1306/2013 παρέχει επίσης στην Επιτροπή τη δυνατότητα, με βάση τα νέα στοιχεία που έχει στην κατοχή της, να εκδώσει εκτελεστικές πράξεις για την προσαρμογή του εν λόγω ποσοστού. Η Επιτροπή θα επανεξετάσει τις προβλέψεις της για τις δαπάνες που συνδέονται με την αγορά και τις άμεσες ενισχύσεις κατά την κατάρτιση της διορθωτικής επιστολής του σχεδίου προϋπολογισμού 2018 τον Οκτώβριο του 2017 και θα εγκρίνει έως την 1η Δεκεμβρίου 2016, εφόσον είναι αναγκαίο, την προσαρμογή του ποσοστού αναπροσαρμογής. </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t>2017/0068 (COD)</w:t>
      </w:r>
    </w:p>
    <w:p>
      <w:pPr>
        <w:pStyle w:val="Statut"/>
        <w:rPr>
          <w:noProof/>
        </w:rPr>
      </w:pPr>
      <w:r>
        <w:rPr>
          <w:noProof/>
        </w:rPr>
        <w:t>Πρόταση</w:t>
      </w:r>
    </w:p>
    <w:p>
      <w:pPr>
        <w:pStyle w:val="Typedudocument"/>
        <w:rPr>
          <w:noProof/>
        </w:rPr>
      </w:pPr>
      <w:r>
        <w:rPr>
          <w:noProof/>
        </w:rPr>
        <w:t>ΚΑΝΟΝΙΣΜΟΣ ΤΟΥ ΕΥΡΩΠΑΪΚΟΥ ΚΟΙΝΟΒΟΥΛΙΟΥ ΚΑΙ ΤΟΥ ΣΥΜΒΟΥΛΙΟΥ</w:t>
      </w:r>
    </w:p>
    <w:p>
      <w:pPr>
        <w:pStyle w:val="Titreobjet"/>
        <w:rPr>
          <w:noProof/>
        </w:rPr>
      </w:pPr>
      <w:r>
        <w:rPr>
          <w:noProof/>
        </w:rPr>
        <w:t>σχετικά με τον καθορισμό του ποσοστού αναπροσαρμογής των άμεσων ενισχύσεων που προβλέπεται στον κανονισμό (ΕΕ) αριθ. 1306/2013 όσον αφορά το ημερολογιακό έτος 2017</w:t>
      </w:r>
    </w:p>
    <w:p>
      <w:pPr>
        <w:pStyle w:val="Institutionquiagit"/>
        <w:rPr>
          <w:noProof/>
        </w:rPr>
      </w:pPr>
      <w:r>
        <w:rPr>
          <w:noProof/>
        </w:rPr>
        <w:t>ΤΟ ΕΥΡΩΠΑΪΚΟ ΚΟΙΝΟΒΟΥΛΙΟ ΚΑΙ ΤΟ ΣΥΜΒΟΥΛΙΟ ΤΗΣ ΕΥΡΩΠΑΪΚΗΣ ΕΝΩΣΗΣ,</w:t>
      </w:r>
    </w:p>
    <w:p>
      <w:pPr>
        <w:rPr>
          <w:rFonts w:eastAsia="Times New Roman"/>
          <w:noProof/>
        </w:rPr>
      </w:pPr>
      <w:r>
        <w:rPr>
          <w:noProof/>
        </w:rPr>
        <w:t>Έχοντας υπόψη τη Συνθήκη για τη λειτουργία της Ευρωπαϊκής Ένωσης και ιδίως το άρθρο 43 παράγραφος 2,</w:t>
      </w:r>
    </w:p>
    <w:p>
      <w:pPr>
        <w:rPr>
          <w:rFonts w:eastAsia="Times New Roman"/>
          <w:noProof/>
        </w:rPr>
      </w:pPr>
      <w:r>
        <w:rPr>
          <w:noProof/>
        </w:rPr>
        <w:t>Έχοντας υπόψη την πρόταση της Ευρωπαϊκής Επιτροπής,</w:t>
      </w:r>
    </w:p>
    <w:p>
      <w:pPr>
        <w:rPr>
          <w:rFonts w:eastAsia="Times New Roman"/>
          <w:noProof/>
        </w:rPr>
      </w:pPr>
      <w:r>
        <w:rPr>
          <w:noProof/>
        </w:rPr>
        <w:t>Κατόπιν διαβίβασης του σχεδίου νομοθετικής πράξης στα εθνικά κοινοβούλια,</w:t>
      </w:r>
    </w:p>
    <w:p>
      <w:pPr>
        <w:rPr>
          <w:rFonts w:eastAsia="Times New Roman"/>
          <w:noProof/>
        </w:rPr>
      </w:pPr>
      <w:r>
        <w:rPr>
          <w:noProof/>
        </w:rPr>
        <w:t>Έχοντας υπόψη τη γνώμη της Ευρωπαϊκής Οικονομικής και Κοινωνικής Επιτροπής</w:t>
      </w:r>
      <w:r>
        <w:rPr>
          <w:rStyle w:val="FootnoteReference"/>
          <w:noProof/>
        </w:rPr>
        <w:footnoteReference w:id="5"/>
      </w:r>
      <w:r>
        <w:rPr>
          <w:noProof/>
        </w:rPr>
        <w:t>,</w:t>
      </w:r>
    </w:p>
    <w:p>
      <w:pPr>
        <w:rPr>
          <w:noProof/>
        </w:rPr>
      </w:pPr>
      <w:r>
        <w:rPr>
          <w:noProof/>
        </w:rPr>
        <w:t xml:space="preserve">Αποφασίζοντας σύμφωνα με τη συνήθη νομοθετική διαδικασία, </w:t>
      </w:r>
    </w:p>
    <w:p>
      <w:pPr>
        <w:rPr>
          <w:noProof/>
        </w:rPr>
      </w:pPr>
      <w:r>
        <w:rPr>
          <w:noProof/>
        </w:rPr>
        <w:t>Εκτιμώντας τα ακόλουθα:</w:t>
      </w:r>
    </w:p>
    <w:p>
      <w:pPr>
        <w:ind w:left="709" w:hanging="709"/>
        <w:rPr>
          <w:rFonts w:eastAsia="Times New Roman"/>
          <w:noProof/>
        </w:rPr>
      </w:pPr>
      <w:r>
        <w:rPr>
          <w:noProof/>
        </w:rPr>
        <w:t>(1)</w:t>
      </w:r>
      <w:r>
        <w:rPr>
          <w:noProof/>
        </w:rPr>
        <w:tab/>
        <w:t>Σύμφωνα με το άρθρο 25 του κανονισμού (ΕΕ) αριθ. 1306/2013</w:t>
      </w:r>
      <w:r>
        <w:rPr>
          <w:rFonts w:ascii="Lucida Sans Unicode" w:hAnsi="Lucida Sans Unicode"/>
          <w:noProof/>
          <w:color w:val="000000"/>
          <w:sz w:val="19"/>
        </w:rPr>
        <w:t xml:space="preserve"> </w:t>
      </w:r>
      <w:r>
        <w:rPr>
          <w:noProof/>
        </w:rPr>
        <w:t>του Ευρωπαϊκού Κοινοβουλίου και του Συμβουλίου</w:t>
      </w:r>
      <w:r>
        <w:rPr>
          <w:rStyle w:val="FootnoteReference"/>
          <w:noProof/>
        </w:rPr>
        <w:footnoteReference w:id="6"/>
      </w:r>
      <w:r>
        <w:rPr>
          <w:noProof/>
        </w:rPr>
        <w:t>, πρόκειται να δημιουργηθεί αποθεματικό για τις κρίσεις στον γεωργικό τομέα με σκοπό την παροχή πρόσθετης στήριξης του κλάδου σε περιπτώσεις σοβαρών κρίσεων που επηρεάζουν τη γεωργική παραγωγή ή διανομή, μέσω της εφαρμογής, στην αρχή κάθε έτους, μείωσης των άμεσων ενισχύσεων με τον μηχανισμό δημοσιονομικής πειθαρχίας του άρθρου 26 του εν λόγω κανονισμού.</w:t>
      </w:r>
    </w:p>
    <w:p>
      <w:pPr>
        <w:ind w:left="709" w:hanging="709"/>
        <w:rPr>
          <w:rFonts w:eastAsia="Times New Roman"/>
          <w:noProof/>
        </w:rPr>
      </w:pPr>
      <w:r>
        <w:rPr>
          <w:noProof/>
        </w:rPr>
        <w:t>(2)</w:t>
      </w:r>
      <w:r>
        <w:rPr>
          <w:noProof/>
        </w:rPr>
        <w:tab/>
        <w:t>Το άρθρο 26 παράγραφος 1 του κανονισμού (ΕΕ) αριθ. 1306/2013 προβλέπει ότι, για την εξασφάλιση της τήρησης των ετήσιων ανωτάτων ορίων που καθορίζονται στον κανονισμό (ΕΕ, Ευρατόμ) αριθ. 1311/2013 του Συμβουλίου</w:t>
      </w:r>
      <w:r>
        <w:rPr>
          <w:rStyle w:val="FootnoteReference"/>
          <w:noProof/>
        </w:rPr>
        <w:footnoteReference w:id="7"/>
      </w:r>
      <w:r>
        <w:rPr>
          <w:noProof/>
        </w:rPr>
        <w:t xml:space="preserve"> για τη χρηματοδότηση των δαπανών της αγοράς και των άμεσων ενισχύσεων, καθορίζεται ποσοστό αναπροσαρμογής των άμεσων ενισχύσεων όταν οι προβλέψεις για τη χρηματοδότηση των μέτρων που χρηματοδοτούνται εντός του λόγω επιμέρους ανώτατου ορίου για ένα συγκεκριμένο οικονομικό έτος δείχνουν ότι θα σημειωθεί υπέρβαση των ισχυόντων ετήσιων ανώτατων ορίων.</w:t>
      </w:r>
    </w:p>
    <w:p>
      <w:pPr>
        <w:ind w:left="709" w:hanging="709"/>
        <w:rPr>
          <w:rFonts w:eastAsia="Times New Roman"/>
          <w:noProof/>
        </w:rPr>
      </w:pPr>
      <w:r>
        <w:rPr>
          <w:noProof/>
        </w:rPr>
        <w:t>(3)</w:t>
      </w:r>
      <w:r>
        <w:rPr>
          <w:noProof/>
        </w:rPr>
        <w:tab/>
        <w:t>Το ποσό του αποθεματικού για τις κρίσεις στον γεωργικό τομέα, που αναμένεται να περιληφθεί στο σχέδιο προϋπολογισμού της Επιτροπής για το 2018, ανέρχεται σε 459,5 εκατ. EUR σε τρέχουσες τιμές. Για την κάλυψη του ποσού αυτού, ο μηχανισμός δημοσιονομικής πειθαρχίας πρέπει να εφαρμόζεται στις άμεσες ενισχύσεις στο πλαίσιο των καθεστώτων στήριξης που απαριθμούνται στο παράρτημα I του κανονισμού (ΕΕ) αριθ. 1307/2013</w:t>
      </w:r>
      <w:r>
        <w:rPr>
          <w:noProof/>
          <w:color w:val="000000"/>
          <w:sz w:val="19"/>
        </w:rPr>
        <w:t xml:space="preserve"> </w:t>
      </w:r>
      <w:r>
        <w:rPr>
          <w:noProof/>
        </w:rPr>
        <w:t>του Ευρωπαϊκού Κοινοβουλίου και του Συμβουλίου</w:t>
      </w:r>
      <w:r>
        <w:rPr>
          <w:rStyle w:val="FootnoteReference"/>
          <w:noProof/>
        </w:rPr>
        <w:footnoteReference w:id="8"/>
      </w:r>
      <w:r>
        <w:rPr>
          <w:noProof/>
        </w:rPr>
        <w:t xml:space="preserve">, για το ημερολογιακό έτος 2017. </w:t>
      </w:r>
    </w:p>
    <w:p>
      <w:pPr>
        <w:ind w:left="709" w:hanging="709"/>
        <w:rPr>
          <w:rFonts w:eastAsia="Times New Roman"/>
          <w:noProof/>
        </w:rPr>
      </w:pPr>
      <w:r>
        <w:rPr>
          <w:noProof/>
        </w:rPr>
        <w:t>(4)</w:t>
      </w:r>
      <w:r>
        <w:rPr>
          <w:noProof/>
        </w:rPr>
        <w:tab/>
        <w:t>Σύμφωνα με τις αρχικές προβλέψεις για τις άμεσες ενισχύσεις και τις δαπάνες που συνδέονται με την αγορά οι οποίες πρόκειται να καθοριστούν στο σχέδιο προϋπολογισμού της Επιτροπής για το 2018, δεν απαιτείται περαιτέρω δημοσιονομική πειθαρχία.</w:t>
      </w:r>
    </w:p>
    <w:p>
      <w:pPr>
        <w:ind w:left="709" w:hanging="709"/>
        <w:rPr>
          <w:rFonts w:eastAsia="Times New Roman"/>
          <w:noProof/>
        </w:rPr>
      </w:pPr>
      <w:r>
        <w:rPr>
          <w:noProof/>
        </w:rPr>
        <w:t>(5)</w:t>
      </w:r>
      <w:r>
        <w:rPr>
          <w:noProof/>
        </w:rPr>
        <w:tab/>
        <w:t xml:space="preserve">Το άρθρο 26 παράγραφος 2 του κανονισμού (ΕΕ) αριθ. 1306/2013 ορίζει ότι η Επιτροπή υποβάλλει πρόταση στο Ευρωπαϊκό Κοινοβούλιο και το Συμβούλιο σχετικά με το ποσοστό αναπροσαρμογής το αργότερο έως τις 31 Μαρτίου του ημερολογιακού έτους σε σχέση με το οποίο εφαρμόζεται το ποσοστό αναπροσαρμογής. </w:t>
      </w:r>
    </w:p>
    <w:p>
      <w:pPr>
        <w:ind w:left="709" w:hanging="709"/>
        <w:rPr>
          <w:rFonts w:eastAsia="Times New Roman"/>
          <w:noProof/>
        </w:rPr>
      </w:pPr>
      <w:r>
        <w:rPr>
          <w:noProof/>
        </w:rPr>
        <w:t>(6)</w:t>
      </w:r>
      <w:r>
        <w:rPr>
          <w:noProof/>
        </w:rPr>
        <w:tab/>
        <w:t>Κατά γενικό κανόνα, οι γεωργοί που υποβάλλουν αίτηση ενίσχυσης για άμεσες ενισχύσεις για ένα ημερολογιακό έτος (N) λαμβάνουν τις ενισχύσεις εντός καθορισμένης προθεσμίας πληρωμής στο πλαίσιο του οικονομικού έτους (N+1). Ωστόσο, τα κράτη μέλη έχουν τη δυνατότητα να πραγματοποιούν καθυστερημένες πληρωμές στους γεωργούς, πέραν αυτής της προθεσμίας πληρωμής, εντός ορισμένων ορίων. Οι εν λόγω καθυστερημένες πληρωμές μπορούν να πραγματοποιηθούν σε μεταγενέστερο οικονομικό έτος. Όταν η δημοσιονομική πειθαρχία ισχύει για ένα συγκεκριμένο ημερολογιακό έτος, το ποσοστό αναπροσαρμογής δεν θα πρέπει να εφαρμόζεται στις ενισχύσεις για τις οποίες έχουν υποβληθεί αιτήσεις ενίσχυσης κατά τα ημερολογιακά έτη πέραν εκείνου για το οποίο ισχύει η δημοσιονομική πειθαρχία. Ως εκ τούτου, για να εξασφαλισθεί η ίση μεταχείριση των γεωργών είναι σκόπιμο να προβλεφθεί ότι το ποσοστό αναπροσαρμογής εφαρμόζεται μόνο στις ενισχύσεις για τις οποίες έχουν υποβληθεί αιτήσεις ενίσχυσης κατά το ημερολογιακό έτος για το οποίο εφαρμόζεται η δημοσιονομική πειθαρχία, ανεξάρτητα από την ημερομηνία καταβολής της ενίσχυσης στους γεωργούς.</w:t>
      </w:r>
    </w:p>
    <w:p>
      <w:pPr>
        <w:ind w:left="709" w:hanging="709"/>
        <w:rPr>
          <w:rFonts w:eastAsia="Times New Roman"/>
          <w:noProof/>
        </w:rPr>
      </w:pPr>
      <w:r>
        <w:rPr>
          <w:noProof/>
        </w:rPr>
        <w:t>(7)</w:t>
      </w:r>
      <w:r>
        <w:rPr>
          <w:noProof/>
        </w:rPr>
        <w:tab/>
        <w:t>Το άρθρο 8 παράγραφος 1 του κανονισμού (ΕΕ) αριθ. 1307/2013 προβλέπει ότι το ποσοστό αναπροσαρμογής των άμεσων ενισχύσεων που καθορίζεται σύμφωνα με το άρθρο 26 του κανονισμού (ΕΕ) αριθ. 1306/2013 εφαρμόζεται μόνο στις άμεσες ενισχύσεις ύψους άνω των 2 000 EUR που χορηγούνται στους γεωργούς κατά το αντίστοιχο ημερολογιακό έτος. Επίσης, το άρθρο 8 παράγραφος 2 του κανονισμού (ΕΕ) αριθ. 1307/2013</w:t>
      </w:r>
      <w:r>
        <w:rPr>
          <w:noProof/>
          <w:color w:val="000000"/>
          <w:sz w:val="19"/>
        </w:rPr>
        <w:t xml:space="preserve"> </w:t>
      </w:r>
      <w:r>
        <w:rPr>
          <w:noProof/>
        </w:rPr>
        <w:t>προβλέπει ότι, λόγω της σταδιακής εισαγωγής των αμέσων ενισχύσεων, το ποσοστό αναπροσαρμογής εφαρμόζεται στην Κροατία μόνο από την 1η Ιανουαρίου 2022. Συνεπώς, το ποσοστό αναπροσαρμογής που καθορίζεται στον παρόντα κανονισμό δεν θα πρέπει να εφαρμοστεί στις ενισχύσεις που χορηγούνται στους γεωργούς του εν λόγω κράτους μέλους.</w:t>
      </w:r>
    </w:p>
    <w:p>
      <w:pPr>
        <w:ind w:left="709" w:hanging="709"/>
        <w:rPr>
          <w:rFonts w:eastAsia="Times New Roman"/>
          <w:noProof/>
        </w:rPr>
      </w:pPr>
      <w:r>
        <w:rPr>
          <w:noProof/>
        </w:rPr>
        <w:t>(8)</w:t>
      </w:r>
      <w:r>
        <w:rPr>
          <w:noProof/>
        </w:rPr>
        <w:tab/>
        <w:t xml:space="preserve">Η Επιτροπή δύναται να προσαρμόσει το ποσοστό αναπροσαρμογής που καθορίζεται στον παρόντα κανονισμό έως την 1η Δεκεμβρίου 2017, με βάση τα νέα στοιχεία που έχει στη διάθεσή της, σύμφωνα με το άρθρο 26 παράγραφος 4 του κανονισμού (ΕΕ) αριθ. 1306/2013, </w:t>
      </w:r>
    </w:p>
    <w:p>
      <w:pPr>
        <w:pStyle w:val="Formuledadoption"/>
        <w:rPr>
          <w:noProof/>
        </w:rPr>
      </w:pPr>
      <w:r>
        <w:rPr>
          <w:noProof/>
        </w:rPr>
        <w:t>ΕΞΕΔΩΣΑΝ ΤΟΝ ΠΑΡΟΝΤΑ ΚΑΝΟΝΙΣΜΟ:</w:t>
      </w:r>
    </w:p>
    <w:p>
      <w:pPr>
        <w:pStyle w:val="Titrearticle"/>
        <w:rPr>
          <w:noProof/>
        </w:rPr>
      </w:pPr>
      <w:r>
        <w:rPr>
          <w:noProof/>
        </w:rPr>
        <w:t>Άρθρο 1</w:t>
      </w:r>
    </w:p>
    <w:p>
      <w:pPr>
        <w:pStyle w:val="ManualNumPar1"/>
        <w:rPr>
          <w:noProof/>
        </w:rPr>
      </w:pPr>
      <w:r>
        <w:t>1.</w:t>
      </w:r>
      <w:r>
        <w:tab/>
      </w:r>
      <w:r>
        <w:rPr>
          <w:noProof/>
        </w:rPr>
        <w:t>Για τον σκοπό του καθορισμού του ποσοστού αναπροσαρμογής σύμφωνα με τα άρθρα 25 και 26 του κανονισμού (ΕΕ) αριθ. 1306/2013</w:t>
      </w:r>
      <w:r>
        <w:rPr>
          <w:noProof/>
          <w:color w:val="000000"/>
        </w:rPr>
        <w:t>, και σύμφωνα με</w:t>
      </w:r>
      <w:r>
        <w:rPr>
          <w:rFonts w:ascii="Lucida Sans Unicode" w:hAnsi="Lucida Sans Unicode"/>
          <w:noProof/>
          <w:color w:val="000000"/>
          <w:sz w:val="19"/>
        </w:rPr>
        <w:t xml:space="preserve"> </w:t>
      </w:r>
      <w:r>
        <w:rPr>
          <w:noProof/>
        </w:rPr>
        <w:t>το άρθρο 8 παράγραφος 1 του κανονισμού (ΕΕ) αριθ. 1307/2013</w:t>
      </w:r>
      <w:r>
        <w:rPr>
          <w:noProof/>
          <w:color w:val="000000"/>
        </w:rPr>
        <w:t>,</w:t>
      </w:r>
      <w:r>
        <w:rPr>
          <w:noProof/>
        </w:rPr>
        <w:t xml:space="preserve"> τα ποσά των άμεσων ενισχύσεων δυνάμει των καθεστώτων στήριξης που απαριθμούνται στο παράρτημα I του κανονισμού (ΕΕ) αριθ. 1307/2013, ύψους άνω των 2 000 EUR, τα οποία χορηγούνται σε γεωργούς για τις αιτήσεις ενίσχυσης που υποβάλλονται όσον αφορά το ημερολογιακό έτος 2017 μειώνονται κατά ποσοστό αναπροσαρμογής 1.388149 %.</w:t>
      </w:r>
    </w:p>
    <w:p>
      <w:pPr>
        <w:pStyle w:val="ManualNumPar2"/>
        <w:rPr>
          <w:noProof/>
        </w:rPr>
      </w:pPr>
      <w:r>
        <w:rPr>
          <w:noProof/>
        </w:rPr>
        <w:t>2.</w:t>
      </w:r>
      <w:r>
        <w:rPr>
          <w:noProof/>
        </w:rPr>
        <w:tab/>
        <w:t>Η μείωση που προβλέπεται στην παράγραφο 1 δεν ισχύει για την Κροατία.</w:t>
      </w:r>
    </w:p>
    <w:p>
      <w:pPr>
        <w:pStyle w:val="Titrearticle"/>
        <w:rPr>
          <w:noProof/>
        </w:rPr>
      </w:pPr>
      <w:r>
        <w:rPr>
          <w:noProof/>
        </w:rPr>
        <w:t>Άρθρο 2</w:t>
      </w:r>
    </w:p>
    <w:p>
      <w:pPr>
        <w:rPr>
          <w:noProof/>
        </w:rPr>
      </w:pPr>
      <w:r>
        <w:rPr>
          <w:noProof/>
        </w:rPr>
        <w:t xml:space="preserve">Ο παρών κανονισμός αρχίζει να ισχύει την έβδομη ημέρα από τη δημοσίευσή του στην </w:t>
      </w:r>
      <w:r>
        <w:rPr>
          <w:i/>
          <w:noProof/>
        </w:rPr>
        <w:t>Επίσημη Εφημερίδα της Ευρωπαϊκής Ένωσης</w:t>
      </w:r>
      <w:r>
        <w:rPr>
          <w:noProof/>
        </w:rPr>
        <w:t>.</w:t>
      </w:r>
    </w:p>
    <w:p>
      <w:pPr>
        <w:pStyle w:val="Applicationdirecte"/>
        <w:rPr>
          <w:noProof/>
        </w:rPr>
      </w:pPr>
      <w:r>
        <w:rPr>
          <w:noProof/>
        </w:rPr>
        <w:t>Ο παρών κανονισμός είναι δεσμευτικός ως προς όλα τα μέρη του και ισχύει άμεσα σε κάθε κράτος μέλος.</w:t>
      </w:r>
    </w:p>
    <w:p>
      <w:pPr>
        <w:pStyle w:val="Fait"/>
        <w:rPr>
          <w:noProof/>
        </w:rPr>
      </w:pPr>
      <w:r>
        <w:rPr>
          <w:noProof/>
        </w:rPr>
        <w:t>Βρυξέλλες,</w:t>
      </w:r>
    </w:p>
    <w:p>
      <w:pPr>
        <w:pStyle w:val="Institutionquisigne"/>
        <w:rPr>
          <w:noProof/>
        </w:rPr>
      </w:pPr>
      <w:r>
        <w:rPr>
          <w:noProof/>
        </w:rPr>
        <w:t>Για το Ευρωπαϊκό Κοινοβούλιο</w:t>
      </w:r>
      <w:r>
        <w:rPr>
          <w:noProof/>
        </w:rPr>
        <w:tab/>
        <w:t>Για το Συμβούλιο</w:t>
      </w:r>
    </w:p>
    <w:p>
      <w:pPr>
        <w:pStyle w:val="Personnequisigne"/>
        <w:rPr>
          <w:noProof/>
        </w:rPr>
      </w:pPr>
      <w:r>
        <w:rPr>
          <w:noProof/>
        </w:rPr>
        <w:t>Ο Πρόεδρος</w:t>
      </w:r>
      <w:r>
        <w:rPr>
          <w:noProof/>
        </w:rPr>
        <w:tab/>
        <w:t>Ο Πρόεδρος</w:t>
      </w:r>
    </w:p>
    <w:p>
      <w:pPr>
        <w:rPr>
          <w:noProof/>
        </w:rPr>
        <w:sectPr>
          <w:pgSz w:w="11907" w:h="16839"/>
          <w:pgMar w:top="1134" w:right="1417" w:bottom="1134" w:left="1417" w:header="709" w:footer="709" w:gutter="0"/>
          <w:cols w:space="708"/>
          <w:docGrid w:linePitch="360"/>
        </w:sectPr>
      </w:pPr>
    </w:p>
    <w:p>
      <w:pPr>
        <w:pStyle w:val="Fichefinanciretitre"/>
        <w:rPr>
          <w:noProof/>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567"/>
        <w:gridCol w:w="3884"/>
        <w:gridCol w:w="1275"/>
        <w:gridCol w:w="142"/>
        <w:gridCol w:w="1134"/>
        <w:gridCol w:w="14"/>
        <w:gridCol w:w="411"/>
        <w:gridCol w:w="567"/>
        <w:gridCol w:w="1134"/>
      </w:tblGrid>
      <w:tr>
        <w:trPr>
          <w:trHeight w:val="355"/>
        </w:trPr>
        <w:tc>
          <w:tcPr>
            <w:tcW w:w="7016" w:type="dxa"/>
            <w:gridSpan w:val="6"/>
            <w:vMerge w:val="restart"/>
          </w:tcPr>
          <w:p>
            <w:pPr>
              <w:jc w:val="center"/>
              <w:rPr>
                <w:rFonts w:eastAsia="Times New Roman"/>
                <w:b/>
                <w:noProof/>
                <w:sz w:val="40"/>
              </w:rPr>
            </w:pPr>
            <w:r>
              <w:rPr>
                <w:b/>
                <w:noProof/>
                <w:sz w:val="40"/>
              </w:rPr>
              <w:t>ΔΗΜΟΣΙΟΝΟΜΙΚΟ ΔΕΛΤΙΟ</w:t>
            </w:r>
          </w:p>
        </w:tc>
        <w:tc>
          <w:tcPr>
            <w:tcW w:w="2112" w:type="dxa"/>
            <w:gridSpan w:val="3"/>
          </w:tcPr>
          <w:p>
            <w:pPr>
              <w:spacing w:before="0" w:after="0"/>
              <w:jc w:val="center"/>
              <w:rPr>
                <w:rFonts w:eastAsia="Times New Roman"/>
                <w:noProof/>
                <w:sz w:val="20"/>
              </w:rPr>
            </w:pPr>
            <w:r>
              <w:rPr>
                <w:noProof/>
                <w:sz w:val="20"/>
              </w:rPr>
              <w:t>FS/17/RB/</w:t>
            </w:r>
          </w:p>
        </w:tc>
      </w:tr>
      <w:tr>
        <w:trPr>
          <w:trHeight w:val="355"/>
        </w:trPr>
        <w:tc>
          <w:tcPr>
            <w:tcW w:w="7016" w:type="dxa"/>
            <w:gridSpan w:val="6"/>
            <w:vMerge/>
            <w:tcBorders>
              <w:bottom w:val="nil"/>
            </w:tcBorders>
          </w:tcPr>
          <w:p>
            <w:pPr>
              <w:jc w:val="center"/>
              <w:rPr>
                <w:rFonts w:eastAsia="Times New Roman"/>
                <w:b/>
                <w:noProof/>
                <w:sz w:val="40"/>
              </w:rPr>
            </w:pPr>
          </w:p>
        </w:tc>
        <w:tc>
          <w:tcPr>
            <w:tcW w:w="2112" w:type="dxa"/>
            <w:gridSpan w:val="3"/>
          </w:tcPr>
          <w:p>
            <w:pPr>
              <w:spacing w:before="0" w:after="0"/>
              <w:jc w:val="left"/>
              <w:rPr>
                <w:rFonts w:eastAsia="Times New Roman"/>
                <w:noProof/>
                <w:sz w:val="20"/>
              </w:rPr>
            </w:pPr>
            <w:r>
              <w:rPr>
                <w:noProof/>
                <w:sz w:val="20"/>
              </w:rPr>
              <w:t>6.15.2017.1</w:t>
            </w:r>
          </w:p>
        </w:tc>
      </w:tr>
      <w:tr>
        <w:tc>
          <w:tcPr>
            <w:tcW w:w="7016" w:type="dxa"/>
            <w:gridSpan w:val="6"/>
            <w:tcBorders>
              <w:top w:val="nil"/>
            </w:tcBorders>
          </w:tcPr>
          <w:p>
            <w:pPr>
              <w:spacing w:before="0" w:after="0"/>
              <w:jc w:val="left"/>
              <w:rPr>
                <w:rFonts w:eastAsia="Times New Roman"/>
                <w:noProof/>
                <w:sz w:val="20"/>
              </w:rPr>
            </w:pPr>
          </w:p>
        </w:tc>
        <w:tc>
          <w:tcPr>
            <w:tcW w:w="2112" w:type="dxa"/>
            <w:gridSpan w:val="3"/>
          </w:tcPr>
          <w:p>
            <w:pPr>
              <w:spacing w:before="0" w:after="0"/>
              <w:jc w:val="left"/>
              <w:rPr>
                <w:rFonts w:eastAsia="Times New Roman"/>
                <w:noProof/>
                <w:sz w:val="20"/>
              </w:rPr>
            </w:pPr>
            <w:r>
              <w:rPr>
                <w:noProof/>
                <w:sz w:val="20"/>
              </w:rPr>
              <w:t xml:space="preserve">ΗΜΕΡΟΜΗΝΙΑ: </w:t>
            </w:r>
          </w:p>
          <w:p>
            <w:pPr>
              <w:spacing w:before="0" w:after="0"/>
              <w:jc w:val="left"/>
              <w:rPr>
                <w:rFonts w:eastAsia="Times New Roman"/>
                <w:noProof/>
                <w:sz w:val="20"/>
              </w:rPr>
            </w:pPr>
          </w:p>
        </w:tc>
      </w:tr>
      <w:tr>
        <w:tc>
          <w:tcPr>
            <w:tcW w:w="567" w:type="dxa"/>
            <w:tcBorders>
              <w:right w:val="nil"/>
            </w:tcBorders>
          </w:tcPr>
          <w:p>
            <w:pPr>
              <w:spacing w:before="0" w:after="0"/>
              <w:jc w:val="left"/>
              <w:rPr>
                <w:rFonts w:eastAsia="Times New Roman"/>
                <w:noProof/>
                <w:sz w:val="20"/>
              </w:rPr>
            </w:pPr>
            <w:r>
              <w:rPr>
                <w:noProof/>
                <w:sz w:val="20"/>
              </w:rPr>
              <w:t>1.</w:t>
            </w:r>
          </w:p>
        </w:tc>
        <w:tc>
          <w:tcPr>
            <w:tcW w:w="6449" w:type="dxa"/>
            <w:gridSpan w:val="5"/>
            <w:tcBorders>
              <w:left w:val="nil"/>
              <w:right w:val="nil"/>
            </w:tcBorders>
          </w:tcPr>
          <w:p>
            <w:pPr>
              <w:spacing w:before="0" w:after="0"/>
              <w:jc w:val="left"/>
              <w:rPr>
                <w:rFonts w:eastAsia="Times New Roman"/>
                <w:noProof/>
                <w:sz w:val="20"/>
              </w:rPr>
            </w:pPr>
            <w:r>
              <w:rPr>
                <w:noProof/>
                <w:sz w:val="20"/>
              </w:rPr>
              <w:t>ΓΡΑΜΜΗ ΠΡΟΫΠΟΛΟΓΙΣΜΟΥ:</w:t>
            </w:r>
          </w:p>
          <w:p>
            <w:pPr>
              <w:spacing w:before="0" w:after="0"/>
              <w:jc w:val="left"/>
              <w:rPr>
                <w:rFonts w:eastAsia="Times New Roman"/>
                <w:noProof/>
                <w:sz w:val="20"/>
              </w:rPr>
            </w:pPr>
            <w:r>
              <w:rPr>
                <w:noProof/>
                <w:sz w:val="20"/>
              </w:rPr>
              <w:t>Προκαταρκτικές δημοσιονομικές προβλέψεις μετά τη δημοσιονομική πειθαρχία:</w:t>
            </w:r>
          </w:p>
          <w:p>
            <w:pPr>
              <w:spacing w:before="0" w:after="0"/>
              <w:jc w:val="left"/>
              <w:rPr>
                <w:rFonts w:eastAsia="Times New Roman"/>
                <w:noProof/>
                <w:spacing w:val="-3"/>
                <w:sz w:val="20"/>
              </w:rPr>
            </w:pPr>
            <w:r>
              <w:rPr>
                <w:noProof/>
                <w:spacing w:val="-3"/>
                <w:sz w:val="20"/>
              </w:rPr>
              <w:t xml:space="preserve">05 03 Άμεσες ενισχύσεις* </w:t>
            </w:r>
          </w:p>
          <w:p>
            <w:pPr>
              <w:spacing w:before="0" w:after="0"/>
              <w:jc w:val="left"/>
              <w:rPr>
                <w:rFonts w:eastAsia="Times New Roman"/>
                <w:noProof/>
                <w:sz w:val="20"/>
              </w:rPr>
            </w:pPr>
            <w:r>
              <w:rPr>
                <w:noProof/>
                <w:sz w:val="20"/>
              </w:rPr>
              <w:t>* πριν ληφθεί υπόψη το ποσό των εσόδων για ειδικό προορισμό</w:t>
            </w:r>
          </w:p>
        </w:tc>
        <w:tc>
          <w:tcPr>
            <w:tcW w:w="2112" w:type="dxa"/>
            <w:gridSpan w:val="3"/>
            <w:tcBorders>
              <w:left w:val="nil"/>
            </w:tcBorders>
          </w:tcPr>
          <w:p>
            <w:pPr>
              <w:tabs>
                <w:tab w:val="left" w:pos="1736"/>
              </w:tabs>
              <w:spacing w:before="0" w:after="0"/>
              <w:ind w:right="136"/>
              <w:jc w:val="left"/>
              <w:rPr>
                <w:rFonts w:eastAsia="Times New Roman"/>
                <w:noProof/>
                <w:sz w:val="20"/>
              </w:rPr>
            </w:pPr>
            <w:r>
              <w:rPr>
                <w:noProof/>
                <w:sz w:val="20"/>
              </w:rPr>
              <w:t>ΠΙΣΤΩΣΕΙΣ:</w:t>
            </w:r>
          </w:p>
          <w:p>
            <w:pPr>
              <w:tabs>
                <w:tab w:val="left" w:pos="1736"/>
              </w:tabs>
              <w:spacing w:before="0" w:after="0"/>
              <w:ind w:right="136"/>
              <w:jc w:val="left"/>
              <w:rPr>
                <w:rFonts w:eastAsia="Times New Roman"/>
                <w:noProof/>
                <w:sz w:val="20"/>
              </w:rPr>
            </w:pPr>
            <w:r>
              <w:rPr>
                <w:noProof/>
                <w:sz w:val="20"/>
              </w:rPr>
              <w:t>σε εκατ. EUR</w:t>
            </w:r>
          </w:p>
          <w:p>
            <w:pPr>
              <w:tabs>
                <w:tab w:val="left" w:pos="1736"/>
              </w:tabs>
              <w:spacing w:before="0" w:after="0"/>
              <w:ind w:right="136"/>
              <w:jc w:val="right"/>
              <w:rPr>
                <w:rFonts w:eastAsia="Times New Roman"/>
                <w:noProof/>
                <w:sz w:val="20"/>
              </w:rPr>
            </w:pPr>
            <w:r>
              <w:rPr>
                <w:noProof/>
                <w:sz w:val="20"/>
              </w:rPr>
              <w:t>41 747</w:t>
            </w:r>
          </w:p>
          <w:p>
            <w:pPr>
              <w:tabs>
                <w:tab w:val="left" w:pos="1736"/>
              </w:tabs>
              <w:spacing w:before="0" w:after="0"/>
              <w:ind w:right="136"/>
              <w:jc w:val="right"/>
              <w:rPr>
                <w:rFonts w:eastAsia="Times New Roman"/>
                <w:noProof/>
                <w:sz w:val="20"/>
              </w:rPr>
            </w:pPr>
          </w:p>
        </w:tc>
      </w:tr>
      <w:tr>
        <w:tc>
          <w:tcPr>
            <w:tcW w:w="567" w:type="dxa"/>
            <w:tcBorders>
              <w:bottom w:val="nil"/>
              <w:right w:val="nil"/>
            </w:tcBorders>
          </w:tcPr>
          <w:p>
            <w:pPr>
              <w:spacing w:before="0" w:after="0"/>
              <w:jc w:val="left"/>
              <w:rPr>
                <w:rFonts w:eastAsia="Times New Roman"/>
                <w:noProof/>
                <w:sz w:val="20"/>
              </w:rPr>
            </w:pPr>
            <w:r>
              <w:rPr>
                <w:noProof/>
                <w:sz w:val="20"/>
              </w:rPr>
              <w:t>2.</w:t>
            </w:r>
          </w:p>
        </w:tc>
        <w:tc>
          <w:tcPr>
            <w:tcW w:w="8561" w:type="dxa"/>
            <w:gridSpan w:val="8"/>
            <w:tcBorders>
              <w:left w:val="nil"/>
            </w:tcBorders>
          </w:tcPr>
          <w:p>
            <w:pPr>
              <w:spacing w:before="0" w:after="0"/>
              <w:jc w:val="left"/>
              <w:rPr>
                <w:rFonts w:eastAsia="Times New Roman"/>
                <w:noProof/>
                <w:sz w:val="20"/>
              </w:rPr>
            </w:pPr>
            <w:r>
              <w:rPr>
                <w:noProof/>
                <w:sz w:val="20"/>
              </w:rPr>
              <w:t>ΤΙΤΛΟΣ:</w:t>
            </w:r>
          </w:p>
          <w:p>
            <w:pPr>
              <w:spacing w:before="0" w:after="0"/>
              <w:jc w:val="left"/>
              <w:rPr>
                <w:rFonts w:eastAsia="Times New Roman"/>
                <w:noProof/>
                <w:sz w:val="20"/>
              </w:rPr>
            </w:pPr>
          </w:p>
          <w:p>
            <w:pPr>
              <w:spacing w:before="0" w:after="0"/>
              <w:jc w:val="left"/>
              <w:rPr>
                <w:rFonts w:eastAsia="Times New Roman"/>
                <w:noProof/>
                <w:sz w:val="20"/>
              </w:rPr>
            </w:pPr>
            <w:r>
              <w:rPr>
                <w:noProof/>
                <w:sz w:val="20"/>
              </w:rPr>
              <w:t>Πρόταση</w:t>
            </w:r>
          </w:p>
          <w:p>
            <w:pPr>
              <w:spacing w:before="0" w:after="0"/>
              <w:jc w:val="left"/>
              <w:rPr>
                <w:rFonts w:eastAsia="Times New Roman"/>
                <w:noProof/>
                <w:sz w:val="20"/>
              </w:rPr>
            </w:pPr>
            <w:r>
              <w:rPr>
                <w:noProof/>
                <w:sz w:val="20"/>
              </w:rPr>
              <w:t>ΚΑΝΟΝΙΣΜΟΣ ΤΟΥ ΕΥΡΩΠΑΪΚΟΥ ΚΟΙΝΟΒΟΥΛΙΟΥ ΚΑΙ ΤΟΥ ΣΥΜΒΟΥΛΙΟΥ σχετικά με τον καθορισμό του ποσοστού αναπροσαρμογής των άμεσων ενισχύσεων που προβλέπεται στον κανονισμό (ΕΕ) αριθ. 1306/2013 όσον αφορά το ημερολογιακό έτος 2017</w:t>
            </w:r>
          </w:p>
        </w:tc>
      </w:tr>
      <w:tr>
        <w:tc>
          <w:tcPr>
            <w:tcW w:w="567" w:type="dxa"/>
            <w:tcBorders>
              <w:bottom w:val="nil"/>
              <w:right w:val="nil"/>
            </w:tcBorders>
          </w:tcPr>
          <w:p>
            <w:pPr>
              <w:spacing w:before="0" w:after="0"/>
              <w:jc w:val="left"/>
              <w:rPr>
                <w:rFonts w:eastAsia="Times New Roman"/>
                <w:noProof/>
                <w:sz w:val="20"/>
              </w:rPr>
            </w:pPr>
            <w:r>
              <w:rPr>
                <w:noProof/>
                <w:sz w:val="20"/>
              </w:rPr>
              <w:t>3.</w:t>
            </w:r>
          </w:p>
        </w:tc>
        <w:tc>
          <w:tcPr>
            <w:tcW w:w="8561" w:type="dxa"/>
            <w:gridSpan w:val="8"/>
            <w:tcBorders>
              <w:left w:val="nil"/>
            </w:tcBorders>
          </w:tcPr>
          <w:p>
            <w:pPr>
              <w:spacing w:before="0" w:after="0"/>
              <w:jc w:val="left"/>
              <w:rPr>
                <w:rFonts w:eastAsia="Times New Roman"/>
                <w:noProof/>
                <w:sz w:val="20"/>
              </w:rPr>
            </w:pPr>
            <w:r>
              <w:rPr>
                <w:noProof/>
                <w:sz w:val="20"/>
              </w:rPr>
              <w:t>ΝΟΜΙΚΗ ΒΑΣΗ:</w:t>
            </w:r>
          </w:p>
          <w:p>
            <w:pPr>
              <w:spacing w:before="0" w:after="0"/>
              <w:jc w:val="left"/>
              <w:rPr>
                <w:rFonts w:eastAsia="Times New Roman"/>
                <w:noProof/>
                <w:sz w:val="20"/>
              </w:rPr>
            </w:pPr>
          </w:p>
          <w:p>
            <w:pPr>
              <w:spacing w:before="0" w:after="0"/>
              <w:jc w:val="left"/>
              <w:rPr>
                <w:rFonts w:eastAsia="Times New Roman"/>
                <w:noProof/>
                <w:sz w:val="20"/>
              </w:rPr>
            </w:pPr>
            <w:r>
              <w:rPr>
                <w:noProof/>
                <w:sz w:val="20"/>
              </w:rPr>
              <w:t xml:space="preserve">Άρθρο 43 παράγραφος 2 της Συνθήκης για τη λειτουργία της Ευρωπαϊκής Ένωσης </w:t>
            </w:r>
          </w:p>
          <w:p>
            <w:pPr>
              <w:spacing w:before="0" w:after="0"/>
              <w:jc w:val="left"/>
              <w:rPr>
                <w:rFonts w:eastAsia="Times New Roman"/>
                <w:noProof/>
                <w:sz w:val="20"/>
              </w:rPr>
            </w:pPr>
          </w:p>
        </w:tc>
      </w:tr>
      <w:tr>
        <w:tc>
          <w:tcPr>
            <w:tcW w:w="567" w:type="dxa"/>
            <w:tcBorders>
              <w:right w:val="nil"/>
            </w:tcBorders>
          </w:tcPr>
          <w:p>
            <w:pPr>
              <w:spacing w:before="0" w:after="0"/>
              <w:jc w:val="left"/>
              <w:rPr>
                <w:rFonts w:eastAsia="Times New Roman"/>
                <w:noProof/>
                <w:sz w:val="20"/>
              </w:rPr>
            </w:pPr>
            <w:r>
              <w:rPr>
                <w:noProof/>
                <w:sz w:val="20"/>
              </w:rPr>
              <w:t>4.</w:t>
            </w:r>
          </w:p>
        </w:tc>
        <w:tc>
          <w:tcPr>
            <w:tcW w:w="8561" w:type="dxa"/>
            <w:gridSpan w:val="8"/>
            <w:tcBorders>
              <w:left w:val="nil"/>
            </w:tcBorders>
          </w:tcPr>
          <w:p>
            <w:pPr>
              <w:spacing w:before="0" w:after="0"/>
              <w:jc w:val="left"/>
              <w:rPr>
                <w:rFonts w:eastAsia="Times New Roman"/>
                <w:noProof/>
                <w:sz w:val="20"/>
              </w:rPr>
            </w:pPr>
            <w:r>
              <w:rPr>
                <w:noProof/>
                <w:sz w:val="20"/>
              </w:rPr>
              <w:t>ΣΤΟΧΟΙ:</w:t>
            </w:r>
          </w:p>
          <w:p>
            <w:pPr>
              <w:spacing w:before="0" w:after="0"/>
              <w:jc w:val="left"/>
              <w:rPr>
                <w:rFonts w:eastAsia="Times New Roman"/>
                <w:noProof/>
                <w:sz w:val="20"/>
              </w:rPr>
            </w:pPr>
            <w:r>
              <w:rPr>
                <w:noProof/>
                <w:sz w:val="20"/>
              </w:rPr>
              <w:t>Ο παρών κανονισμός ορίζει το ποσοστό αναπροσαρμογής στο πλαίσιο της δημοσιονομικής πειθαρχίας που πρέπει να εφαρμόζεται στα ποσά των άμεσων ενισχύσεων άνω των 2 000 EUR που χορηγούνται στους γεωργούς για αιτήσεις ενισχύσεων που υποβάλλονται για το ημερολογιακό έτος 2017.</w:t>
            </w:r>
          </w:p>
        </w:tc>
      </w:tr>
      <w:tr>
        <w:tc>
          <w:tcPr>
            <w:tcW w:w="567" w:type="dxa"/>
            <w:tcBorders>
              <w:bottom w:val="nil"/>
              <w:right w:val="nil"/>
            </w:tcBorders>
          </w:tcPr>
          <w:p>
            <w:pPr>
              <w:spacing w:before="0" w:after="0"/>
              <w:jc w:val="left"/>
              <w:rPr>
                <w:rFonts w:eastAsia="Times New Roman"/>
                <w:noProof/>
                <w:sz w:val="20"/>
              </w:rPr>
            </w:pPr>
            <w:r>
              <w:rPr>
                <w:noProof/>
                <w:sz w:val="20"/>
              </w:rPr>
              <w:t>5.</w:t>
            </w:r>
          </w:p>
        </w:tc>
        <w:tc>
          <w:tcPr>
            <w:tcW w:w="3884" w:type="dxa"/>
            <w:tcBorders>
              <w:left w:val="nil"/>
            </w:tcBorders>
          </w:tcPr>
          <w:p>
            <w:pPr>
              <w:spacing w:before="0" w:after="0"/>
              <w:jc w:val="left"/>
              <w:rPr>
                <w:rFonts w:eastAsia="Times New Roman"/>
                <w:noProof/>
                <w:sz w:val="20"/>
              </w:rPr>
            </w:pPr>
            <w:r>
              <w:rPr>
                <w:noProof/>
                <w:sz w:val="20"/>
              </w:rPr>
              <w:t>ΔΗΜΟΣΙΟΝΟΜΙΚΕΣ ΕΠΙΠΤΩΣΕΙΣ</w:t>
            </w:r>
          </w:p>
        </w:tc>
        <w:tc>
          <w:tcPr>
            <w:tcW w:w="1417" w:type="dxa"/>
            <w:gridSpan w:val="2"/>
          </w:tcPr>
          <w:p>
            <w:pPr>
              <w:spacing w:before="0" w:after="0"/>
              <w:jc w:val="center"/>
              <w:rPr>
                <w:rFonts w:eastAsia="Times New Roman"/>
                <w:noProof/>
                <w:sz w:val="20"/>
              </w:rPr>
            </w:pPr>
            <w:r>
              <w:rPr>
                <w:noProof/>
                <w:sz w:val="20"/>
              </w:rPr>
              <w:t>ΠΕΡΙΟΔΟΣ 12 ΜΗΝΩΝ</w:t>
            </w:r>
            <w:r>
              <w:rPr>
                <w:rFonts w:eastAsia="Times New Roman"/>
                <w:noProof/>
                <w:sz w:val="20"/>
              </w:rPr>
              <w:br/>
            </w:r>
            <w:r>
              <w:rPr>
                <w:rFonts w:eastAsia="Times New Roman"/>
                <w:noProof/>
                <w:sz w:val="20"/>
              </w:rPr>
              <w:br/>
            </w:r>
            <w:r>
              <w:rPr>
                <w:rFonts w:eastAsia="Times New Roman"/>
                <w:noProof/>
                <w:sz w:val="20"/>
              </w:rPr>
              <w:br/>
            </w:r>
            <w:r>
              <w:rPr>
                <w:noProof/>
                <w:sz w:val="20"/>
              </w:rPr>
              <w:t>(σε εκατ. EUR)</w:t>
            </w:r>
          </w:p>
        </w:tc>
        <w:tc>
          <w:tcPr>
            <w:tcW w:w="1559" w:type="dxa"/>
            <w:gridSpan w:val="3"/>
          </w:tcPr>
          <w:p>
            <w:pPr>
              <w:spacing w:before="0" w:after="0"/>
              <w:jc w:val="center"/>
              <w:rPr>
                <w:rFonts w:eastAsia="Times New Roman"/>
                <w:noProof/>
                <w:sz w:val="20"/>
              </w:rPr>
            </w:pPr>
            <w:r>
              <w:rPr>
                <w:noProof/>
                <w:sz w:val="20"/>
              </w:rPr>
              <w:t>ΤΡΕΧΟΝ ΟΙΚΟΝΟΜΙΚΟ ΕΤΟΣ</w:t>
            </w:r>
          </w:p>
          <w:p>
            <w:pPr>
              <w:spacing w:before="0" w:after="0"/>
              <w:jc w:val="center"/>
              <w:rPr>
                <w:rFonts w:eastAsia="Times New Roman"/>
                <w:noProof/>
                <w:sz w:val="20"/>
              </w:rPr>
            </w:pPr>
            <w:r>
              <w:rPr>
                <w:noProof/>
                <w:sz w:val="20"/>
              </w:rPr>
              <w:t>2017</w:t>
            </w:r>
          </w:p>
          <w:p>
            <w:pPr>
              <w:spacing w:before="0" w:after="0"/>
              <w:jc w:val="center"/>
              <w:rPr>
                <w:rFonts w:eastAsia="Times New Roman"/>
                <w:noProof/>
                <w:sz w:val="20"/>
              </w:rPr>
            </w:pPr>
            <w:r>
              <w:rPr>
                <w:noProof/>
                <w:sz w:val="20"/>
              </w:rPr>
              <w:t>(σε εκατ. EUR)</w:t>
            </w:r>
          </w:p>
        </w:tc>
        <w:tc>
          <w:tcPr>
            <w:tcW w:w="1701" w:type="dxa"/>
            <w:gridSpan w:val="2"/>
          </w:tcPr>
          <w:p>
            <w:pPr>
              <w:spacing w:before="0" w:after="0"/>
              <w:jc w:val="center"/>
              <w:rPr>
                <w:rFonts w:eastAsia="Times New Roman"/>
                <w:noProof/>
                <w:sz w:val="20"/>
              </w:rPr>
            </w:pPr>
            <w:r>
              <w:rPr>
                <w:noProof/>
                <w:sz w:val="20"/>
              </w:rPr>
              <w:t>ΕΠΟΜΕΝΟ ΟΙΚΟΝΟΜΙΚΟ ΕΤΟΣ</w:t>
            </w:r>
          </w:p>
          <w:p>
            <w:pPr>
              <w:spacing w:before="0" w:after="0"/>
              <w:jc w:val="center"/>
              <w:rPr>
                <w:rFonts w:eastAsia="Times New Roman"/>
                <w:noProof/>
                <w:sz w:val="20"/>
              </w:rPr>
            </w:pPr>
            <w:r>
              <w:rPr>
                <w:noProof/>
                <w:sz w:val="20"/>
              </w:rPr>
              <w:t>2018</w:t>
            </w:r>
          </w:p>
          <w:p>
            <w:pPr>
              <w:spacing w:before="0" w:after="0"/>
              <w:jc w:val="center"/>
              <w:rPr>
                <w:rFonts w:eastAsia="Times New Roman"/>
                <w:noProof/>
                <w:sz w:val="20"/>
              </w:rPr>
            </w:pPr>
            <w:r>
              <w:rPr>
                <w:noProof/>
                <w:sz w:val="20"/>
              </w:rPr>
              <w:t>(σε εκατ. EUR)</w:t>
            </w:r>
          </w:p>
        </w:tc>
      </w:tr>
      <w:tr>
        <w:tc>
          <w:tcPr>
            <w:tcW w:w="567" w:type="dxa"/>
            <w:tcBorders>
              <w:bottom w:val="nil"/>
              <w:right w:val="nil"/>
            </w:tcBorders>
          </w:tcPr>
          <w:p>
            <w:pPr>
              <w:spacing w:before="0" w:after="0"/>
              <w:jc w:val="left"/>
              <w:rPr>
                <w:rFonts w:eastAsia="Times New Roman"/>
                <w:noProof/>
                <w:sz w:val="20"/>
              </w:rPr>
            </w:pPr>
            <w:r>
              <w:rPr>
                <w:noProof/>
                <w:sz w:val="20"/>
              </w:rPr>
              <w:t>5.0</w:t>
            </w:r>
          </w:p>
        </w:tc>
        <w:tc>
          <w:tcPr>
            <w:tcW w:w="3884" w:type="dxa"/>
            <w:tcBorders>
              <w:left w:val="nil"/>
            </w:tcBorders>
          </w:tcPr>
          <w:p>
            <w:pPr>
              <w:spacing w:before="0" w:after="0"/>
              <w:jc w:val="left"/>
              <w:rPr>
                <w:rFonts w:eastAsia="Times New Roman"/>
                <w:noProof/>
                <w:sz w:val="20"/>
              </w:rPr>
            </w:pPr>
            <w:r>
              <w:rPr>
                <w:noProof/>
                <w:sz w:val="20"/>
              </w:rPr>
              <w:t>ΔΑΠΑΝΕΣ</w:t>
            </w:r>
          </w:p>
          <w:p>
            <w:pPr>
              <w:spacing w:before="0" w:after="0"/>
              <w:jc w:val="left"/>
              <w:rPr>
                <w:rFonts w:eastAsia="Times New Roman"/>
                <w:noProof/>
                <w:sz w:val="20"/>
              </w:rPr>
            </w:pPr>
            <w:r>
              <w:rPr>
                <w:noProof/>
                <w:sz w:val="20"/>
              </w:rPr>
              <w:t>-</w:t>
            </w:r>
            <w:r>
              <w:rPr>
                <w:noProof/>
              </w:rPr>
              <w:tab/>
            </w:r>
            <w:r>
              <w:rPr>
                <w:noProof/>
                <w:sz w:val="20"/>
              </w:rPr>
              <w:t>ΑΠΟ ΤΟΝ ΠΡΟΫΠΟΛΟΓΙΣΜΟ ΤΗΣ ΕΕ</w:t>
            </w:r>
            <w:r>
              <w:rPr>
                <w:rFonts w:eastAsia="Times New Roman"/>
                <w:noProof/>
                <w:sz w:val="20"/>
              </w:rPr>
              <w:br/>
            </w:r>
            <w:r>
              <w:rPr>
                <w:noProof/>
                <w:sz w:val="20"/>
              </w:rPr>
              <w:t>(ΕΠΙΣΤΡΟΦΕΣ/ΠΑΡΕΜΒΑΣΕΙΣ)</w:t>
            </w:r>
          </w:p>
          <w:p>
            <w:pPr>
              <w:spacing w:before="0" w:after="0"/>
              <w:jc w:val="left"/>
              <w:rPr>
                <w:rFonts w:eastAsia="Times New Roman"/>
                <w:noProof/>
                <w:sz w:val="20"/>
              </w:rPr>
            </w:pPr>
            <w:r>
              <w:rPr>
                <w:noProof/>
                <w:sz w:val="20"/>
              </w:rPr>
              <w:t>-</w:t>
            </w:r>
            <w:r>
              <w:rPr>
                <w:noProof/>
              </w:rPr>
              <w:tab/>
            </w:r>
            <w:r>
              <w:rPr>
                <w:noProof/>
                <w:sz w:val="20"/>
              </w:rPr>
              <w:t>ΕΘΝΙΚΕΣ ΑΡΧΕΣ</w:t>
            </w:r>
          </w:p>
          <w:p>
            <w:pPr>
              <w:spacing w:before="0" w:after="0"/>
              <w:jc w:val="left"/>
              <w:rPr>
                <w:rFonts w:eastAsia="Times New Roman"/>
                <w:noProof/>
                <w:sz w:val="20"/>
              </w:rPr>
            </w:pPr>
            <w:r>
              <w:rPr>
                <w:noProof/>
                <w:sz w:val="20"/>
              </w:rPr>
              <w:t>-</w:t>
            </w:r>
            <w:r>
              <w:rPr>
                <w:noProof/>
              </w:rPr>
              <w:tab/>
            </w:r>
            <w:r>
              <w:rPr>
                <w:noProof/>
                <w:sz w:val="20"/>
              </w:rPr>
              <w:t>ΤΟΥΣ ΑΛΛΟΥΣ ΤΟΜΕΙΣ</w:t>
            </w:r>
          </w:p>
        </w:tc>
        <w:tc>
          <w:tcPr>
            <w:tcW w:w="1417" w:type="dxa"/>
            <w:gridSpan w:val="2"/>
          </w:tcPr>
          <w:p>
            <w:pPr>
              <w:spacing w:before="0" w:after="0"/>
              <w:jc w:val="right"/>
              <w:rPr>
                <w:rFonts w:eastAsia="Times New Roman"/>
                <w:noProof/>
                <w:sz w:val="20"/>
              </w:rPr>
            </w:pPr>
            <w:r>
              <w:rPr>
                <w:noProof/>
                <w:sz w:val="20"/>
              </w:rPr>
              <w:t>- 459,5</w:t>
            </w:r>
          </w:p>
          <w:p>
            <w:pPr>
              <w:spacing w:before="0" w:after="0"/>
              <w:jc w:val="right"/>
              <w:rPr>
                <w:rFonts w:eastAsia="Times New Roman"/>
                <w:noProof/>
                <w:sz w:val="20"/>
              </w:rPr>
            </w:pPr>
            <w:r>
              <w:rPr>
                <w:noProof/>
                <w:sz w:val="20"/>
              </w:rPr>
              <w:t>+ 459,5</w:t>
            </w:r>
          </w:p>
        </w:tc>
        <w:tc>
          <w:tcPr>
            <w:tcW w:w="1559" w:type="dxa"/>
            <w:gridSpan w:val="3"/>
          </w:tcPr>
          <w:p>
            <w:pPr>
              <w:spacing w:before="0" w:after="0"/>
              <w:jc w:val="center"/>
              <w:rPr>
                <w:rFonts w:eastAsia="Times New Roman"/>
                <w:noProof/>
                <w:sz w:val="20"/>
              </w:rPr>
            </w:pPr>
            <w:r>
              <w:rPr>
                <w:noProof/>
                <w:sz w:val="20"/>
              </w:rPr>
              <w:t>n.a.</w:t>
            </w:r>
          </w:p>
        </w:tc>
        <w:tc>
          <w:tcPr>
            <w:tcW w:w="1701" w:type="dxa"/>
            <w:gridSpan w:val="2"/>
          </w:tcPr>
          <w:p>
            <w:pPr>
              <w:spacing w:before="0" w:after="0"/>
              <w:jc w:val="right"/>
              <w:rPr>
                <w:rFonts w:eastAsia="Times New Roman"/>
                <w:noProof/>
                <w:sz w:val="20"/>
              </w:rPr>
            </w:pPr>
            <w:r>
              <w:rPr>
                <w:noProof/>
                <w:sz w:val="20"/>
              </w:rPr>
              <w:t>- 459,5</w:t>
            </w:r>
          </w:p>
          <w:p>
            <w:pPr>
              <w:spacing w:before="0" w:after="0"/>
              <w:jc w:val="right"/>
              <w:rPr>
                <w:rFonts w:eastAsia="Times New Roman"/>
                <w:noProof/>
                <w:sz w:val="20"/>
              </w:rPr>
            </w:pPr>
            <w:r>
              <w:rPr>
                <w:noProof/>
                <w:sz w:val="20"/>
              </w:rPr>
              <w:t>+ 459,5</w:t>
            </w:r>
          </w:p>
        </w:tc>
      </w:tr>
      <w:tr>
        <w:tc>
          <w:tcPr>
            <w:tcW w:w="567" w:type="dxa"/>
            <w:tcBorders>
              <w:right w:val="nil"/>
            </w:tcBorders>
          </w:tcPr>
          <w:p>
            <w:pPr>
              <w:spacing w:before="0" w:after="0"/>
              <w:jc w:val="left"/>
              <w:rPr>
                <w:rFonts w:eastAsia="Times New Roman"/>
                <w:noProof/>
                <w:sz w:val="20"/>
              </w:rPr>
            </w:pPr>
            <w:r>
              <w:rPr>
                <w:noProof/>
                <w:sz w:val="20"/>
              </w:rPr>
              <w:t>5.1</w:t>
            </w:r>
          </w:p>
        </w:tc>
        <w:tc>
          <w:tcPr>
            <w:tcW w:w="3884" w:type="dxa"/>
            <w:tcBorders>
              <w:left w:val="nil"/>
            </w:tcBorders>
          </w:tcPr>
          <w:p>
            <w:pPr>
              <w:spacing w:before="0" w:after="0"/>
              <w:jc w:val="left"/>
              <w:rPr>
                <w:rFonts w:eastAsia="Times New Roman"/>
                <w:noProof/>
                <w:sz w:val="20"/>
              </w:rPr>
            </w:pPr>
            <w:r>
              <w:rPr>
                <w:noProof/>
                <w:sz w:val="20"/>
              </w:rPr>
              <w:t>ΕΣΟΔΑ</w:t>
            </w:r>
          </w:p>
          <w:p>
            <w:pPr>
              <w:spacing w:before="0" w:after="0"/>
              <w:jc w:val="left"/>
              <w:rPr>
                <w:rFonts w:eastAsia="Times New Roman"/>
                <w:noProof/>
                <w:sz w:val="20"/>
              </w:rPr>
            </w:pPr>
            <w:r>
              <w:rPr>
                <w:noProof/>
                <w:sz w:val="20"/>
              </w:rPr>
              <w:t>-</w:t>
            </w:r>
            <w:r>
              <w:rPr>
                <w:noProof/>
              </w:rPr>
              <w:tab/>
            </w:r>
            <w:r>
              <w:rPr>
                <w:noProof/>
                <w:sz w:val="20"/>
              </w:rPr>
              <w:t xml:space="preserve">ΙΔΙΟΙ ΠΟΡΟΙ ΤΗΣ ΕΕ </w:t>
            </w:r>
            <w:r>
              <w:rPr>
                <w:rFonts w:eastAsia="Times New Roman"/>
                <w:noProof/>
                <w:sz w:val="20"/>
              </w:rPr>
              <w:br/>
            </w:r>
            <w:r>
              <w:rPr>
                <w:noProof/>
                <w:sz w:val="20"/>
              </w:rPr>
              <w:t>(ΕΙΣΦΟΡΕΣ/ΤΕΛΩΝΕΙΑΚΟΙ ΔΑΣΜΟΙ)</w:t>
            </w:r>
          </w:p>
          <w:p>
            <w:pPr>
              <w:spacing w:before="0" w:after="0"/>
              <w:jc w:val="left"/>
              <w:rPr>
                <w:rFonts w:eastAsia="Times New Roman"/>
                <w:noProof/>
                <w:sz w:val="20"/>
              </w:rPr>
            </w:pPr>
            <w:r>
              <w:rPr>
                <w:noProof/>
                <w:sz w:val="20"/>
              </w:rPr>
              <w:t>-</w:t>
            </w:r>
            <w:r>
              <w:rPr>
                <w:noProof/>
              </w:rPr>
              <w:tab/>
            </w:r>
            <w:r>
              <w:rPr>
                <w:noProof/>
                <w:sz w:val="20"/>
              </w:rPr>
              <w:t>ΕΘΝΙΚΑ</w:t>
            </w:r>
          </w:p>
        </w:tc>
        <w:tc>
          <w:tcPr>
            <w:tcW w:w="1417" w:type="dxa"/>
            <w:gridSpan w:val="2"/>
          </w:tcPr>
          <w:p>
            <w:pPr>
              <w:spacing w:before="0" w:after="0"/>
              <w:jc w:val="center"/>
              <w:rPr>
                <w:rFonts w:eastAsia="Times New Roman"/>
                <w:noProof/>
                <w:sz w:val="20"/>
              </w:rPr>
            </w:pPr>
          </w:p>
        </w:tc>
        <w:tc>
          <w:tcPr>
            <w:tcW w:w="1559" w:type="dxa"/>
            <w:gridSpan w:val="3"/>
          </w:tcPr>
          <w:p>
            <w:pPr>
              <w:spacing w:before="0" w:after="0"/>
              <w:jc w:val="center"/>
              <w:rPr>
                <w:rFonts w:eastAsia="Times New Roman"/>
                <w:noProof/>
                <w:sz w:val="20"/>
              </w:rPr>
            </w:pPr>
          </w:p>
        </w:tc>
        <w:tc>
          <w:tcPr>
            <w:tcW w:w="1701" w:type="dxa"/>
            <w:gridSpan w:val="2"/>
          </w:tcPr>
          <w:p>
            <w:pPr>
              <w:spacing w:before="0" w:after="0"/>
              <w:jc w:val="center"/>
              <w:rPr>
                <w:rFonts w:eastAsia="Times New Roman"/>
                <w:noProof/>
                <w:sz w:val="20"/>
              </w:rPr>
            </w:pPr>
          </w:p>
        </w:tc>
      </w:tr>
      <w:tr>
        <w:tc>
          <w:tcPr>
            <w:tcW w:w="567" w:type="dxa"/>
            <w:tcBorders>
              <w:bottom w:val="nil"/>
              <w:right w:val="nil"/>
            </w:tcBorders>
          </w:tcPr>
          <w:p>
            <w:pPr>
              <w:spacing w:before="0" w:after="0"/>
              <w:jc w:val="left"/>
              <w:rPr>
                <w:rFonts w:eastAsia="Times New Roman"/>
                <w:noProof/>
                <w:sz w:val="20"/>
              </w:rPr>
            </w:pPr>
          </w:p>
        </w:tc>
        <w:tc>
          <w:tcPr>
            <w:tcW w:w="3884" w:type="dxa"/>
            <w:tcBorders>
              <w:left w:val="nil"/>
              <w:bottom w:val="nil"/>
            </w:tcBorders>
          </w:tcPr>
          <w:p>
            <w:pPr>
              <w:spacing w:before="0" w:after="0"/>
              <w:jc w:val="left"/>
              <w:rPr>
                <w:rFonts w:eastAsia="Times New Roman"/>
                <w:noProof/>
                <w:sz w:val="20"/>
              </w:rPr>
            </w:pPr>
          </w:p>
        </w:tc>
        <w:tc>
          <w:tcPr>
            <w:tcW w:w="1275" w:type="dxa"/>
            <w:tcBorders>
              <w:bottom w:val="nil"/>
            </w:tcBorders>
          </w:tcPr>
          <w:p>
            <w:pPr>
              <w:spacing w:before="0" w:after="0"/>
              <w:jc w:val="center"/>
              <w:rPr>
                <w:rFonts w:eastAsia="Times New Roman"/>
                <w:noProof/>
                <w:sz w:val="20"/>
              </w:rPr>
            </w:pPr>
            <w:r>
              <w:rPr>
                <w:noProof/>
                <w:sz w:val="20"/>
              </w:rPr>
              <w:t>2017</w:t>
            </w:r>
          </w:p>
        </w:tc>
        <w:tc>
          <w:tcPr>
            <w:tcW w:w="1276" w:type="dxa"/>
            <w:gridSpan w:val="2"/>
            <w:tcBorders>
              <w:bottom w:val="nil"/>
            </w:tcBorders>
          </w:tcPr>
          <w:p>
            <w:pPr>
              <w:spacing w:before="0" w:after="0"/>
              <w:jc w:val="center"/>
              <w:rPr>
                <w:rFonts w:eastAsia="Times New Roman"/>
                <w:noProof/>
                <w:sz w:val="20"/>
              </w:rPr>
            </w:pPr>
            <w:r>
              <w:rPr>
                <w:noProof/>
                <w:sz w:val="20"/>
              </w:rPr>
              <w:t>2018</w:t>
            </w:r>
          </w:p>
        </w:tc>
        <w:tc>
          <w:tcPr>
            <w:tcW w:w="992" w:type="dxa"/>
            <w:gridSpan w:val="3"/>
            <w:tcBorders>
              <w:bottom w:val="nil"/>
            </w:tcBorders>
          </w:tcPr>
          <w:p>
            <w:pPr>
              <w:spacing w:before="0" w:after="0"/>
              <w:jc w:val="center"/>
              <w:rPr>
                <w:rFonts w:eastAsia="Times New Roman"/>
                <w:noProof/>
                <w:sz w:val="20"/>
              </w:rPr>
            </w:pPr>
            <w:r>
              <w:rPr>
                <w:noProof/>
                <w:sz w:val="20"/>
              </w:rPr>
              <w:t>2019</w:t>
            </w:r>
          </w:p>
        </w:tc>
        <w:tc>
          <w:tcPr>
            <w:tcW w:w="1134" w:type="dxa"/>
            <w:tcBorders>
              <w:bottom w:val="nil"/>
            </w:tcBorders>
          </w:tcPr>
          <w:p>
            <w:pPr>
              <w:spacing w:before="0" w:after="0"/>
              <w:jc w:val="center"/>
              <w:rPr>
                <w:rFonts w:eastAsia="Times New Roman"/>
                <w:noProof/>
                <w:sz w:val="20"/>
              </w:rPr>
            </w:pPr>
            <w:r>
              <w:rPr>
                <w:noProof/>
                <w:sz w:val="20"/>
              </w:rPr>
              <w:t>2020</w:t>
            </w:r>
          </w:p>
        </w:tc>
      </w:tr>
      <w:tr>
        <w:tc>
          <w:tcPr>
            <w:tcW w:w="567" w:type="dxa"/>
            <w:tcBorders>
              <w:top w:val="nil"/>
              <w:bottom w:val="nil"/>
              <w:right w:val="nil"/>
            </w:tcBorders>
          </w:tcPr>
          <w:p>
            <w:pPr>
              <w:spacing w:before="0" w:after="0"/>
              <w:jc w:val="left"/>
              <w:rPr>
                <w:rFonts w:eastAsia="Times New Roman"/>
                <w:noProof/>
                <w:sz w:val="20"/>
              </w:rPr>
            </w:pPr>
            <w:r>
              <w:rPr>
                <w:noProof/>
                <w:sz w:val="20"/>
              </w:rPr>
              <w:t>5.0.1</w:t>
            </w:r>
          </w:p>
        </w:tc>
        <w:tc>
          <w:tcPr>
            <w:tcW w:w="3884" w:type="dxa"/>
            <w:tcBorders>
              <w:top w:val="nil"/>
              <w:left w:val="nil"/>
              <w:bottom w:val="nil"/>
            </w:tcBorders>
          </w:tcPr>
          <w:p>
            <w:pPr>
              <w:spacing w:before="0" w:after="0"/>
              <w:jc w:val="left"/>
              <w:rPr>
                <w:rFonts w:eastAsia="Times New Roman"/>
                <w:noProof/>
                <w:sz w:val="20"/>
              </w:rPr>
            </w:pPr>
            <w:r>
              <w:rPr>
                <w:noProof/>
                <w:sz w:val="20"/>
              </w:rPr>
              <w:t>ΠΡΟΒΛΕΨΕΙΣ ΔΑΠΑΝΩΝ</w:t>
            </w:r>
          </w:p>
        </w:tc>
        <w:tc>
          <w:tcPr>
            <w:tcW w:w="1275" w:type="dxa"/>
            <w:tcBorders>
              <w:bottom w:val="nil"/>
            </w:tcBorders>
          </w:tcPr>
          <w:p>
            <w:pPr>
              <w:spacing w:before="0" w:after="0"/>
              <w:jc w:val="center"/>
              <w:rPr>
                <w:rFonts w:eastAsia="Times New Roman"/>
                <w:noProof/>
                <w:sz w:val="20"/>
              </w:rPr>
            </w:pPr>
          </w:p>
        </w:tc>
        <w:tc>
          <w:tcPr>
            <w:tcW w:w="1276" w:type="dxa"/>
            <w:gridSpan w:val="2"/>
            <w:tcBorders>
              <w:bottom w:val="nil"/>
            </w:tcBorders>
          </w:tcPr>
          <w:p>
            <w:pPr>
              <w:spacing w:before="0" w:after="0"/>
              <w:jc w:val="center"/>
              <w:rPr>
                <w:rFonts w:eastAsia="Times New Roman"/>
                <w:noProof/>
                <w:sz w:val="20"/>
              </w:rPr>
            </w:pPr>
          </w:p>
        </w:tc>
        <w:tc>
          <w:tcPr>
            <w:tcW w:w="992" w:type="dxa"/>
            <w:gridSpan w:val="3"/>
            <w:tcBorders>
              <w:bottom w:val="nil"/>
            </w:tcBorders>
          </w:tcPr>
          <w:p>
            <w:pPr>
              <w:spacing w:before="0" w:after="0"/>
              <w:jc w:val="center"/>
              <w:rPr>
                <w:rFonts w:eastAsia="Times New Roman"/>
                <w:noProof/>
                <w:sz w:val="20"/>
              </w:rPr>
            </w:pPr>
          </w:p>
        </w:tc>
        <w:tc>
          <w:tcPr>
            <w:tcW w:w="1134" w:type="dxa"/>
            <w:tcBorders>
              <w:bottom w:val="nil"/>
            </w:tcBorders>
          </w:tcPr>
          <w:p>
            <w:pPr>
              <w:spacing w:before="0" w:after="0"/>
              <w:jc w:val="center"/>
              <w:rPr>
                <w:rFonts w:eastAsia="Times New Roman"/>
                <w:noProof/>
                <w:sz w:val="20"/>
              </w:rPr>
            </w:pPr>
          </w:p>
        </w:tc>
      </w:tr>
      <w:tr>
        <w:tc>
          <w:tcPr>
            <w:tcW w:w="567" w:type="dxa"/>
            <w:tcBorders>
              <w:top w:val="nil"/>
              <w:right w:val="nil"/>
            </w:tcBorders>
          </w:tcPr>
          <w:p>
            <w:pPr>
              <w:spacing w:before="0" w:after="0"/>
              <w:jc w:val="left"/>
              <w:rPr>
                <w:rFonts w:eastAsia="Times New Roman"/>
                <w:noProof/>
                <w:sz w:val="20"/>
              </w:rPr>
            </w:pPr>
            <w:r>
              <w:rPr>
                <w:noProof/>
                <w:sz w:val="20"/>
              </w:rPr>
              <w:t>5.1.1</w:t>
            </w:r>
          </w:p>
        </w:tc>
        <w:tc>
          <w:tcPr>
            <w:tcW w:w="3884" w:type="dxa"/>
            <w:tcBorders>
              <w:top w:val="nil"/>
              <w:left w:val="nil"/>
            </w:tcBorders>
          </w:tcPr>
          <w:p>
            <w:pPr>
              <w:spacing w:before="0" w:after="0"/>
              <w:jc w:val="left"/>
              <w:rPr>
                <w:rFonts w:eastAsia="Times New Roman"/>
                <w:noProof/>
                <w:sz w:val="20"/>
              </w:rPr>
            </w:pPr>
            <w:r>
              <w:rPr>
                <w:noProof/>
                <w:sz w:val="20"/>
              </w:rPr>
              <w:t>ΠΡΟΒΛΕΨΕΙΣ ΕΣΟΔΩΝ</w:t>
            </w:r>
          </w:p>
        </w:tc>
        <w:tc>
          <w:tcPr>
            <w:tcW w:w="1275" w:type="dxa"/>
            <w:tcBorders>
              <w:top w:val="nil"/>
            </w:tcBorders>
          </w:tcPr>
          <w:p>
            <w:pPr>
              <w:spacing w:before="0" w:after="0"/>
              <w:jc w:val="center"/>
              <w:rPr>
                <w:rFonts w:eastAsia="Times New Roman"/>
                <w:noProof/>
                <w:sz w:val="20"/>
              </w:rPr>
            </w:pPr>
          </w:p>
        </w:tc>
        <w:tc>
          <w:tcPr>
            <w:tcW w:w="1276" w:type="dxa"/>
            <w:gridSpan w:val="2"/>
            <w:tcBorders>
              <w:top w:val="nil"/>
            </w:tcBorders>
          </w:tcPr>
          <w:p>
            <w:pPr>
              <w:spacing w:before="0" w:after="0"/>
              <w:jc w:val="center"/>
              <w:rPr>
                <w:rFonts w:eastAsia="Times New Roman"/>
                <w:noProof/>
                <w:sz w:val="20"/>
              </w:rPr>
            </w:pPr>
          </w:p>
        </w:tc>
        <w:tc>
          <w:tcPr>
            <w:tcW w:w="992" w:type="dxa"/>
            <w:gridSpan w:val="3"/>
            <w:tcBorders>
              <w:top w:val="nil"/>
            </w:tcBorders>
          </w:tcPr>
          <w:p>
            <w:pPr>
              <w:spacing w:before="0" w:after="0"/>
              <w:jc w:val="center"/>
              <w:rPr>
                <w:rFonts w:eastAsia="Times New Roman"/>
                <w:noProof/>
                <w:sz w:val="20"/>
              </w:rPr>
            </w:pPr>
          </w:p>
        </w:tc>
        <w:tc>
          <w:tcPr>
            <w:tcW w:w="1134" w:type="dxa"/>
            <w:tcBorders>
              <w:top w:val="nil"/>
            </w:tcBorders>
          </w:tcPr>
          <w:p>
            <w:pPr>
              <w:spacing w:before="0" w:after="0"/>
              <w:jc w:val="center"/>
              <w:rPr>
                <w:rFonts w:eastAsia="Times New Roman"/>
                <w:noProof/>
                <w:sz w:val="20"/>
              </w:rPr>
            </w:pPr>
          </w:p>
        </w:tc>
      </w:tr>
      <w:tr>
        <w:tc>
          <w:tcPr>
            <w:tcW w:w="567" w:type="dxa"/>
            <w:tcBorders>
              <w:right w:val="nil"/>
            </w:tcBorders>
          </w:tcPr>
          <w:p>
            <w:pPr>
              <w:spacing w:before="0" w:after="0"/>
              <w:jc w:val="left"/>
              <w:rPr>
                <w:rFonts w:eastAsia="Times New Roman"/>
                <w:noProof/>
                <w:sz w:val="20"/>
              </w:rPr>
            </w:pPr>
            <w:r>
              <w:rPr>
                <w:noProof/>
                <w:sz w:val="20"/>
              </w:rPr>
              <w:t>5.2</w:t>
            </w:r>
          </w:p>
        </w:tc>
        <w:tc>
          <w:tcPr>
            <w:tcW w:w="8561" w:type="dxa"/>
            <w:gridSpan w:val="8"/>
            <w:tcBorders>
              <w:left w:val="nil"/>
            </w:tcBorders>
          </w:tcPr>
          <w:p>
            <w:pPr>
              <w:spacing w:before="60" w:after="60"/>
              <w:jc w:val="left"/>
              <w:rPr>
                <w:rFonts w:eastAsia="Times New Roman"/>
                <w:noProof/>
                <w:sz w:val="20"/>
              </w:rPr>
            </w:pPr>
            <w:r>
              <w:rPr>
                <w:noProof/>
                <w:sz w:val="20"/>
              </w:rPr>
              <w:t>ΤΡΟΠΟΣ ΥΠΟΛΟΓΙΣΜΟΥ:</w:t>
            </w:r>
          </w:p>
          <w:p>
            <w:pPr>
              <w:spacing w:before="60" w:after="60"/>
              <w:jc w:val="left"/>
              <w:rPr>
                <w:rFonts w:eastAsia="Times New Roman"/>
                <w:noProof/>
                <w:sz w:val="20"/>
              </w:rPr>
            </w:pPr>
            <w:r>
              <w:rPr>
                <w:noProof/>
                <w:sz w:val="20"/>
              </w:rPr>
              <w:t>Βλ. παρατηρήσεις</w:t>
            </w:r>
          </w:p>
        </w:tc>
      </w:tr>
      <w:tr>
        <w:tc>
          <w:tcPr>
            <w:tcW w:w="567" w:type="dxa"/>
            <w:tcBorders>
              <w:bottom w:val="nil"/>
              <w:right w:val="nil"/>
            </w:tcBorders>
          </w:tcPr>
          <w:p>
            <w:pPr>
              <w:spacing w:before="0" w:after="0"/>
              <w:jc w:val="left"/>
              <w:rPr>
                <w:rFonts w:eastAsia="Times New Roman"/>
                <w:noProof/>
                <w:sz w:val="20"/>
              </w:rPr>
            </w:pPr>
            <w:r>
              <w:rPr>
                <w:noProof/>
                <w:sz w:val="20"/>
              </w:rPr>
              <w:t>6.0</w:t>
            </w:r>
          </w:p>
        </w:tc>
        <w:tc>
          <w:tcPr>
            <w:tcW w:w="7427" w:type="dxa"/>
            <w:gridSpan w:val="7"/>
            <w:tcBorders>
              <w:left w:val="nil"/>
              <w:right w:val="nil"/>
            </w:tcBorders>
          </w:tcPr>
          <w:p>
            <w:pPr>
              <w:spacing w:before="60" w:after="60"/>
              <w:jc w:val="left"/>
              <w:rPr>
                <w:rFonts w:eastAsia="Times New Roman"/>
                <w:noProof/>
                <w:sz w:val="20"/>
              </w:rPr>
            </w:pPr>
            <w:r>
              <w:rPr>
                <w:noProof/>
                <w:sz w:val="20"/>
              </w:rPr>
              <w:t>ΕΙΝΑΙ ΔΥΝΑΤΗ Η ΧΡΗΜΑΤΟΔΟΤΗΣΗ ΤΟΥ ΕΡΓΟΥ ΑΠΟ ΠΙΣΤΩΣΕΙΣ ΕΓΓΕΓΡΑΜΜΕΝΕΣ ΣΤΟ ΣΧΕΤΙΚΟ ΚΕΦΑΛΑΙΟ ΤΟΥ ΥΠΟ ΕΚΤΕΛΕΣΗ ΠΡΟΫΠΟΛΟΓΙΣΜΟΥ;</w:t>
            </w:r>
          </w:p>
        </w:tc>
        <w:tc>
          <w:tcPr>
            <w:tcW w:w="1134" w:type="dxa"/>
            <w:tcBorders>
              <w:left w:val="nil"/>
              <w:bottom w:val="nil"/>
            </w:tcBorders>
          </w:tcPr>
          <w:p>
            <w:pPr>
              <w:spacing w:before="0" w:after="0"/>
              <w:jc w:val="center"/>
              <w:rPr>
                <w:rFonts w:eastAsia="Times New Roman"/>
                <w:noProof/>
                <w:sz w:val="20"/>
              </w:rPr>
            </w:pPr>
            <w:r>
              <w:rPr>
                <w:noProof/>
                <w:sz w:val="20"/>
              </w:rPr>
              <w:t>n.a.</w:t>
            </w:r>
          </w:p>
        </w:tc>
      </w:tr>
      <w:tr>
        <w:tc>
          <w:tcPr>
            <w:tcW w:w="567" w:type="dxa"/>
            <w:tcBorders>
              <w:bottom w:val="nil"/>
              <w:right w:val="nil"/>
            </w:tcBorders>
          </w:tcPr>
          <w:p>
            <w:pPr>
              <w:spacing w:before="0" w:after="0"/>
              <w:jc w:val="left"/>
              <w:rPr>
                <w:rFonts w:eastAsia="Times New Roman"/>
                <w:noProof/>
                <w:sz w:val="20"/>
              </w:rPr>
            </w:pPr>
            <w:r>
              <w:rPr>
                <w:noProof/>
                <w:sz w:val="20"/>
              </w:rPr>
              <w:t>6.1</w:t>
            </w:r>
          </w:p>
        </w:tc>
        <w:tc>
          <w:tcPr>
            <w:tcW w:w="7427" w:type="dxa"/>
            <w:gridSpan w:val="7"/>
            <w:tcBorders>
              <w:left w:val="nil"/>
              <w:right w:val="nil"/>
            </w:tcBorders>
          </w:tcPr>
          <w:p>
            <w:pPr>
              <w:spacing w:before="60" w:after="60"/>
              <w:jc w:val="left"/>
              <w:rPr>
                <w:rFonts w:eastAsia="Times New Roman"/>
                <w:noProof/>
                <w:sz w:val="20"/>
              </w:rPr>
            </w:pPr>
            <w:r>
              <w:rPr>
                <w:noProof/>
                <w:sz w:val="20"/>
              </w:rPr>
              <w:t>ΕΙΝΑΙ ΔΥΝΑΤΗ Η ΧΡΗΜΑΤΟΔΟΤΗΣΗ ΤΟΥ ΕΡΓΟΥ ΜΕ ΜΕΤΑΦΟΡΑ ΚΟΝΔΥΛΙΩΝ ΜΕΤΑΞΥ ΚΕΦΑΛΑΙΩΝ ΤΟΥ ΥΠΟ ΕΚΤΕΛΕΣΗ ΠΡΟΫΠΟΛΟΓΙΣΜΟΥ;</w:t>
            </w:r>
          </w:p>
        </w:tc>
        <w:tc>
          <w:tcPr>
            <w:tcW w:w="1134" w:type="dxa"/>
            <w:tcBorders>
              <w:left w:val="nil"/>
              <w:bottom w:val="nil"/>
            </w:tcBorders>
          </w:tcPr>
          <w:p>
            <w:pPr>
              <w:spacing w:before="0" w:after="0"/>
              <w:jc w:val="center"/>
              <w:rPr>
                <w:rFonts w:eastAsia="Times New Roman"/>
                <w:noProof/>
                <w:sz w:val="20"/>
              </w:rPr>
            </w:pPr>
            <w:r>
              <w:rPr>
                <w:noProof/>
                <w:sz w:val="20"/>
              </w:rPr>
              <w:t>n.a.</w:t>
            </w:r>
          </w:p>
        </w:tc>
      </w:tr>
      <w:tr>
        <w:tc>
          <w:tcPr>
            <w:tcW w:w="567" w:type="dxa"/>
            <w:tcBorders>
              <w:bottom w:val="nil"/>
              <w:right w:val="nil"/>
            </w:tcBorders>
          </w:tcPr>
          <w:p>
            <w:pPr>
              <w:spacing w:before="0" w:after="0"/>
              <w:jc w:val="left"/>
              <w:rPr>
                <w:rFonts w:eastAsia="Times New Roman"/>
                <w:noProof/>
                <w:sz w:val="20"/>
              </w:rPr>
            </w:pPr>
            <w:r>
              <w:rPr>
                <w:noProof/>
                <w:sz w:val="20"/>
              </w:rPr>
              <w:t>6.2</w:t>
            </w:r>
          </w:p>
        </w:tc>
        <w:tc>
          <w:tcPr>
            <w:tcW w:w="7427" w:type="dxa"/>
            <w:gridSpan w:val="7"/>
            <w:tcBorders>
              <w:left w:val="nil"/>
              <w:right w:val="nil"/>
            </w:tcBorders>
          </w:tcPr>
          <w:p>
            <w:pPr>
              <w:spacing w:before="60" w:after="60"/>
              <w:jc w:val="left"/>
              <w:rPr>
                <w:rFonts w:eastAsia="Times New Roman"/>
                <w:noProof/>
                <w:sz w:val="20"/>
              </w:rPr>
            </w:pPr>
            <w:r>
              <w:rPr>
                <w:noProof/>
                <w:sz w:val="20"/>
              </w:rPr>
              <w:t>ΑΠΑΙΤΕΙΤΑΙ ΣΥΜΠΛΗΡΩΜΑΤΙΚΟΣ ΠΡΟΫΠΟΛΟΓΙΣΜΟΣ;</w:t>
            </w:r>
          </w:p>
        </w:tc>
        <w:tc>
          <w:tcPr>
            <w:tcW w:w="1134" w:type="dxa"/>
            <w:tcBorders>
              <w:left w:val="nil"/>
              <w:bottom w:val="nil"/>
            </w:tcBorders>
          </w:tcPr>
          <w:p>
            <w:pPr>
              <w:spacing w:before="0" w:after="0"/>
              <w:jc w:val="center"/>
              <w:rPr>
                <w:rFonts w:eastAsia="Times New Roman"/>
                <w:noProof/>
                <w:sz w:val="20"/>
              </w:rPr>
            </w:pPr>
            <w:r>
              <w:rPr>
                <w:noProof/>
                <w:sz w:val="20"/>
              </w:rPr>
              <w:t>ΟΧΙ</w:t>
            </w:r>
          </w:p>
        </w:tc>
      </w:tr>
      <w:tr>
        <w:tc>
          <w:tcPr>
            <w:tcW w:w="567" w:type="dxa"/>
            <w:tcBorders>
              <w:right w:val="nil"/>
            </w:tcBorders>
          </w:tcPr>
          <w:p>
            <w:pPr>
              <w:spacing w:before="0" w:after="0"/>
              <w:jc w:val="left"/>
              <w:rPr>
                <w:rFonts w:eastAsia="Times New Roman"/>
                <w:noProof/>
                <w:sz w:val="20"/>
              </w:rPr>
            </w:pPr>
            <w:r>
              <w:rPr>
                <w:noProof/>
                <w:sz w:val="20"/>
              </w:rPr>
              <w:t>6.3</w:t>
            </w:r>
          </w:p>
        </w:tc>
        <w:tc>
          <w:tcPr>
            <w:tcW w:w="7427" w:type="dxa"/>
            <w:gridSpan w:val="7"/>
            <w:tcBorders>
              <w:left w:val="nil"/>
              <w:right w:val="nil"/>
            </w:tcBorders>
          </w:tcPr>
          <w:p>
            <w:pPr>
              <w:spacing w:before="60" w:after="60"/>
              <w:jc w:val="left"/>
              <w:rPr>
                <w:rFonts w:eastAsia="Times New Roman"/>
                <w:noProof/>
                <w:sz w:val="20"/>
              </w:rPr>
            </w:pPr>
            <w:r>
              <w:rPr>
                <w:noProof/>
                <w:sz w:val="20"/>
              </w:rPr>
              <w:t>ΘΑ ΑΠΑΙΤΗΘΕΙ ΕΓΓΡΑΦΗ ΠΙΣΤΩΣΕΩΝ ΣΕ ΜΕΛΛΟΝΤΙΚΟΥΣ ΠΡΟΫΠΟΛΟΓΙΣΜΟΥΣ;</w:t>
            </w:r>
          </w:p>
        </w:tc>
        <w:tc>
          <w:tcPr>
            <w:tcW w:w="1134" w:type="dxa"/>
            <w:tcBorders>
              <w:left w:val="nil"/>
            </w:tcBorders>
          </w:tcPr>
          <w:p>
            <w:pPr>
              <w:spacing w:before="0" w:after="0"/>
              <w:jc w:val="center"/>
              <w:rPr>
                <w:rFonts w:eastAsia="Times New Roman"/>
                <w:noProof/>
                <w:sz w:val="20"/>
              </w:rPr>
            </w:pPr>
            <w:r>
              <w:rPr>
                <w:noProof/>
                <w:sz w:val="20"/>
              </w:rPr>
              <w:t>ΟΧΙ</w:t>
            </w:r>
          </w:p>
        </w:tc>
      </w:tr>
      <w:tr>
        <w:tc>
          <w:tcPr>
            <w:tcW w:w="9128" w:type="dxa"/>
            <w:gridSpan w:val="9"/>
          </w:tcPr>
          <w:p>
            <w:pPr>
              <w:spacing w:before="0" w:after="0"/>
              <w:jc w:val="left"/>
              <w:rPr>
                <w:rFonts w:eastAsia="Times New Roman"/>
                <w:noProof/>
                <w:sz w:val="20"/>
              </w:rPr>
            </w:pPr>
            <w:r>
              <w:rPr>
                <w:noProof/>
                <w:sz w:val="20"/>
              </w:rPr>
              <w:t>ΠΑΡΑΤΗΡΗΣΕΙΣ:</w:t>
            </w:r>
          </w:p>
          <w:p>
            <w:pPr>
              <w:spacing w:before="0" w:after="0"/>
              <w:jc w:val="left"/>
              <w:rPr>
                <w:rFonts w:eastAsia="Times New Roman"/>
                <w:noProof/>
                <w:sz w:val="16"/>
                <w:szCs w:val="16"/>
              </w:rPr>
            </w:pPr>
          </w:p>
          <w:p>
            <w:pPr>
              <w:spacing w:before="0"/>
              <w:jc w:val="left"/>
              <w:rPr>
                <w:rFonts w:eastAsia="Times New Roman"/>
                <w:noProof/>
                <w:sz w:val="20"/>
              </w:rPr>
            </w:pPr>
            <w:r>
              <w:rPr>
                <w:noProof/>
                <w:sz w:val="20"/>
              </w:rPr>
              <w:t xml:space="preserve">Ο υπολογισμός του ποσοστού αναπροσαρμογής στο πλαίσιο της δημοσιονομικής πειθαρχίας αποτελεί μέρος της προετοιμασίας του σχεδίου προϋπολογισμού 2018. </w:t>
            </w:r>
          </w:p>
          <w:p>
            <w:pPr>
              <w:spacing w:before="0"/>
              <w:rPr>
                <w:rFonts w:eastAsia="Times New Roman"/>
                <w:noProof/>
                <w:sz w:val="20"/>
              </w:rPr>
            </w:pPr>
            <w:r>
              <w:rPr>
                <w:noProof/>
                <w:sz w:val="20"/>
              </w:rPr>
              <w:t>Το ποσό του αποθεματικού για τις κρίσεις στον γεωργικό τομέα, που προβλέπεται να περιληφθεί στο σχέδιο προϋπολογισμού της Επιτροπής για το 2018, ανέρχεται σε 459,5 εκατ. EUR σε τρέχουσες τιμές. Με βάση τις πρώτες εκτιμήσεις των πιστώσεων του προϋπολογισμού για τις άμεσες ενισχύσεις και τις δαπάνες που συνδέονται με την αγορά, δεν υπάρχει ενδεχόμενο να σημειωθεί υπέρβαση του καθαρού υπολοίπου που είναι διαθέσιμο για τις δαπάνες του ΕΓΤΕ για το 2018.</w:t>
            </w:r>
          </w:p>
          <w:p>
            <w:pPr>
              <w:spacing w:before="0"/>
              <w:rPr>
                <w:rFonts w:eastAsia="Times New Roman"/>
                <w:noProof/>
                <w:sz w:val="20"/>
              </w:rPr>
            </w:pPr>
            <w:r>
              <w:rPr>
                <w:noProof/>
                <w:sz w:val="20"/>
              </w:rPr>
              <w:t>Συνεπώς, η συνολική μείωση που προκύπτει από την εφαρμογή της δημοσιονομικής πειθαρχίας ανέρχεται σε 459,5 εκατ. EUR. Το ποσοστό αναπροσαρμογής στο πλαίσιο της δημοσιονομικής πειθαρχίας είναι 1.388149 %. Υπολογίστηκε λαμβάνοντας υπόψη ότι πρέπει να εφαρμόζεται μόνο σε ποσά που υπερβαίνουν τις 2 000 EUR και για κάθε κράτος μέλος εκτός από την Κροατία. Δεδομένου ότι οι άμεσες ενισχύσεις στην Κροατία βρίσκονται στη διαδικασία της σταδιακής εισαγωγής κατά το ημερολογιακό έτος 2017, η δημοσιονομική πειθαρχία δεν θα εφαρμοστεί στο εν λόγω κράτος μέλος.</w:t>
            </w:r>
          </w:p>
          <w:p>
            <w:pPr>
              <w:spacing w:before="0" w:after="0"/>
              <w:rPr>
                <w:rFonts w:eastAsia="Times New Roman"/>
                <w:noProof/>
                <w:sz w:val="20"/>
              </w:rPr>
            </w:pPr>
            <w:r>
              <w:rPr>
                <w:noProof/>
                <w:sz w:val="20"/>
              </w:rPr>
              <w:t>Η εφαρμογή του εν λόγω ποσοστού αναπροσαρμογής θα οδηγήσει στη μείωση των ποσών των άμεσων ενισχύσεων για τις γραμμές του προϋπολογισμού που καλύπτουν τις δαπάνες για τις αιτήσεις ενισχύσεων που υποβάλλονται από τους γεωργούς για το ημερολογιακό έτος 2017 (οικονομικό έτος 2018).</w:t>
            </w:r>
          </w:p>
          <w:p>
            <w:pPr>
              <w:spacing w:before="0" w:after="0"/>
              <w:rPr>
                <w:rFonts w:eastAsia="Times New Roman"/>
                <w:noProof/>
                <w:sz w:val="20"/>
              </w:rPr>
            </w:pPr>
          </w:p>
          <w:p>
            <w:pPr>
              <w:spacing w:before="0" w:after="0"/>
              <w:rPr>
                <w:rFonts w:eastAsia="Times New Roman"/>
                <w:noProof/>
                <w:sz w:val="20"/>
              </w:rPr>
            </w:pPr>
            <w:r>
              <w:rPr>
                <w:noProof/>
                <w:sz w:val="20"/>
              </w:rPr>
              <w:t>Ο προτεινόμενος κανονισμός έχει δημοσιονομικές επιπτώσεις, δεδομένου ότι οι πρώτες εκτιμήσεις των πιστώσεων του προϋπολογισμού για άμεσες ενισχύσεις (πριν από την εξέταση της δημοσιονομικής πειθαρχίας) έχουν μειωθεί κατά 459,5 εκατ. EUR μετά την εφαρμογή του ποσοστού αναπροσαρμογής που προτείνεται στο παρόν σχέδιο κανονισμού. Ως αποτέλεσμα, οι πιστώσεις για το κεφάλαιο 05 03 (Άμεσες ενισχύσεις) οι οποίες προβλέπεται να περιληφθούν στο σχέδιο προϋπολογισμού 2018, εξασφαλίζουν τον καθορισμό του ποσού για τη σύσταση του αποθεματικού για κρίσεις στον γεωργικό τομέα.</w:t>
            </w:r>
          </w:p>
        </w:tc>
      </w:tr>
    </w:tbl>
    <w:p>
      <w:pPr>
        <w:pStyle w:val="Text1"/>
        <w:rPr>
          <w:noProof/>
        </w:rPr>
      </w:pPr>
    </w:p>
    <w:sectPr>
      <w:pgSz w:w="11907" w:h="16840"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ΕΕ L 347 της 20.12.2013, σ. 549.</w:t>
      </w:r>
    </w:p>
  </w:footnote>
  <w:footnote w:id="2">
    <w:p>
      <w:pPr>
        <w:pStyle w:val="FootnoteText"/>
      </w:pPr>
      <w:r>
        <w:rPr>
          <w:rStyle w:val="FootnoteReference"/>
        </w:rPr>
        <w:footnoteRef/>
      </w:r>
      <w:r>
        <w:tab/>
        <w:t>ΕΕ L 347 της 20.12.2013, σ. 608.</w:t>
      </w:r>
    </w:p>
  </w:footnote>
  <w:footnote w:id="3">
    <w:p>
      <w:pPr>
        <w:pStyle w:val="FootnoteText"/>
      </w:pPr>
      <w:r>
        <w:rPr>
          <w:rStyle w:val="FootnoteReference"/>
        </w:rPr>
        <w:footnoteRef/>
      </w:r>
      <w:r>
        <w:tab/>
        <w:t>ΕΕ L 347 της 20.12.2013, σ. 884.</w:t>
      </w:r>
    </w:p>
  </w:footnote>
  <w:footnote w:id="4">
    <w:p>
      <w:pPr>
        <w:pStyle w:val="FootnoteText"/>
      </w:pPr>
      <w:r>
        <w:rPr>
          <w:rStyle w:val="FootnoteReference"/>
        </w:rPr>
        <w:footnoteRef/>
      </w:r>
      <w:r>
        <w:tab/>
        <w:t xml:space="preserve">Εκτελεστικός κανονισμός (ΕΕ) 2016/257 της Επιτροπής, της 24ης Φεβρουαρίου 2016, σχετικά με την τροποποίηση του εκτελεστικού κανονισμού (ΕΕ) αριθ. 367/2014 για τον καθορισμό του καθαρού υπολοίπου που είναι διαθέσιμο για τις δαπάνες του ΕΓΤΕ (EE L 49 της 25.2.2016, σ. 1). </w:t>
      </w:r>
    </w:p>
  </w:footnote>
  <w:footnote w:id="5">
    <w:p>
      <w:pPr>
        <w:pStyle w:val="FootnoteText"/>
      </w:pPr>
      <w:r>
        <w:rPr>
          <w:rStyle w:val="FootnoteReference"/>
        </w:rPr>
        <w:footnoteRef/>
      </w:r>
      <w:r>
        <w:tab/>
        <w:t>ΕΕ C της , σ. .</w:t>
      </w:r>
    </w:p>
  </w:footnote>
  <w:footnote w:id="6">
    <w:p>
      <w:pPr>
        <w:pStyle w:val="FootnoteText"/>
      </w:pPr>
      <w:r>
        <w:rPr>
          <w:rStyle w:val="FootnoteReference"/>
        </w:rPr>
        <w:footnoteRef/>
      </w:r>
      <w:r>
        <w:tab/>
        <w:t>Κανονισμός (EE) αριθ. 1306/2013 του Ευρωπαϊκού Κοινοβουλίου και του Συμβουλίου, της 17ης Δεκεμβρίου 2013, σχετικά με τη χρηματοδότηση, τη διαχείριση και την παρακολούθηση της κοινής γεωργικής πολιτικής και την κατάργηση των κανονισμών (ΕΟΚ) αριθ. 352/78, (ΕΚ) αριθ. 165/94, (ΕΚ) αριθ. 2799/98, (ΕΚ) αριθ. 814/2000, (ΕΚ) αριθ. 1290/2005 και (ΕΚ) αριθ. 485/2008 του Συμβουλίου (ΕΕ L 347 της 20.12.2013, σ. 549).</w:t>
      </w:r>
    </w:p>
  </w:footnote>
  <w:footnote w:id="7">
    <w:p>
      <w:pPr>
        <w:pStyle w:val="FootnoteText"/>
      </w:pPr>
      <w:r>
        <w:rPr>
          <w:rStyle w:val="FootnoteReference"/>
        </w:rPr>
        <w:footnoteRef/>
      </w:r>
      <w:r>
        <w:tab/>
        <w:t>Κανονισμός (ΕΕ, Ευρατόμ) αριθ. 1311/2013 του Συμβουλίου, της 2ας Δεκεμβρίου 2013, για τον καθορισμό του πολυετούς δημοσιονομικού πλαισίου για την περίοδο 2014-2020 (ΕΕ L 347 της 20.12.2013, σ. 884).</w:t>
      </w:r>
    </w:p>
  </w:footnote>
  <w:footnote w:id="8">
    <w:p>
      <w:pPr>
        <w:pStyle w:val="FootnoteText"/>
      </w:pPr>
      <w:r>
        <w:rPr>
          <w:rStyle w:val="FootnoteReference"/>
        </w:rPr>
        <w:footnoteRef/>
      </w:r>
      <w:r>
        <w:tab/>
        <w:t>Κανονισμός (ΕΕ) αριθ. 1307/2013 του Ευρωπαϊκού Κοινοβουλίου και του Συμβουλίου, της 17ης Δεκεμβρίου 2013, περί θεσπίσεως κανόνων για άμεσες ενισχύσεις στους γεωργούς βάσει καθεστώτων στήριξης στο πλαίσιο της κοινής γεωργικής πολιτικής και για την κατάργηση του κανονισμού (ΕΚ) αριθ. 637/2008 και του κανονισμού (ΕΚ) αριθ. 73/2009 του Συμβουλίου (ΕΕ L 347 της 20.12.2013, σ. 608).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DEC928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1227470"/>
    <w:lvl w:ilvl="0">
      <w:start w:val="1"/>
      <w:numFmt w:val="decimal"/>
      <w:pStyle w:val="ListNumber3"/>
      <w:lvlText w:val="%1."/>
      <w:lvlJc w:val="left"/>
      <w:pPr>
        <w:tabs>
          <w:tab w:val="num" w:pos="926"/>
        </w:tabs>
        <w:ind w:left="926" w:hanging="360"/>
      </w:pPr>
    </w:lvl>
  </w:abstractNum>
  <w:abstractNum w:abstractNumId="2">
    <w:nsid w:val="FFFFFF7F"/>
    <w:multiLevelType w:val="singleLevel"/>
    <w:tmpl w:val="CABAD81A"/>
    <w:lvl w:ilvl="0">
      <w:start w:val="1"/>
      <w:numFmt w:val="decimal"/>
      <w:pStyle w:val="ListNumber2"/>
      <w:lvlText w:val="%1."/>
      <w:lvlJc w:val="left"/>
      <w:pPr>
        <w:tabs>
          <w:tab w:val="num" w:pos="643"/>
        </w:tabs>
        <w:ind w:left="643" w:hanging="360"/>
      </w:pPr>
    </w:lvl>
  </w:abstractNum>
  <w:abstractNum w:abstractNumId="3">
    <w:nsid w:val="FFFFFF81"/>
    <w:multiLevelType w:val="singleLevel"/>
    <w:tmpl w:val="9E00F1C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556A6A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2"/>
  </w:num>
  <w:num w:numId="10">
    <w:abstractNumId w:val="1"/>
  </w:num>
  <w:num w:numId="11">
    <w:abstractNumId w:val="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0"/>
  </w:num>
  <w:num w:numId="15">
    <w:abstractNumId w:val="21"/>
  </w:num>
  <w:num w:numId="16">
    <w:abstractNumId w:val="9"/>
  </w:num>
  <w:num w:numId="17">
    <w:abstractNumId w:val="11"/>
  </w:num>
  <w:num w:numId="18">
    <w:abstractNumId w:val="7"/>
  </w:num>
  <w:num w:numId="19">
    <w:abstractNumId w:val="20"/>
  </w:num>
  <w:num w:numId="20">
    <w:abstractNumId w:val="6"/>
  </w:num>
  <w:num w:numId="21">
    <w:abstractNumId w:val="12"/>
  </w:num>
  <w:num w:numId="22">
    <w:abstractNumId w:val="16"/>
  </w:num>
  <w:num w:numId="23">
    <w:abstractNumId w:val="17"/>
  </w:num>
  <w:num w:numId="24">
    <w:abstractNumId w:val="8"/>
  </w:num>
  <w:num w:numId="25">
    <w:abstractNumId w:val="15"/>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3-23 10:36:52"/>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0C73B19A9B5A4C1BA7341F82312BE6B4"/>
    <w:docVar w:name="LW_CROSSREFERENCE" w:val="&lt;UNUSED&gt;"/>
    <w:docVar w:name="LW_DocType" w:val="COM"/>
    <w:docVar w:name="LW_EMISSION" w:val="30.3.2017"/>
    <w:docVar w:name="LW_EMISSION_ISODATE" w:val="2017-03-30"/>
    <w:docVar w:name="LW_EMISSION_LOCATION" w:val="BRX"/>
    <w:docVar w:name="LW_EMISSION_PREFIX" w:val="Βρυξέλλες,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EL"/>
    <w:docVar w:name="LW_MARKING" w:val="&lt;UNUSED&g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068"/>
    <w:docVar w:name="LW_REF.II.NEW.CP_YEAR" w:val="2017"/>
    <w:docVar w:name="LW_REF.INST.NEW" w:val="COM"/>
    <w:docVar w:name="LW_REF.INST.NEW_ADOPTED" w:val="final"/>
    <w:docVar w:name="LW_REF.INST.NEW_TEXT" w:val="(2017) 150"/>
    <w:docVar w:name="LW_REF.INTERNE" w:val="&lt;UNUSED&gt;"/>
    <w:docVar w:name="LW_SOUS.TITRE.OBJ.CP" w:val="&lt;UNUSED&gt;"/>
    <w:docVar w:name="LW_STATUT.CP" w:val="\u928?\u961?\u972?\u964?\u945?\u963?\u951?"/>
    <w:docVar w:name="LW_SUPERTITRE" w:val="&lt;UNUSED&gt;"/>
    <w:docVar w:name="LW_TITRE.OBJ.CP" w:val="\u963?\u967?\u949?\u964?\u953?\u954?\u940? \u956?\u949? \u964?\u959?\u957? \u954?\u945?\u952?\u959?\u961?\u953?\u963?\u956?\u972? \u964?\u959?\u965? \u960?\u959?\u963?\u959?\u963?\u964?\u959?\u973? \u945?\u957?\u945?\u960?\u961?\u959?\u963?\u945?\u961?\u956?\u959?\u947?\u942?\u962? \u964?\u969?\u957? \u940?\u956?\u949?\u963?\u969?\u957? \u949?\u957?\u953?\u963?\u967?\u973?\u963?\u949?\u969?\u957? \u960?\u959?\u965? \u960?\u961?\u959?\u946?\u955?\u941?\u960?\u949?\u964?\u945?\u953? \u963?\u964?\u959?\u957? \u954?\u945?\u957?\u959?\u957?\u953?\u963?\u956?\u972? (\u917?\u917?) \u945?\u961?\u953?\u952?. 1306/2013 \u972?\u963?\u959?\u957? \u945?\u966?\u959?\u961?\u940? \u964?\u959? \u951?\u956?\u949?\u961?\u959?\u955?\u959?\u947?\u953?\u945?\u954?\u972? \u941?\u964?\u959?\u962? 2017"/>
    <w:docVar w:name="LW_TYPE.DOC.CP" w:val="\u922?\u913?\u925?\u927?\u925?\u921?\u931?\u924?\u927?\u931? \u932?\u927?\u933? \u917?\u933?\u929?\u937?\u928?\u913?\u938?\u922?\u927?\u933? \u922?\u927?\u921?\u925?\u927?\u914?\u927?\u933?\u923?\u921?\u927?\u933? \u922?\u913?\u92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0</TotalTime>
  <Pages>9</Pages>
  <Words>2513</Words>
  <Characters>14528</Characters>
  <Application>Microsoft Office Word</Application>
  <DocSecurity>0</DocSecurity>
  <Lines>337</Lines>
  <Paragraphs>144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dcterms:created xsi:type="dcterms:W3CDTF">2017-03-15T17:13:00Z</dcterms:created>
  <dcterms:modified xsi:type="dcterms:W3CDTF">2017-03-23T09:36:00Z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