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B" w:rsidRDefault="00DF433F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C256AE6B9654127A7CA72B7B45BE0E2" style="width:450.4pt;height:452.1pt">
            <v:imagedata r:id="rId8" o:title=""/>
          </v:shape>
        </w:pict>
      </w:r>
    </w:p>
    <w:p w:rsidR="0074712B" w:rsidRDefault="0074712B">
      <w:pPr>
        <w:rPr>
          <w:noProof/>
        </w:rPr>
        <w:sectPr w:rsidR="0074712B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74712B" w:rsidRDefault="00DF433F">
      <w:pPr>
        <w:pStyle w:val="Typedudocument"/>
        <w:rPr>
          <w:noProof/>
        </w:rPr>
      </w:pPr>
      <w:r>
        <w:rPr>
          <w:noProof/>
        </w:rPr>
        <w:lastRenderedPageBreak/>
        <w:t>LISA</w:t>
      </w:r>
    </w:p>
    <w:p w:rsidR="0074712B" w:rsidRDefault="00DF433F">
      <w:pPr>
        <w:rPr>
          <w:noProof/>
        </w:rPr>
      </w:pPr>
      <w:bookmarkStart w:id="0" w:name="_GoBack"/>
      <w:bookmarkEnd w:id="0"/>
      <w:r>
        <w:rPr>
          <w:noProof/>
        </w:rPr>
        <w:t>I lisa muudetakse järgmiselt:</w:t>
      </w:r>
    </w:p>
    <w:p w:rsidR="0074712B" w:rsidRDefault="0074712B">
      <w:pPr>
        <w:rPr>
          <w:noProof/>
        </w:rPr>
      </w:pPr>
    </w:p>
    <w:p w:rsidR="0074712B" w:rsidRDefault="00DF433F"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I jakku lisatakse järgmised punktid i, j ja k:</w:t>
      </w:r>
    </w:p>
    <w:p w:rsidR="0074712B" w:rsidRDefault="00DF433F">
      <w:pPr>
        <w:rPr>
          <w:noProof/>
        </w:rPr>
      </w:pPr>
      <w:r>
        <w:rPr>
          <w:noProof/>
        </w:rPr>
        <w:t>„i)</w:t>
      </w:r>
      <w:r>
        <w:rPr>
          <w:noProof/>
        </w:rPr>
        <w:tab/>
        <w:t>kauplemisteabehoidla rikub artikli 78 lõike 9 punkti a, kui ta ei kehtesta nõuetekohaseid menetlusi eri kauplemisteabehoidlate andmete</w:t>
      </w:r>
      <w:r>
        <w:rPr>
          <w:noProof/>
        </w:rPr>
        <w:t xml:space="preserve"> kooskõlastavaks võrdlemiseks;</w:t>
      </w:r>
    </w:p>
    <w:p w:rsidR="0074712B" w:rsidRDefault="00DF433F">
      <w:pPr>
        <w:rPr>
          <w:noProof/>
        </w:rPr>
      </w:pPr>
      <w:r>
        <w:rPr>
          <w:noProof/>
        </w:rPr>
        <w:t>j)</w:t>
      </w:r>
      <w:r>
        <w:rPr>
          <w:noProof/>
        </w:rPr>
        <w:tab/>
        <w:t>kauplemisteabehoidla rikub artikli 78 lõike 9 punkti b, kui ta ei kehtesta nõuetekohaseid menetlusi teatatud andmete terviklikkuse ja täpsuse tagamiseks;</w:t>
      </w:r>
    </w:p>
    <w:p w:rsidR="0074712B" w:rsidRDefault="00DF433F">
      <w:pPr>
        <w:rPr>
          <w:noProof/>
        </w:rPr>
      </w:pPr>
      <w:r>
        <w:rPr>
          <w:noProof/>
        </w:rPr>
        <w:t>k)</w:t>
      </w:r>
      <w:r>
        <w:rPr>
          <w:noProof/>
        </w:rPr>
        <w:tab/>
        <w:t>kauplemisteabehoidla rikub artikli 78 lõike 9 punkti c, kui ta ei</w:t>
      </w:r>
      <w:r>
        <w:rPr>
          <w:noProof/>
        </w:rPr>
        <w:t xml:space="preserve"> kehtesta nõuetekohaseid poliitikameetmeid andmete nõuetekohaseks ülekandmiseks teistesse kauplemisteabehoidlatesse, kui seda soovivad artiklis 9 osutatud vastaspooled ja kesksed vastaspooled või kui see on muul põhjusel vajalik.“;</w:t>
      </w:r>
    </w:p>
    <w:p w:rsidR="0074712B" w:rsidRDefault="00DF433F">
      <w:pPr>
        <w:pStyle w:val="Point0number"/>
        <w:rPr>
          <w:noProof/>
        </w:rPr>
      </w:pPr>
      <w:r>
        <w:rPr>
          <w:noProof/>
        </w:rPr>
        <w:t xml:space="preserve">IV jakku lisatakse </w:t>
      </w:r>
      <w:r>
        <w:rPr>
          <w:noProof/>
        </w:rPr>
        <w:t>järgmine punkt d:</w:t>
      </w:r>
    </w:p>
    <w:p w:rsidR="0074712B" w:rsidRDefault="00DF433F">
      <w:pPr>
        <w:rPr>
          <w:noProof/>
        </w:rPr>
      </w:pPr>
      <w:r>
        <w:rPr>
          <w:noProof/>
        </w:rPr>
        <w:t>„d)</w:t>
      </w:r>
      <w:r>
        <w:rPr>
          <w:noProof/>
        </w:rPr>
        <w:tab/>
        <w:t>kauplemisteabehoidla rikub artikli 55 lõiget 4, kui ta ei teata ESMA-le õigel ajal oma registreerimise tingimuste olulistest muutustest.“</w:t>
      </w:r>
    </w:p>
    <w:p w:rsidR="0074712B" w:rsidRDefault="0074712B">
      <w:pPr>
        <w:rPr>
          <w:noProof/>
        </w:rPr>
      </w:pPr>
    </w:p>
    <w:sectPr w:rsidR="0074712B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2B" w:rsidRDefault="00DF433F">
      <w:pPr>
        <w:spacing w:before="0" w:after="0"/>
      </w:pPr>
      <w:r>
        <w:separator/>
      </w:r>
    </w:p>
  </w:endnote>
  <w:endnote w:type="continuationSeparator" w:id="0">
    <w:p w:rsidR="0074712B" w:rsidRDefault="00DF43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2B" w:rsidRDefault="00DF433F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ET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2B" w:rsidRDefault="00DF433F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2B" w:rsidRDefault="0074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2B" w:rsidRDefault="00DF433F">
      <w:pPr>
        <w:spacing w:before="0" w:after="0"/>
      </w:pPr>
      <w:r>
        <w:separator/>
      </w:r>
    </w:p>
  </w:footnote>
  <w:footnote w:type="continuationSeparator" w:id="0">
    <w:p w:rsidR="0074712B" w:rsidRDefault="00DF43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88B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1A68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132EC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C12E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C821B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5898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6205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61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22 17:50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järgmise dokumendi juurde: Ettepanek: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C256AE6B9654127A7CA72B7B45BE0E2"/>
    <w:docVar w:name="LW_CROSSREFERENCE" w:val="{SWD(2017) 148 final}_x000b_{SWD(2017) 149 final}"/>
    <w:docVar w:name="LW_DocType" w:val="ANNEX"/>
    <w:docVar w:name="LW_EMISSION" w:val="4.5.2017"/>
    <w:docVar w:name="LW_EMISSION_ISODATE" w:val="2017-05-04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MARKING" w:val="&lt;UNUSED&gt;"/>
    <w:docVar w:name="LW_NOM.INST" w:val="EUROOPA KOMISJON"/>
    <w:docVar w:name="LW_NOM.INST_JOINTDOC" w:val="&lt;EMPTY&gt;"/>
    <w:docVar w:name="LW_OBJETACTEPRINCIPAL.CP" w:val="millega muudetakse määrust (EL) nr 648/2012 seoses kliirimiskohustuse, kliirimiskohustuse peatamise, aruandluse nõuete, kesksete vastaspoolte kaudu kliirimata börsiväliste tuletislepingute riskimaandamismeetmete, kauplemisteabehoidlate registreerimise ja järelevalve ning kauplemisteabehoidlate nõuetega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8"/>
    <w:docVar w:name="LW_REF.INTERNE" w:val="&lt;UNUSED&gt;"/>
    <w:docVar w:name="LW_SUPERTITRE" w:val="&lt;UNUSED&gt;"/>
    <w:docVar w:name="LW_TITRE.OBJ.CP" w:val="&lt;UNUSED&gt;"/>
    <w:docVar w:name="LW_TYPE.DOC.CP" w:val="LISA"/>
    <w:docVar w:name="LW_TYPEACTEPRINCIPAL.CP" w:val="EUROOPA PARLAMENDI JA NÕUKOGU MÄÄRUS,"/>
  </w:docVars>
  <w:rsids>
    <w:rsidRoot w:val="0074712B"/>
    <w:rsid w:val="0074712B"/>
    <w:rsid w:val="00D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t-E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148</Words>
  <Characters>744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DUBUSSE Christine (MARKT)</dc:creator>
  <cp:lastModifiedBy>LAGES CARVALHO Patrick (SG)</cp:lastModifiedBy>
  <cp:revision>9</cp:revision>
  <dcterms:created xsi:type="dcterms:W3CDTF">2017-05-18T13:45:00Z</dcterms:created>
  <dcterms:modified xsi:type="dcterms:W3CDTF">2017-05-22T15:57:00Z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