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E28417F3B2A42A5A7DEC2A36C7F2D11"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Võitlus maksustamise vältimise ja maksudest kõrvalehoidumise vastu on üks Euroopa Liidu poliitilisi prioriteete, mille eesmärk on luua süvendatud ja õiglasem ühtne turg. Komisjon on viimastel aastatel esitanud mitu algatust, et edendada õiglasemat maksusüsteemi. Läbipaistvuse suurendamine on Euroopa Komisjoni maksustamise vältimise ja maksudest kõrvalehoidmise vastu võitlemise strateegia üks põhiline alus. Teabevahetus maksuasutuste vahel on otsustava tähtsusega, et anda neile vajalikku teavet oma kohustuste tõhusaks täitmiseks.</w:t>
      </w:r>
    </w:p>
    <w:p>
      <w:pPr>
        <w:pBdr>
          <w:top w:val="nil"/>
          <w:left w:val="nil"/>
          <w:bottom w:val="nil"/>
          <w:right w:val="nil"/>
          <w:between w:val="nil"/>
          <w:bar w:val="nil"/>
        </w:pBdr>
        <w:spacing w:before="0" w:after="240"/>
        <w:rPr>
          <w:rFonts w:eastAsia="Arial Unicode MS"/>
          <w:noProof/>
        </w:rPr>
      </w:pPr>
      <w:r>
        <w:rPr>
          <w:noProof/>
        </w:rPr>
        <w:t>Liikmesriikidel on üha raskem kaitsta oma riigi maksubaasi, kuna maksuplaneerimise struktuurid muutuvad üha keerukamaks ning kasutavad ära kapitali ja isikute suurenenud liikuvust siseturul. Turu nõuetekohast toimimist kahjustavad seega moonutused ja õigluse puudumine. Üldiselt koosnevad need kahjulikud struktuurid skeemidest, mis toimivad eri jurisdiktsioonides ning millega liigutatakse maksustatav tulu soodsamasse maksukeskkonda või vähendatakse üldist maksukoormust. Selle tulemusena väheneb sageli oluliselt liikmesriikide maksutulu, mis takistab neil majanduskasvu soodustava maksupoliitika kohaldamist.</w:t>
      </w:r>
    </w:p>
    <w:p>
      <w:pPr>
        <w:pBdr>
          <w:top w:val="nil"/>
          <w:left w:val="nil"/>
          <w:bottom w:val="nil"/>
          <w:right w:val="nil"/>
          <w:between w:val="nil"/>
          <w:bar w:val="nil"/>
        </w:pBdr>
        <w:spacing w:before="0" w:after="240"/>
        <w:rPr>
          <w:rFonts w:eastAsia="Arial Unicode MS"/>
          <w:noProof/>
        </w:rPr>
      </w:pPr>
      <w:r>
        <w:rPr>
          <w:noProof/>
        </w:rPr>
        <w:t xml:space="preserve">Hiljuti lekkinud info, sealhulgas Panama dokumendid, on näidanud, et teatavad vahendajad on aktiivselt aidanud oma klientidel kasutada agressiivset maksuplaneerimist, et vähendada maksukoormust ja varjata raha välismaal. Kuigi osa keerulistest tehingutest ja organisatsioonilistest struktuuridest võivad täita täiesti õiguspärast eesmärki, on selge ka see, et teatud tegevused, sealhulgas </w:t>
      </w:r>
      <w:r>
        <w:rPr>
          <w:i/>
          <w:noProof/>
        </w:rPr>
        <w:t>off-shore</w:t>
      </w:r>
      <w:r>
        <w:rPr>
          <w:noProof/>
        </w:rPr>
        <w:t xml:space="preserve">-skeemid, ei pruugi olla õiguspärased ja mõnedel juhtudel võivad olla isegi ebaseaduslikud. Kasutatakse erinevaid ja keerukaid struktuure, mis sageli on seotud äriühingutega, mis asuvad madalate maksudega ja vähese läbipaistvusega jurisdiktsioonides, et suurendada distantsi tegelike tulusaajate ja nende varade vahel, eesmärgiga tagada madalad maksud või maksude puudumine ja/või kuritegelikul teel saadud tulu pesemine. Teatavad maksumaksjad kasutavad maksu- või pangasaladuseparadiisides registreeritud varifirmasid, millele nimetatakse varidirektor, et peita oma vara ja sissetulekut, mis sageli pärineb ebaseaduslikust tegevusest, ning varjata ettevõtte tegelike omanike (tegelike tulusaajate) identiteeti. </w:t>
      </w:r>
    </w:p>
    <w:p>
      <w:pPr>
        <w:pBdr>
          <w:top w:val="nil"/>
          <w:left w:val="nil"/>
          <w:bottom w:val="nil"/>
          <w:right w:val="nil"/>
          <w:between w:val="nil"/>
          <w:bar w:val="nil"/>
        </w:pBdr>
        <w:spacing w:before="0" w:after="240"/>
        <w:rPr>
          <w:rFonts w:eastAsia="Arial Unicode MS"/>
          <w:noProof/>
        </w:rPr>
      </w:pPr>
      <w:r>
        <w:rPr>
          <w:noProof/>
        </w:rPr>
        <w:t>ELis kehtib ka ühine aruandlusstandard väliskontode kohta, mis sätestati nõukogu 9. detsembri 2014. aasta määruses (EL) 2014/107</w:t>
      </w:r>
      <w:r>
        <w:rPr>
          <w:rStyle w:val="FootnoteReference"/>
          <w:noProof/>
        </w:rPr>
        <w:footnoteReference w:id="1"/>
      </w:r>
      <w:r>
        <w:rPr>
          <w:noProof/>
        </w:rPr>
        <w:t xml:space="preserve"> ja mida kohaldatakse seoses maksustamisperioodidega alates 1. jaanuarist 2016. Seetõttu on oluline, et teave, mis võib kõnealuse direktiivi kohaldamisalast välja jääda, saadaks vahendajatelt, kellele pannakse kohustus anda aru võimalike agressiivse maksuplaneerimise skeemide kohta.</w:t>
      </w:r>
    </w:p>
    <w:p>
      <w:pPr>
        <w:pBdr>
          <w:top w:val="nil"/>
          <w:left w:val="nil"/>
          <w:bottom w:val="nil"/>
          <w:right w:val="nil"/>
          <w:between w:val="nil"/>
          <w:bar w:val="nil"/>
        </w:pBdr>
        <w:spacing w:before="0" w:after="240"/>
        <w:rPr>
          <w:rFonts w:eastAsia="Arial Unicode MS"/>
          <w:noProof/>
        </w:rPr>
      </w:pPr>
      <w:r>
        <w:rPr>
          <w:noProof/>
        </w:rPr>
        <w:t>Õigusakti ettepanek täiendab muid eeskirju ja algatusi, näiteks neljandat rahapesuvastast direktiivi</w:t>
      </w:r>
      <w:r>
        <w:rPr>
          <w:rStyle w:val="FootnoteReference"/>
          <w:noProof/>
        </w:rPr>
        <w:footnoteReference w:id="2"/>
      </w:r>
      <w:r>
        <w:rPr>
          <w:noProof/>
        </w:rPr>
        <w:t xml:space="preserve"> ja selle praegust läbivaatamist, mille eesmärk on suurendada läbipaistvust ja vähendada ebaselgust tegelike tulusaajate puhul. Eesmärk on suurendada läbipaistvust ja juurdepääsu õigele teabele varases etapis, kuna see peaks võimaldama ametiasutustel parandada oma riskianalüüsi kiirust ja õigsust ning selle põhjal teha õigeaegseid ja teadlikke otsuseid oma maksutulude kaitsmise kohta. Kui maksuhaldurid saavad teavet võimaliku agressiivse maksuplaneerimise kohta enne, kui seda rakendatakse, peaks neil olema võimalik skeeme jälgida ja reageerida maksudega seotud ohtudele, võttes asjakohased meetmed probleemide lahendamiseks. Selleks tuleks teave saada ideaaljuhul eelnevalt, st enne kui skeemi rakendatakse ja/või kasutatakse. See võimaldaks asutustel õigeaegselt selliseid skeeme hinnata ja vajaduse korral reageerida, sulgedes õiguslikud lüngad ja hoides ära maksutulu saamata jäämise. Lõppeesmärk on luua mehhanism, millel on hoiatav mõju; st mehhanism, mille abil takistada vahendajatel selliste skeemide väljatöötamist ja turustamist.</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On tehtud mitmeid üleskutseid, et EL võtaks juhtrolli kõnealuses valdkonnas ja uuriks täiendavalt vahendajate rolli. Euroopa Parlament on kutsunud üles võtma tugevamaid meetmeid vahendajate suhtes, kes aitavad kaasa maksudest kõrvalehoidumise skeemidele</w:t>
      </w:r>
      <w:r>
        <w:rPr>
          <w:rStyle w:val="FootnoteReference"/>
          <w:noProof/>
        </w:rPr>
        <w:footnoteReference w:id="3"/>
      </w:r>
      <w:r>
        <w:rPr>
          <w:noProof/>
        </w:rPr>
        <w:t>. Liikmesriigid kutsusid 2016. aasta aprillis toimunud mitteametlikul ECOFINi kohtumisel</w:t>
      </w:r>
      <w:r>
        <w:rPr>
          <w:rStyle w:val="FootnoteReference"/>
          <w:noProof/>
        </w:rPr>
        <w:footnoteReference w:id="4"/>
      </w:r>
      <w:r>
        <w:rPr>
          <w:noProof/>
        </w:rPr>
        <w:t xml:space="preserve"> kaaluma algatusi kohustusliku avalikustamise eeskirjade kohta, juhindudes OECD/G20 maksubaasi kahanemise ja kasumi ümberpaigutamise projekti 12. meetmest</w:t>
      </w:r>
      <w:bookmarkStart w:id="1" w:name="_Ref477439684"/>
      <w:r>
        <w:rPr>
          <w:rStyle w:val="FootnoteReference"/>
          <w:noProof/>
        </w:rPr>
        <w:footnoteReference w:id="5"/>
      </w:r>
      <w:bookmarkEnd w:id="1"/>
      <w:r>
        <w:rPr>
          <w:noProof/>
        </w:rPr>
        <w:t>, eesmärgiga luua maksudest kõrvalehoidumise skeemides vahendajatena toimijate jaoks tõhusamad takistavad asjaolud. 2016. aasta mais esitas nõukogu järeldused välisstrateegia ja maksulepingute kuritarvitamise vastaste meetmete kohta</w:t>
      </w:r>
      <w:r>
        <w:rPr>
          <w:rStyle w:val="FootnoteReference"/>
          <w:noProof/>
        </w:rPr>
        <w:footnoteReference w:id="6"/>
      </w:r>
      <w:r>
        <w:rPr>
          <w:noProof/>
        </w:rPr>
        <w:t xml:space="preserve">. ECOFIN kutsus komisjoni üles </w:t>
      </w:r>
      <w:r>
        <w:rPr>
          <w:i/>
          <w:noProof/>
        </w:rPr>
        <w:t>„kaaluma seadusandlikke ettepanekuid kohustusliku avalikustamise eeskirjade kohta, juhindudes OECD maksubaasi kahanemise ja kasumi ümberpaigutamise projekti 12. meetmest, eesmärgiga luua maksudest kõrvalehoidumise või maksustamise vältimise skeemides vahendajatena toimijate jaoks tõhusamad takistavad asjaolud</w:t>
      </w:r>
      <w:r>
        <w:rPr>
          <w:rStyle w:val="FootnoteReference"/>
          <w:noProof/>
        </w:rPr>
        <w:footnoteReference w:id="7"/>
      </w:r>
      <w:r>
        <w:rPr>
          <w:i/>
          <w:noProof/>
        </w:rPr>
        <w:t>“</w:t>
      </w:r>
      <w:r>
        <w:rPr>
          <w:noProof/>
        </w:rPr>
        <w:t>.</w:t>
      </w:r>
    </w:p>
    <w:p>
      <w:pPr>
        <w:pBdr>
          <w:top w:val="nil"/>
          <w:left w:val="nil"/>
          <w:bottom w:val="nil"/>
          <w:right w:val="nil"/>
          <w:between w:val="nil"/>
          <w:bar w:val="nil"/>
        </w:pBdr>
        <w:spacing w:before="0" w:after="240"/>
        <w:rPr>
          <w:rFonts w:eastAsia="Arial Unicode MS"/>
          <w:noProof/>
        </w:rPr>
      </w:pPr>
      <w:r>
        <w:rPr>
          <w:noProof/>
        </w:rPr>
        <w:t>Eesmärgiga parandada läbipaistvust soovitatakse riikidel OECD/G20 12. meetmega kehtestada agressiivse maksuplaneerimise kohustusliku avalikustamise kord, kuid ei määratleta miinimumnõudeid, mida tuleks täita. 12. meedet käsitlev lõpparuanne avaldati maksubaasi kahanemise ja kasumi ümberpaigutamise meetmete paketi raames 2015. aasta oktoobris. OECD soovitatud maksubaasi kahanemise ja kasumi ümberpaigutamise vastased meetmed kiitis heaks G20 ning ELi liikmesriigid on OECD liikmetena võtnud kohustuse neid rakendada. Lisaks on praegune G20 eesistuja Saksamaa määratlenud maksukindluse ühena oma prioriteetidest</w:t>
      </w:r>
      <w:r>
        <w:rPr>
          <w:rStyle w:val="FootnoteReference"/>
          <w:noProof/>
        </w:rPr>
        <w:footnoteReference w:id="8"/>
      </w:r>
      <w:r>
        <w:rPr>
          <w:noProof/>
        </w:rPr>
        <w:t>. Andes maksuametitele õigeaegset teavet võimaliku agressiivse maksuplaneerimise kavandamise ja kasutamise koha, oleks neile täiendav vahend, et võtta asjakohaseid meetmeid teatavate maksuplaneerimise skeemide vastu, mis lõppkokkuvõttes suurendab õiguskindlust ning on täielikult kooskõlas G20 prioriteetidega.</w:t>
      </w:r>
    </w:p>
    <w:p>
      <w:pPr>
        <w:pBdr>
          <w:top w:val="nil"/>
          <w:left w:val="nil"/>
          <w:bottom w:val="nil"/>
          <w:right w:val="nil"/>
          <w:between w:val="nil"/>
          <w:bar w:val="nil"/>
        </w:pBdr>
        <w:spacing w:before="0" w:after="240"/>
        <w:rPr>
          <w:rFonts w:eastAsia="Arial Unicode MS"/>
          <w:noProof/>
        </w:rPr>
      </w:pPr>
      <w:r>
        <w:rPr>
          <w:noProof/>
        </w:rPr>
        <w:t>2016. aasta juuli teatises täiendavate meetmete kohta läbipaistvuse suurendamiseks ning maksustamise vältimise ja maksudest kõrvalehoidumise vastu võitlemiseks</w:t>
      </w:r>
      <w:r>
        <w:rPr>
          <w:rStyle w:val="FootnoteReference"/>
          <w:noProof/>
        </w:rPr>
        <w:footnoteReference w:id="9"/>
      </w:r>
      <w:r>
        <w:rPr>
          <w:noProof/>
        </w:rPr>
        <w:t xml:space="preserve"> on välja toodud komisjoni hinnang prioriteetsete meetmete kohta lähikuudel nii ELi kui rahvusvahelisel tasandil. Läbipaistvuse suurendamine vahendajate poolt on üks valdkond, kus tulevikus meetmeid võetakse. </w:t>
      </w:r>
    </w:p>
    <w:p>
      <w:pPr>
        <w:pBdr>
          <w:top w:val="nil"/>
          <w:left w:val="nil"/>
          <w:bottom w:val="nil"/>
          <w:right w:val="nil"/>
          <w:between w:val="nil"/>
          <w:bar w:val="nil"/>
        </w:pBdr>
        <w:spacing w:before="0" w:after="240"/>
        <w:rPr>
          <w:rFonts w:eastAsia="Arial Unicode MS"/>
          <w:noProof/>
        </w:rPr>
      </w:pPr>
      <w:r>
        <w:rPr>
          <w:noProof/>
        </w:rPr>
        <w:t>Kavandatavas õigusaktis käsitletakse maksustamise läbipaistvuse üldist poliitilist prioriteeti, mis on eeltingimus selleks, et tõhusalt võidelda maksudest kõrvalehoidumise, maksustamise vältimise ja agressiivse maksuplaneerimise vastu. Juba mitu aastat tagasi leppisid ELi liikmesriigid kokku mitmetes õigusaktides läbipaistvuse valdkonnas, mille osana peavad riiklikud maksuhaldurid tegema tihedat koostööd teabe vahetamisel. Nõukogu direktiiviga 2011/16/EL</w:t>
      </w:r>
      <w:r>
        <w:rPr>
          <w:rStyle w:val="FootnoteReference"/>
          <w:noProof/>
        </w:rPr>
        <w:footnoteReference w:id="10"/>
      </w:r>
      <w:r>
        <w:rPr>
          <w:noProof/>
        </w:rPr>
        <w:t xml:space="preserve"> asendati direktiiv 77/799/EMÜ</w:t>
      </w:r>
      <w:r>
        <w:rPr>
          <w:rStyle w:val="FootnoteReference"/>
          <w:noProof/>
        </w:rPr>
        <w:footnoteReference w:id="11"/>
      </w:r>
      <w:r>
        <w:rPr>
          <w:noProof/>
        </w:rPr>
        <w:t xml:space="preserve"> ja sealt sai alguse halduskoostöö edendamine ELi maksuhaldurite vahel. Kõnealuse direktiiviga loodi kasulikud vahendid paremaks koostööks järgmistes valdkondades: teabevahetus taotluse alusel; omaalgatuslik teabevahetus; automaatne teabevahetus ammendava nimekirja alusel; osalemine haldusuurimistes; üheaegsed kontrollid; ning maksuotsustest teistele maksuhalduritele teatamine.</w:t>
      </w:r>
    </w:p>
    <w:p>
      <w:pPr>
        <w:pBdr>
          <w:top w:val="nil"/>
          <w:left w:val="nil"/>
          <w:bottom w:val="nil"/>
          <w:right w:val="nil"/>
          <w:between w:val="nil"/>
          <w:bar w:val="nil"/>
        </w:pBdr>
        <w:spacing w:before="0" w:after="240"/>
        <w:rPr>
          <w:rFonts w:eastAsia="Arial Unicode MS"/>
          <w:noProof/>
        </w:rPr>
      </w:pPr>
      <w:r>
        <w:rPr>
          <w:noProof/>
        </w:rPr>
        <w:t>Automaatne teabevahetus on kavandatud õigusakti oluline osa, kuna ette on nähtud, et vahendajate poolt maksuhalduritele avaldatud teavet vahetatakse seejärel automaatselt teiste ELi maksuhalduritega. See on viimane paljudest ELi algatustest, milles sätestatakse nõue kohustusliku automaatse teabevahetuseks maksustamise valdkonnas.</w:t>
      </w:r>
    </w:p>
    <w:p>
      <w:pPr>
        <w:pStyle w:val="ListBullet"/>
        <w:rPr>
          <w:noProof/>
          <w:lang w:val="et-EE"/>
        </w:rPr>
      </w:pPr>
      <w:r>
        <w:rPr>
          <w:noProof/>
          <w:lang w:val="et-EE"/>
        </w:rPr>
        <w:t>Nõukogu 15. veebruari 2011. aasta direktiiv 2011/16/EL maksustamisalase halduskoostöö kohta: kõnealuse direktiiviga nähakse alates 1. jaanuarist 2015 ette kohustuslik automaatne teabevahetus, kui teave on kättesaadav, tulu ja kapitali viie finantstegevusega mitteseotud kategooria puhul: 1) palgatööst saadud tulu, 2) juhtide tasud, 3) muude ELi direktiividega hõlmamata elukindlustustooted, 4) pensionid ning 5) kinnisomand ja kinnisvaratulu.</w:t>
      </w:r>
    </w:p>
    <w:p>
      <w:pPr>
        <w:pStyle w:val="ListBullet"/>
        <w:rPr>
          <w:noProof/>
          <w:lang w:val="et-EE"/>
        </w:rPr>
      </w:pPr>
      <w:r>
        <w:rPr>
          <w:noProof/>
          <w:lang w:val="et-EE"/>
        </w:rPr>
        <w:t>Nõukogu 16. detsembri 2014. aasta direktiiv 2014/107/EL</w:t>
      </w:r>
      <w:r>
        <w:rPr>
          <w:rStyle w:val="FootnoteReference"/>
          <w:noProof/>
          <w:lang w:val="et-EE"/>
        </w:rPr>
        <w:footnoteReference w:id="12"/>
      </w:r>
      <w:r>
        <w:rPr>
          <w:noProof/>
          <w:lang w:val="et-EE"/>
        </w:rPr>
        <w:t xml:space="preserve"> finantskontosid käsitleva automaatse teabevahetuse kohta liikmesriikide vahel, mis põhineb OECD ühisel aruandlusstandardil, millega nähakse ette automaatne teabevahetus mitteresidentide finantskontode puhul.</w:t>
      </w:r>
    </w:p>
    <w:p>
      <w:pPr>
        <w:pStyle w:val="ListBullet"/>
        <w:rPr>
          <w:noProof/>
          <w:lang w:val="et-EE"/>
        </w:rPr>
      </w:pPr>
      <w:r>
        <w:rPr>
          <w:noProof/>
          <w:lang w:val="et-EE"/>
        </w:rPr>
        <w:t>Nõukogu 8. detsembri 2015. aasta direktiiv (EL) 2015/2376</w:t>
      </w:r>
      <w:r>
        <w:rPr>
          <w:rStyle w:val="FootnoteReference"/>
          <w:noProof/>
          <w:lang w:val="et-EE"/>
        </w:rPr>
        <w:footnoteReference w:id="13"/>
      </w:r>
      <w:r>
        <w:rPr>
          <w:noProof/>
          <w:lang w:val="et-EE"/>
        </w:rPr>
        <w:t xml:space="preserve"> seoses kohustusliku automaatse teabevahetusega piiriüleste eelotsuste puhul.</w:t>
      </w:r>
    </w:p>
    <w:p>
      <w:pPr>
        <w:pStyle w:val="ListBullet"/>
        <w:rPr>
          <w:noProof/>
          <w:lang w:val="et-EE"/>
        </w:rPr>
      </w:pPr>
      <w:r>
        <w:rPr>
          <w:noProof/>
          <w:lang w:val="et-EE"/>
        </w:rPr>
        <w:t>Nõukogu 25. mai 2016. aasta direktiiv (EL) 2016/881</w:t>
      </w:r>
      <w:r>
        <w:rPr>
          <w:rStyle w:val="FootnoteReference"/>
          <w:noProof/>
          <w:lang w:val="et-EE"/>
        </w:rPr>
        <w:footnoteReference w:id="14"/>
      </w:r>
      <w:r>
        <w:rPr>
          <w:noProof/>
          <w:lang w:val="et-EE"/>
        </w:rPr>
        <w:t xml:space="preserve"> seoses kohustusliku automaatse teabevahetusega maksuhaldurite vahel riikidepõhiste aruannete puhul.</w:t>
      </w:r>
    </w:p>
    <w:p>
      <w:pPr>
        <w:pStyle w:val="ListBullet"/>
        <w:rPr>
          <w:noProof/>
          <w:lang w:val="et-EE"/>
        </w:rPr>
      </w:pPr>
      <w:r>
        <w:rPr>
          <w:noProof/>
          <w:lang w:val="et-EE"/>
        </w:rPr>
        <w:t>Komisjoni 12. aprilli 2016. aasta ettepanek võtta vastu Euroopa Parlamendi ja nõukogu direktiiv 2016/0107</w:t>
      </w:r>
      <w:r>
        <w:rPr>
          <w:rStyle w:val="FootnoteReference"/>
          <w:noProof/>
          <w:lang w:val="et-EE"/>
        </w:rPr>
        <w:footnoteReference w:id="15"/>
      </w:r>
      <w:r>
        <w:rPr>
          <w:noProof/>
          <w:lang w:val="et-EE"/>
        </w:rPr>
        <w:t xml:space="preserve"> seoses tulumaksualase teabe avalikustamisega teatavate äriühingute ja filiaalide poolt. Kavandatud eeskirjadega sätestatakse tulumaksualase teabe avaldamine, mis annaks laiemale üldsusele juurdepääsu hargmaiste ettevõtjate maksudega seotud andmetele riikide kaupa. See ettepanek on veel arutlusel parlamendis ja nõukogus seadusandliku tavamenetluse kohaselt.</w:t>
      </w:r>
    </w:p>
    <w:p>
      <w:pPr>
        <w:pStyle w:val="ListBullet"/>
        <w:rPr>
          <w:noProof/>
          <w:lang w:val="et-EE"/>
        </w:rPr>
      </w:pPr>
      <w:r>
        <w:rPr>
          <w:noProof/>
          <w:lang w:val="et-EE"/>
        </w:rPr>
        <w:t>Kokkulepped liikmesriikide ja kolmandate riikide vahel</w:t>
      </w:r>
      <w:r>
        <w:rPr>
          <w:rStyle w:val="FootnoteReference"/>
          <w:noProof/>
          <w:lang w:val="et-EE"/>
        </w:rPr>
        <w:footnoteReference w:id="16"/>
      </w:r>
      <w:r>
        <w:rPr>
          <w:noProof/>
          <w:lang w:val="et-EE"/>
        </w:rPr>
        <w:t xml:space="preserve"> finantskontosid käsitleva automaatse teabevahetuse kohta, mis põhinevad OECD ühisel aruandlusstandardil.</w:t>
      </w:r>
    </w:p>
    <w:p>
      <w:pPr>
        <w:spacing w:after="0"/>
        <w:rPr>
          <w:noProof/>
        </w:rPr>
      </w:pPr>
      <w:r>
        <w:rPr>
          <w:noProof/>
        </w:rPr>
        <w:t>Tuleks selgitada, et ELi tasandil olemasolevad maksualased õigusaktid ei sisalda selgesõnalisi sätteid, millega kohustataks liikmesriike vahetama teavet neile teadaolevate maksudest kõrvalehoidumise ja/või maksustamise vältimise skeemide kohta. Halduskoostöö direktiivis sisaldub liikmesriikide maksuhaldurite üldine kohustus anda teatavatel tingimustel teiste liikmesriikide maksuhalduritele omal algatusel teavet. See hõlmab saamata maksutulu liikmesriigis või saadud kasumi kunstlikku ülekandmist ühe ettevõtjate grupi siseselt. Käesoleva algatuse eesmärk on saada jälile võimaliku agressiivse maksuplaneerimise skeemidele, nõudes vahendajatelt avalikustamist ja kohustuslikku automaatset teabevahetust.</w:t>
      </w:r>
    </w:p>
    <w:p>
      <w:pPr>
        <w:pStyle w:val="ManualHeading2"/>
        <w:rPr>
          <w:rFonts w:eastAsia="Arial Unicode MS"/>
          <w:noProof/>
        </w:rPr>
      </w:pPr>
      <w:r>
        <w:rPr>
          <w:noProof/>
          <w:color w:val="000000"/>
          <w:u w:color="000000"/>
          <w:bdr w:val="nil"/>
        </w:rPr>
        <w:t>•</w:t>
      </w:r>
      <w:r>
        <w:rPr>
          <w:noProof/>
        </w:rPr>
        <w:tab/>
        <w:t>Kooskõla muude liidu tegevuspõhimõtetega (poliitikavaldkonnaga seotud võimalikud tulevased algatused)</w:t>
      </w:r>
    </w:p>
    <w:p>
      <w:pPr>
        <w:spacing w:after="0"/>
        <w:rPr>
          <w:noProof/>
        </w:rPr>
      </w:pPr>
      <w:r>
        <w:rPr>
          <w:noProof/>
        </w:rPr>
        <w:t xml:space="preserve">Võimaliku agressiivse maksuplaneerimise eelneva avaldamise hoiatavat mõju saaks tõhustada, kui kohustus avaldada teavet maksuhaldurile laieneks audiitoritele, kes ametlikult kinnitavad maksumaksja finantsaruandeid. Audiitorid puutuvad oma ametiülesannete täitmisel kokku suure hulga andmetega. Osana sellest võivad nad avastada skeeme, mida võib käsitada agressiivse maksuplaneerimisena. Võimalik kasu nende skeemide avalikustamisest ametiasutustele täiendaks sarnaste skeemide kohustuslik avalikustamine vahendajate, st kavandajate, edendajate, nõustajate jne poolt. Selliseid algatusi võib tulevikus teha õigusaktide kaudu.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Otsese maksustamise valdkonnas on seadusandlike algatuste õiguslik alus Euroopa Liidu toimimise lepingu artikkel 115. Kuigi artiklis 115 ei ole selget viidet otsesele maksustamisele, viidatakse selles riiklike õigusaktide ühtlustamise direktiividele, mis otseselt mõjutavad siseturu rajamist või toimimist. Et see tingimus oleks täidetud, on vaja, et otsese maksustamise valdkonnas kavandatavate ELi õigusaktide eesmärk oleks siseturu toimimise olemasolevate ebakõlade kõrvaldamine. Paljudel juhtudel tähendaks see, et ELi meetmeid kasutataks üksnes piiriüleste juhtumitega tegelemisel.</w:t>
      </w:r>
    </w:p>
    <w:p>
      <w:pPr>
        <w:pBdr>
          <w:top w:val="nil"/>
          <w:left w:val="nil"/>
          <w:bottom w:val="nil"/>
          <w:right w:val="nil"/>
          <w:between w:val="nil"/>
          <w:bar w:val="nil"/>
        </w:pBdr>
        <w:spacing w:before="0" w:after="240"/>
        <w:rPr>
          <w:rFonts w:eastAsia="Arial Unicode MS"/>
          <w:noProof/>
        </w:rPr>
      </w:pPr>
      <w:r>
        <w:rPr>
          <w:noProof/>
        </w:rPr>
        <w:t>Läbipaistvuse puudumine soodustab teatavate vahendajate tegevust, kes tegelevad agressiivse maksuplaneerimise skeemide edendamise ja müügiga, millel on piiriülene mõju. Selle tulemusena tuleb liikmesriikidel seista silmitsi sellise kasumi ümberpaigutamisega, mis saadakse nende territooriumil ja oleks seal maksustatav, kuid see kantakse üle madala maksumääraga jurisdiktsioonidesse, mis toob sageli kaasa liikmesriikide maksubaasi kahanemise. Lisaks põhjustab selline olukord ebaausat maksukonkurentsi ettevõtjatele, kes keelduvad sellises ebaseaduslikus tegevuses osalemast. Lõpptulemuseks on moonutused siseturu toimimises. Sellest järeldub, et sellist olukorda on võimalik lahendada ainult ühtse lähenemisviisi kaudu, mille eesmärk on parandada siseturu toimimist, nagu on sätestatud ELi toimimise lepingu artiklis 115.</w:t>
      </w:r>
    </w:p>
    <w:p>
      <w:pPr>
        <w:pStyle w:val="ManualHeading2"/>
        <w:rPr>
          <w:rFonts w:eastAsia="Arial Unicode MS"/>
          <w:noProof/>
          <w:u w:color="000000"/>
          <w:bdr w:val="nil"/>
        </w:rPr>
      </w:pPr>
      <w:r>
        <w:rPr>
          <w:noProof/>
        </w:rPr>
        <w:t>•</w:t>
      </w:r>
      <w:r>
        <w:rPr>
          <w:noProof/>
        </w:rPr>
        <w:tab/>
        <w:t xml:space="preserve">Subsidiaarsus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Kogemused näitavad, et siseriiklikud sätted agressiivse maksuplaneerimise vastu võitlemiseks ei ole kuigi tõhusad. Seda seetõttu, et märkimisväärne arv maksustamise vältimiseks loodud struktuure on piiriülese mõõtmega ning samas kasvab ka kapitali ja isikute liikuvus, eriti integreeritud turul, nagu ELi siseturg. On ilmne vajadus ELi tasandi ühiste meetmete järele, mis parandaks praegust olukorda, ning need võiksid tulemuslikult täiendada olemasolevaid algatusi selles valdkonnas, eelkõige halduskoostöö direktiivi kontekstis. See on seda enam tõsi, kuna olemasolevad siseriikliku tasandi õigusaktid on osutunud läbipaistvuse suurendamisel ainult osaliselt tõhusaks. </w:t>
      </w:r>
    </w:p>
    <w:p>
      <w:pPr>
        <w:pBdr>
          <w:top w:val="nil"/>
          <w:left w:val="nil"/>
          <w:bottom w:val="nil"/>
          <w:right w:val="nil"/>
          <w:between w:val="nil"/>
          <w:bar w:val="nil"/>
        </w:pBdr>
        <w:spacing w:before="0" w:after="240"/>
        <w:rPr>
          <w:rFonts w:eastAsia="Arial Unicode MS"/>
          <w:noProof/>
        </w:rPr>
      </w:pPr>
      <w:r>
        <w:rPr>
          <w:noProof/>
        </w:rPr>
        <w:t xml:space="preserve">Siseturg vajab tugevaid mehhanisme, et käsitleda seaduselünki ühtsel viisil ja kõrvaldada olemasolevad moonutused, tagades, et maksuhaldurid saavad asjakohast teavet piiriülese mõjuga agressiivse maksuplaneerimise kohta õigeaegselt. </w:t>
      </w:r>
    </w:p>
    <w:p>
      <w:pPr>
        <w:pBdr>
          <w:top w:val="nil"/>
          <w:left w:val="nil"/>
          <w:bottom w:val="nil"/>
          <w:right w:val="nil"/>
          <w:between w:val="nil"/>
          <w:bar w:val="nil"/>
        </w:pBdr>
        <w:spacing w:before="0" w:after="240"/>
        <w:rPr>
          <w:rFonts w:eastAsia="Arial Unicode MS"/>
          <w:noProof/>
        </w:rPr>
      </w:pPr>
      <w:r>
        <w:rPr>
          <w:noProof/>
        </w:rPr>
        <w:t>Arvestades, et avalikustamise eesmärk on teavitada maksuhaldurit skeemidest, mis hõlmavad mitut jurisdiktsiooni, on vaja, et mis tahes algatus hõlmaks meetmeid ELi tasandil, et tagada probleemile ühtne lähenemisviis. Liikmesriikide omal algatusel koordineerimata tegevus looks vahendajate avalikustamiseeskirjade rägastiku. Selle tulemusena ebaõiglane maksukonkurents liikmesriikide vahel püsiks.</w:t>
      </w:r>
    </w:p>
    <w:p>
      <w:pPr>
        <w:pBdr>
          <w:top w:val="nil"/>
          <w:left w:val="nil"/>
          <w:bottom w:val="nil"/>
          <w:right w:val="nil"/>
          <w:between w:val="nil"/>
          <w:bar w:val="nil"/>
        </w:pBdr>
        <w:spacing w:before="0" w:after="240"/>
        <w:rPr>
          <w:rFonts w:eastAsia="Arial Unicode MS"/>
          <w:noProof/>
        </w:rPr>
      </w:pPr>
      <w:r>
        <w:rPr>
          <w:noProof/>
        </w:rPr>
        <w:t>Isegi kui üks liikmesriik on seotud võimaliku agressiivse maksuplaneerimise skeemi või skeemidega kolmanda riigiga, on olemas piiriülene element, mis võib põhjustada moonutusi siseturu toimimisel. Siseturu ülesehituse eelduseks on inimeste, kaupade, teenuste ja kapitali vaba liikumise põhimõte ja see on seotud kasuga, mis tuleneb äriühingu tulumaksu käsitlevatest direktiividest. Sellest järeldub, et siseturu kaitse tegelik tase on üldiselt määratletud viitega nõrgimale liikmesriigile. Seega mõjutab piiriülene võimalik agressiivne maksuplaneerimine, mis hõlmab ainult üht liikmesriiki, tegelikult kõiki liikmesriike.</w:t>
      </w:r>
    </w:p>
    <w:p>
      <w:pPr>
        <w:pBdr>
          <w:top w:val="nil"/>
          <w:left w:val="nil"/>
          <w:bottom w:val="nil"/>
          <w:right w:val="nil"/>
          <w:between w:val="nil"/>
          <w:bar w:val="nil"/>
        </w:pBdr>
        <w:spacing w:before="0" w:after="240"/>
        <w:rPr>
          <w:rFonts w:eastAsia="Arial Unicode MS"/>
          <w:noProof/>
        </w:rPr>
      </w:pPr>
      <w:r>
        <w:rPr>
          <w:noProof/>
        </w:rPr>
        <w:t>Kui selle elemendi üle otsustamine jäetaks liikmesriikide üksikute algatuste hooleks, tähendaks see, et mõned riigid otsustaksid tegutseda, kuid teised mitte. Eelkõige on see nii seetõttu, kuna BEPSi 12. meede ei ole miinimumstandard ja seega võib rakendamine ELis oluliselt erineda. Avaliku konsultatsioonile vastanud 131 sidusrühmast leidis 39, et ELi meetmeteta ei viidaks sisse läbipaistvusnõudeid ning 107 sidusrühma märkis, et on tõenäoline või väga tõenäoline, et viidaks sisse erinevad läbipaistvusnõuded. Aruandekohustuse kehtestamine ELi õigusaktidega, mis oleks seotud teabe vahetamisega, aitaks lahendada tuvastatud probleeme ja aidata parandada siseturu toimimist.</w:t>
      </w:r>
    </w:p>
    <w:p>
      <w:pPr>
        <w:pBdr>
          <w:top w:val="nil"/>
          <w:left w:val="nil"/>
          <w:bottom w:val="nil"/>
          <w:right w:val="nil"/>
          <w:between w:val="nil"/>
          <w:bar w:val="nil"/>
        </w:pBdr>
        <w:spacing w:before="0" w:after="240"/>
        <w:rPr>
          <w:rFonts w:eastAsia="Arial Unicode MS"/>
          <w:noProof/>
        </w:rPr>
      </w:pPr>
      <w:r>
        <w:rPr>
          <w:noProof/>
        </w:rPr>
        <w:t xml:space="preserve">Veelgi enam, avalikustamise meetmed ELi tasandil annaksid lisaväärtust võrreldes üksikute liikmesriikide algatustega kõnealuses valdkonnas. Kui võimaliku agressiivse maksuplaneerimise avalikustamisega kaasneb ka teabevahetus, võimaldab see maksusasutustel saada täieliku pildi piiriüleste tehingute mõjust üldisele maksubaasile. Seepärast on teabevahetamise süsteemi tõhususe ja täielikkuse tagamisel EL paremas olukorras kui üksikult tegutsevad liikmesriigid.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 xml:space="preserve">Kavandatavad poliitikavahendid piirduvad piiriüleste võimalike agressiivsete maksuplaneerimise skeemidega. Arvestades, et kindlakstehtud moonutused siseturu toimimises laienevad üldjuhul ühest liikmesriigist väljapoole, on probleemide tõhusaks lahendamiseks minimaalselt vaja ühiseid eeskirju piiriüleste olukordade jaoks ELis. Seega on kavandatud eeskirjad proportsionaalne võimalus täheldatud probleemi lahendamiseks, sest need ei lähe aluslepingute eesmärgi – tagada paremini toimiv ja moonutusteta siseturg – saavutamiseks vajalikust kaugemale. </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 xml:space="preserve">Käesoleva ettepaneku õiguslik alus on ELi toimimise lepingu artikkel 115, mis sätestab sõnaselgelt, et selle valdkonna õigusaktide vorm on direktiiv. Seepärast ei ole lubatud kasutada mis tahes muud liiki ELi õigusakti, kui tegemist on otsese maksustamise valdkonnas siduvate eeskirjadega. </w:t>
      </w:r>
    </w:p>
    <w:p>
      <w:pPr>
        <w:pBdr>
          <w:top w:val="nil"/>
          <w:left w:val="nil"/>
          <w:bottom w:val="nil"/>
          <w:right w:val="nil"/>
          <w:between w:val="nil"/>
          <w:bar w:val="nil"/>
        </w:pBdr>
        <w:spacing w:before="0" w:after="240"/>
        <w:rPr>
          <w:rFonts w:eastAsia="Arial Unicode MS"/>
          <w:noProof/>
        </w:rPr>
      </w:pPr>
      <w:r>
        <w:rPr>
          <w:noProof/>
        </w:rPr>
        <w:t>Lisaks on kavandatav direktiiv alates 2014. aastast viies halduskoostöö direktiivi muudatus; see on jätkuks nõukogu direktiividele 2014/107/EL, (EL) 2015/2376, (EL) 2016/881 ja (EL) 2016/2258.</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Hindamised</w:t>
      </w:r>
    </w:p>
    <w:p>
      <w:pPr>
        <w:pStyle w:val="Text1"/>
        <w:ind w:left="0"/>
        <w:rPr>
          <w:noProof/>
        </w:rPr>
      </w:pPr>
      <w:r>
        <w:rPr>
          <w:noProof/>
        </w:rPr>
        <w:t>Kavandatava õigusaktiga muudetakse halduskoostöö direktiivi, et näha ette kohustuslik avalikustamine võimaliku agressiivse maksuplaneerimise korral ja laiendada automaatset teabevahetust maksuhaldurite vahel, et hõlmata sellised skeemid. Kavandatud muudatused on seotud uue teemaga, et suurendada liikmesriikide jõupingutusi maksudest kõrvalehoidumiste ja maksupettuste piiramisel. Kavandatud muudatused ei käsitle aluseks oleva õigusakti (halduskoostöö direktiivi) kindlakstehtud puuduste kõrvaldamist, vaid pigem laiendavad selle kohaldamisala täiendava teemaga, kus vajadus meetmete järele põhineb OECD tööl seoses 12. meetmega ja komisjoni konsultatsioonidel sidusrühmadega.</w:t>
      </w:r>
    </w:p>
    <w:p>
      <w:pPr>
        <w:pStyle w:val="Text1"/>
        <w:ind w:left="0"/>
        <w:rPr>
          <w:noProof/>
        </w:rPr>
      </w:pPr>
      <w:r>
        <w:rPr>
          <w:noProof/>
        </w:rPr>
        <w:t>Halduskoostöö direktiivi ei ole siiani hinnatud. Esimene aruanne selle küsimuse kohta esitatakse 1. jaanuariks 2018. Seejärel peab komisjon esitama aruande direktiivi kohaldamise kohta Euroopa Parlamendile ja nõukogule iga 5 aasta järel. Liikmesriigid on kohustatud edastama komisjonile teavet, mis on vajalik halduskoostöö tõhususe hindamiseks, ning statistilisi andmeid.</w:t>
      </w:r>
    </w:p>
    <w:p>
      <w:pPr>
        <w:pStyle w:val="Text1"/>
        <w:ind w:left="0"/>
        <w:rPr>
          <w:noProof/>
        </w:rPr>
      </w:pPr>
      <w:r>
        <w:rPr>
          <w:noProof/>
        </w:rPr>
        <w:t xml:space="preserve">Õigusakt on kavandatud võimalikult kulutõhusalt. Ettenähtud raamistik võimaldab vajalike kohanduste järel kasutada teabevahetuseks olemasolevaid IT-vahendeid, mis loodi algselt teabe vahetamiseks piiriüleste eelotsuste kohta (DAC 3). </w:t>
      </w:r>
    </w:p>
    <w:p>
      <w:pPr>
        <w:pStyle w:val="Text1"/>
        <w:rPr>
          <w:noProof/>
        </w:rPr>
      </w:pP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 xml:space="preserve">10. novembril 2016 käivitas Euroopa Komisjon avaliku konsultatsiooni, et koguda tagasisidet selle kohta, milliseid ELi meetmeid oleks vaja, et luua takistusi sellistele nõustajatele ja vahendajatele, kes aitavad kaasa võimaliku agressiivse maksuplaneerimise skeemidele. </w:t>
      </w:r>
    </w:p>
    <w:p>
      <w:pPr>
        <w:pBdr>
          <w:top w:val="nil"/>
          <w:left w:val="nil"/>
          <w:bottom w:val="nil"/>
          <w:right w:val="nil"/>
          <w:between w:val="nil"/>
          <w:bar w:val="nil"/>
        </w:pBdr>
        <w:spacing w:before="0" w:after="240"/>
        <w:rPr>
          <w:rFonts w:eastAsia="Arial Unicode MS"/>
          <w:noProof/>
        </w:rPr>
      </w:pPr>
      <w:r>
        <w:rPr>
          <w:noProof/>
        </w:rPr>
        <w:t>Esitati mitmeid võimalikke lahendusi ja sidusrühmad andsid tagasisidet 131 vastuses. Kõige rohkem vastuseid saadi äriliitudelt / ettevõtjate ühendustelt / kutseliitudelt (27% vastustest) ja eraisikutelt (20% vastustest). Geograafiliselt saadi kõige rohkem vastuseid Saksamaalt, mis moodustas 24% kõigist vastustest.</w:t>
      </w:r>
    </w:p>
    <w:p>
      <w:pPr>
        <w:pBdr>
          <w:top w:val="nil"/>
          <w:left w:val="nil"/>
          <w:bottom w:val="nil"/>
          <w:right w:val="nil"/>
          <w:between w:val="nil"/>
          <w:bar w:val="nil"/>
        </w:pBdr>
        <w:spacing w:before="0" w:after="240"/>
        <w:rPr>
          <w:rFonts w:eastAsia="Arial Unicode MS"/>
          <w:noProof/>
        </w:rPr>
      </w:pPr>
      <w:r>
        <w:rPr>
          <w:noProof/>
        </w:rPr>
        <w:t>46 vastuses nenditi, et nad on saanud maksualast nõustamist ja rohkem kui pooltel juhtudel oli see saadud maksunõustajatelt – suurim erialane rühm (52%). Lisaks mainis 30 vastajat, et nad annavad maksualast nõu ning pooled neist väitsid, et nad on säilitanud kontaktid maksuhalduritega.</w:t>
      </w:r>
    </w:p>
    <w:p>
      <w:pPr>
        <w:pStyle w:val="ManualHeading2"/>
        <w:rPr>
          <w:rFonts w:eastAsia="Arial Unicode MS"/>
          <w:noProof/>
          <w:u w:color="000000"/>
          <w:bdr w:val="nil"/>
        </w:rPr>
      </w:pPr>
      <w:r>
        <w:rPr>
          <w:noProof/>
        </w:rPr>
        <w:t>•</w:t>
      </w:r>
      <w:r>
        <w:rPr>
          <w:noProof/>
        </w:rPr>
        <w:tab/>
        <w:t>Liikmesriigid</w:t>
      </w:r>
    </w:p>
    <w:p>
      <w:pPr>
        <w:pBdr>
          <w:top w:val="nil"/>
          <w:left w:val="nil"/>
          <w:bottom w:val="nil"/>
          <w:right w:val="nil"/>
          <w:between w:val="nil"/>
          <w:bar w:val="nil"/>
        </w:pBdr>
        <w:spacing w:before="0" w:after="240"/>
        <w:rPr>
          <w:rFonts w:eastAsia="Arial Unicode MS"/>
          <w:noProof/>
        </w:rPr>
      </w:pPr>
      <w:r>
        <w:rPr>
          <w:noProof/>
        </w:rPr>
        <w:t>Kavandatava õigusakti põhimõtted on kooskõlas rahvusvahelise maksustamise valdkonna suundumustega, kuna need sisaldusid OECD/G20 maksubaasi kahanemise ja kasumi ümberpaigutamise vastases projektis. Enamik liikmesriike kuulub OECDsse, kes korraldas ajavahemikus 2013–2015 ulatuslikud avalikud konsultatsioonid sidusrühmadega iga maksubaasi kahanemise ja kasumi ümberpaigutamise vastase meetme kohta. Sellest tulenevalt on liikmesriigid, kes on OECD liikmed, osalenud pikkades ja üksikasjalikes aruteludes OECD maksubaasi kahanemise ja kasumi ümberpaigutamise vastaste meetmete kohta ja seega tuleks arvestada, et liikmesriikidega on selle algatuse puhul piisavalt konsulteeritud.</w:t>
      </w:r>
    </w:p>
    <w:p>
      <w:pPr>
        <w:pBdr>
          <w:top w:val="nil"/>
          <w:left w:val="nil"/>
          <w:bottom w:val="nil"/>
          <w:right w:val="nil"/>
          <w:between w:val="nil"/>
          <w:bar w:val="nil"/>
        </w:pBdr>
        <w:spacing w:before="0" w:after="240"/>
        <w:rPr>
          <w:rFonts w:eastAsia="Arial Unicode MS"/>
          <w:noProof/>
        </w:rPr>
      </w:pPr>
      <w:r>
        <w:rPr>
          <w:noProof/>
        </w:rPr>
        <w:t>Maksunduse ja tolliliidu peadirektoraat korraldas 2. märtsil 2017 IV töörühma koosoleku ning liikmesriikidel oli võimalus arutada võimaliku agressiivse maksuplaneerimise avalikustamist vahendajate poolt, millele järgneb automaatne teabevahetus maksuhaldurite vahel.</w:t>
      </w:r>
    </w:p>
    <w:p>
      <w:pPr>
        <w:pBdr>
          <w:top w:val="nil"/>
          <w:left w:val="nil"/>
          <w:bottom w:val="nil"/>
          <w:right w:val="nil"/>
          <w:between w:val="nil"/>
          <w:bar w:val="nil"/>
        </w:pBdr>
        <w:spacing w:before="0" w:after="240"/>
        <w:rPr>
          <w:rFonts w:eastAsia="Arial Unicode MS"/>
          <w:noProof/>
        </w:rPr>
      </w:pPr>
      <w:r>
        <w:rPr>
          <w:noProof/>
        </w:rPr>
        <w:t>Lisaks korraldas komisjon sihipärased arutelud liikmesriikide esindajatega, kellel on juba kogemusi seoses kohustuslike avalikustamise eeskirjadega riiklikul tasandil.</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rFonts w:eastAsia="Arial Unicode MS"/>
          <w:noProof/>
        </w:rPr>
      </w:pPr>
      <w:r>
        <w:rPr>
          <w:noProof/>
        </w:rPr>
        <w:t>Komisjon viis läbi asjakohaste poliitikavariantide mõjuhinnangu, mis sai õiguskontrollikomiteelt positiivse arvamuse 24. mail 2017 (SEC(2017) 307)</w:t>
      </w:r>
      <w:r>
        <w:rPr>
          <w:rStyle w:val="FootnoteReference"/>
          <w:noProof/>
        </w:rPr>
        <w:footnoteReference w:id="17"/>
      </w:r>
      <w:r>
        <w:rPr>
          <w:noProof/>
        </w:rPr>
        <w:t>. Õiguskontrollikomitee esitas mitmeid soovitusi, mida on arvesse võetud lõplikus mõjuhinnangu aruandes (SWD(2017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Erinevaid poliitikavariante hinnati tõhususe, tulemuslikkuse ja sidususe seisukohast võrreldes baasstsenaariumiga. Probleem on selles, kuidas kavandada proportsionaalne süsteem kõige agressiivsemate maksuplaneerimise vormide vastu. OECD aruandes maksubaasi kahanemise ja kasumi ümberpaigutamise 12. meetme kohta on esitatud lähenemisviisid, mida maksuhaldurid on kasutanud mitmes jurisdiktsioonis üle maailma, sealhulgas kolm kohustusliku avalikustamise korda ELis, ehk täpsemalt Iirimaal, Portugalis ja Ühendkuningriigis. </w:t>
      </w:r>
    </w:p>
    <w:p>
      <w:pPr>
        <w:pBdr>
          <w:top w:val="nil"/>
          <w:left w:val="nil"/>
          <w:bottom w:val="nil"/>
          <w:right w:val="nil"/>
          <w:between w:val="nil"/>
          <w:bar w:val="nil"/>
        </w:pBdr>
        <w:spacing w:before="0" w:after="240"/>
        <w:rPr>
          <w:rFonts w:eastAsia="Arial Unicode MS"/>
          <w:noProof/>
        </w:rPr>
      </w:pPr>
      <w:r>
        <w:rPr>
          <w:noProof/>
        </w:rPr>
        <w:t xml:space="preserve">Avaliku konsultatsiooni käigus esitati sidusrühmadele loetelu poliitikavariantidest. Mõned variandid puudutasid asjaomast õigusakti liiki kavandatava algatuse puhul. Kaalutleti kas õigusakt või pehme õigus soovituse või tegevusjuhendi kujul on optimaalsed lahendused. Variantide puhul, mis põhinevad kohustuslikel eeskirjadel, kutsuti sidusrühmi üles kaaluma võimalust leppida kokku ühises raamistikus maksuhaldurile teabe avalikustamiseks või avalikustamise sidumisega automaatse teabevahetusega kõigi ELi maksuhaldurite vahel. </w:t>
      </w:r>
    </w:p>
    <w:p>
      <w:pPr>
        <w:pBdr>
          <w:top w:val="nil"/>
          <w:left w:val="nil"/>
          <w:bottom w:val="nil"/>
          <w:right w:val="nil"/>
          <w:between w:val="nil"/>
          <w:bar w:val="nil"/>
        </w:pBdr>
        <w:spacing w:before="0" w:after="240"/>
        <w:rPr>
          <w:rFonts w:eastAsia="Arial Unicode MS"/>
          <w:noProof/>
        </w:rPr>
      </w:pPr>
      <w:r>
        <w:rPr>
          <w:noProof/>
        </w:rPr>
        <w:t>Pärast sidusrühmadega peetud konsultatsioone sai selgeks, et kõik poliitikavariandid, mis hõlmavad siduvaid eeskirju, tooks kaasa sarnase tulemuse. Seega (kohustuslik) andmete avalikustamine võimaldaks alati mingis vormis teabevahetust. Seda seetõttu, et omaalgatuslik teabevahetus moodustab osa halduskoostöö direktiivi üldraamistikust. Teabevahetus on erinevates vormides olemas kõigi poliitikavariantide puhul, mis hõlmavad andmete avalikustamist.</w:t>
      </w:r>
    </w:p>
    <w:p>
      <w:pPr>
        <w:pBdr>
          <w:top w:val="nil"/>
          <w:left w:val="nil"/>
          <w:bottom w:val="nil"/>
          <w:right w:val="nil"/>
          <w:between w:val="nil"/>
          <w:bar w:val="nil"/>
        </w:pBdr>
        <w:spacing w:before="0" w:after="240"/>
        <w:rPr>
          <w:rFonts w:eastAsia="Arial Unicode MS"/>
          <w:noProof/>
        </w:rPr>
      </w:pPr>
      <w:r>
        <w:rPr>
          <w:noProof/>
        </w:rPr>
        <w:t xml:space="preserve">Lisaks leiti, et poliitikavariantide ainus tõeline võrdlus saab tegelikkuses aset leida olukorras, kus on olemas kohustus avaldada teavet võimaliku agressiivse maksuplaneerimise kohta (koos teabevahetusega), ja olukorras, kus sellist kohustust ei ole, st </w:t>
      </w:r>
      <w:r>
        <w:rPr>
          <w:i/>
          <w:noProof/>
        </w:rPr>
        <w:t>status quo</w:t>
      </w:r>
      <w:r>
        <w:rPr>
          <w:noProof/>
        </w:rPr>
        <w:t xml:space="preserve">. Teabevahetuse piiramine üksnes võimalusega vahetada teavet omaalgatuslikult ei oleks kooskõlas mitmete algatustega, mida komisjon on viimasel ajal teinud läbipaistvuse valdkonnas. Seega hõlmab teabevahetuse raamistik automaatset teabevahetust nii eeskirjade puhul, millega rakendatakse ELis ühist aruandlusstandardit (CRS), kui ka piiriüleste eelotsuste puhul. </w:t>
      </w:r>
    </w:p>
    <w:p>
      <w:pPr>
        <w:pBdr>
          <w:top w:val="nil"/>
          <w:left w:val="nil"/>
          <w:bottom w:val="nil"/>
          <w:right w:val="nil"/>
          <w:between w:val="nil"/>
          <w:bar w:val="nil"/>
        </w:pBdr>
        <w:spacing w:before="0" w:after="240"/>
        <w:rPr>
          <w:rFonts w:eastAsia="Arial Unicode MS"/>
          <w:b/>
          <w:noProof/>
          <w:u w:val="single"/>
        </w:rPr>
      </w:pPr>
      <w:r>
        <w:rPr>
          <w:b/>
          <w:noProof/>
          <w:u w:val="single"/>
        </w:rPr>
        <w:t>Eelistatud poliitikavariant</w:t>
      </w:r>
    </w:p>
    <w:p>
      <w:pPr>
        <w:pBdr>
          <w:top w:val="nil"/>
          <w:left w:val="nil"/>
          <w:bottom w:val="nil"/>
          <w:right w:val="nil"/>
          <w:between w:val="nil"/>
          <w:bar w:val="nil"/>
        </w:pBdr>
        <w:spacing w:before="0" w:after="240"/>
        <w:rPr>
          <w:rFonts w:eastAsia="Arial Unicode MS"/>
          <w:noProof/>
        </w:rPr>
      </w:pPr>
      <w:r>
        <w:rPr>
          <w:noProof/>
        </w:rPr>
        <w:t>Eelistatud variant on nõue, et liikmesriigid i) kehtestavad sõnaselgelt oma riigi maksuhalduritele kohustuse avalikustada võimaliku agressiivse maksuplaneerimise skeemid, millel on piiriülene element; ning ii) tagavad, et oma riigi maksuhaldurid vahetavad seda teavet automaatselt teiste liikmesriikide maksuhalduritega mehhanismi kaudu, mis on kehtestatud halduskoostöö direktiiviga.</w:t>
      </w:r>
    </w:p>
    <w:p>
      <w:pPr>
        <w:pBdr>
          <w:top w:val="nil"/>
          <w:left w:val="nil"/>
          <w:bottom w:val="nil"/>
          <w:right w:val="nil"/>
          <w:between w:val="nil"/>
          <w:bar w:val="nil"/>
        </w:pBdr>
        <w:spacing w:before="0" w:after="240"/>
        <w:rPr>
          <w:rFonts w:eastAsia="Arial Unicode MS"/>
          <w:b/>
          <w:noProof/>
          <w:u w:val="single"/>
        </w:rPr>
      </w:pPr>
      <w:r>
        <w:rPr>
          <w:b/>
          <w:noProof/>
          <w:u w:val="single"/>
        </w:rPr>
        <w:t>Eelistatud poliitikavariandi eelised</w:t>
      </w:r>
    </w:p>
    <w:p>
      <w:pPr>
        <w:pBdr>
          <w:top w:val="nil"/>
          <w:left w:val="nil"/>
          <w:bottom w:val="nil"/>
          <w:right w:val="nil"/>
          <w:between w:val="nil"/>
          <w:bar w:val="nil"/>
        </w:pBdr>
        <w:spacing w:before="0" w:after="240"/>
        <w:rPr>
          <w:noProof/>
        </w:rPr>
      </w:pPr>
      <w:r>
        <w:rPr>
          <w:noProof/>
        </w:rPr>
        <w:t xml:space="preserve">Nõue teatada kohustusliku avalikustamise korra raames suurendab survet vahendajatele, et nad hoiduksid agressiivse maksuplaneerimise skeemide väljatöötamisest, turustamisest ja rakendamisest. Samuti ei soovi maksumaksjad luua või kasutada selliseid skeeme, kui nad teavad, et nendest tuleb teatada kohustusliku avalikustamise korra kohaselt. Maksuhalduritel on praegu piiratud teadmised välismaistest maksuplaneerimisskeemidest ning selline avalikustamine võiks anda neile ajakohast teavet, et oleks võimalik kiiresti reageerida, võttes meetmeid ning tehes õigusandlikke ja/või regulatiivseid muudatusi. Lisaks võiks andmeid kasutada riskide hindamiseks ja auditeerimiseks. Need eelised aitaks liikmesriikidel kaitsta oma maksubaasi ja suurendada/koguda maksutulu. Kohustusliku avalikustamise kord aitab ka luua võrdsed tingimused ettevõtjatele, kuna suuremad äriühingud kasutavad selliseid skeeme tõenäolisemalt kui VKEd, et hoiduda maksudest piiriüleses kontekstis. Ühiskondlikust vaatenurgast tagab kohustusliku avalikustamise süsteem õiglasema maksukeskkonna, võttes arvesse eespool nimetatud eeliseid. </w:t>
      </w: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Eelistatud poliitikavariandi kulud</w:t>
      </w:r>
    </w:p>
    <w:p>
      <w:pPr>
        <w:pBdr>
          <w:top w:val="nil"/>
          <w:left w:val="nil"/>
          <w:bottom w:val="nil"/>
          <w:right w:val="nil"/>
          <w:between w:val="nil"/>
          <w:bar w:val="nil"/>
        </w:pBdr>
        <w:spacing w:before="0" w:after="240"/>
        <w:rPr>
          <w:rFonts w:eastAsia="Arial Unicode MS"/>
          <w:noProof/>
        </w:rPr>
      </w:pPr>
      <w:r>
        <w:rPr>
          <w:noProof/>
        </w:rPr>
        <w:t>Ettepaneku kulud riigi maksutuludele sõltuvad sellest, kuidas liikmesriigid kohandavad oma õigusakte ja eraldavad rahalisi vahendeid oma avalikustamiskohustuse täitmiseks. Siiski on ette nähtud, et olemasolevad aruandlus- ja teabevahetussüsteemid, nagu maksualaste eelotsuste keskregister, loovad raamistiku, mis võib hõlmata automaatset teabevahetust riiklike ametiasutuste vahel seoses avaldatavate maksuplaneerimisskeemidega.</w:t>
      </w:r>
    </w:p>
    <w:p>
      <w:pPr>
        <w:pBdr>
          <w:top w:val="nil"/>
          <w:left w:val="nil"/>
          <w:bottom w:val="nil"/>
          <w:right w:val="nil"/>
          <w:between w:val="nil"/>
          <w:bar w:val="nil"/>
        </w:pBdr>
        <w:spacing w:before="0" w:after="240"/>
        <w:rPr>
          <w:rFonts w:eastAsia="Arial Unicode MS"/>
          <w:noProof/>
        </w:rPr>
      </w:pPr>
      <w:r>
        <w:rPr>
          <w:noProof/>
        </w:rPr>
        <w:t>Kulud vahendajatele peaks olema väga piiratud, kuna avalikustatav teave on tõenäoliselt olemas teabelehtedel, millega skeeme maksumaksjatele reklaamitakse. Ainult piiratud asjaoludel peaksid maksumaksjad ise teatama sellistest skeemidest ja kandma aruandluskohustusega seotud kulud.</w:t>
      </w:r>
    </w:p>
    <w:p>
      <w:pPr>
        <w:pBdr>
          <w:top w:val="nil"/>
          <w:left w:val="nil"/>
          <w:bottom w:val="nil"/>
          <w:right w:val="nil"/>
          <w:between w:val="nil"/>
          <w:bar w:val="nil"/>
        </w:pBdr>
        <w:spacing w:before="0" w:after="240"/>
        <w:rPr>
          <w:rFonts w:eastAsia="Arial Unicode MS"/>
          <w:b/>
          <w:noProof/>
          <w:u w:val="single"/>
        </w:rPr>
      </w:pPr>
      <w:r>
        <w:rPr>
          <w:b/>
          <w:noProof/>
          <w:u w:val="single"/>
        </w:rPr>
        <w:t>Õigusloome kvaliteet</w:t>
      </w:r>
    </w:p>
    <w:p>
      <w:pPr>
        <w:pBdr>
          <w:top w:val="nil"/>
          <w:left w:val="nil"/>
          <w:bottom w:val="nil"/>
          <w:right w:val="nil"/>
          <w:between w:val="nil"/>
          <w:bar w:val="nil"/>
        </w:pBdr>
        <w:spacing w:before="0" w:after="240"/>
        <w:rPr>
          <w:rFonts w:eastAsia="Arial Unicode MS"/>
          <w:noProof/>
        </w:rPr>
      </w:pPr>
      <w:r>
        <w:rPr>
          <w:noProof/>
        </w:rPr>
        <w:t xml:space="preserve">Ettepanek on kavandatud selliselt, et vähendada vahendajate, maksumaksjate ja riigiasutuste regulatiivne koormus miinimumini. Seega on eelistatud poliitikavariant proportsionaalne võimalus täheldatud probleemi lahendamiseks, sest see ei lähe aluslepingute eesmärgi – tagada paremini toimiv ja moonutusteta siseturg – saavutamiseks vajalikust kaugemale. Ühised eeskirjad piirduvad minimaalselt vajaliku ühise raamistiku loomisega potentsiaalselt kahjulike skeemide avalikustamiseks. Näiteks: </w:t>
      </w:r>
    </w:p>
    <w:p>
      <w:pPr>
        <w:ind w:left="567" w:hanging="567"/>
        <w:rPr>
          <w:noProof/>
        </w:rPr>
      </w:pPr>
      <w:r>
        <w:rPr>
          <w:noProof/>
        </w:rPr>
        <w:t>i)</w:t>
      </w:r>
      <w:r>
        <w:rPr>
          <w:noProof/>
        </w:rPr>
        <w:tab/>
        <w:t>Eeskirjades sätestatakse selged kohustused, et vältida topeltaruandlust.</w:t>
      </w:r>
    </w:p>
    <w:p>
      <w:pPr>
        <w:ind w:left="567" w:hanging="567"/>
        <w:rPr>
          <w:noProof/>
        </w:rPr>
      </w:pPr>
      <w:r>
        <w:rPr>
          <w:noProof/>
        </w:rPr>
        <w:t>ii)</w:t>
      </w:r>
      <w:r>
        <w:rPr>
          <w:noProof/>
        </w:rPr>
        <w:tab/>
        <w:t>Ühised eeskirjad piirduvad piiriüleste võimalike agressiivsete maksuplaneerimise skeemidega.</w:t>
      </w:r>
    </w:p>
    <w:p>
      <w:pPr>
        <w:ind w:left="567" w:hanging="567"/>
        <w:rPr>
          <w:noProof/>
        </w:rPr>
      </w:pPr>
      <w:r>
        <w:rPr>
          <w:noProof/>
        </w:rPr>
        <w:t>iii)</w:t>
      </w:r>
      <w:r>
        <w:rPr>
          <w:noProof/>
        </w:rPr>
        <w:tab/>
        <w:t>Teatatud maksuskeeme ei tule avaldada, üksnes automaatne teabevahetus ELi liikmesriikide vahel.</w:t>
      </w:r>
    </w:p>
    <w:p>
      <w:pPr>
        <w:ind w:left="567" w:hanging="567"/>
        <w:rPr>
          <w:noProof/>
        </w:rPr>
      </w:pPr>
      <w:r>
        <w:rPr>
          <w:noProof/>
        </w:rPr>
        <w:t>iv)</w:t>
      </w:r>
      <w:r>
        <w:rPr>
          <w:noProof/>
        </w:rPr>
        <w:tab/>
        <w:t xml:space="preserve">Karistuste määramine direktiivi ülevõtvate siseriiklike õigusnormide rikkumise eest jääb liikmesriikide suveräänse kontrolli alla. </w:t>
      </w:r>
    </w:p>
    <w:p>
      <w:pPr>
        <w:pBdr>
          <w:top w:val="nil"/>
          <w:left w:val="nil"/>
          <w:bottom w:val="nil"/>
          <w:right w:val="nil"/>
          <w:between w:val="nil"/>
          <w:bar w:val="nil"/>
        </w:pBdr>
        <w:spacing w:before="0" w:after="240"/>
        <w:rPr>
          <w:rFonts w:eastAsia="Arial Unicode MS"/>
          <w:noProof/>
        </w:rPr>
      </w:pPr>
      <w:r>
        <w:rPr>
          <w:noProof/>
        </w:rPr>
        <w:t xml:space="preserve">Ühtlustatud lähenemisviis jõuab punktini, kus pädevad siseriiklikud ametiasutused saavad teada potentsiaalselt agressiivsetest skeemidest. Seejärel on liikmesriikide otsustada, kuidas nad tegelevad ebaseaduslike skeemidega. </w:t>
      </w:r>
    </w:p>
    <w:p>
      <w:pPr>
        <w:pBdr>
          <w:top w:val="nil"/>
          <w:left w:val="nil"/>
          <w:bottom w:val="nil"/>
          <w:right w:val="nil"/>
          <w:between w:val="nil"/>
          <w:bar w:val="nil"/>
        </w:pBdr>
        <w:spacing w:before="0" w:after="240"/>
        <w:rPr>
          <w:rFonts w:eastAsia="Arial Unicode MS"/>
          <w:b/>
          <w:noProof/>
          <w:u w:val="single"/>
        </w:rPr>
      </w:pPr>
      <w:r>
        <w:rPr>
          <w:b/>
          <w:noProof/>
          <w:u w:val="single"/>
        </w:rPr>
        <w:t>Õigusakt</w:t>
      </w:r>
    </w:p>
    <w:p>
      <w:pPr>
        <w:pBdr>
          <w:top w:val="nil"/>
          <w:left w:val="nil"/>
          <w:bottom w:val="nil"/>
          <w:right w:val="nil"/>
          <w:between w:val="nil"/>
          <w:bar w:val="nil"/>
        </w:pBdr>
        <w:spacing w:before="0" w:after="240"/>
        <w:rPr>
          <w:rFonts w:eastAsia="Arial Unicode MS"/>
          <w:noProof/>
        </w:rPr>
      </w:pPr>
      <w:r>
        <w:rPr>
          <w:noProof/>
        </w:rPr>
        <w:t xml:space="preserve">Seadusandlike võimaluste puhul on kaalutud kolme varianti: </w:t>
      </w:r>
    </w:p>
    <w:p>
      <w:pPr>
        <w:pStyle w:val="Point1"/>
        <w:rPr>
          <w:noProof/>
        </w:rPr>
      </w:pPr>
      <w:r>
        <w:rPr>
          <w:noProof/>
        </w:rPr>
        <w:t>i.</w:t>
      </w:r>
      <w:r>
        <w:rPr>
          <w:noProof/>
        </w:rPr>
        <w:tab/>
        <w:t>komisjoni soovitus (mittesiduv õigusakt), et julgustada liikmesriike kehtestama kohustuslik avalikustamise kord ning äriühingute maksustamise käitumisjuhendi töörühmale viitamine;</w:t>
      </w:r>
    </w:p>
    <w:p>
      <w:pPr>
        <w:pStyle w:val="Point1"/>
        <w:rPr>
          <w:noProof/>
        </w:rPr>
      </w:pPr>
      <w:r>
        <w:rPr>
          <w:noProof/>
        </w:rPr>
        <w:t>ii.</w:t>
      </w:r>
      <w:r>
        <w:rPr>
          <w:noProof/>
        </w:rPr>
        <w:tab/>
        <w:t>ELi käitumisjuhend vahendajatele (mittesiduv õigusakt) teatud reguleeritud kutsealade puhul;</w:t>
      </w:r>
    </w:p>
    <w:p>
      <w:pPr>
        <w:pStyle w:val="Point1"/>
        <w:rPr>
          <w:noProof/>
        </w:rPr>
      </w:pPr>
      <w:r>
        <w:rPr>
          <w:noProof/>
        </w:rPr>
        <w:t>iii.</w:t>
      </w:r>
      <w:r>
        <w:rPr>
          <w:noProof/>
        </w:rPr>
        <w:tab/>
        <w:t>ELi direktiiv (siduv instrument), millega nõutakse liikmesriikidelt, et nad kehtestaksid kohustusliku avalikustamise korra koos teabe vahetamisega.</w:t>
      </w:r>
    </w:p>
    <w:p>
      <w:pPr>
        <w:pBdr>
          <w:top w:val="nil"/>
          <w:left w:val="nil"/>
          <w:bottom w:val="nil"/>
          <w:right w:val="nil"/>
          <w:between w:val="nil"/>
          <w:bar w:val="nil"/>
        </w:pBdr>
        <w:spacing w:before="0" w:after="240"/>
        <w:rPr>
          <w:rFonts w:eastAsia="Arial Unicode MS"/>
          <w:noProof/>
        </w:rPr>
      </w:pPr>
      <w:r>
        <w:rPr>
          <w:noProof/>
        </w:rPr>
        <w:t>Variantide kaalumisel leiti, et eelistatud poliitikavariant on direktiivi vormis. Analüüs näitab, et kõnealusel võimalusel on selged eelised tõhususe, tulemuslikkuse ja sidususe seisukohast, kuna see aitaks lahendada tuvastatud probleeme kõige vähem kulukalt. Lisaks on direktiiv parem kui võimalus üldse meetmeid mitte võtta.</w:t>
      </w:r>
    </w:p>
    <w:p>
      <w:pPr>
        <w:pStyle w:val="ManualHeading1"/>
        <w:rPr>
          <w:noProof/>
        </w:rPr>
      </w:pPr>
      <w:r>
        <w:rPr>
          <w:noProof/>
        </w:rPr>
        <w:t>4.</w:t>
      </w:r>
      <w:r>
        <w:rPr>
          <w:noProof/>
        </w:rPr>
        <w:tab/>
        <w:t>MÕJU EELARVELE</w:t>
      </w:r>
    </w:p>
    <w:p>
      <w:pPr>
        <w:rPr>
          <w:noProof/>
        </w:rPr>
      </w:pPr>
      <w:r>
        <w:rPr>
          <w:noProof/>
        </w:rPr>
        <w:t>Vt finantsselgitus</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Liikmesriigid edastavad igal aastal komisjonile hinnangu automaatse teabevahetuse tõhususe kohta ja tegelikult saavutatud tulemused. Liikmesriigid peavad käesoleva direktiivi hindamiseks esitama ka asjakohase teabe ja statistiliste andmete loetelu, mille on kindlaks määranud komisjon kooskõlas artikli 26 lõikes 2 sätestatud korraga (rakendusmeetmed). Iga viie aasta järel alates 1. jaanuarist 2013 esitab komisjon Euroopa Parlamendile ja nõukogule aruande käesoleva direktiivi kohaldamise kohta. Käesoleva ettepaneku (millega muudetakse halduskoostöö direktiivi) tulemused kaasatakse Euroopa Parlamendile ja nõukogule esitatavasse hindamisaruandesse, mis avaldatakse 1. jaanuaril 2023.</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after="240"/>
        <w:rPr>
          <w:rFonts w:eastAsia="Arial Unicode MS"/>
          <w:noProof/>
          <w:szCs w:val="24"/>
        </w:rPr>
      </w:pPr>
      <w:r>
        <w:rPr>
          <w:noProof/>
        </w:rPr>
        <w:t>Ei kohaldata</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spacing w:before="0" w:after="240"/>
        <w:rPr>
          <w:rFonts w:eastAsia="Arial Unicode MS"/>
          <w:noProof/>
        </w:rPr>
      </w:pPr>
      <w:r>
        <w:rPr>
          <w:noProof/>
        </w:rPr>
        <w:t>Kavandatud õigusakt hõlmab peamiselt järgmisi elemente.</w:t>
      </w:r>
    </w:p>
    <w:p>
      <w:pPr>
        <w:pStyle w:val="Bullet0"/>
        <w:numPr>
          <w:ilvl w:val="0"/>
          <w:numId w:val="11"/>
        </w:numPr>
        <w:rPr>
          <w:b/>
          <w:noProof/>
        </w:rPr>
      </w:pPr>
      <w:r>
        <w:rPr>
          <w:b/>
          <w:noProof/>
        </w:rPr>
        <w:t>Avalikustamine maksuhalduritele koos automaatse teabevahetusega</w:t>
      </w:r>
    </w:p>
    <w:p>
      <w:pPr>
        <w:pStyle w:val="Text1"/>
        <w:rPr>
          <w:noProof/>
        </w:rPr>
      </w:pPr>
      <w:r>
        <w:rPr>
          <w:noProof/>
        </w:rPr>
        <w:t xml:space="preserve">Kavandatava direktiiviga pannakse vahendajatele kohustus avalikustada võimaliku agressiivse maksuplaneerimise skeemid, kui nad sellistes skeemides osalevad oma kutsetegevuse raames neid välja töötades ja edendades. Kohustus on piiratud piiriüleste olukordadega, st olukordadega, mis hõlmavad kas rohkem kui üht liikmesriiki või liikmesriiki ja kolmandat riiki. Üksnes sellises olukorras esineb võimalik mõju siseturu toimimisele, mis õigustab vajadust kehtestada ühtne eeskirjade kogum ning mitte jätta kõnealune küsimus liikmesriikide tasandil lahendatavaks. Kavandatud meetmete maksimaalse tõhususe tagamiseks ning võttes arvesse teatatavate skeemide piiriülest mõõdet, tuleks avalikustatud teavet vahetada automaatselt riiklike maksuhaldurite vahel. Tegelikkuses toimub teabevahetus eeskirjade kohaselt nii, et avalikustatud skeemid saadetakse keskregistrisse, millele on juurdepääs kõigil liikmesriikidel. </w:t>
      </w:r>
    </w:p>
    <w:p>
      <w:pPr>
        <w:pStyle w:val="Text1"/>
        <w:rPr>
          <w:noProof/>
        </w:rPr>
      </w:pPr>
      <w:r>
        <w:rPr>
          <w:noProof/>
        </w:rPr>
        <w:t>Komisjonil on samuti piiratud juurdepääs vahetatud teabele (samal tasemel, kui piiriüleste eelotsuste puhul), et jälgida direktiivi nõuetekohast toimimist.</w:t>
      </w:r>
    </w:p>
    <w:p>
      <w:pPr>
        <w:pStyle w:val="Bullet0"/>
        <w:numPr>
          <w:ilvl w:val="0"/>
          <w:numId w:val="20"/>
        </w:numPr>
        <w:rPr>
          <w:b/>
          <w:noProof/>
        </w:rPr>
      </w:pPr>
      <w:r>
        <w:rPr>
          <w:b/>
          <w:noProof/>
        </w:rPr>
        <w:t>Kellel lasub avalikustamiskoormus</w:t>
      </w:r>
    </w:p>
    <w:p>
      <w:pPr>
        <w:pStyle w:val="Text1"/>
        <w:rPr>
          <w:noProof/>
        </w:rPr>
      </w:pPr>
      <w:r>
        <w:rPr>
          <w:noProof/>
        </w:rPr>
        <w:t xml:space="preserve">Avalikustamiskohustus puudutab selliseid „isikuid“ (st füüsilisi või juriidilisi isikud või juriidilise isiku staatuseta üksuseid), kes on vahendajad. </w:t>
      </w:r>
    </w:p>
    <w:p>
      <w:pPr>
        <w:pStyle w:val="Text1"/>
        <w:rPr>
          <w:i/>
          <w:noProof/>
          <w:u w:val="single"/>
        </w:rPr>
      </w:pPr>
      <w:r>
        <w:rPr>
          <w:i/>
          <w:noProof/>
          <w:u w:val="single"/>
        </w:rPr>
        <w:t>Vahendaja puudumine direktiivi tähenduses</w:t>
      </w:r>
    </w:p>
    <w:p>
      <w:pPr>
        <w:pStyle w:val="Text1"/>
        <w:rPr>
          <w:noProof/>
        </w:rPr>
      </w:pPr>
      <w:r>
        <w:rPr>
          <w:noProof/>
        </w:rPr>
        <w:t>Avalikustamiskohustus ei kuulu vahendaja puhul täitmisele, kui tegemist on kutsesaladusega või vahendaja lihtsalt ei asu Euroopa Liidus. Samuti ei pruugi vahendajat olla, kui maksumaksja kavandab ja rakendab skeemi ettevõttesiseselt. Sellisel juhul maksuhaldur ei kaota võimalust saada teavet maksudega seotud skeemidest, mis võivad olla seotud agressiivse maksuplaneerimise struktuuridega. Avalikustamiskohustus on sel juhul maksumaksjal, kes skeemi kasutab.</w:t>
      </w:r>
    </w:p>
    <w:p>
      <w:pPr>
        <w:pStyle w:val="Bullet0"/>
        <w:numPr>
          <w:ilvl w:val="0"/>
          <w:numId w:val="20"/>
        </w:numPr>
        <w:rPr>
          <w:b/>
          <w:noProof/>
        </w:rPr>
      </w:pPr>
      <w:r>
        <w:rPr>
          <w:b/>
          <w:noProof/>
        </w:rPr>
        <w:t>Vahendajana või maksumaksjana kvalifitseerub rohkem kui üks isik</w:t>
      </w:r>
    </w:p>
    <w:p>
      <w:pPr>
        <w:pStyle w:val="Text1"/>
        <w:rPr>
          <w:noProof/>
        </w:rPr>
      </w:pPr>
      <w:r>
        <w:rPr>
          <w:noProof/>
        </w:rPr>
        <w:t>On tavaline, et vahendaja asub mitmes liikmesriigis büroona, ettevõttena jne, ning kaasab ka teatavate skeemide korral teisi kohalikke sõltumatuid maksunõustajaid. Sellisel juhul esitab nõutavad andmed maksuhaldurile vaid vahendaja, kes kannab vastutust maksumaksja(te) ees seoses skeemide väljatöötamise ja rakendamisega.</w:t>
      </w:r>
    </w:p>
    <w:p>
      <w:pPr>
        <w:pStyle w:val="Text1"/>
        <w:rPr>
          <w:noProof/>
        </w:rPr>
      </w:pPr>
      <w:r>
        <w:rPr>
          <w:noProof/>
        </w:rPr>
        <w:t>Kui kohustus esitada teavet lasub maksumaksjal ning avalikustatavat piiriülest maksuskeemi kavatseb kasutada rohkem kui üks seotud osapool, on teabe esitamine selle maksumaksja ülesanne, kes vastutas vahendajaga skeemi kokkuleppimise eest.</w:t>
      </w:r>
    </w:p>
    <w:p>
      <w:pPr>
        <w:pStyle w:val="Bullet0"/>
        <w:numPr>
          <w:ilvl w:val="0"/>
          <w:numId w:val="20"/>
        </w:numPr>
        <w:rPr>
          <w:b/>
          <w:noProof/>
        </w:rPr>
      </w:pPr>
      <w:r>
        <w:rPr>
          <w:b/>
          <w:noProof/>
        </w:rPr>
        <w:t>Avalikustamise aeg ja automaatne teabevahetus</w:t>
      </w:r>
    </w:p>
    <w:p>
      <w:pPr>
        <w:pStyle w:val="Text1"/>
        <w:rPr>
          <w:noProof/>
        </w:rPr>
      </w:pPr>
      <w:r>
        <w:rPr>
          <w:noProof/>
        </w:rPr>
        <w:t>Kuna avalikustamine saavutab oma eeldatava hoiatava mõju paremini, kui asjaomane teave jõuab maksuhalduritele varakult, on kavandatavas õigusaktis ette nähtud, et piiriülesed skeemid tuleb avalikustada enne kui neid tegelikult rakendatakse. Vahendajad avalikustavad skeemid 5 päeva jooksul alates päevast, mil skeemid maksumaksjale rakendamiseks kättesaadavaks said.</w:t>
      </w:r>
    </w:p>
    <w:p>
      <w:pPr>
        <w:pStyle w:val="Text1"/>
        <w:rPr>
          <w:noProof/>
        </w:rPr>
      </w:pPr>
      <w:r>
        <w:rPr>
          <w:noProof/>
        </w:rPr>
        <w:t>Kui avalikustamine on vastutava vahendaja puudumisel nihkunud maksumaksjale, on avalikustamise tähtaeg veidi hilisem: 5 päeva alates päevast, mil piiriülest skeemi või esimest sammu skeemide seeriast rakendati.</w:t>
      </w:r>
    </w:p>
    <w:p>
      <w:pPr>
        <w:pStyle w:val="Text1"/>
        <w:rPr>
          <w:noProof/>
        </w:rPr>
      </w:pPr>
      <w:r>
        <w:rPr>
          <w:noProof/>
        </w:rPr>
        <w:t>Sellele järgnev automaatne teabevahetus nende skeemide kohta toimub kord kvartalis. Tänu selle teabe varasemale avalikustamisele saavad maksuhaldurid, kes on kõige tugevamalt skeemidega seotud, piisavalt andmeid, et võtta maksustamise vältimise vastu varakult meetmeid.</w:t>
      </w:r>
    </w:p>
    <w:p>
      <w:pPr>
        <w:pStyle w:val="Bullet0"/>
        <w:numPr>
          <w:ilvl w:val="0"/>
          <w:numId w:val="20"/>
        </w:numPr>
        <w:rPr>
          <w:b/>
          <w:noProof/>
        </w:rPr>
      </w:pPr>
      <w:r>
        <w:rPr>
          <w:b/>
          <w:noProof/>
        </w:rPr>
        <w:t>Tunnuste loetelu selmet defineerida agressiivne maksuplaneerimine</w:t>
      </w:r>
    </w:p>
    <w:p>
      <w:pPr>
        <w:pStyle w:val="Text1"/>
        <w:rPr>
          <w:noProof/>
        </w:rPr>
      </w:pPr>
      <w:r>
        <w:rPr>
          <w:noProof/>
        </w:rPr>
        <w:t>Agressiivse maksuplaneerimise mõiste defineerimine võib osutuda tarbetuks. Seda seetõttu, et agressiivse maksuplaneerimise struktuurid on aastate jooksul muutunud iseäranis keeruliseks ning neid kohandatakse ja muudetakse pidevalt, et reageerida maksuhaldurite vastumeetmetele. Seetõttu sisalduvad kavandatavas õigusaktis sellised tehingute omadused ja elemendid, mis annavad selgelt märku maksustamise vältimisest või kuritarvitustest. Neid omadusi ja elemente nimetatakse tunnusteks ja piisab vaid ühe olemasolust, et skeemist tuleks maksuhalduritele teatada.</w:t>
      </w:r>
    </w:p>
    <w:p>
      <w:pPr>
        <w:pStyle w:val="Bullet0"/>
        <w:numPr>
          <w:ilvl w:val="0"/>
          <w:numId w:val="20"/>
        </w:numPr>
        <w:rPr>
          <w:b/>
          <w:noProof/>
        </w:rPr>
      </w:pPr>
      <w:r>
        <w:rPr>
          <w:b/>
          <w:noProof/>
        </w:rPr>
        <w:t>Automaatne teabevahetus ELi ühise teabevõrgu (CCN) kaudu</w:t>
      </w:r>
    </w:p>
    <w:p>
      <w:pPr>
        <w:pStyle w:val="Text1"/>
        <w:rPr>
          <w:noProof/>
        </w:rPr>
      </w:pPr>
      <w:r>
        <w:rPr>
          <w:noProof/>
        </w:rPr>
        <w:t>Seoses kohustusliku automaatse teabevahetuse toimimisega osutatakse kavandatavas direktiivis nõukogu direktiiviga 2015/2376/EL kehtestatud mehhanismile, st ühisele teabevõrgule (CCN). See moodustab teabevahetuse ühise raamistiku ja sel eesmärgil laiendatakse selle kohaldamisala.</w:t>
      </w:r>
    </w:p>
    <w:p>
      <w:pPr>
        <w:pStyle w:val="Text1"/>
        <w:rPr>
          <w:noProof/>
        </w:rPr>
      </w:pPr>
      <w:r>
        <w:rPr>
          <w:noProof/>
        </w:rPr>
        <w:t>Teave salvestatakse maksustamise valdkonna halduskoostöö turvalises keskregistris. Liikmesriigid kehtestavad mitu tegutsemiskorda, sealhulgas meetmed, millega ühtlustatakse kogu vajaliku teabe edastamine tüüpvormi loomise teel. Määratakse kindlaks kavandatava teabevahetuse keelelised nõuded ja CCN-võrgu vastav ajakohastamine.</w:t>
      </w:r>
    </w:p>
    <w:p>
      <w:pPr>
        <w:pStyle w:val="Bullet0"/>
        <w:numPr>
          <w:ilvl w:val="0"/>
          <w:numId w:val="20"/>
        </w:numPr>
        <w:rPr>
          <w:b/>
          <w:noProof/>
        </w:rPr>
      </w:pPr>
      <w:r>
        <w:rPr>
          <w:b/>
          <w:noProof/>
        </w:rPr>
        <w:t>Tõhusad karistused rikkumiste eest riiklikul tasandil</w:t>
      </w:r>
    </w:p>
    <w:p>
      <w:pPr>
        <w:pStyle w:val="Text1"/>
        <w:rPr>
          <w:noProof/>
        </w:rPr>
      </w:pPr>
      <w:r>
        <w:rPr>
          <w:noProof/>
        </w:rPr>
        <w:t>Kavandatav õigusakt jätab liikmesriikide ülesandeks kehtestada karistused, mida kohaldatakse nende riiklike eeskirjade rikkumise korral, millega käesolev direktiiv võetakse üle siseriiklikusse õiguskorda. Liikmesriigid võtavad kõik vajalikud meetmed, et ühist raamistikku rakendataks. Karistused peavad olema tõhusad, proportsionaalsed ja hoiatavad.</w:t>
      </w:r>
    </w:p>
    <w:p>
      <w:pPr>
        <w:pStyle w:val="Bullet0"/>
        <w:numPr>
          <w:ilvl w:val="0"/>
          <w:numId w:val="20"/>
        </w:numPr>
        <w:rPr>
          <w:b/>
          <w:noProof/>
        </w:rPr>
      </w:pPr>
      <w:r>
        <w:rPr>
          <w:b/>
          <w:noProof/>
        </w:rPr>
        <w:t>Rakendusmeetmed</w:t>
      </w:r>
    </w:p>
    <w:p>
      <w:pPr>
        <w:pStyle w:val="Text1"/>
        <w:rPr>
          <w:noProof/>
        </w:rPr>
      </w:pPr>
      <w:r>
        <w:rPr>
          <w:noProof/>
        </w:rPr>
        <w:t xml:space="preserve">Selleks et tagada ühetaolised tingimused kavandatud direktiivi rakendamisel ja täpsemalt kohustuslik automaatne teabevahetus maksuhaldurite vahel, on komisjonile antud rakendusvolitused järgmistes küsimustes: </w:t>
      </w:r>
    </w:p>
    <w:p>
      <w:pPr>
        <w:pStyle w:val="Point1"/>
        <w:rPr>
          <w:noProof/>
        </w:rPr>
      </w:pPr>
      <w:r>
        <w:rPr>
          <w:noProof/>
        </w:rPr>
        <w:t>i.</w:t>
      </w:r>
      <w:r>
        <w:rPr>
          <w:noProof/>
        </w:rPr>
        <w:tab/>
        <w:t>Võtta vastu piiratud arvus osadega tüüpvorm, sealhulgas keeleline korraldus;</w:t>
      </w:r>
    </w:p>
    <w:p>
      <w:pPr>
        <w:pStyle w:val="Point1"/>
        <w:rPr>
          <w:noProof/>
        </w:rPr>
      </w:pPr>
      <w:r>
        <w:rPr>
          <w:noProof/>
        </w:rPr>
        <w:t>ii.</w:t>
      </w:r>
      <w:r>
        <w:rPr>
          <w:noProof/>
        </w:rPr>
        <w:tab/>
        <w:t xml:space="preserve">Võtta vastu vajalik tegutsemiskord maksualase halduskoostöö keskregistri uuendamiseks. </w:t>
      </w:r>
    </w:p>
    <w:p>
      <w:pPr>
        <w:pStyle w:val="Text1"/>
        <w:rPr>
          <w:noProof/>
        </w:rPr>
      </w:pPr>
      <w:r>
        <w:rPr>
          <w:noProof/>
        </w:rPr>
        <w:t>Kõnealuseid volitusi kasutatakse kooskõlas Euroopa Parlamendi ja nõukogu määrusega (EÜ) nr 182/2011.</w:t>
      </w:r>
    </w:p>
    <w:p>
      <w:pPr>
        <w:pStyle w:val="Bullet0"/>
        <w:numPr>
          <w:ilvl w:val="0"/>
          <w:numId w:val="20"/>
        </w:numPr>
        <w:rPr>
          <w:b/>
          <w:noProof/>
        </w:rPr>
      </w:pPr>
      <w:r>
        <w:rPr>
          <w:b/>
          <w:noProof/>
        </w:rPr>
        <w:t>Delegeeritud õigusaktid</w:t>
      </w:r>
    </w:p>
    <w:p>
      <w:pPr>
        <w:pStyle w:val="Text1"/>
        <w:rPr>
          <w:noProof/>
        </w:rPr>
      </w:pPr>
      <w:r>
        <w:rPr>
          <w:noProof/>
        </w:rPr>
        <w:t>Selleks et käsitleda võimalikku vajadust ajakohastada tunnuseid, mis põhinevad avalikustamisest saadud teabel, on antud komisjonile õigus võtta vastu õigusakte kooskõlas Euroopa Liidu toimimise lepingu artikliga 290.</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Ettepanek:</w:t>
      </w:r>
    </w:p>
    <w:p>
      <w:pPr>
        <w:pStyle w:val="Typedudocument"/>
        <w:rPr>
          <w:noProof/>
        </w:rPr>
      </w:pPr>
      <w:r>
        <w:rPr>
          <w:noProof/>
        </w:rPr>
        <w:t>NÕUKOGU DIREKTIIV,</w:t>
      </w:r>
    </w:p>
    <w:p>
      <w:pPr>
        <w:pStyle w:val="Titreobjet"/>
        <w:rPr>
          <w:noProof/>
        </w:rPr>
      </w:pPr>
      <w:r>
        <w:rPr>
          <w:noProof/>
        </w:rPr>
        <w:t>millega muudetakse direktiivi 2011/16/EL seoses kohustusliku automaatse teabevahetusega maksustamise valdkonnas avalikustatavate piiriüleste skeemide puhul</w:t>
      </w:r>
    </w:p>
    <w:p>
      <w:pPr>
        <w:pStyle w:val="Institutionquiagit"/>
        <w:rPr>
          <w:noProof/>
        </w:rPr>
      </w:pPr>
      <w:r>
        <w:rPr>
          <w:noProof/>
        </w:rPr>
        <w:t>EUROOPA LIIDU NÕUKOGU,</w:t>
      </w:r>
    </w:p>
    <w:p>
      <w:pPr>
        <w:rPr>
          <w:noProof/>
        </w:rPr>
      </w:pPr>
      <w:r>
        <w:rPr>
          <w:noProof/>
        </w:rPr>
        <w:t>võttes arvesse Euroopa Liidu toimimise lepingut, eriti selle artikleid 113 ja 115,</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Parlamendi arvamust</w:t>
      </w:r>
      <w:r>
        <w:rPr>
          <w:rStyle w:val="FootnoteReference"/>
          <w:noProof/>
        </w:rPr>
        <w:footnoteReference w:id="19"/>
      </w:r>
      <w:r>
        <w:rPr>
          <w:noProof/>
        </w:rPr>
        <w:t xml:space="preserve">, </w:t>
      </w:r>
    </w:p>
    <w:p>
      <w:pPr>
        <w:rPr>
          <w:noProof/>
        </w:rPr>
      </w:pPr>
      <w:r>
        <w:rPr>
          <w:noProof/>
        </w:rPr>
        <w:t>võttes arvesse Euroopa Majandus- ja Sotsiaalkomitee arvamust</w:t>
      </w:r>
      <w:r>
        <w:rPr>
          <w:rStyle w:val="FootnoteReference"/>
          <w:noProof/>
        </w:rPr>
        <w:footnoteReference w:id="20"/>
      </w:r>
      <w:r>
        <w:rPr>
          <w:noProof/>
        </w:rPr>
        <w:t>,</w:t>
      </w:r>
    </w:p>
    <w:p>
      <w:pPr>
        <w:rPr>
          <w:noProof/>
        </w:rPr>
      </w:pPr>
      <w:r>
        <w:rPr>
          <w:noProof/>
        </w:rPr>
        <w:t>toimides seadusandliku erimenetluse kohaselt</w:t>
      </w:r>
    </w:p>
    <w:p>
      <w:pPr>
        <w:rPr>
          <w:i/>
          <w:noProof/>
        </w:rPr>
      </w:pPr>
    </w:p>
    <w:p>
      <w:pPr>
        <w:rPr>
          <w:noProof/>
        </w:rPr>
      </w:pPr>
      <w:r>
        <w:rPr>
          <w:noProof/>
        </w:rPr>
        <w:t>ning arvestades järgmist:</w:t>
      </w:r>
    </w:p>
    <w:p>
      <w:pPr>
        <w:pStyle w:val="ManualConsidrant"/>
        <w:rPr>
          <w:noProof/>
        </w:rPr>
      </w:pPr>
      <w:r>
        <w:t>(1)</w:t>
      </w:r>
      <w:r>
        <w:tab/>
      </w:r>
      <w:r>
        <w:rPr>
          <w:noProof/>
        </w:rPr>
        <w:t>Selleks et võtta arvesse uusi algatusi maksustamise läbipaistvuse valdkonnas liidu tasandil, on nõukogu direktiivi 2011/16/EL</w:t>
      </w:r>
      <w:r>
        <w:rPr>
          <w:rStyle w:val="FootnoteReference"/>
          <w:noProof/>
        </w:rPr>
        <w:footnoteReference w:id="21"/>
      </w:r>
      <w:r>
        <w:rPr>
          <w:noProof/>
        </w:rPr>
        <w:t xml:space="preserve"> viimaste aastate jooksul korduvalt muudetud. Sellega seoses võeti nõukogu direktiiviga (EL) 2014/107</w:t>
      </w:r>
      <w:r>
        <w:rPr>
          <w:rStyle w:val="FootnoteReference"/>
          <w:noProof/>
        </w:rPr>
        <w:footnoteReference w:id="22"/>
      </w:r>
      <w:r>
        <w:rPr>
          <w:noProof/>
        </w:rPr>
        <w:t xml:space="preserve"> kasutusele finantskontosid käsitleva teabe aruandluse ühine standard Euroopa Liidus. Kõnealuse standardiga, mille töötas välja OECD ülemaailmse foorumi raames, nähakse ette automaatne teabevahetus finantskontode kohta, mis kuuluvad mittemaksustatavatele residentidele, ning luuakse raamistik sellise teabevahetuse jaoks kogu maailmas. Direktiivi 2011/16/EL muudeti nõukogu direktiiviga (EL) 2015/2376,</w:t>
      </w:r>
      <w:r>
        <w:rPr>
          <w:rStyle w:val="FootnoteReference"/>
          <w:noProof/>
        </w:rPr>
        <w:footnoteReference w:id="23"/>
      </w:r>
      <w:r>
        <w:rPr>
          <w:noProof/>
        </w:rPr>
        <w:t xml:space="preserve"> millega nähti ette automaatne teabevahetus piiriüleste maksualaste eelotsuste puhul, ja nõukogu direktiivi 2016/881/EL,</w:t>
      </w:r>
      <w:r>
        <w:rPr>
          <w:rStyle w:val="FootnoteReference"/>
          <w:noProof/>
        </w:rPr>
        <w:footnoteReference w:id="24"/>
      </w:r>
      <w:r>
        <w:rPr>
          <w:noProof/>
        </w:rPr>
        <w:t xml:space="preserve"> millega nähti ette avalikustamine ja kohustuslik automaatne teabevahetus maksuhaldurite vahel hargmaiseid ettevõtjaid käsitlevate riigipõhiste aruannete puhul. Olles teadlik, millist kasu võib rahapesu käsitlev teave maksuhalduritele tuua, pandi nõukogu direktiiviga (EL) 2016/2258</w:t>
      </w:r>
      <w:r>
        <w:rPr>
          <w:rStyle w:val="FootnoteReference"/>
          <w:noProof/>
        </w:rPr>
        <w:footnoteReference w:id="25"/>
      </w:r>
      <w:r>
        <w:rPr>
          <w:noProof/>
        </w:rPr>
        <w:t xml:space="preserve"> liikmesriikidele kohustus anda maksuhalduritele juurdepääs finantsasutuste poolt klientide suhtes kohaldatavatele hoolsusmeetmetele vastavalt Euroopa Parlamendi ja nõukogu direktiivile 2015/849/EL</w:t>
      </w:r>
      <w:r>
        <w:rPr>
          <w:rStyle w:val="FootnoteReference"/>
          <w:noProof/>
        </w:rPr>
        <w:footnoteReference w:id="26"/>
      </w:r>
      <w:r>
        <w:rPr>
          <w:noProof/>
        </w:rPr>
        <w:t>. Kuigi direktiivi 2011/16/EL on mitu korda muudetud, et suurendada võimalusi, mida maksuhaldurid saavad kasutada võitluses maksupettuste ja maksudest kõrvalehoidumisega, tuleb veel tugevdada olemasoleva maksustamisraamistiku teatavaid läbipaistvuse aspekte.</w:t>
      </w:r>
    </w:p>
    <w:p>
      <w:pPr>
        <w:pStyle w:val="ManualConsidrant"/>
        <w:rPr>
          <w:noProof/>
        </w:rPr>
      </w:pPr>
      <w:r>
        <w:t>(2)</w:t>
      </w:r>
      <w:r>
        <w:tab/>
      </w:r>
      <w:r>
        <w:rPr>
          <w:noProof/>
        </w:rPr>
        <w:t>Liikmesriikidel on üha raskem kaitsta oma riigi maksubaasi kahanemise eest, kuna maksuplaneerimise struktuurid on muutunud erakordselt keerukateks ning kasutavad sageli ära nii kapitali kui ka isikute suurenenud liikuvust siseturul. Üldiselt koosnevad need struktuurid skeemidest, mis toimivad eri jurisdiktsioonides ning millega liigutatakse maksustatav tulu soodsamasse maksukeskkonda või vähendatakse üldist maksukoormust. Selle tulemusena väheneb sageli oluliselt liikmesriikide maksutulu, mis takistab neil majanduskasvu soodustava maksupoliitika kohaldamist. Seetõttu on oluline, et liikmesriikide maksuhaldurid saaksid põhjalikku ja asjakohast teavet võimaliku agressiivse maksuplaneerimise kohta. Kõnealune teave võimaldaks maksuhalduritel kiiresti reageerida kahjulikele maksutavadele ning kaotada seaduselüngad, kehtestades õigusakte või tehes asjakohaseid riskihinnanguid ja maksuauditeid.</w:t>
      </w:r>
    </w:p>
    <w:p>
      <w:pPr>
        <w:pStyle w:val="ManualConsidrant"/>
        <w:rPr>
          <w:noProof/>
        </w:rPr>
      </w:pPr>
      <w:r>
        <w:t>(3)</w:t>
      </w:r>
      <w:r>
        <w:tab/>
      </w:r>
      <w:r>
        <w:rPr>
          <w:noProof/>
        </w:rPr>
        <w:t>Arvestades, et enamik võimaliku agressiivse maksuplaneerimise skeemidest hõlmab rohkem kui üht jurisdiktsiooni, annaks sellise teabe avalikustamine täiendavaid positiivseid tulemusi, kui teavet vahetatakse ka liikmesriikide vahel. Teabevahetus maksuasutuste vahel on otsustava tähtsusega, et anda neile vajalikku teavet, mis võimaldab võtta meetmeid, kui täheldatakse agressiivset maksuplaneerimist.</w:t>
      </w:r>
    </w:p>
    <w:p>
      <w:pPr>
        <w:pStyle w:val="ManualConsidrant"/>
        <w:rPr>
          <w:noProof/>
        </w:rPr>
      </w:pPr>
      <w:r>
        <w:t>(4)</w:t>
      </w:r>
      <w:r>
        <w:tab/>
      </w:r>
      <w:r>
        <w:rPr>
          <w:noProof/>
        </w:rPr>
        <w:t>Tunnistades, et läbipaistev raamistik äritegevuse arendamiseks võib aidata kaasa maksustamise vältimise ja maksudest kõrvalehoidumise vähendamisele siseturul, on komisjon kutsutud üles käivitama algatusi võimaliku agressiivse maksuplaneerimise skeemide kohustuslikuks avalikustamiseks kooskõlas OECD maksubaasi kahanemise ja kasumi ümberpaigutamise projekti 12. meetmega. Sellega seoses on Euroopa Parlament nõudnud karmimaid meetmeid vahendajate suhtes, kes aitavad kaasa skeemidele, mis võivad viia maksudest kõrvalehoidumise ja maksude vältimiseni.</w:t>
      </w:r>
    </w:p>
    <w:p>
      <w:pPr>
        <w:pStyle w:val="ManualConsidrant"/>
        <w:rPr>
          <w:noProof/>
        </w:rPr>
      </w:pPr>
      <w:r>
        <w:t>(5)</w:t>
      </w:r>
      <w:r>
        <w:tab/>
      </w:r>
      <w:r>
        <w:rPr>
          <w:noProof/>
        </w:rPr>
        <w:t>On vajalik meelde tuletada, kuidas teatavad finantsvahendajad ja muud maksunõustajad on aktiivselt aidanud oma klientide raha välismaal varjata. Kuigi nõukogu direktiiviga 2014/107/EL</w:t>
      </w:r>
      <w:r>
        <w:rPr>
          <w:rStyle w:val="FootnoteReference"/>
          <w:noProof/>
        </w:rPr>
        <w:footnoteReference w:id="27"/>
      </w:r>
      <w:r>
        <w:rPr>
          <w:noProof/>
        </w:rPr>
        <w:t xml:space="preserve"> kehtestatud ühine aruandlusstandard on märkimisväärne edusamm maksualase läbipaistvuse raamistiku loomises liidus, vähemalt seoses finantskontosid puudutava teabega, on selles parandamisruumi.</w:t>
      </w:r>
    </w:p>
    <w:p>
      <w:pPr>
        <w:pStyle w:val="ManualConsidrant"/>
        <w:rPr>
          <w:noProof/>
        </w:rPr>
      </w:pPr>
      <w:r>
        <w:t>(6)</w:t>
      </w:r>
      <w:r>
        <w:tab/>
      </w:r>
      <w:r>
        <w:rPr>
          <w:noProof/>
        </w:rPr>
        <w:t>Piiriülest mõõdet omavate potentsiaalselt agressiivse maksuplaneerimise skeemide avalikustamine aitaks tõhusalt kaasa õiglase maksukeskkonna loomisele siseturul. Vahendajate kohustus teavitada maksuhaldureid teatavatest piiriülestest skeemidest, mida saab kasutada maksudest kõrvalehoidumise eesmärgil, oleks samm õiges suunas. Terviklikuma poliitika kujundamiseks oleks oluline, et teise sammuna pärast avalikustamist vahetaksid maksuhaldurid teavet oma kolleegidega teistes liikmesriikides. Selline kokkuleppe peaks tõhustama ka ühise aruandlusstandardi tõhusust. Väga oluline on anda komisjonile juurdepääs piisavale hulgale teabele, et ta saaks kontrollida käesoleva direktiivi nõuetekohast toimimist. Komisjoni juurdepääs teabele ei vabasta liikmesriiki kohustusest teatada komisjonile mis tahes riigiabist.</w:t>
      </w:r>
    </w:p>
    <w:p>
      <w:pPr>
        <w:pStyle w:val="ManualConsidrant"/>
        <w:rPr>
          <w:noProof/>
        </w:rPr>
      </w:pPr>
      <w:r>
        <w:t>(7)</w:t>
      </w:r>
      <w:r>
        <w:tab/>
      </w:r>
      <w:r>
        <w:rPr>
          <w:noProof/>
        </w:rPr>
        <w:t xml:space="preserve">Tunnistatakse, et potentsiaalselt agressiivsete piiriüleste maksuplaneerimise skeemide avalikustamine saavutaks oma kavandatud hoiatava mõju paremini, kui asjakohane teave jõuaks maksuhalduriteni varases etapis, st enne kui avalikustatud skeeme tegelikult rakendatakse. Kui avalikustamiskohustus jääb maksumaksjate kanda, oleks otstarbekas kehtestada kohustus avalikustada piiriülesed võimaliku agressiivse maksuplaneerimise skeemid veidi hiljem, kuna maksumaksjad ei pruugi olla skeemi jõustumise ajal selle olemusest teadlikud. Liikmesriikide ametiasutuste töö hõlbustamiseks peaks avalikustamisele järgnev teabe automaatne vahetamine toimuma kord kvartalis. </w:t>
      </w:r>
    </w:p>
    <w:p>
      <w:pPr>
        <w:pStyle w:val="ManualConsidrant"/>
        <w:rPr>
          <w:noProof/>
        </w:rPr>
      </w:pPr>
      <w:r>
        <w:t>(8)</w:t>
      </w:r>
      <w:r>
        <w:tab/>
      </w:r>
      <w:r>
        <w:rPr>
          <w:noProof/>
        </w:rPr>
        <w:t>Selleks, et tagada siseturu nõuetekohane toimimine ja hoida ära lüngad kavandatud eeskirjade raamistikus, peaks avalikustamise kohustus lasuma kõikidel osalejatel, kes on tavaliselt kaasatud avalikustatava piiriülese tehingu või tehingute seeria väljatöötamisse, turustamisse, korraldamisse või haldamisse, ning samuti neil, kes abistavad või nõustavad. Samuti ei tohiks jätta tähelepanuta seda, et teatavatel juhtudel ei oleks vahendajal kohustust avalikustada, kuna tegemist on kutsesaladusega, või vahendajat ei ole näiteks seetõttu, et maksumaksja kavandab ja rakendab skeemi ise. Oleks oluline, et sellisel juhul maksuhaldur ei kaotaks võimalust saada teavet maksudega seotud skeemidest, mis võivad olla seotud agressiivse maksuplaneerimisega. Sellistel juhtudel tuleks avalikustamiskohustus suunata maksumaksjale, kes saab skeemist kasu.</w:t>
      </w:r>
    </w:p>
    <w:p>
      <w:pPr>
        <w:pStyle w:val="ManualConsidrant"/>
        <w:rPr>
          <w:noProof/>
        </w:rPr>
      </w:pPr>
      <w:r>
        <w:t>(9)</w:t>
      </w:r>
      <w:r>
        <w:tab/>
      </w:r>
      <w:r>
        <w:rPr>
          <w:noProof/>
        </w:rPr>
        <w:t>Agressiivse maksuplaneerimise skeemid on aastate jooksul muutunud iseäranis keeruliseks ning neid kohandatakse ja muudetakse pidevalt, et reageerida maksuhaldurite vastumeetmetele. Seda arvesse võttes oleks tõhusam, et võimaliku agressiivse maksuplaneerimise skeemide tuvastamisel lähtutaks tehingute selliste omaduste ja elementide nimekirjast, mis kujutavad endast tõsist märki maksustamise vältimisest või kuritarvitustest, selmet defineerida agressiivne maksuplaneerimine. Neid märke nimetatakse tunnusteks.</w:t>
      </w:r>
    </w:p>
    <w:p>
      <w:pPr>
        <w:pStyle w:val="ManualConsidrant"/>
        <w:rPr>
          <w:noProof/>
        </w:rPr>
      </w:pPr>
      <w:r>
        <w:t>(10)</w:t>
      </w:r>
      <w:r>
        <w:tab/>
      </w:r>
      <w:r>
        <w:rPr>
          <w:noProof/>
        </w:rPr>
        <w:t>Kuna õigusakti esmane eesmärk peaks olema tagada siseturu nõuetekohane toimimine, oleks ülioluline, et reguleerimine liidu tasandil ei läheks kaugemale sellest, mis on vajalik kavandatud eesmärkide saavutamiseks. Seetõttu peaksid avalikustamise ühised eeskirjad piirnema ainult piiriüleste olukordadega, st olukordadega, mis hõlmavad kas rohkem kui üht liikmesriiki või liikmesriiki ja kolmandat riiki. Sellistes olukordades esineb võimalik mõju siseturu toimimisele, mis õigustab vajadust kehtestada ühtne eeskirjade kogum ning mitte jätta kõnealune küsimus liikmesriikide tasandil lahendatavaks.</w:t>
      </w:r>
    </w:p>
    <w:p>
      <w:pPr>
        <w:pStyle w:val="ManualConsidrant"/>
        <w:rPr>
          <w:noProof/>
        </w:rPr>
      </w:pPr>
      <w:r>
        <w:t>(11)</w:t>
      </w:r>
      <w:r>
        <w:tab/>
      </w:r>
      <w:r>
        <w:rPr>
          <w:noProof/>
        </w:rPr>
        <w:t xml:space="preserve">Arvestades, et avalikustatud skeemid peaksid olema piiriülese mõõtmega, oleks oluline vahetada asjakohast teavet teiste liikmesriikide maksuhalduritega, et tagada käesoleva direktiivi maksimaalne tõhusus agressiivse maksuplaneerimise takistamisel. Mehhanismi, mida kasutatakse teabe vahetamiseks piiriüleste eelotsuste ja siirdehindade eelkokkulepete puhul, tuleks kasutada ka selleks, et hõlmata kohustuslik automaatne teabevahetus liidu maksuhaldurite vahel piiriüleste võimaliku agressiivse maksuplaneerimise skeemide puhul. </w:t>
      </w:r>
    </w:p>
    <w:p>
      <w:pPr>
        <w:pStyle w:val="ManualConsidrant"/>
        <w:rPr>
          <w:noProof/>
        </w:rPr>
      </w:pPr>
      <w:r>
        <w:t>(12)</w:t>
      </w:r>
      <w:r>
        <w:tab/>
      </w:r>
      <w:r>
        <w:rPr>
          <w:noProof/>
        </w:rPr>
        <w:t>Automaatse teabevahetuse lihtsustamiseks ja ressursside tõhusaks kasutamiseks peaks teabevahetus toimuma liidu loodud ühise teabevõrgu (CCN) kaudu. Teave salvestataks maksustamise valdkonna halduskoostöö turvalises keskregistris. Liikmesriigid rakendaksid ka mitmed praktilised kokkulepped, sealhulgas meetmed, millega ühtlustatakse kogu vajaliku teabe edastamine tüüpvormi loomise teel. Samuti määrataks kindlaks kavandatava teabevahetuse keelelised nõuded ja CCN-võrgu vastav ajakohastamine.</w:t>
      </w:r>
    </w:p>
    <w:p>
      <w:pPr>
        <w:pStyle w:val="ManualConsidrant"/>
        <w:rPr>
          <w:noProof/>
        </w:rPr>
      </w:pPr>
      <w:r>
        <w:t>(13)</w:t>
      </w:r>
      <w:r>
        <w:tab/>
      </w:r>
      <w:r>
        <w:rPr>
          <w:noProof/>
        </w:rPr>
        <w:t>Selleks et parandada käesoleva direktiivi tõhusust, peaksid liikmesriigid kehtestama karistused käesolevat direktiivi rakendavate siseriiklike eeskirjade rikkumise eest ning tagama, et neid karistusi ka praktikas rakendatakse ning et karistused on proportsionaalsed ja neil on hoiatav mõju.</w:t>
      </w:r>
    </w:p>
    <w:p>
      <w:pPr>
        <w:pStyle w:val="ManualConsidrant"/>
        <w:rPr>
          <w:noProof/>
        </w:rPr>
      </w:pPr>
      <w:r>
        <w:t>(14)</w:t>
      </w:r>
      <w:r>
        <w:tab/>
      </w:r>
      <w:r>
        <w:rPr>
          <w:noProof/>
        </w:rPr>
        <w:t>Selleks et täiendada või muuta käesoleva direktiivi teatavaid vähemolulisi elemente, peaks komisjonil olema õigus võtta kooskõlas Euroopa Liidu toimimise lepingu artikliga 290 vastu õigusakte, et ajakohastada tunnuseid, kandes tunnuste loetellu võimaliku agressiivse maksuplaneerimise skeemi või skeemid, pidades silmas ajakohastatud teavet kõnealuse skeemi või kõnealuste skeemide kohta, mis on saadud selliste skeemide kohustuslikust avalikustamisest.</w:t>
      </w:r>
    </w:p>
    <w:p>
      <w:pPr>
        <w:pStyle w:val="ManualConsidrant"/>
        <w:rPr>
          <w:noProof/>
        </w:rPr>
      </w:pPr>
      <w:r>
        <w:t>(15)</w:t>
      </w:r>
      <w:r>
        <w:tab/>
      </w:r>
      <w:r>
        <w:rPr>
          <w:noProof/>
        </w:rPr>
        <w:t>Selleks et tagada ühetaolised tingimused käesoleva direktiivi rakendamiseks, eelkõige seoses automaatse teabevahetusega maksuhaldurite vahel, tuleks komisjonile anda rakendamisvolitused, et võtta vastu piiratud arvu osadega tüüpvorm, sealhulgas keeleline korraldus. Samadel põhjustel tuleks komisjonile anda rakendamisvolitused, et võtta vastu vajalik p tegutsemiskord maksualase halduskoostöö keskregistri uuendamiseks. Neid volitusi tuleks teostada kooskõlas Euroopa Parlamendi ja nõukogu määrusega (EL) nr 182/2011</w:t>
      </w:r>
      <w:r>
        <w:rPr>
          <w:rStyle w:val="FootnoteReference"/>
          <w:noProof/>
        </w:rPr>
        <w:footnoteReference w:id="28"/>
      </w:r>
      <w:r>
        <w:rPr>
          <w:noProof/>
        </w:rPr>
        <w:t>.</w:t>
      </w:r>
    </w:p>
    <w:p>
      <w:pPr>
        <w:pStyle w:val="ManualConsidrant"/>
        <w:rPr>
          <w:noProof/>
        </w:rPr>
      </w:pPr>
      <w:r>
        <w:t>(16)</w:t>
      </w:r>
      <w:r>
        <w:tab/>
      </w:r>
      <w:r>
        <w:rPr>
          <w:noProof/>
        </w:rPr>
        <w:t>Euroopa Andmekaitseinspektoriga konsulteeriti vastavalt Euroopa Parlamendi ja nõukogu määruse (EÜ) nr 45/2001</w:t>
      </w:r>
      <w:r>
        <w:rPr>
          <w:rStyle w:val="FootnoteReference"/>
          <w:noProof/>
        </w:rPr>
        <w:footnoteReference w:id="29"/>
      </w:r>
      <w:r>
        <w:rPr>
          <w:noProof/>
        </w:rPr>
        <w:t xml:space="preserve"> artikli 28 lõikele 2. Isikuandmete mis tahes töötlemine käesoleva direktiivi raamistikus peab vastama Euroopa Parlamendi ja nõukogu direktiivile 95/46/EÜ</w:t>
      </w:r>
      <w:r>
        <w:rPr>
          <w:rStyle w:val="FootnoteReference"/>
          <w:noProof/>
        </w:rPr>
        <w:footnoteReference w:id="30"/>
      </w:r>
      <w:r>
        <w:rPr>
          <w:noProof/>
        </w:rPr>
        <w:t xml:space="preserve"> ja määrusele (EÜ) nr 45/2001.</w:t>
      </w:r>
    </w:p>
    <w:p>
      <w:pPr>
        <w:pStyle w:val="ManualConsidrant"/>
        <w:rPr>
          <w:noProof/>
        </w:rPr>
      </w:pPr>
      <w:r>
        <w:t>(17)</w:t>
      </w:r>
      <w:r>
        <w:tab/>
      </w:r>
      <w:r>
        <w:rPr>
          <w:noProof/>
        </w:rPr>
        <w:t>Käesolevas direktiivis austatakse põhiõigusi ja järgitakse eelkõige Euroopa Liidu põhiõiguste hartas tunnustatud põhimõtteid.</w:t>
      </w:r>
      <w:r>
        <w:rPr>
          <w:i/>
          <w:noProof/>
        </w:rPr>
        <w:t xml:space="preserve"> </w:t>
      </w:r>
    </w:p>
    <w:p>
      <w:pPr>
        <w:pStyle w:val="ManualConsidrant"/>
        <w:rPr>
          <w:noProof/>
        </w:rPr>
      </w:pPr>
      <w:r>
        <w:t>(18)</w:t>
      </w:r>
      <w:r>
        <w:tab/>
      </w:r>
      <w:r>
        <w:rPr>
          <w:noProof/>
        </w:rPr>
        <w:t xml:space="preserve">Kuna käesoleva direktiivi eesmärki – parandada siseturu toimimist, takistades piiriüleste agressiivse maksuplaneerimise skeemide kasutamist – ei saa piisaval määral saavutada liikmesriikide poolt iseseisvalt ja koordineerimatult, küll aga saab seda paremini saavutada liidu tasandil, kuna see on suunatud skeemidele, mis on välja töötatud, et potentsiaalselt kasutada turu ebatõhusust, mis tuleneb erinevate siseriiklike maksueeskirjade omavahelistest seostest, võib liit võtta meetmeid kooskõlas subsidiaarsuse põhimõttega, nagu on sätestatud Euroopa Liidu lepingu artiklis 5. Kõnealuses artiklis sätestatud proportsionaalsuse põhimõtte kohaselt ei lähe käesolev direktiiv nimetatud eesmärgi saavutamiseks vajalikust kaugemale, pidades eelkõige silmas, et see on piiratud piiriüleste skeemidega kas rohkem kui ühe liikmesriigi või liikmesriigi ja kolmanda riigi vahel. </w:t>
      </w:r>
    </w:p>
    <w:p>
      <w:pPr>
        <w:pStyle w:val="ManualConsidrant"/>
        <w:rPr>
          <w:noProof/>
        </w:rPr>
      </w:pPr>
      <w:r>
        <w:t>(19)</w:t>
      </w:r>
      <w:r>
        <w:tab/>
      </w:r>
      <w:r>
        <w:rPr>
          <w:noProof/>
        </w:rPr>
        <w:t>Direktiivi 2011/16/EL tuleks seetõttu vastavalt muuta,</w:t>
      </w:r>
    </w:p>
    <w:p>
      <w:pPr>
        <w:rPr>
          <w:noProof/>
        </w:rPr>
      </w:pPr>
    </w:p>
    <w:p>
      <w:pPr>
        <w:pStyle w:val="Formuledadoption"/>
        <w:rPr>
          <w:noProof/>
        </w:rPr>
      </w:pPr>
      <w:r>
        <w:rPr>
          <w:noProof/>
        </w:rPr>
        <w:t>ON VASTU VÕTNUD KÄESOLEVA DIREKTIIVI:</w:t>
      </w:r>
    </w:p>
    <w:p>
      <w:pPr>
        <w:pStyle w:val="Titrearticle"/>
        <w:rPr>
          <w:noProof/>
        </w:rPr>
      </w:pPr>
      <w:r>
        <w:rPr>
          <w:noProof/>
        </w:rPr>
        <w:t>Artikkel 1</w:t>
      </w:r>
    </w:p>
    <w:p>
      <w:pPr>
        <w:rPr>
          <w:noProof/>
        </w:rPr>
      </w:pPr>
    </w:p>
    <w:p>
      <w:pPr>
        <w:rPr>
          <w:noProof/>
        </w:rPr>
      </w:pPr>
      <w:r>
        <w:rPr>
          <w:noProof/>
        </w:rPr>
        <w:t>Direktiivi 2011/16/EL muudetakse järgmiselt.</w:t>
      </w:r>
    </w:p>
    <w:p>
      <w:pPr>
        <w:pStyle w:val="Point0number"/>
        <w:numPr>
          <w:ilvl w:val="0"/>
          <w:numId w:val="13"/>
        </w:numPr>
        <w:rPr>
          <w:noProof/>
        </w:rPr>
      </w:pPr>
      <w:r>
        <w:rPr>
          <w:noProof/>
        </w:rPr>
        <w:t>Artiklit 3 muudetakse järgmiselt:</w:t>
      </w:r>
    </w:p>
    <w:p>
      <w:pPr>
        <w:pStyle w:val="Point1letter"/>
        <w:numPr>
          <w:ilvl w:val="3"/>
          <w:numId w:val="19"/>
        </w:numPr>
        <w:rPr>
          <w:noProof/>
        </w:rPr>
      </w:pPr>
      <w:r>
        <w:rPr>
          <w:noProof/>
        </w:rPr>
        <w:t>punkti 9 muudetakse järgmiselt:</w:t>
      </w:r>
    </w:p>
    <w:p>
      <w:pPr>
        <w:pStyle w:val="Point1"/>
        <w:rPr>
          <w:noProof/>
        </w:rPr>
      </w:pPr>
      <w:r>
        <w:rPr>
          <w:noProof/>
        </w:rPr>
        <w:t>i)</w:t>
      </w:r>
      <w:r>
        <w:rPr>
          <w:noProof/>
        </w:rPr>
        <w:tab/>
        <w:t>punkt a asendatakse järgmisega:</w:t>
      </w:r>
    </w:p>
    <w:p>
      <w:pPr>
        <w:pStyle w:val="Point2"/>
        <w:rPr>
          <w:noProof/>
        </w:rPr>
      </w:pPr>
      <w:r>
        <w:rPr>
          <w:noProof/>
        </w:rPr>
        <w:t>„a)</w:t>
      </w:r>
      <w:r>
        <w:rPr>
          <w:noProof/>
        </w:rPr>
        <w:tab/>
        <w:t>artikli 8 lõike 1 ning artiklite 8a, 8aa ja 8aaa kohaldamisel eelnevalt määratletud teabe korrapärane edastamine eelnevalt kindlaksmääratud korrapäraste ajavahemike tagant teisele liikmesriigile ilma eelneva taotluseta. Artikli 8 lõike 1 kohaldamisel on viide kättesaadavale teabele seotud teavet edastava liikmesriigi maksutoimikus oleva teabega, mis on kättesaadav kooskõlas kõnealuses liikmesriigis teabe kogumist ja töötlemist käsitlevate menetlustega;“</w:t>
      </w:r>
    </w:p>
    <w:p>
      <w:pPr>
        <w:pStyle w:val="Point1"/>
        <w:rPr>
          <w:noProof/>
        </w:rPr>
      </w:pPr>
      <w:r>
        <w:rPr>
          <w:noProof/>
        </w:rPr>
        <w:t>ii)</w:t>
      </w:r>
      <w:r>
        <w:rPr>
          <w:noProof/>
        </w:rPr>
        <w:tab/>
        <w:t xml:space="preserve">punkt c asendatakse järgmisega: </w:t>
      </w:r>
    </w:p>
    <w:p>
      <w:pPr>
        <w:pStyle w:val="Point2"/>
        <w:rPr>
          <w:noProof/>
        </w:rPr>
      </w:pPr>
      <w:r>
        <w:rPr>
          <w:noProof/>
        </w:rPr>
        <w:t>„c)</w:t>
      </w:r>
      <w:r>
        <w:rPr>
          <w:noProof/>
        </w:rPr>
        <w:tab/>
        <w:t>kõikide käesoleva direktiivi sätete (välja arvatud artikli 8 lõiked 1 ja 3a ning artiklid 8a, 8aa ja 8aaa) kohaldamisel käesoleva punkti alapunktides a ja b sätestatud eelnevalt määratletud teabe korrapärane edastamine“;</w:t>
      </w:r>
    </w:p>
    <w:p>
      <w:pPr>
        <w:rPr>
          <w:noProof/>
        </w:rPr>
      </w:pPr>
    </w:p>
    <w:p>
      <w:pPr>
        <w:pStyle w:val="Point1letter"/>
        <w:numPr>
          <w:ilvl w:val="3"/>
          <w:numId w:val="19"/>
        </w:numPr>
        <w:rPr>
          <w:noProof/>
        </w:rPr>
      </w:pPr>
      <w:r>
        <w:rPr>
          <w:noProof/>
        </w:rPr>
        <w:t>lisatakse järgmised punktid:</w:t>
      </w:r>
    </w:p>
    <w:p>
      <w:pPr>
        <w:pStyle w:val="Point1"/>
        <w:rPr>
          <w:noProof/>
        </w:rPr>
      </w:pPr>
      <w:r>
        <w:rPr>
          <w:noProof/>
        </w:rPr>
        <w:t>„18.</w:t>
      </w:r>
      <w:r>
        <w:rPr>
          <w:noProof/>
        </w:rPr>
        <w:tab/>
        <w:t xml:space="preserve">„piiriülene skeem või skeemide seeria“ – maksuplaneerimise skeem või maksuplaneerimise skeemide seeria kas ühes või enamas liikmesriigis või liikmesriigis ja kolmandas riigis, kui täidetud on vähemalt üks järgmistest tingimustest: </w:t>
      </w:r>
    </w:p>
    <w:p>
      <w:pPr>
        <w:pStyle w:val="Point2"/>
        <w:rPr>
          <w:noProof/>
        </w:rPr>
      </w:pPr>
      <w:r>
        <w:rPr>
          <w:noProof/>
        </w:rPr>
        <w:t>a)</w:t>
      </w:r>
      <w:r>
        <w:rPr>
          <w:noProof/>
        </w:rPr>
        <w:tab/>
        <w:t xml:space="preserve">mitte kõik skeemis või skeemide seerias osalejad ei ole ühe ja sama jurisdiktsiooni maksuresidendid; </w:t>
      </w:r>
    </w:p>
    <w:p>
      <w:pPr>
        <w:pStyle w:val="Point2"/>
        <w:rPr>
          <w:noProof/>
        </w:rPr>
      </w:pPr>
      <w:r>
        <w:rPr>
          <w:noProof/>
        </w:rPr>
        <w:t>b)</w:t>
      </w:r>
      <w:r>
        <w:rPr>
          <w:noProof/>
        </w:rPr>
        <w:tab/>
        <w:t xml:space="preserve">üks või enam skeemis või skeemide seerias osalejatest on ühel ja samal ajal maksuresident rohkem kui ühes jurisdiktsioonis; </w:t>
      </w:r>
    </w:p>
    <w:p>
      <w:pPr>
        <w:pStyle w:val="Point2"/>
        <w:rPr>
          <w:noProof/>
        </w:rPr>
      </w:pPr>
      <w:r>
        <w:rPr>
          <w:noProof/>
        </w:rPr>
        <w:t>c)</w:t>
      </w:r>
      <w:r>
        <w:rPr>
          <w:noProof/>
        </w:rPr>
        <w:tab/>
        <w:t>ühe või enama skeemis või skeemide seerias osaleja majandustegevus toimub mõnes teises jurisdiktsioonis seal asuva püsiva tegevuskoha kaudu ja selle skeemi või skeemide seeria näol on tegemist püsiva tegevuskoha kogu majandustegevusega või osaga sellest;</w:t>
      </w:r>
    </w:p>
    <w:p>
      <w:pPr>
        <w:pStyle w:val="Point2"/>
        <w:rPr>
          <w:noProof/>
        </w:rPr>
      </w:pPr>
      <w:r>
        <w:rPr>
          <w:noProof/>
        </w:rPr>
        <w:t>d)</w:t>
      </w:r>
      <w:r>
        <w:rPr>
          <w:noProof/>
        </w:rPr>
        <w:tab/>
        <w:t>ühe või enama skeemis või skeemide seerias osaleja majandustegevus toimub mõnes teises jurisdiktsioonis püsiva tegevuskoha kaudu, mis ei asu selles jurisdiktsioonis, ja selle skeemi või skeemide seeria näol on tegemist püsiva tegevuskoha kogu majandustegevusega või osaga sellest;</w:t>
      </w:r>
    </w:p>
    <w:p>
      <w:pPr>
        <w:pStyle w:val="Point2"/>
        <w:rPr>
          <w:noProof/>
        </w:rPr>
      </w:pPr>
      <w:r>
        <w:rPr>
          <w:noProof/>
        </w:rPr>
        <w:t>e)</w:t>
      </w:r>
      <w:r>
        <w:rPr>
          <w:noProof/>
        </w:rPr>
        <w:tab/>
        <w:t>skeemil või skeemide seerial on maksualane mõju vähemalt kahes jurisdiktsioonis;</w:t>
      </w:r>
    </w:p>
    <w:p>
      <w:pPr>
        <w:pStyle w:val="Point1"/>
        <w:rPr>
          <w:noProof/>
        </w:rPr>
      </w:pPr>
      <w:r>
        <w:rPr>
          <w:noProof/>
        </w:rPr>
        <w:t>19.</w:t>
      </w:r>
      <w:r>
        <w:rPr>
          <w:noProof/>
        </w:rPr>
        <w:tab/>
        <w:t>„avalikustatav piiriülene skeem“ – mis tahes piiriülene skeem või skeemide seeria, millel on vähemalt üks IV lisas loetletud tunnus;</w:t>
      </w:r>
    </w:p>
    <w:p>
      <w:pPr>
        <w:pStyle w:val="Point1"/>
        <w:rPr>
          <w:noProof/>
        </w:rPr>
      </w:pPr>
      <w:r>
        <w:rPr>
          <w:noProof/>
        </w:rPr>
        <w:t>20.</w:t>
      </w:r>
      <w:r>
        <w:rPr>
          <w:noProof/>
        </w:rPr>
        <w:tab/>
        <w:t>„tunnus“ – IV lisas loetletud skeemile või skeemide seeriale omane joon või omadus;</w:t>
      </w:r>
    </w:p>
    <w:p>
      <w:pPr>
        <w:pStyle w:val="Point1"/>
        <w:rPr>
          <w:noProof/>
        </w:rPr>
      </w:pPr>
      <w:r>
        <w:rPr>
          <w:noProof/>
        </w:rPr>
        <w:t>21.</w:t>
      </w:r>
      <w:r>
        <w:rPr>
          <w:noProof/>
        </w:rPr>
        <w:tab/>
        <w:t>„vahendaja“ – iga isik, kes vastutab maksumaksja ees avalikustatava piiriülese skeemi või skeemide seeria maksualaste aspektide rakendamise väljatöötamise, turustamise, korraldamise või haldamise eest maksualaste teenuste pakkumise käigus. „Vahendaja“ tähendab ka iga isikut, kes kohustub kas otse või endaga seotud teiste isikute kaudu andma materiaalset abi, tuge või nõu seoses skeemi või skeemide seeria maksualaste aspektide rakendamise väljatöötamise, turustamise, korraldamise või haldamisega.</w:t>
      </w:r>
    </w:p>
    <w:p>
      <w:pPr>
        <w:pStyle w:val="Text2"/>
        <w:rPr>
          <w:noProof/>
        </w:rPr>
      </w:pPr>
      <w:r>
        <w:rPr>
          <w:noProof/>
        </w:rPr>
        <w:t>Selleks et olla vahendaja, peab isik vastama veel vähemalt ühele järgmistest tingimustest:</w:t>
      </w:r>
    </w:p>
    <w:p>
      <w:pPr>
        <w:pStyle w:val="Point2"/>
        <w:rPr>
          <w:noProof/>
        </w:rPr>
      </w:pPr>
      <w:r>
        <w:rPr>
          <w:noProof/>
        </w:rPr>
        <w:t>a)</w:t>
      </w:r>
      <w:r>
        <w:rPr>
          <w:noProof/>
        </w:rPr>
        <w:tab/>
        <w:t>isik on asutatud liikmesriigis ja/või tema suhtes kehtivad liikmesriigi õigusnormid;</w:t>
      </w:r>
    </w:p>
    <w:p>
      <w:pPr>
        <w:pStyle w:val="Point2"/>
        <w:rPr>
          <w:noProof/>
        </w:rPr>
      </w:pPr>
      <w:r>
        <w:rPr>
          <w:noProof/>
        </w:rPr>
        <w:t>b)</w:t>
      </w:r>
      <w:r>
        <w:rPr>
          <w:noProof/>
        </w:rPr>
        <w:tab/>
        <w:t>isik on liikmesriigi maksuresident;</w:t>
      </w:r>
    </w:p>
    <w:p>
      <w:pPr>
        <w:pStyle w:val="Point2"/>
        <w:rPr>
          <w:noProof/>
        </w:rPr>
      </w:pPr>
      <w:r>
        <w:rPr>
          <w:noProof/>
        </w:rPr>
        <w:t>c)</w:t>
      </w:r>
      <w:r>
        <w:rPr>
          <w:noProof/>
        </w:rPr>
        <w:tab/>
        <w:t>isik on registreeritud vähemalt ühes liikmesriigis õigusalase või maksualase nõustamise teenuseid või konsultatsiooniteenuseid pakkuva kutseühenduse juures;</w:t>
      </w:r>
    </w:p>
    <w:p>
      <w:pPr>
        <w:pStyle w:val="Point2"/>
        <w:rPr>
          <w:noProof/>
        </w:rPr>
      </w:pPr>
      <w:r>
        <w:rPr>
          <w:noProof/>
        </w:rPr>
        <w:t>d)</w:t>
      </w:r>
      <w:r>
        <w:rPr>
          <w:noProof/>
        </w:rPr>
        <w:tab/>
        <w:t>isikul on asukoht vähemalt ühes liikmesriigis, kus ta osutab õigusalase või maksualase nõustamise teenuseid või konsultatsiooniteenuseid;</w:t>
      </w:r>
    </w:p>
    <w:p>
      <w:pPr>
        <w:pStyle w:val="Point1"/>
        <w:rPr>
          <w:noProof/>
        </w:rPr>
      </w:pPr>
      <w:r>
        <w:rPr>
          <w:noProof/>
        </w:rPr>
        <w:t>22.</w:t>
      </w:r>
      <w:r>
        <w:rPr>
          <w:noProof/>
        </w:rPr>
        <w:tab/>
        <w:t>„maksumaksja“ – iga isik, kes kasutab piiriülest skeemi või skeemide seeriat, et optimeerida oma maksualast seisundit;</w:t>
      </w:r>
    </w:p>
    <w:p>
      <w:pPr>
        <w:pStyle w:val="Point1"/>
        <w:rPr>
          <w:noProof/>
        </w:rPr>
      </w:pPr>
      <w:r>
        <w:rPr>
          <w:noProof/>
        </w:rPr>
        <w:t>23.</w:t>
      </w:r>
      <w:r>
        <w:rPr>
          <w:noProof/>
        </w:rPr>
        <w:tab/>
        <w:t>„seotud ettevõtja“ – maksumaksja, kes on seotud teise maksumaksjaga vähemalt ühel järgmistest viisidest:</w:t>
      </w:r>
    </w:p>
    <w:p>
      <w:pPr>
        <w:pStyle w:val="Point2"/>
        <w:rPr>
          <w:noProof/>
        </w:rPr>
      </w:pPr>
      <w:r>
        <w:rPr>
          <w:noProof/>
        </w:rPr>
        <w:t>a)</w:t>
      </w:r>
      <w:r>
        <w:rPr>
          <w:noProof/>
        </w:rPr>
        <w:tab/>
        <w:t>maksumaksja osaleb teise maksumaksja juhtimises, olles sellises positsioonis, mis annab võimaluse teise maksumaksja tegevust märkimisväärselt mõjutada;</w:t>
      </w:r>
    </w:p>
    <w:p>
      <w:pPr>
        <w:pStyle w:val="Point2"/>
        <w:rPr>
          <w:noProof/>
        </w:rPr>
      </w:pPr>
      <w:r>
        <w:rPr>
          <w:noProof/>
        </w:rPr>
        <w:t>b)</w:t>
      </w:r>
      <w:r>
        <w:rPr>
          <w:noProof/>
        </w:rPr>
        <w:tab/>
        <w:t xml:space="preserve">maksumaksja kontrollib teist maksumaksjat sellise osaluse kaudu, mis ületab 20% hääleõigustest; </w:t>
      </w:r>
    </w:p>
    <w:p>
      <w:pPr>
        <w:pStyle w:val="Point2"/>
        <w:rPr>
          <w:noProof/>
        </w:rPr>
      </w:pPr>
      <w:r>
        <w:rPr>
          <w:noProof/>
        </w:rPr>
        <w:t>c)</w:t>
      </w:r>
      <w:r>
        <w:rPr>
          <w:noProof/>
        </w:rPr>
        <w:tab/>
        <w:t>maksumaksja osaleb teise maksumaksja kapitalis omandiõiguse kaudu, mis ületab otse või kaudselt 20% kapitalist.</w:t>
      </w:r>
    </w:p>
    <w:p>
      <w:pPr>
        <w:pStyle w:val="Text2"/>
        <w:rPr>
          <w:noProof/>
        </w:rPr>
      </w:pPr>
      <w:r>
        <w:rPr>
          <w:noProof/>
        </w:rPr>
        <w:t>Kui üks ja seesama maksumaksja osaleb rohkem kui ühe maksumaksja juhtimises, kontrollimises või kapitalis, peetakse kõiki asjaomaseid maksumaksjaid seotud ettevõtjateks.</w:t>
      </w:r>
    </w:p>
    <w:p>
      <w:pPr>
        <w:pStyle w:val="Text2"/>
        <w:rPr>
          <w:noProof/>
        </w:rPr>
      </w:pPr>
      <w:r>
        <w:rPr>
          <w:noProof/>
        </w:rPr>
        <w:t>Kaudse osaluse korral määratakse punktides b ja c sätestatud nõuete täidetus kindlaks, korrutades osaluse määrad iga (järgneva) astme tütarettevõtjas. Rohkem kui 50 % hääleõigusega maksumaksjat käsitatakse 100 % hääleõiguse omanikuna.</w:t>
      </w:r>
    </w:p>
    <w:p>
      <w:pPr>
        <w:pStyle w:val="Text2"/>
        <w:rPr>
          <w:noProof/>
        </w:rPr>
      </w:pPr>
      <w:r>
        <w:rPr>
          <w:noProof/>
        </w:rPr>
        <w:t>Füüsilist isikut või tema abikaasat ja tema otseseid alanejaid või ülenejaid sugulasi käsitatakse ühe ja sama maksumaksjana.</w:t>
      </w:r>
    </w:p>
    <w:p>
      <w:pPr>
        <w:ind w:left="1701" w:hanging="567"/>
        <w:rPr>
          <w:noProof/>
        </w:rPr>
      </w:pPr>
    </w:p>
    <w:p>
      <w:pPr>
        <w:pStyle w:val="Point0number"/>
        <w:numPr>
          <w:ilvl w:val="0"/>
          <w:numId w:val="19"/>
        </w:numPr>
        <w:rPr>
          <w:noProof/>
        </w:rPr>
      </w:pPr>
      <w:r>
        <w:rPr>
          <w:noProof/>
        </w:rPr>
        <w:t>II peatüki II jaole lisatakse järgmine artikkel:</w:t>
      </w:r>
    </w:p>
    <w:p>
      <w:pPr>
        <w:pStyle w:val="Titrearticle"/>
        <w:rPr>
          <w:noProof/>
        </w:rPr>
      </w:pPr>
      <w:r>
        <w:rPr>
          <w:noProof/>
        </w:rPr>
        <w:t>„Artikkel 8aaa</w:t>
      </w:r>
    </w:p>
    <w:p>
      <w:pPr>
        <w:ind w:left="720" w:hanging="720"/>
        <w:jc w:val="center"/>
        <w:rPr>
          <w:noProof/>
        </w:rPr>
      </w:pPr>
      <w:r>
        <w:rPr>
          <w:b/>
          <w:noProof/>
        </w:rPr>
        <w:t>Avalikustatavaid piiriüleseid skeeme puudutava kohustusliku automaatse teabevahetuse ulatus ja tingimused</w:t>
      </w:r>
    </w:p>
    <w:p>
      <w:pPr>
        <w:pStyle w:val="ManualNumPar1"/>
        <w:rPr>
          <w:noProof/>
        </w:rPr>
      </w:pPr>
      <w:r>
        <w:t>1.</w:t>
      </w:r>
      <w:r>
        <w:tab/>
      </w:r>
      <w:r>
        <w:rPr>
          <w:noProof/>
        </w:rPr>
        <w:t>Iga liikmesriik võtab vajalikud meetmed, et nõuda vahendajatelt pädevatele maksuhalduritele avalikustatavate piiriüleste skeemide või skeemide seeriate kohta teabe esitamist viie tööpäeva jooksul alates päevast, mil vahendaja teeb avalikustatava piiriülese skeemi või skeemide seeria rakendamiseks kättesaadavaks ühele või enamale maksumaksjale pärast seda, kui ta selle maksumaksja või nende maksumaksjatega ühendust võttis, või mil rakendati esimest sammu skeemide seeriast.</w:t>
      </w:r>
    </w:p>
    <w:p>
      <w:pPr>
        <w:pStyle w:val="ManualNumPar1"/>
        <w:rPr>
          <w:noProof/>
        </w:rPr>
      </w:pPr>
      <w:r>
        <w:t>2.</w:t>
      </w:r>
      <w:r>
        <w:tab/>
      </w:r>
      <w:r>
        <w:rPr>
          <w:noProof/>
        </w:rPr>
        <w:t xml:space="preserve">Iga liikmesriik võtab vajalikud meetmed, et anda vahendajatele õigus loobuda avalikustatavate piiriüleste skeemide või skeemide seeria kohta teabe esitamisest, kui neil on asjaomase liikmesriigi õiguse kohaselt õigus kutsesaladust hoida. Sellisel juhul lasub sellise skeemi või skeemide seeria kohta teabe esitamise kohustus maksumaksjal ja vahendaja teatab maksumaksjale sellisest kutsesaladuse hoidmise tulemusel tekkinud kohustusest. </w:t>
      </w:r>
    </w:p>
    <w:p>
      <w:pPr>
        <w:pStyle w:val="Text1"/>
        <w:rPr>
          <w:noProof/>
        </w:rPr>
      </w:pPr>
      <w:r>
        <w:rPr>
          <w:noProof/>
        </w:rPr>
        <w:t>Vahendajad võivad esimeses lõigus sätestatud loobumisõigust kasutada üksnes ulatuses, milles nad tegutsevad nende kutseala reguleerivate asjaomaste siseriiklike õigusnormide kohaldamisalas.</w:t>
      </w:r>
    </w:p>
    <w:p>
      <w:pPr>
        <w:pStyle w:val="Text1"/>
        <w:rPr>
          <w:noProof/>
        </w:rPr>
      </w:pPr>
      <w:r>
        <w:rPr>
          <w:noProof/>
        </w:rPr>
        <w:t>Iga liikmesriik võtab vajalikud meetmed tagamaks, et artikli 3 punkti 21 kohase vahendaja puudumisel on avalikustatavate piiriüleste skeemide ja skeemide seeriate kohta teabe esitamise kohustus maksumaksjal. Maksumaksja esitab teabe viie tööpäeva jooksul alates päevast, mil piiriülest skeemi või skeemide seeriat või esimest sammu skeemide seeriast rakendati.</w:t>
      </w:r>
    </w:p>
    <w:p>
      <w:pPr>
        <w:pStyle w:val="ManualNumPar1"/>
        <w:rPr>
          <w:noProof/>
        </w:rPr>
      </w:pPr>
      <w:r>
        <w:t>3.</w:t>
      </w:r>
      <w:r>
        <w:tab/>
      </w:r>
      <w:r>
        <w:rPr>
          <w:noProof/>
        </w:rPr>
        <w:t>Iga liikmesriik võtab vajalikud meetmed tagamaks, et kui avalikustatavate piiriüleste skeemide ja skeemide seeriatega seoses on tegev üks või mitu vahendajat, esitab lõike 1 kohast teavet üksnes vahendaja, kes on maksumaksja ees vastutav skeemi või skeemide seeria väljatöötamise ja rakendamise eest.</w:t>
      </w:r>
    </w:p>
    <w:p>
      <w:pPr>
        <w:pStyle w:val="Text1"/>
        <w:rPr>
          <w:noProof/>
        </w:rPr>
      </w:pPr>
      <w:r>
        <w:rPr>
          <w:noProof/>
        </w:rPr>
        <w:t>Iga liikmesriik võtab vajalikud meetmed tagamaks, et kui avalikustatavate piiriüleste skeemide või skeemide seeriate kohta teabe esitamise kohustus lasub maksumaksjal ja kui ühte sellist skeemi või skeemide seeriat kasutab enam kui üks maksumaksjat, kes on seotud ettevõtjad, esitab lõike 1 kohast teavet üksnes maksumaksja, kes oli määratud skeemi ja skeemide seeria rakendamises vahendajaga kokku leppima.</w:t>
      </w:r>
    </w:p>
    <w:p>
      <w:pPr>
        <w:pStyle w:val="ManualNumPar1"/>
        <w:rPr>
          <w:noProof/>
        </w:rPr>
      </w:pPr>
      <w:r>
        <w:t>4.</w:t>
      </w:r>
      <w:r>
        <w:tab/>
      </w:r>
      <w:r>
        <w:rPr>
          <w:noProof/>
        </w:rPr>
        <w:t>Iga liikmesriik võtab vajalikud meetmed, et nõuda vahendajatelt ja maksumaksjatelt teabe esitamist nende avalikustatavate piiriüleste skeemide kohta, mida rakendati ajavahemikus [poliitilise kokkuleppe kuupäev] kuni 31. detsember 2018. Vahendajad või maksumaksjad esitavad teabe nende avalikustatavate piiriüleste skeemide kohta 31. märtsiks 2019.</w:t>
      </w:r>
    </w:p>
    <w:p>
      <w:pPr>
        <w:pStyle w:val="ManualNumPar1"/>
        <w:rPr>
          <w:noProof/>
        </w:rPr>
      </w:pPr>
      <w:r>
        <w:t>5.</w:t>
      </w:r>
      <w:r>
        <w:tab/>
      </w:r>
      <w:r>
        <w:rPr>
          <w:noProof/>
        </w:rPr>
        <w:t>Selle liikmesriigi pädev ametiasutus, kellele teave käesoleva artikli lõike 1 kohaselt esitati, edastab artikli lõikes 6 osutatud teabe automaatse teabevahetuse teel kõigi teiste liikmesriikide pädevatele asutustele vastavalt artikli 21 lõike 1 alusel vastuvõetud tegutsemiskorrale.</w:t>
      </w:r>
    </w:p>
    <w:p>
      <w:pPr>
        <w:pStyle w:val="ManualNumPar1"/>
        <w:rPr>
          <w:noProof/>
        </w:rPr>
      </w:pPr>
      <w:r>
        <w:t>6.</w:t>
      </w:r>
      <w:r>
        <w:tab/>
      </w:r>
      <w:r>
        <w:rPr>
          <w:noProof/>
        </w:rPr>
        <w:t>Teave, mida liikmesriigil tuleb artikli 5 kohaselt edastada, sisaldab järgmist:</w:t>
      </w:r>
    </w:p>
    <w:p>
      <w:pPr>
        <w:pStyle w:val="Point1letter"/>
        <w:numPr>
          <w:ilvl w:val="3"/>
          <w:numId w:val="19"/>
        </w:numPr>
        <w:rPr>
          <w:noProof/>
        </w:rPr>
      </w:pPr>
      <w:r>
        <w:rPr>
          <w:noProof/>
        </w:rPr>
        <w:t xml:space="preserve">vahendajate ja maksumaksjate isikuandmed, sh nimi, maksuresidentsus, maksukohustuslasena registreerimise number ja vajadusel isikud, kes on vahendaja või maksumaksjaga seotud ettevõtjad; </w:t>
      </w:r>
    </w:p>
    <w:p>
      <w:pPr>
        <w:pStyle w:val="Point1letter"/>
        <w:numPr>
          <w:ilvl w:val="3"/>
          <w:numId w:val="19"/>
        </w:numPr>
        <w:rPr>
          <w:noProof/>
        </w:rPr>
      </w:pPr>
      <w:r>
        <w:rPr>
          <w:noProof/>
        </w:rPr>
        <w:t>üksikasjad IV lisas loetletud tunnuste kohta, mis muudavad piiriülese skeemi või skeemide seeria avalikustatavaks;</w:t>
      </w:r>
    </w:p>
    <w:p>
      <w:pPr>
        <w:pStyle w:val="Point1letter"/>
        <w:numPr>
          <w:ilvl w:val="3"/>
          <w:numId w:val="19"/>
        </w:numPr>
        <w:rPr>
          <w:noProof/>
        </w:rPr>
      </w:pPr>
      <w:r>
        <w:rPr>
          <w:noProof/>
        </w:rPr>
        <w:t>piiriülese skeemi või skeemide seeria sisu kokkuvõte, sh viide nimele, mille all neid tavaliselt teatakse (kui see on olemas) ning üldsõnaline kirjeldus asjaomaste majandustegevuste või skeemide kohta, avaldamata seejuures äri-, tööstus- ega kutsesaladust ega turustusprotsessi ega sellist teavet, mille avalikustamine oleks vastuolus avaliku korraga;</w:t>
      </w:r>
    </w:p>
    <w:p>
      <w:pPr>
        <w:pStyle w:val="Point1letter"/>
        <w:numPr>
          <w:ilvl w:val="3"/>
          <w:numId w:val="19"/>
        </w:numPr>
        <w:rPr>
          <w:noProof/>
        </w:rPr>
      </w:pPr>
      <w:r>
        <w:rPr>
          <w:noProof/>
        </w:rPr>
        <w:t>kuupäev, mil avalikustatavat piiriülest skeemi hakatakse rakendama või rakendati või mil tehakse või tehti esimene samm skeemide seeriast;</w:t>
      </w:r>
    </w:p>
    <w:p>
      <w:pPr>
        <w:pStyle w:val="Point1letter"/>
        <w:numPr>
          <w:ilvl w:val="3"/>
          <w:numId w:val="19"/>
        </w:numPr>
        <w:rPr>
          <w:noProof/>
        </w:rPr>
      </w:pPr>
      <w:r>
        <w:rPr>
          <w:noProof/>
        </w:rPr>
        <w:t>vajadusel siseriiklikud maksuõigusnormid, mille kohaldamisel tekib maksusoodustus;</w:t>
      </w:r>
    </w:p>
    <w:p>
      <w:pPr>
        <w:pStyle w:val="Point1letter"/>
        <w:numPr>
          <w:ilvl w:val="3"/>
          <w:numId w:val="19"/>
        </w:numPr>
        <w:rPr>
          <w:noProof/>
        </w:rPr>
      </w:pPr>
      <w:r>
        <w:rPr>
          <w:noProof/>
        </w:rPr>
        <w:t>piiriülese skeemi või skeemide seeriaga hõlmatud tehingu või järjestikuste tehingute väärtus;</w:t>
      </w:r>
    </w:p>
    <w:p>
      <w:pPr>
        <w:pStyle w:val="Point1letter"/>
        <w:numPr>
          <w:ilvl w:val="3"/>
          <w:numId w:val="19"/>
        </w:numPr>
        <w:rPr>
          <w:noProof/>
        </w:rPr>
      </w:pPr>
      <w:r>
        <w:rPr>
          <w:noProof/>
        </w:rPr>
        <w:t>teised liikmeriigid, kes on avalikustatava piiriülese skeemi või skeemide seeriaga seotud või keda selline skeem või skeemide seeria võib puudutada;</w:t>
      </w:r>
    </w:p>
    <w:p>
      <w:pPr>
        <w:pStyle w:val="Point1letter"/>
        <w:numPr>
          <w:ilvl w:val="3"/>
          <w:numId w:val="19"/>
        </w:numPr>
        <w:rPr>
          <w:noProof/>
        </w:rPr>
      </w:pPr>
      <w:r>
        <w:rPr>
          <w:noProof/>
        </w:rPr>
        <w:t>iga isik teistes liikmesriikides (kui selline isik on olemas), keda avalikustatav piiriülene skeem või skeemide seeria võib mõjutada, tuues välja, millise liikmesriigiga on asjaomased vahendajad või maksumaksjad seotud.</w:t>
      </w:r>
    </w:p>
    <w:p>
      <w:pPr>
        <w:pStyle w:val="ManualNumPar1"/>
        <w:rPr>
          <w:noProof/>
        </w:rPr>
      </w:pPr>
      <w:r>
        <w:t>7.</w:t>
      </w:r>
      <w:r>
        <w:tab/>
      </w:r>
      <w:r>
        <w:rPr>
          <w:noProof/>
        </w:rPr>
        <w:t>Käesoleva artikli lõikes 5 osutatud teabevahetuse hõlbustamiseks võtab komisjon artikli 20 lõikes 5 sätestatud tüüpvormi kehtestamise korra osana vastu käesoleva artikli rakendamiseks vajaliku tegutsemiskorra, sealhulgas käesoleva artikli lõikes 6 sätestatud teabe edastamise standardimise meetmed.</w:t>
      </w:r>
    </w:p>
    <w:p>
      <w:pPr>
        <w:pStyle w:val="ManualNumPar1"/>
        <w:rPr>
          <w:noProof/>
        </w:rPr>
      </w:pPr>
      <w:r>
        <w:t>8.</w:t>
      </w:r>
      <w:r>
        <w:tab/>
      </w:r>
      <w:r>
        <w:rPr>
          <w:noProof/>
        </w:rPr>
        <w:t>Komisjonil ei ole võimalik saada lõike 6 punktides a, c ja h osutatud teavet.</w:t>
      </w:r>
    </w:p>
    <w:p>
      <w:pPr>
        <w:pStyle w:val="ManualNumPar1"/>
        <w:rPr>
          <w:noProof/>
        </w:rPr>
      </w:pPr>
      <w:r>
        <w:t>9.</w:t>
      </w:r>
      <w:r>
        <w:tab/>
      </w:r>
      <w:r>
        <w:rPr>
          <w:noProof/>
        </w:rPr>
        <w:t xml:space="preserve">Automaatne teabevahetus toimub ühe kuu jooksul alates selle kvartali lõpust, mille jooksul teave esitati. Esimene teade tuleb esitada 2019. aasta esimese kvartali lõpuks.“ </w:t>
      </w:r>
    </w:p>
    <w:p>
      <w:pPr>
        <w:rPr>
          <w:noProof/>
        </w:rPr>
      </w:pPr>
    </w:p>
    <w:p>
      <w:pPr>
        <w:pStyle w:val="Point0number"/>
        <w:numPr>
          <w:ilvl w:val="0"/>
          <w:numId w:val="19"/>
        </w:numPr>
        <w:rPr>
          <w:noProof/>
        </w:rPr>
      </w:pPr>
      <w:r>
        <w:rPr>
          <w:noProof/>
        </w:rPr>
        <w:t>Artikli 20 lõige 5 asendatakse järgmisega:</w:t>
      </w:r>
    </w:p>
    <w:p>
      <w:pPr>
        <w:pStyle w:val="Point1"/>
        <w:rPr>
          <w:noProof/>
        </w:rPr>
      </w:pPr>
      <w:r>
        <w:rPr>
          <w:noProof/>
        </w:rPr>
        <w:t>„5.</w:t>
      </w:r>
      <w:r>
        <w:rPr>
          <w:noProof/>
        </w:rPr>
        <w:tab/>
        <w:t>Komisjon kehtestab tüüpvormid, sh keelelise korralduse kohta, artikli 26 lõikes 2 osutatud korras järgmistel juhtudel:</w:t>
      </w:r>
    </w:p>
    <w:p>
      <w:pPr>
        <w:pStyle w:val="Point2"/>
        <w:rPr>
          <w:noProof/>
        </w:rPr>
      </w:pPr>
      <w:r>
        <w:rPr>
          <w:noProof/>
        </w:rPr>
        <w:t>a)</w:t>
      </w:r>
      <w:r>
        <w:rPr>
          <w:noProof/>
        </w:rPr>
        <w:tab/>
        <w:t xml:space="preserve">automaatseks teabevahetuseks piiriüleste maksuotsuste ja siirdehindade eelkokkulepete kohta vastavalt artiklile 8a enne 1. jaanuari 2017; </w:t>
      </w:r>
    </w:p>
    <w:p>
      <w:pPr>
        <w:pStyle w:val="Point2"/>
        <w:rPr>
          <w:noProof/>
        </w:rPr>
      </w:pPr>
      <w:r>
        <w:rPr>
          <w:noProof/>
        </w:rPr>
        <w:t>b)</w:t>
      </w:r>
      <w:r>
        <w:rPr>
          <w:noProof/>
        </w:rPr>
        <w:tab/>
        <w:t>automaatseks teabevahetuseks avalikustatavate piiriüleste skeemide kohta vastavalt artiklile 8aaa enne 1. jaanuari 2019.</w:t>
      </w:r>
    </w:p>
    <w:p>
      <w:pPr>
        <w:pStyle w:val="Text2"/>
        <w:rPr>
          <w:noProof/>
        </w:rPr>
      </w:pPr>
      <w:r>
        <w:rPr>
          <w:noProof/>
        </w:rPr>
        <w:t>Need tüüpvormid ei või hõlmata enamat kui artikli 8a lõikes 6 ja artikli 8aaa lõikes 6 sätestatud teabevahetuse elemente ega muid selliseid valdkondi, mis on seotud nende elementidega, mis on vajalikud artiklites 8a ja 8aaa sätestatud eemärkide saavutamiseks.</w:t>
      </w:r>
    </w:p>
    <w:p>
      <w:pPr>
        <w:pStyle w:val="Text2"/>
        <w:rPr>
          <w:noProof/>
        </w:rPr>
      </w:pPr>
      <w:r>
        <w:rPr>
          <w:noProof/>
        </w:rPr>
        <w:t>Esimeses lõigus osutatud keeleline korraldus ei või takistada liikmesriike edastamast artiklites 8a ja 8aaa osutatud teavet liidu mis tahes ametlikus keeles. Keelelise korraldusega võidakse siiski ette näha, et teabe peamised elemendid esitatakse ka mõnes muus liidu ametlikus keeles.“.</w:t>
      </w:r>
    </w:p>
    <w:p>
      <w:pPr>
        <w:tabs>
          <w:tab w:val="left" w:pos="1418"/>
        </w:tabs>
        <w:ind w:left="1418" w:hanging="698"/>
        <w:rPr>
          <w:noProof/>
        </w:rPr>
      </w:pPr>
    </w:p>
    <w:p>
      <w:pPr>
        <w:pStyle w:val="Point0number"/>
        <w:numPr>
          <w:ilvl w:val="0"/>
          <w:numId w:val="19"/>
        </w:numPr>
        <w:rPr>
          <w:noProof/>
        </w:rPr>
      </w:pPr>
      <w:r>
        <w:rPr>
          <w:noProof/>
        </w:rPr>
        <w:t>Artikli 21 lõige 5 asendatakse järgmisega:</w:t>
      </w:r>
    </w:p>
    <w:p>
      <w:pPr>
        <w:pStyle w:val="Point1"/>
        <w:rPr>
          <w:noProof/>
        </w:rPr>
      </w:pPr>
      <w:r>
        <w:rPr>
          <w:noProof/>
        </w:rPr>
        <w:t>„5.</w:t>
      </w:r>
      <w:r>
        <w:rPr>
          <w:noProof/>
        </w:rPr>
        <w:tab/>
        <w:t xml:space="preserve">Komisjon töötab 31. detsembriks 2017 välja liikmesriikide maksustamisalase halduskoostöö turvalise keskregistri, kuhu kantakse artikli 8a lõigete 1 ja 2 alusel edastatav teave, et täita nimetatud lõigetes sätestatud automaatse teabevahetuse nõuet, ning tagab sellele registrile tehnilise ja logistilise toe. </w:t>
      </w:r>
    </w:p>
    <w:p>
      <w:pPr>
        <w:pStyle w:val="Text2"/>
        <w:rPr>
          <w:noProof/>
        </w:rPr>
      </w:pPr>
      <w:r>
        <w:rPr>
          <w:noProof/>
        </w:rPr>
        <w:t>Komisjon töötab 31. detsembriks 2018 välja liikmesriikide maksustamisalase halduskoostöö turvalise keskregistri, kuhu kantakse artikli 8aaa lõigete 5, 6 ja 7 alusel edastatav teave, et täita nimetatud lõigetes sätestatud automaatse teabevahetuse nõuet, ning tagab sellele registrile tehnilise ja logistilise toe.</w:t>
      </w:r>
    </w:p>
    <w:p>
      <w:pPr>
        <w:pStyle w:val="Text2"/>
        <w:rPr>
          <w:noProof/>
        </w:rPr>
      </w:pPr>
      <w:r>
        <w:rPr>
          <w:noProof/>
        </w:rPr>
        <w:t>Registrisse kantud teabele on juurdepääs kõigi liikmesriikide pädevatel asutustel. Registrisse kantud teabele on juurdepääs ka komisjonil, võttes arvesse artikli 8a lõikes 8 ja artikli 8aaa lõikes 8 sätestatud piiranguid. Komisjon kehtestab vajaliku tegutsemiskorra kooskõlas artikli 26 lõikes 2 osutatud menetlusega.</w:t>
      </w:r>
    </w:p>
    <w:p>
      <w:pPr>
        <w:pStyle w:val="Text2"/>
        <w:rPr>
          <w:noProof/>
        </w:rPr>
      </w:pPr>
      <w:r>
        <w:rPr>
          <w:noProof/>
        </w:rPr>
        <w:t>Kuni turvalise keskregistri toimima hakkamiseni toimub artikli 8a lõigetes 1 ja 2 ning artikli 8aaa lõigetes 5, 6 ja 7 osutatud automaatne teabevahetus käesoleva artikli lõike 1 ja kohaldamisele kuuluva tegutsemiskorra kohaselt.“.</w:t>
      </w:r>
    </w:p>
    <w:p>
      <w:pPr>
        <w:tabs>
          <w:tab w:val="left" w:pos="709"/>
        </w:tabs>
        <w:ind w:left="709" w:hanging="709"/>
        <w:rPr>
          <w:noProof/>
        </w:rPr>
      </w:pPr>
    </w:p>
    <w:p>
      <w:pPr>
        <w:pStyle w:val="Point0number"/>
        <w:numPr>
          <w:ilvl w:val="0"/>
          <w:numId w:val="19"/>
        </w:numPr>
        <w:rPr>
          <w:noProof/>
        </w:rPr>
      </w:pPr>
      <w:r>
        <w:rPr>
          <w:noProof/>
        </w:rPr>
        <w:t>Artikli 23 lõige 3 asendatakse järgmisega:</w:t>
      </w:r>
    </w:p>
    <w:p>
      <w:pPr>
        <w:pStyle w:val="Point1"/>
        <w:rPr>
          <w:noProof/>
        </w:rPr>
      </w:pPr>
      <w:r>
        <w:rPr>
          <w:noProof/>
        </w:rPr>
        <w:t xml:space="preserve">„3. </w:t>
      </w:r>
      <w:r>
        <w:rPr>
          <w:noProof/>
        </w:rPr>
        <w:tab/>
        <w:t>Liikmesriigid edastavad igal aastal komisjonile hinnangu artiklites 8</w:t>
      </w:r>
      <w:r>
        <w:rPr>
          <w:b/>
          <w:noProof/>
        </w:rPr>
        <w:t>,</w:t>
      </w:r>
      <w:r>
        <w:rPr>
          <w:noProof/>
        </w:rPr>
        <w:t xml:space="preserve"> 8a, 8aa ja 8aaa osutatud automaatse teabevahetuse tõhususe kohta ja saavutatud praktilised tulemused. Komisjon kehtestab rakendusaktidega nimetatud iga-aastase hinnangu vormi ja edastamise tingimused. Nimetatud rakendusaktid võetakse vastu kooskõlas artikli 26 lõikes 2 osutatud menetlusega.“.</w:t>
      </w:r>
    </w:p>
    <w:p>
      <w:pPr>
        <w:tabs>
          <w:tab w:val="left" w:pos="709"/>
        </w:tabs>
        <w:ind w:left="1418" w:hanging="1418"/>
        <w:rPr>
          <w:noProof/>
        </w:rPr>
      </w:pPr>
    </w:p>
    <w:p>
      <w:pPr>
        <w:pStyle w:val="Point0number"/>
        <w:numPr>
          <w:ilvl w:val="0"/>
          <w:numId w:val="19"/>
        </w:numPr>
        <w:rPr>
          <w:noProof/>
        </w:rPr>
      </w:pPr>
      <w:r>
        <w:rPr>
          <w:noProof/>
        </w:rPr>
        <w:t>V peatükki lisatakse järgmine artikkel:</w:t>
      </w:r>
    </w:p>
    <w:p>
      <w:pPr>
        <w:pStyle w:val="Titrearticle"/>
        <w:rPr>
          <w:noProof/>
        </w:rPr>
      </w:pPr>
      <w:r>
        <w:rPr>
          <w:noProof/>
        </w:rPr>
        <w:t>„Artikkel 23aa</w:t>
      </w:r>
    </w:p>
    <w:p>
      <w:pPr>
        <w:ind w:left="720" w:hanging="720"/>
        <w:jc w:val="center"/>
        <w:rPr>
          <w:b/>
          <w:noProof/>
        </w:rPr>
      </w:pPr>
      <w:r>
        <w:rPr>
          <w:b/>
          <w:noProof/>
        </w:rPr>
        <w:t>III lisa muutmine</w:t>
      </w:r>
    </w:p>
    <w:p>
      <w:pPr>
        <w:rPr>
          <w:noProof/>
        </w:rPr>
      </w:pPr>
      <w:r>
        <w:rPr>
          <w:noProof/>
        </w:rPr>
        <w:t>Komisjonil on õigus võtta artikli 26a alusel vastu delegeeritud õigusakte IV lisa muutmiseks, et lisada tunnuste loetellu võimaliku agressiivse maksuplaneerimise skeeme või skeemide seeriaid vastavalt selliste skeemide või skeemide seeriate kohta nende kohustusliku avalikustamise tulemusel saadud ajakohastatud teabele.“</w:t>
      </w:r>
    </w:p>
    <w:p>
      <w:pPr>
        <w:tabs>
          <w:tab w:val="left" w:pos="709"/>
        </w:tabs>
        <w:ind w:left="709" w:hanging="709"/>
        <w:rPr>
          <w:noProof/>
        </w:rPr>
      </w:pPr>
    </w:p>
    <w:p>
      <w:pPr>
        <w:pStyle w:val="Point0number"/>
        <w:numPr>
          <w:ilvl w:val="0"/>
          <w:numId w:val="19"/>
        </w:numPr>
        <w:rPr>
          <w:noProof/>
        </w:rPr>
      </w:pPr>
      <w:r>
        <w:rPr>
          <w:noProof/>
        </w:rPr>
        <w:t>Artikkel 25a asendatakse järgmisega:</w:t>
      </w:r>
    </w:p>
    <w:p>
      <w:pPr>
        <w:pStyle w:val="Titrearticle"/>
        <w:rPr>
          <w:noProof/>
        </w:rPr>
      </w:pPr>
      <w:r>
        <w:rPr>
          <w:noProof/>
        </w:rPr>
        <w:t>„Artikkel 25a</w:t>
      </w:r>
    </w:p>
    <w:p>
      <w:pPr>
        <w:ind w:left="720" w:hanging="720"/>
        <w:jc w:val="center"/>
        <w:rPr>
          <w:b/>
          <w:noProof/>
        </w:rPr>
      </w:pPr>
      <w:r>
        <w:rPr>
          <w:b/>
          <w:noProof/>
        </w:rPr>
        <w:t xml:space="preserve">Karistused </w:t>
      </w:r>
    </w:p>
    <w:p>
      <w:pPr>
        <w:rPr>
          <w:noProof/>
        </w:rPr>
      </w:pPr>
      <w:r>
        <w:rPr>
          <w:noProof/>
        </w:rPr>
        <w:t>Liikmesriigid kehtestavad eeskirjad karistuste kohta, mida kohaldatakse käesoleva direktiivi alusel vastu võetud siseriiklike õigusnormide rikkumise korral, mis puudutavad artiklit 8aa ja artiklit 8aaa, ning võtavad kõik vajalikud meetmed nende täideviimise tagamiseks. Ettenähtud karistused peavad olema tõhusad, proportsionaalsed ja hoiatavad.“.</w:t>
      </w:r>
    </w:p>
    <w:p>
      <w:pPr>
        <w:tabs>
          <w:tab w:val="left" w:pos="709"/>
        </w:tabs>
        <w:ind w:left="709" w:hanging="709"/>
        <w:rPr>
          <w:noProof/>
        </w:rPr>
      </w:pPr>
    </w:p>
    <w:p>
      <w:pPr>
        <w:pStyle w:val="Point0number"/>
        <w:numPr>
          <w:ilvl w:val="0"/>
          <w:numId w:val="19"/>
        </w:numPr>
        <w:rPr>
          <w:noProof/>
        </w:rPr>
      </w:pPr>
      <w:r>
        <w:rPr>
          <w:noProof/>
        </w:rPr>
        <w:t>VII peatükki lisatakse järgmised artiklid:</w:t>
      </w:r>
    </w:p>
    <w:p>
      <w:pPr>
        <w:pStyle w:val="Titrearticle"/>
        <w:rPr>
          <w:noProof/>
        </w:rPr>
      </w:pPr>
      <w:r>
        <w:rPr>
          <w:noProof/>
        </w:rPr>
        <w:t>„Artikkel 26a</w:t>
      </w:r>
    </w:p>
    <w:p>
      <w:pPr>
        <w:spacing w:after="240"/>
        <w:ind w:left="720" w:hanging="720"/>
        <w:jc w:val="center"/>
        <w:rPr>
          <w:b/>
          <w:noProof/>
        </w:rPr>
      </w:pPr>
      <w:r>
        <w:rPr>
          <w:b/>
          <w:noProof/>
        </w:rPr>
        <w:t>Delegeeritud volituste rakendamine</w:t>
      </w:r>
    </w:p>
    <w:p>
      <w:pPr>
        <w:pStyle w:val="ManualNumPar1"/>
        <w:rPr>
          <w:noProof/>
        </w:rPr>
      </w:pPr>
      <w:r>
        <w:t>10.</w:t>
      </w:r>
      <w:r>
        <w:tab/>
      </w:r>
      <w:r>
        <w:rPr>
          <w:noProof/>
        </w:rPr>
        <w:t>Komisjonile on õigus võtta vastu delegeeritud õigusakte käesolevas artiklis sätestatud tingimustel.</w:t>
      </w:r>
    </w:p>
    <w:p>
      <w:pPr>
        <w:pStyle w:val="ManualNumPar1"/>
        <w:rPr>
          <w:noProof/>
        </w:rPr>
      </w:pPr>
      <w:r>
        <w:t>11.</w:t>
      </w:r>
      <w:r>
        <w:tab/>
      </w:r>
      <w:r>
        <w:rPr>
          <w:noProof/>
        </w:rPr>
        <w:t xml:space="preserve">Artiklis 23aa osutatud õigus võtta vastu delegeeritud õigusakte antakse komisjonile määramata ajaks alates käesoleva direktiivi jõustumise kuupäevast. </w:t>
      </w:r>
    </w:p>
    <w:p>
      <w:pPr>
        <w:pStyle w:val="ManualNumPar1"/>
        <w:rPr>
          <w:noProof/>
        </w:rPr>
      </w:pPr>
      <w:r>
        <w:t>12.</w:t>
      </w:r>
      <w:r>
        <w:tab/>
      </w:r>
      <w:r>
        <w:rPr>
          <w:noProof/>
        </w:rPr>
        <w:t xml:space="preserve">Nõukogu võib artiklis 23aa osutatud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ManualNumPar1"/>
        <w:rPr>
          <w:noProof/>
        </w:rPr>
      </w:pPr>
      <w:r>
        <w:t>13.</w:t>
      </w:r>
      <w:r>
        <w:tab/>
      </w:r>
      <w:r>
        <w:rPr>
          <w:noProof/>
        </w:rPr>
        <w:t>Niipea kui komisjon on delegeeritud õigusakti vastu võtnud, teeb ta selle teatavaks nõukogule.</w:t>
      </w:r>
    </w:p>
    <w:p>
      <w:pPr>
        <w:pStyle w:val="ManualNumPar1"/>
        <w:rPr>
          <w:noProof/>
        </w:rPr>
      </w:pPr>
      <w:r>
        <w:t>14.</w:t>
      </w:r>
      <w:r>
        <w:tab/>
      </w:r>
      <w:r>
        <w:rPr>
          <w:noProof/>
        </w:rPr>
        <w:t>Artikli 23aa kohaselt vastu võetud delegeeritud õigusakt jõustub üksnes juhul, kui nõukogu ei ole kahe kuu jooksul pärast õigusakti nõukogule teatavakstegemist esitanud selle kohta vastuväiteid või kui nõukogu on enne selle tähtaja möödumist komisjonile teatanud, et ta ei esita vastuväiteid. Nõukogu algatusel pikendatakse seda tähtaega kahe kuu võrra.</w:t>
      </w:r>
    </w:p>
    <w:p>
      <w:pPr>
        <w:ind w:left="720" w:hanging="720"/>
        <w:rPr>
          <w:noProof/>
        </w:rPr>
      </w:pPr>
    </w:p>
    <w:p>
      <w:pPr>
        <w:pStyle w:val="Titrearticle"/>
        <w:rPr>
          <w:noProof/>
        </w:rPr>
      </w:pPr>
      <w:r>
        <w:rPr>
          <w:noProof/>
        </w:rPr>
        <w:t>Artikkel 26aa</w:t>
      </w:r>
    </w:p>
    <w:p>
      <w:pPr>
        <w:ind w:left="720" w:hanging="720"/>
        <w:jc w:val="center"/>
        <w:rPr>
          <w:b/>
          <w:noProof/>
        </w:rPr>
      </w:pPr>
      <w:r>
        <w:rPr>
          <w:b/>
          <w:noProof/>
        </w:rPr>
        <w:t>Euroopa Parlamendile teatamine</w:t>
      </w:r>
    </w:p>
    <w:p>
      <w:pPr>
        <w:spacing w:before="360"/>
        <w:rPr>
          <w:noProof/>
        </w:rPr>
      </w:pPr>
      <w:r>
        <w:rPr>
          <w:noProof/>
        </w:rPr>
        <w:t>Euroopa Parlamenti teavitatakse komisjoni poolt delegeeritud õigusakti vastuvõtmisest, delegeeritud õigusakti kohta esitatud vastuväidetest või volituste delegeerimise tagasivõtmisest nõukogu poolt.“.</w:t>
      </w:r>
    </w:p>
    <w:p>
      <w:pPr>
        <w:tabs>
          <w:tab w:val="left" w:pos="709"/>
        </w:tabs>
        <w:spacing w:after="240"/>
        <w:ind w:left="709" w:hanging="709"/>
        <w:rPr>
          <w:noProof/>
        </w:rPr>
      </w:pPr>
    </w:p>
    <w:p>
      <w:pPr>
        <w:pStyle w:val="Point0number"/>
        <w:numPr>
          <w:ilvl w:val="0"/>
          <w:numId w:val="19"/>
        </w:numPr>
        <w:rPr>
          <w:noProof/>
        </w:rPr>
      </w:pPr>
      <w:r>
        <w:rPr>
          <w:noProof/>
        </w:rPr>
        <w:t>Lisatakse IV lisa, mille tekst on esitatud käesoleva direktiivi lisas.</w:t>
      </w:r>
    </w:p>
    <w:p>
      <w:pPr>
        <w:pStyle w:val="Titrearticle"/>
        <w:rPr>
          <w:noProof/>
        </w:rPr>
      </w:pPr>
      <w:r>
        <w:rPr>
          <w:noProof/>
        </w:rPr>
        <w:t>Artikkel 2</w:t>
      </w:r>
    </w:p>
    <w:p>
      <w:pPr>
        <w:pStyle w:val="ManualNumPar1"/>
        <w:rPr>
          <w:noProof/>
        </w:rPr>
      </w:pPr>
      <w:r>
        <w:rPr>
          <w:noProof/>
        </w:rPr>
        <w:t>1.</w:t>
      </w:r>
      <w:r>
        <w:rPr>
          <w:noProof/>
        </w:rPr>
        <w:tab/>
        <w:t>Liikmesriigid võtavad vastu ja avaldavad käesoleva direktiivi järgimiseks vajalikud õigus- ja haldusnormid hiljemalt 31. detsembriks 2018. Nad edastavad kõnealuste normide teksti viivitamata komisjonile.</w:t>
      </w:r>
    </w:p>
    <w:p>
      <w:pPr>
        <w:pStyle w:val="Text1"/>
        <w:rPr>
          <w:noProof/>
        </w:rPr>
      </w:pPr>
      <w:r>
        <w:rPr>
          <w:noProof/>
        </w:rPr>
        <w:t>Nad kohaldavad neid norme alates 1. jaanuarist 2019.</w:t>
      </w:r>
    </w:p>
    <w:p>
      <w:pPr>
        <w:pStyle w:val="Text1"/>
        <w:rPr>
          <w:noProof/>
        </w:rPr>
      </w:pPr>
      <w:r>
        <w:rPr>
          <w:noProof/>
        </w:rPr>
        <w:t>Kui liikmesriigid need meetmed vastu võtavad, lisavad nad nendesse meetmetesse või nende meetmete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vastuvõetavate põhiliste siseriiklike õigusnormide teksti.</w:t>
      </w:r>
    </w:p>
    <w:p>
      <w:pPr>
        <w:pStyle w:val="Titrearticle"/>
        <w:rPr>
          <w:noProof/>
        </w:rPr>
      </w:pPr>
      <w:r>
        <w:rPr>
          <w:noProof/>
        </w:rPr>
        <w:t>Artikkel 3</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4</w:t>
      </w:r>
    </w:p>
    <w:p>
      <w:pPr>
        <w:rPr>
          <w:noProof/>
        </w:rPr>
      </w:pPr>
      <w:r>
        <w:rPr>
          <w:noProof/>
        </w:rPr>
        <w:t>Käesolev direktiiv on adresseeritud liikmesriikidele.</w:t>
      </w:r>
    </w:p>
    <w:p>
      <w:pPr>
        <w:pStyle w:val="Fait"/>
        <w:rPr>
          <w:noProof/>
        </w:rPr>
      </w:pPr>
      <w:r>
        <w:rPr>
          <w:noProof/>
        </w:rPr>
        <w:t>Brüssel,</w:t>
      </w:r>
    </w:p>
    <w:p>
      <w:pPr>
        <w:pStyle w:val="Institutionquisigne"/>
        <w:rPr>
          <w:noProof/>
        </w:rPr>
      </w:pPr>
      <w:r>
        <w:rPr>
          <w:noProof/>
        </w:rPr>
        <w:tab/>
        <w:t>Nõukogu eest</w:t>
      </w:r>
    </w:p>
    <w:p>
      <w:pPr>
        <w:pStyle w:val="Personnequisigne"/>
        <w:rPr>
          <w:noProof/>
        </w:rPr>
      </w:pPr>
      <w:r>
        <w:rPr>
          <w:noProof/>
        </w:rPr>
        <w:tab/>
        <w:t>eesistuja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b w:val="0"/>
          <w:noProof/>
        </w:rPr>
        <w:tab/>
        <w:t xml:space="preserve">Ettepaneku/algatuse nimetus </w:t>
      </w:r>
    </w:p>
    <w:p>
      <w:pPr>
        <w:pStyle w:val="ManualHeading2"/>
        <w:rPr>
          <w:b w:val="0"/>
          <w:noProof/>
        </w:rPr>
      </w:pPr>
      <w:r>
        <w:rPr>
          <w:b w:val="0"/>
          <w:noProof/>
        </w:rPr>
        <w:tab/>
        <w:t>1.2.</w:t>
      </w:r>
      <w:r>
        <w:rPr>
          <w:b w:val="0"/>
          <w:noProof/>
        </w:rPr>
        <w:tab/>
        <w:t>Asjaomased poliitikavaldkonnad vastavalt tegevuspõhise juhtimise ja eelarvestamise (ABM/ABB) struktuurile</w:t>
      </w:r>
    </w:p>
    <w:p>
      <w:pPr>
        <w:pStyle w:val="ManualHeading2"/>
        <w:rPr>
          <w:b w:val="0"/>
          <w:noProof/>
        </w:rPr>
      </w:pPr>
      <w:r>
        <w:rPr>
          <w:b w:val="0"/>
          <w:noProof/>
        </w:rPr>
        <w:tab/>
        <w:t>1.3.</w:t>
      </w:r>
      <w:r>
        <w:rPr>
          <w:b w:val="0"/>
          <w:noProof/>
        </w:rPr>
        <w:tab/>
        <w:t xml:space="preserve">Ettepaneku/algatuse liik </w:t>
      </w:r>
    </w:p>
    <w:p>
      <w:pPr>
        <w:pStyle w:val="ManualHeading2"/>
        <w:rPr>
          <w:b w:val="0"/>
          <w:noProof/>
        </w:rPr>
      </w:pPr>
      <w:r>
        <w:rPr>
          <w:b w:val="0"/>
          <w:noProof/>
        </w:rPr>
        <w:tab/>
        <w:t>1.4.</w:t>
      </w:r>
      <w:r>
        <w:rPr>
          <w:b w:val="0"/>
          <w:noProof/>
        </w:rPr>
        <w:tab/>
        <w:t xml:space="preserve">Eesmärgid </w:t>
      </w:r>
    </w:p>
    <w:p>
      <w:pPr>
        <w:pStyle w:val="ManualHeading2"/>
        <w:rPr>
          <w:b w:val="0"/>
          <w:noProof/>
        </w:rPr>
      </w:pPr>
      <w:r>
        <w:rPr>
          <w:b w:val="0"/>
          <w:noProof/>
        </w:rPr>
        <w:tab/>
        <w:t>1.5.</w:t>
      </w:r>
      <w:r>
        <w:rPr>
          <w:b w:val="0"/>
          <w:noProof/>
        </w:rPr>
        <w:tab/>
        <w:t xml:space="preserve">Ettepaneku/algatuse põhjendus </w:t>
      </w:r>
    </w:p>
    <w:p>
      <w:pPr>
        <w:pStyle w:val="ManualHeading2"/>
        <w:rPr>
          <w:b w:val="0"/>
          <w:noProof/>
        </w:rPr>
      </w:pPr>
      <w:r>
        <w:rPr>
          <w:b w:val="0"/>
          <w:noProof/>
        </w:rPr>
        <w:tab/>
        <w:t>1.6.</w:t>
      </w:r>
      <w:r>
        <w:rPr>
          <w:b w:val="0"/>
          <w:noProof/>
        </w:rPr>
        <w:tab/>
        <w:t xml:space="preserve">Meetme kestus ja finantsmõju </w:t>
      </w:r>
    </w:p>
    <w:p>
      <w:pPr>
        <w:pStyle w:val="ManualHeading2"/>
        <w:rPr>
          <w:b w:val="0"/>
          <w:noProof/>
        </w:rPr>
      </w:pPr>
      <w:r>
        <w:rPr>
          <w:b w:val="0"/>
          <w:noProof/>
        </w:rPr>
        <w:tab/>
        <w:t>1.7.</w:t>
      </w:r>
      <w:r>
        <w:rPr>
          <w:b w:val="0"/>
          <w:noProof/>
        </w:rPr>
        <w:tab/>
        <w:t xml:space="preserve">Kavandatud eelarve täitmise viisid </w:t>
      </w:r>
    </w:p>
    <w:p>
      <w:pPr>
        <w:pStyle w:val="ManualHeading1"/>
        <w:rPr>
          <w:noProof/>
        </w:rPr>
      </w:pPr>
      <w:r>
        <w:rPr>
          <w:noProof/>
        </w:rPr>
        <w:t>2.</w:t>
      </w:r>
      <w:r>
        <w:rPr>
          <w:noProof/>
        </w:rPr>
        <w:tab/>
        <w:t xml:space="preserve">HALDUSMEETMED </w:t>
      </w:r>
    </w:p>
    <w:p>
      <w:pPr>
        <w:pStyle w:val="ManualHeading2"/>
        <w:rPr>
          <w:b w:val="0"/>
          <w:noProof/>
        </w:rPr>
      </w:pPr>
      <w:r>
        <w:rPr>
          <w:b w:val="0"/>
          <w:noProof/>
        </w:rPr>
        <w:tab/>
        <w:t>2.1.</w:t>
      </w:r>
      <w:r>
        <w:rPr>
          <w:b w:val="0"/>
          <w:noProof/>
        </w:rPr>
        <w:tab/>
        <w:t xml:space="preserve">Järelevalve ja aruandluse eeskirjad </w:t>
      </w:r>
    </w:p>
    <w:p>
      <w:pPr>
        <w:pStyle w:val="ManualHeading2"/>
        <w:rPr>
          <w:b w:val="0"/>
          <w:noProof/>
        </w:rPr>
      </w:pPr>
      <w:r>
        <w:rPr>
          <w:b w:val="0"/>
          <w:noProof/>
        </w:rPr>
        <w:tab/>
        <w:t>2.2.</w:t>
      </w:r>
      <w:r>
        <w:rPr>
          <w:b w:val="0"/>
          <w:noProof/>
        </w:rPr>
        <w:tab/>
        <w:t xml:space="preserve">Haldus- ja kontrollisüsteemid </w:t>
      </w:r>
    </w:p>
    <w:p>
      <w:pPr>
        <w:pStyle w:val="ManualHeading2"/>
        <w:rPr>
          <w:b w:val="0"/>
          <w:noProof/>
        </w:rPr>
      </w:pPr>
      <w:r>
        <w:rPr>
          <w:b w:val="0"/>
          <w:noProof/>
        </w:rPr>
        <w:tab/>
        <w:t>2.3.</w:t>
      </w:r>
      <w:r>
        <w:rPr>
          <w:b w:val="0"/>
          <w:noProof/>
        </w:rPr>
        <w:tab/>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b w:val="0"/>
          <w:noProof/>
        </w:rPr>
        <w:tab/>
        <w:t>3.1.</w:t>
      </w:r>
      <w:r>
        <w:rPr>
          <w:b w:val="0"/>
          <w:noProof/>
        </w:rPr>
        <w:tab/>
        <w:t xml:space="preserve">Mitmeaastase finantsraamistiku rubriigid ja kulude eelarveread, millele mõju avaldub </w:t>
      </w:r>
    </w:p>
    <w:p>
      <w:pPr>
        <w:pStyle w:val="ManualHeading2"/>
        <w:rPr>
          <w:noProof/>
        </w:rPr>
      </w:pPr>
      <w:r>
        <w:rPr>
          <w:b w:val="0"/>
          <w:noProof/>
        </w:rPr>
        <w:tab/>
        <w:t>3.2.</w:t>
      </w:r>
      <w:r>
        <w:rPr>
          <w:b w:val="0"/>
          <w:noProof/>
        </w:rPr>
        <w:tab/>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Hinnanguline mõju tuludele</w:t>
      </w:r>
    </w:p>
    <w:p>
      <w:pPr>
        <w:jc w:val="center"/>
        <w:rPr>
          <w:noProof/>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Ettepanek: nõukogu direktiiv, millega muudetakse direktiivi 2011/16/EL seoses kohustusliku automaatse teabevahetusega maksustamise valdkonnas avalikustatavate piiriüleste skeemide puhul</w:t>
      </w:r>
    </w:p>
    <w:p>
      <w:pPr>
        <w:pStyle w:val="ManualHeading2"/>
        <w:rPr>
          <w:noProof/>
          <w:szCs w:val="24"/>
        </w:rPr>
      </w:pPr>
      <w:r>
        <w:t>1.2.</w:t>
      </w:r>
      <w:r>
        <w:tab/>
      </w:r>
      <w:r>
        <w:rPr>
          <w:noProof/>
        </w:rPr>
        <w:t>Asjaomased poliitikavaldkonnad vastavalt tegevuspõhise juhtimise ja eelarvestamise (ABM/ABB) struktuurile</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Ettepaneku/algatuse liik </w:t>
      </w:r>
    </w:p>
    <w:p>
      <w:pPr>
        <w:pStyle w:val="Text1"/>
        <w:rPr>
          <w:b/>
          <w:noProof/>
          <w:sz w:val="22"/>
        </w:rPr>
      </w:pPr>
      <w:r>
        <w:rPr>
          <w:noProof/>
          <w:sz w:val="22"/>
        </w:rPr>
        <w:sym w:font="Wingdings" w:char="F0FD"/>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t>1.4.</w:t>
      </w:r>
      <w:r>
        <w:tab/>
      </w:r>
      <w:r>
        <w:rPr>
          <w:noProof/>
        </w:rPr>
        <w:t>Eesmärgid</w:t>
      </w:r>
    </w:p>
    <w:p>
      <w:pPr>
        <w:pStyle w:val="ManualHeading3"/>
        <w:rPr>
          <w:noProof/>
        </w:rPr>
      </w:pPr>
      <w:r>
        <w:t>1.4.1.</w:t>
      </w:r>
      <w:r>
        <w:tab/>
      </w:r>
      <w:r>
        <w:rPr>
          <w:noProof/>
        </w:rPr>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Komisjoni 2017. aasta tööprogrammis on esmatähtsate ülesannete hulgas nimetatud „äriühingute õiglasemat maksustamist“. Üks sellesse valdkonda kuuluvatest küsimustest on „maksubaasi kahanemist ja kasumi ümberpaigutamist („BEPS“) käsitleva rahvusvahelise lepingu rakendamine ELi õiguses“ (seadusandlik / muu kui seadusandlik, sh mõjuhinnang“. Käesolev ettepanek võimaliku agressiivse maksuplaneerimise skeemide kohta käiva teabe kohustuslikuks avalikustamiseks tugineb peamiselt OECD BEPS tegevuskava kohustuslikku avalikustamist käsitlevale 12. meetmele.</w:t>
      </w:r>
    </w:p>
    <w:p>
      <w:pPr>
        <w:pStyle w:val="ManualHeading3"/>
        <w:rPr>
          <w:bCs/>
          <w:noProof/>
          <w:szCs w:val="24"/>
        </w:rPr>
      </w:pPr>
      <w:r>
        <w:t>1.4.2.</w:t>
      </w:r>
      <w:r>
        <w:tab/>
      </w:r>
      <w:r>
        <w:rPr>
          <w:noProof/>
        </w:rPr>
        <w:t xml:space="preserve">Erieesmärgid ning asjaomased tegevusalad vastavalt tegevuspõhise juhtimise ja eelarvestamise struktuurile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w:t>
      </w:r>
    </w:p>
    <w:p>
      <w:pPr>
        <w:pStyle w:val="Text1"/>
        <w:pBdr>
          <w:top w:val="single" w:sz="4" w:space="1" w:color="auto"/>
          <w:left w:val="single" w:sz="4" w:space="4" w:color="auto"/>
          <w:bottom w:val="single" w:sz="4" w:space="1" w:color="auto"/>
          <w:right w:val="single" w:sz="4" w:space="4" w:color="auto"/>
        </w:pBdr>
        <w:rPr>
          <w:noProof/>
        </w:rPr>
      </w:pPr>
      <w:r>
        <w:rPr>
          <w:noProof/>
        </w:rPr>
        <w:t>Kavandatava õigusakti eesmärk on suurendada läbipaistvust ja teabele juurdepääsu varases etapis, kuna see võimaldaks ametiasutustel parandada riskihindamise kiirust ja täpsust ning teha õigeaegseid ja teadlikke otsuseid selle kohta, kuidas maksutulu kaitsta. Kui maksuhaldurid saavad teavet võimaliku agressiivse maksuplaneerimise skeemide kohta enne, kui neid skeeme rakendatakse, peaks neil olema võimalik need skeemid tuvastada ja tegeleda maksualaste riskidega, mis skeemidega kaasnevad, võttes sobivaid meetmeid nende riskide vähendamiseks. Selleks peaks seda teavet ideaaljuhul olema võimalik saada ette, st enne kui skeemi rakendatakse ja/või kasutatakse. See võimaldaks ametiasutustel hinnata õigeaegselt nende skeemidega kaasnevaid riske ja vajadusel reageerida, et kõrvaldada puudused ja hoida ära maksutulu kaotust. Lõppeesmärk on luua mehhanism, millel on hoiatav mõju; st mehhanism, mis pärsib vahendajate motivatsiooni selliseid skeeme luua ja turustada.</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(ABM/ABB) struktuurile</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r>
      <w:r>
        <w:t>1.4.3.</w:t>
      </w:r>
      <w:r>
        <w:tab/>
      </w:r>
      <w:r>
        <w:rPr>
          <w:noProof/>
        </w:rPr>
        <w:t>Oodatavad tulemused ja mõju</w:t>
      </w:r>
    </w:p>
    <w:p>
      <w:pPr>
        <w:pStyle w:val="Text1"/>
        <w:rPr>
          <w:i/>
          <w:noProof/>
          <w:sz w:val="20"/>
        </w:rPr>
      </w:pPr>
      <w:r>
        <w:rPr>
          <w:i/>
          <w:noProof/>
          <w:sz w:val="20"/>
        </w:rPr>
        <w:t>Täpsustage, milline peaks olema ettepaneku/algatuse oodatav mõju abisaajatele/sihtrühmale.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Esiteks tähendab liikmesriikidevaheline automaatne võimalikke agressiivseid maksuplaneerimise skeeme puudutava avalikustatava teabe vahetus seda, et kõigil liikmesriikidel on võimalik õigesti hinnata, kas teatav skeem või skeemide seeria võib neid (kasvõi tahtmatult) mõjutada ja kas neil on vaja vastavalt reageerida.</w:t>
      </w:r>
    </w:p>
    <w:p>
      <w:pPr>
        <w:pStyle w:val="Text1"/>
        <w:pBdr>
          <w:top w:val="single" w:sz="4" w:space="1" w:color="auto"/>
          <w:left w:val="single" w:sz="4" w:space="4" w:color="auto"/>
          <w:bottom w:val="single" w:sz="4" w:space="1" w:color="auto"/>
          <w:right w:val="single" w:sz="4" w:space="4" w:color="auto"/>
        </w:pBdr>
        <w:rPr>
          <w:noProof/>
        </w:rPr>
      </w:pPr>
      <w:r>
        <w:rPr>
          <w:noProof/>
        </w:rPr>
        <w:t>Teiseks peaks asjaolu, et võimaliku agressiivse maksuplaneerimise skeeme puudutav teave on läbipaistvam, soodustama õiglasema maksukonkurentsi tekkimist. Lisaks peaks võimaliku agressiivse maksuplaneerimise skeeme puudutava teabe kohustuslik avalikustamine ja vahetamine takistama vahendajaid ja maksumaksjaid agressiivset maksuplaneerimist populariseerimast ja nendes osalemast, kuna selliste skeemide tuvastamiseks ja nende suhtes reageerimiseks vajalik teave on olemas enam kui ühe liikmesriigi maksuhalduritel.</w:t>
      </w:r>
    </w:p>
    <w:p>
      <w:pPr>
        <w:pStyle w:val="ManualHeading3"/>
        <w:rPr>
          <w:bCs/>
          <w:noProof/>
          <w:szCs w:val="24"/>
        </w:rPr>
      </w:pPr>
      <w:r>
        <w:t>1.4.4.</w:t>
      </w:r>
      <w:r>
        <w:tab/>
      </w:r>
      <w:r>
        <w:rPr>
          <w:noProof/>
        </w:rPr>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Ettepaneku suhtes kehtivad nõuded, mis on kehtestatud direktiivis 2011/16, mida muudetakse seoses järgnevaga: i) liikmesriikide poolt igal aastal teabevahetuse kohta edastatava statistika esitamine, ja ii) komisjoni poolt kõnealuse statistika alusel aruande esitamine, sh automaatse teabevahetuse tõhususe kohta.</w:t>
      </w:r>
    </w:p>
    <w:p>
      <w:pPr>
        <w:pStyle w:val="ManualHeading2"/>
        <w:rPr>
          <w:bCs/>
          <w:noProof/>
          <w:szCs w:val="24"/>
        </w:rPr>
      </w:pPr>
      <w:r>
        <w:t>1.5.</w:t>
      </w:r>
      <w:r>
        <w:tab/>
      </w:r>
      <w:r>
        <w:rPr>
          <w:noProof/>
        </w:rPr>
        <w:t xml:space="preserve">Ettepaneku/algatuse põhjendus </w:t>
      </w:r>
    </w:p>
    <w:p>
      <w:pPr>
        <w:pStyle w:val="ManualHeading3"/>
        <w:rPr>
          <w:noProof/>
        </w:rPr>
      </w:pPr>
      <w:r>
        <w:t>1.5.1.</w:t>
      </w:r>
      <w:r>
        <w:tab/>
      </w:r>
      <w:r>
        <w:rPr>
          <w:noProof/>
        </w:rPr>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Direktiivi 2011/16/EL maksustamisalase halduskoostöö kohta muudetakse, et panna kohustus anda oma riigi maksuasutusele teavet võimaliku agressiivse maksuplaneerimise skeemide kohta esmajoones vahendajatele ning teise võimalusena maksumaksjatele. Need ametiasutused jagavad seejärel seda teavet teiste liikmesriikidega kohustusliku ja automaatse teabevahetussüsteemi kaudu. Sellega seoses on ametiasutused kohustatud edastama neile teatavaks tehtud teabe keskregistrile, millele juurdepääs on kõigil liikmesriikidel. Komisjonile antakse registrile piiratud juurdepääs, tagamaks et tal on olemas piisav teave, mida on vaja direktiivi toime üle järelevalve tegemiseks. </w:t>
      </w:r>
    </w:p>
    <w:p>
      <w:pPr>
        <w:pStyle w:val="ManualHeading3"/>
        <w:rPr>
          <w:bCs/>
          <w:noProof/>
          <w:szCs w:val="24"/>
        </w:rPr>
      </w:pPr>
      <w:r>
        <w:t>1.5.2.</w:t>
      </w:r>
      <w:r>
        <w:tab/>
      </w:r>
      <w:r>
        <w:rPr>
          <w:noProof/>
        </w:rPr>
        <w:t>Euroopa Liidu meetme lisandväärtus</w:t>
      </w:r>
    </w:p>
    <w:p>
      <w:pPr>
        <w:pStyle w:val="Text1"/>
        <w:pBdr>
          <w:top w:val="single" w:sz="4" w:space="1" w:color="auto"/>
          <w:left w:val="single" w:sz="4" w:space="4" w:color="auto"/>
          <w:bottom w:val="single" w:sz="4" w:space="1" w:color="auto"/>
          <w:right w:val="single" w:sz="4" w:space="4" w:color="auto"/>
        </w:pBdr>
        <w:rPr>
          <w:noProof/>
        </w:rPr>
      </w:pPr>
      <w:r>
        <w:rPr>
          <w:noProof/>
        </w:rPr>
        <w:t>ELi osalemisel teabe avalikustamises on lisaväärtus võrreldes selles valdkonnas liikmesriikide poolt võetud meetmetega. Seda seetõttu, et võimaliku agressiivse maksuplaneerimise skeemide avalikustamine – eriti kui sellega kaasneb teabevahetus – võimaldab maksuasutustel saada tervikliku pildi piiriüleste tehingute mõju kohta üldisele maksubaasile. Seepärast on EL teabevahetussüsteemi tõhususe ja täielikkuse tagamisel soodsamas olukorras kui üksikult tegutsevad liikmesriigid.</w:t>
      </w: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Võimaliku agressiivse maksuplaneerimise skeemidest kohustusliku teavitamise kord on kehtestatud Iirimaal, Portugalis ja Ühendkuningriigis. Ühendkuningriigis avalikustatud teabest nähtub, et valitsus kasutas saadud teavet selleks, et kehtestada igal aastal mitu maksustamise vältimise vastast meedet. Alates 2004. aastast on jõustatud kokku 49 meedet, kõrvaldades maksustamise vältimise võimalusi üle 12 miljardi naelsterlingi väärtuses. Her Majesty's Revenue and Customs’i sõnul on olemas hulgaliselt tõsielulisi tõendeid selle kohta, et maksudest kõrvalehoidumise skeemide avalikustamine on muutnud maksustamise vältimiseks soodsaid majanduslikke tingimusi.</w:t>
      </w:r>
    </w:p>
    <w:p>
      <w:pPr>
        <w:pStyle w:val="ManualHeading3"/>
        <w:rPr>
          <w:bCs/>
          <w:noProof/>
          <w:szCs w:val="24"/>
        </w:rPr>
      </w:pPr>
      <w:r>
        <w:t>1.5.4.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Kuna ettepanek on koostatud direktiivi 2011/16/EL (maksustamisalase halduskoostöö kohta) muutmiseks, saab käesoleva ettepaneku eesmärkide saavutamiseks kasutada kõnealuse direktiivi raames juba loodud või väljatöötamisel olevaid menetlusi, kokkuleppeid ja IT-vahendeid.</w:t>
      </w:r>
    </w:p>
    <w:p>
      <w:pPr>
        <w:pStyle w:val="ManualHeading2"/>
        <w:rPr>
          <w:bCs/>
          <w:noProof/>
          <w:szCs w:val="24"/>
        </w:rPr>
      </w:pPr>
      <w:r>
        <w:rPr>
          <w:noProof/>
        </w:rPr>
        <w:br w:type="page"/>
      </w:r>
      <w:r>
        <w:t>1.6.</w:t>
      </w:r>
      <w:r>
        <w:tab/>
      </w:r>
      <w:r>
        <w:rPr>
          <w:noProof/>
        </w:rPr>
        <w:t xml:space="preserve">Meetme kestus ja finantsmõju </w:t>
      </w:r>
    </w:p>
    <w:p>
      <w:pPr>
        <w:pStyle w:val="Text1"/>
        <w:rPr>
          <w:noProof/>
        </w:rPr>
      </w:pPr>
      <w:r>
        <w:rPr>
          <w:noProof/>
        </w:rPr>
        <w:sym w:font="Wingdings" w:char="F0A8"/>
      </w:r>
      <w:r>
        <w:rPr>
          <w:b/>
          <w:i/>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sym w:font="Wingdings" w:char="F0A8"/>
      </w:r>
      <w:r>
        <w:rPr>
          <w:noProof/>
        </w:rPr>
        <w:tab/>
        <w:t xml:space="preserve">Ettepanek/algatus hõlmab ajavahemikku [PP/KK]AAAA–[PP/KK]AAAA </w:t>
      </w:r>
    </w:p>
    <w:p>
      <w:pPr>
        <w:pStyle w:val="ListDash2"/>
        <w:rPr>
          <w:noProof/>
        </w:rPr>
      </w:pPr>
      <w:r>
        <w:rPr>
          <w:noProof/>
        </w:rPr>
        <w:sym w:font="Wingdings" w:char="F0A8"/>
      </w:r>
      <w:r>
        <w:rPr>
          <w:noProof/>
        </w:rPr>
        <w:tab/>
        <w:t xml:space="preserve">Finantsmõju avaldub ajavahemikul AAAA–AAAA </w:t>
      </w:r>
    </w:p>
    <w:p>
      <w:pPr>
        <w:pStyle w:val="Text1"/>
        <w:rPr>
          <w:noProof/>
        </w:rPr>
      </w:pPr>
      <w:r>
        <w:rPr>
          <w:noProof/>
        </w:rPr>
        <w:sym w:font="Wingdings" w:char="F0FD"/>
      </w:r>
      <w:r>
        <w:rPr>
          <w:b/>
          <w:i/>
          <w:noProof/>
        </w:rPr>
        <w:t xml:space="preserve"> </w:t>
      </w:r>
      <w:r>
        <w:rPr>
          <w:b/>
          <w:noProof/>
        </w:rPr>
        <w:t>Piiramatu kestusega</w:t>
      </w:r>
      <w:r>
        <w:rPr>
          <w:noProof/>
        </w:rPr>
        <w:t xml:space="preserve"> ettepanek/algatus</w:t>
      </w:r>
    </w:p>
    <w:p>
      <w:pPr>
        <w:pStyle w:val="ListDash1"/>
        <w:rPr>
          <w:noProof/>
        </w:rPr>
      </w:pPr>
      <w:r>
        <w:rPr>
          <w:noProof/>
        </w:rPr>
        <w:t>rakendamine ja käivitumisperiood hõlmab ajavahemikku 2017–2021,</w:t>
      </w:r>
    </w:p>
    <w:p>
      <w:pPr>
        <w:pStyle w:val="ListDash1"/>
        <w:rPr>
          <w:noProof/>
        </w:rPr>
      </w:pPr>
      <w:r>
        <w:rPr>
          <w:noProof/>
        </w:rPr>
        <w:t>millele järgneb täieulatuslik rakendamine.</w:t>
      </w:r>
    </w:p>
    <w:p>
      <w:pPr>
        <w:pStyle w:val="ManualHeading2"/>
        <w:rPr>
          <w:bCs/>
          <w:noProof/>
          <w:szCs w:val="24"/>
        </w:rPr>
      </w:pPr>
      <w:r>
        <w:t>1.7.</w:t>
      </w:r>
      <w:r>
        <w:tab/>
      </w:r>
      <w:r>
        <w:rPr>
          <w:noProof/>
        </w:rPr>
        <w:t>Kavandatud eelarve täitmise viisid</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i/>
          <w:noProof/>
        </w:rPr>
        <w:t xml:space="preserve"> </w:t>
      </w:r>
      <w:r>
        <w:rPr>
          <w:b/>
          <w:noProof/>
        </w:rPr>
        <w:t>Otsene eelarve täitmine</w:t>
      </w:r>
      <w:r>
        <w:rPr>
          <w:noProof/>
        </w:rPr>
        <w:t xml:space="preserve"> komisjoni poolt</w:t>
      </w:r>
    </w:p>
    <w:p>
      <w:pPr>
        <w:pStyle w:val="ListDash2"/>
        <w:rPr>
          <w:rFonts w:cs="EUAlbertina"/>
          <w:noProof/>
        </w:rPr>
      </w:pPr>
      <w:r>
        <w:rPr>
          <w:noProof/>
        </w:rPr>
        <w:sym w:font="Wingdings" w:char="F0FD"/>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täitmine koostöös</w:t>
      </w:r>
      <w:r>
        <w:rPr>
          <w:noProof/>
        </w:rPr>
        <w:t xml:space="preserve"> liikmesriikidega </w:t>
      </w:r>
    </w:p>
    <w:p>
      <w:pPr>
        <w:pStyle w:val="Text1"/>
        <w:rPr>
          <w:noProof/>
        </w:rPr>
      </w:pPr>
      <w:r>
        <w:rPr>
          <w:noProof/>
        </w:rPr>
        <w:sym w:font="Wingdings" w:char="F0A8"/>
      </w:r>
      <w:r>
        <w:rPr>
          <w:i/>
          <w:noProof/>
        </w:rPr>
        <w:t xml:space="preserve"> </w:t>
      </w:r>
      <w:r>
        <w:rPr>
          <w:b/>
          <w:noProof/>
        </w:rPr>
        <w:t>Kaudne eelarve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esindajatele (täpsustada);</w:t>
      </w:r>
    </w:p>
    <w:p>
      <w:pPr>
        <w:pStyle w:val="ListDash2"/>
        <w:rPr>
          <w:noProof/>
        </w:rPr>
      </w:pPr>
      <w:r>
        <w:rPr>
          <w:noProof/>
        </w:rPr>
        <w:sym w:font="Wingdings" w:char="F0A8"/>
      </w:r>
      <w:r>
        <w:rPr>
          <w:noProof/>
        </w:rPr>
        <w:t>Euroopa Investeerimispangale (EIP) ja Euroopa Investeerimisfondile (EIF);</w:t>
      </w:r>
    </w:p>
    <w:p>
      <w:pPr>
        <w:pStyle w:val="ListDash2"/>
        <w:rPr>
          <w:noProof/>
        </w:rPr>
      </w:pPr>
      <w:r>
        <w:rPr>
          <w:noProof/>
        </w:rPr>
        <w:sym w:font="Wingdings" w:char="F0A8"/>
      </w:r>
      <w:r>
        <w:rPr>
          <w:noProof/>
        </w:rPr>
        <w:t xml:space="preserve"> finantsmääruse artiklites 208 ja 209 nimetatud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ELi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r>
        <w:rPr>
          <w:noProof/>
        </w:rPr>
        <w:t>Käesolev ettepanek tugineb piiriüleseid eelotsuseid puudutava automaatse teabevahetuse olemasolevale raamistikule ja süsteemile, mis loodi direktiivi 2011/16/EL artikli 21 alusel varasema muudatusega seoses. Komisjon töötab koos liikmesriikidega rakendusaktide abil välja teabevahetuse tüüpvormid ja -vormingud. Mis puutub CCN-võrgustikku, mis teeb võimalikuks teabevahetuse liikmesriikide vahel, siis vastutab komisjon selle võrgustiku loomise eest ja liikmesriigid kohustuvad looma vastava siseriikliku struktuuri, mis võimaldab teabevahetust CCN-võrgustiku kaudu.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Täpsustage sagedus ja tingimused.</w:t>
      </w:r>
    </w:p>
    <w:p>
      <w:pPr>
        <w:pStyle w:val="Text1"/>
        <w:pBdr>
          <w:top w:val="single" w:sz="4" w:space="1" w:color="auto"/>
          <w:left w:val="single" w:sz="4" w:space="4" w:color="auto"/>
          <w:bottom w:val="single" w:sz="4" w:space="1" w:color="auto"/>
          <w:right w:val="single" w:sz="4" w:space="4" w:color="auto"/>
        </w:pBdr>
        <w:rPr>
          <w:noProof/>
        </w:rPr>
      </w:pPr>
      <w:r>
        <w:rPr>
          <w:noProof/>
        </w:rPr>
        <w:t>Liikmesriigid kohustuvad:</w:t>
      </w:r>
    </w:p>
    <w:p>
      <w:pPr>
        <w:pStyle w:val="Text1"/>
        <w:pBdr>
          <w:top w:val="single" w:sz="4" w:space="1" w:color="auto"/>
          <w:left w:val="single" w:sz="4" w:space="4" w:color="auto"/>
          <w:bottom w:val="single" w:sz="4" w:space="1" w:color="auto"/>
          <w:right w:val="single" w:sz="4" w:space="4" w:color="auto"/>
        </w:pBdr>
        <w:rPr>
          <w:noProof/>
        </w:rPr>
      </w:pPr>
      <w:r>
        <w:rPr>
          <w:noProof/>
        </w:rPr>
        <w:t>- edastama komisjonile igal aastal hinnangu artiklites 8, 8a, 8aa (ja kavandatud artiklis 8aaa) osutatud automaatse teabevahetuse tõhususe kohta ning saavutatud praktilised tulemused.</w:t>
      </w:r>
    </w:p>
    <w:p>
      <w:pPr>
        <w:pStyle w:val="Text1"/>
        <w:pBdr>
          <w:top w:val="single" w:sz="4" w:space="1" w:color="auto"/>
          <w:left w:val="single" w:sz="4" w:space="4" w:color="auto"/>
          <w:bottom w:val="single" w:sz="4" w:space="1" w:color="auto"/>
          <w:right w:val="single" w:sz="4" w:space="4" w:color="auto"/>
        </w:pBdr>
        <w:rPr>
          <w:noProof/>
        </w:rPr>
      </w:pPr>
      <w:r>
        <w:rPr>
          <w:noProof/>
        </w:rPr>
        <w:t>- esitama statistiliste andmeelementide loetelu, mille määrab kindlaks komisjon vastavalt artikli 26 lõikes 2 sätestatud korrale (rakendusmeetmed) käesoleva direktiivi hindamiseks.</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Maksustamisalase halduskoostöö direktiivi artikli 27 kohaselt on komisjon kohustatud esitama aruande kõnealuse direktiivi kohaldamise kohta iga viie aasta järel, mida hakati lugema alates 1. jaanuarist 2013. Käesolev ettepaneku (millega muudetakse maksustamisalase halduskoostöö direktiivi) tulemused lisatakse Euroopa Parlamendile ja nõukogule esitatavale aruandele, mis avaldatakse 1. jaanuaril 2023.</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Haldus- ja kontrollisüsteemid </w:t>
      </w:r>
    </w:p>
    <w:p>
      <w:pPr>
        <w:pStyle w:val="ManualHeading3"/>
        <w:rPr>
          <w:noProof/>
        </w:rPr>
      </w:pPr>
      <w:r>
        <w:t>2.2.1.</w:t>
      </w:r>
      <w:r>
        <w:tab/>
      </w:r>
      <w:r>
        <w:rPr>
          <w:noProof/>
        </w:rPr>
        <w:t xml:space="preserve">Tuvastatud ohud </w:t>
      </w:r>
    </w:p>
    <w:p>
      <w:pPr>
        <w:pStyle w:val="Text1"/>
        <w:pBdr>
          <w:top w:val="single" w:sz="4" w:space="1" w:color="auto"/>
          <w:left w:val="single" w:sz="4" w:space="4" w:color="auto"/>
          <w:bottom w:val="single" w:sz="4" w:space="1" w:color="auto"/>
          <w:right w:val="single" w:sz="4" w:space="4" w:color="auto"/>
        </w:pBdr>
        <w:rPr>
          <w:noProof/>
        </w:rPr>
      </w:pPr>
      <w:r>
        <w:rPr>
          <w:noProof/>
        </w:rPr>
        <w:t>Tuvastatud on järgmised võimalikud ohud:</w:t>
      </w:r>
    </w:p>
    <w:p>
      <w:pPr>
        <w:pStyle w:val="Text1"/>
        <w:pBdr>
          <w:top w:val="single" w:sz="4" w:space="1" w:color="auto"/>
          <w:left w:val="single" w:sz="4" w:space="4" w:color="auto"/>
          <w:bottom w:val="single" w:sz="4" w:space="1" w:color="auto"/>
          <w:right w:val="single" w:sz="4" w:space="4" w:color="auto"/>
        </w:pBdr>
        <w:rPr>
          <w:noProof/>
        </w:rPr>
      </w:pPr>
      <w:r>
        <w:rPr>
          <w:noProof/>
        </w:rPr>
        <w:t>- Kuna maksuplaneerimise skeemide struktuur ja tunnused kogu aeg muutuvad, mis võib kaasa tuua olukorra, kus mõned tunnused peagi aeguvad, antakse komisjonile direktiiviga õigus ajakohastada tunnuste loendit, et lisada sellesse võimalikud piiriülese agressiivse maksuplaneerimise skeemid, lähtudes värsketest andmetest, mis on saadud selliste skeemide kohustusliku avalikustamise tulemusel. Selleks võtab komisjon artikli 26a alusel vastu delegeeritud õigusakte ja muudab lisa.</w:t>
      </w:r>
    </w:p>
    <w:p>
      <w:pPr>
        <w:pStyle w:val="Text1"/>
        <w:pBdr>
          <w:top w:val="single" w:sz="4" w:space="1" w:color="auto"/>
          <w:left w:val="single" w:sz="4" w:space="4" w:color="auto"/>
          <w:bottom w:val="single" w:sz="4" w:space="1" w:color="auto"/>
          <w:right w:val="single" w:sz="4" w:space="4" w:color="auto"/>
        </w:pBdr>
        <w:rPr>
          <w:noProof/>
        </w:rPr>
      </w:pPr>
      <w:r>
        <w:rPr>
          <w:noProof/>
        </w:rPr>
        <w:t>- Liikmesriigid kohustuvad andma komisjonile statistilisi andmeid, mida seejärel kasutatakse direktiivi hindamisel. Komisjon kohustub neil statistilistel andmetel põhineva aruande esitama iga viie aasta järel.</w:t>
      </w:r>
    </w:p>
    <w:p>
      <w:pPr>
        <w:pStyle w:val="Text1"/>
        <w:pBdr>
          <w:top w:val="single" w:sz="4" w:space="1" w:color="auto"/>
          <w:left w:val="single" w:sz="4" w:space="4" w:color="auto"/>
          <w:bottom w:val="single" w:sz="4" w:space="1" w:color="auto"/>
          <w:right w:val="single" w:sz="4" w:space="4" w:color="auto"/>
        </w:pBdr>
        <w:rPr>
          <w:noProof/>
        </w:rPr>
      </w:pPr>
      <w:r>
        <w:rPr>
          <w:noProof/>
        </w:rPr>
        <w:t>- Liikmesriigid edastavad igal aastal komisjonile hinnangu automaatse teabevahetuse tõhususe kohta.</w:t>
      </w:r>
    </w:p>
    <w:p>
      <w:pPr>
        <w:pStyle w:val="ManualHeading3"/>
        <w:rPr>
          <w:bCs/>
          <w:noProof/>
          <w:szCs w:val="24"/>
        </w:rPr>
      </w:pPr>
      <w:r>
        <w:t>2.2.2.</w:t>
      </w:r>
      <w:r>
        <w:tab/>
      </w:r>
      <w:r>
        <w:rPr>
          <w:noProof/>
        </w:rPr>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Selleks et teha järelevalvet direktiivi nõuetekohase kohaldamise üle, on komisjonil piiratud juurdepääs keskregistrile, kuhu liikmesriigid edastavad teavet võimalike piiriüleste agressiivse maksuplaneerimise skeemide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Fiscalis toetab sisekontrollisüsteemi vastavalt 11. detsembri 2013. aasta määrusele (EL) nr 1286/2013, eraldades vahendeid järgmise tarbeks: </w:t>
      </w:r>
    </w:p>
    <w:p>
      <w:pPr>
        <w:pStyle w:val="Text1"/>
        <w:pBdr>
          <w:top w:val="single" w:sz="4" w:space="1" w:color="auto"/>
          <w:left w:val="single" w:sz="4" w:space="4" w:color="auto"/>
          <w:bottom w:val="single" w:sz="4" w:space="1" w:color="auto"/>
          <w:right w:val="single" w:sz="4" w:space="4" w:color="auto"/>
        </w:pBdr>
        <w:rPr>
          <w:noProof/>
        </w:rPr>
      </w:pPr>
      <w:r>
        <w:rPr>
          <w:noProof/>
        </w:rPr>
        <w:t>- ühismeetmed (nt projektirühmade näol);</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Euroopa teabesüsteemide väljatöötamine.</w:t>
      </w:r>
    </w:p>
    <w:p>
      <w:pPr>
        <w:pStyle w:val="Text1"/>
        <w:pBdr>
          <w:top w:val="single" w:sz="4" w:space="1" w:color="auto"/>
          <w:left w:val="single" w:sz="4" w:space="4" w:color="auto"/>
          <w:bottom w:val="single" w:sz="4" w:space="1" w:color="auto"/>
          <w:right w:val="single" w:sz="4" w:space="4" w:color="auto"/>
        </w:pBdr>
        <w:spacing w:before="0"/>
        <w:rPr>
          <w:noProof/>
        </w:rPr>
      </w:pPr>
      <w:r>
        <w:rPr>
          <w:noProof/>
        </w:rPr>
        <w:t>Kontrollistrateegia peamised kohaldatavad elemendid on:</w:t>
      </w:r>
    </w:p>
    <w:p>
      <w:pPr>
        <w:pStyle w:val="Text1"/>
        <w:pBdr>
          <w:top w:val="single" w:sz="4" w:space="1" w:color="auto"/>
          <w:left w:val="single" w:sz="4" w:space="4" w:color="auto"/>
          <w:bottom w:val="single" w:sz="4" w:space="1" w:color="auto"/>
          <w:right w:val="single" w:sz="4" w:space="4" w:color="auto"/>
        </w:pBdr>
        <w:spacing w:before="0"/>
        <w:rPr>
          <w:noProof/>
        </w:rPr>
      </w:pPr>
      <w:r>
        <w:rPr>
          <w:noProof/>
        </w:rPr>
        <w:t>Hankeleping</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Finantsmääruses kindlaks määratud hangete kontrolli menetlused: Kõik hankelepingud sõlmitakse maksete eest vastutavate komisjoni talituste kehtestatud kontrollimenetluse kohaselt, võttes arvesse lepingulisi kohustusi ning usaldusväärset finants- ja üldist juhtimist. Kõikides komisjoni ja toetusesaajate vahel sõlmitud lepingutes sätestatakse pettusevastased meetmed (kontroll, aruanded jne). Iga üksiku lepingu puhul sätestatakse lepingu aluseks olevad üksikasjalikud tingimused. Vastuvõtmisel järgitakse rangelt maksunduse ja tolliliidu peadirektoraadi elektroonilise projektihaldusvahendi (TEMPO) metoodikat: tulemused vaadatakse läbi, muudetakse vajaduse korral ja lõpuks kiidetakse sõnaselgelt heaks (või lükatakse tagasi). Ilma „kinnituskirjata“ ei maksta ühtegi arvet. </w:t>
      </w:r>
    </w:p>
    <w:p>
      <w:pPr>
        <w:pStyle w:val="Text1"/>
        <w:pBdr>
          <w:top w:val="single" w:sz="4" w:space="1" w:color="auto"/>
          <w:left w:val="single" w:sz="4" w:space="4" w:color="auto"/>
          <w:bottom w:val="single" w:sz="4" w:space="1" w:color="auto"/>
          <w:right w:val="single" w:sz="4" w:space="4" w:color="auto"/>
        </w:pBdr>
        <w:rPr>
          <w:noProof/>
        </w:rPr>
      </w:pPr>
      <w:r>
        <w:rPr>
          <w:noProof/>
        </w:rPr>
        <w:t>Hanke tehniline kontroll</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Maksunduse ja tolliliidu peadirektoraat kontrollib tulemusi ja teostab järelevalvet töövõtjate tegevuse ja teenuste üle. Samuti teeb ta korrapäraselt töövõtjate kvaliteedi- ja turbeauditeid. Kvaliteediauditi käigus kontrollitakse töövõtja tegelike tööprotsesside vastavust kvaliteedikavas kindlaks määratud eeskirjadele ja menetlustele. Turbeaudit keskendub konkreetsetele protsessidele, menetlustele ja korrale.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Lisaks eespool nimetatud kontrollile teeb maksunduse ja tolliliidu peadirektoraat järgmisi tavapäraseid finantskontrolle: </w:t>
      </w:r>
    </w:p>
    <w:p>
      <w:pPr>
        <w:pStyle w:val="Text1"/>
        <w:pBdr>
          <w:top w:val="single" w:sz="4" w:space="1" w:color="auto"/>
          <w:left w:val="single" w:sz="4" w:space="4" w:color="auto"/>
          <w:bottom w:val="single" w:sz="4" w:space="1" w:color="auto"/>
          <w:right w:val="single" w:sz="4" w:space="4" w:color="auto"/>
        </w:pBdr>
        <w:rPr>
          <w:noProof/>
        </w:rPr>
      </w:pPr>
      <w:r>
        <w:rPr>
          <w:noProof/>
        </w:rPr>
        <w:t>kulukohustuste eelkontroll:</w:t>
      </w:r>
    </w:p>
    <w:p>
      <w:pPr>
        <w:pStyle w:val="Text1"/>
        <w:pBdr>
          <w:top w:val="single" w:sz="4" w:space="1" w:color="auto"/>
          <w:left w:val="single" w:sz="4" w:space="4" w:color="auto"/>
          <w:bottom w:val="single" w:sz="4" w:space="1" w:color="auto"/>
          <w:right w:val="single" w:sz="4" w:space="4" w:color="auto"/>
        </w:pBdr>
        <w:rPr>
          <w:noProof/>
        </w:rPr>
      </w:pPr>
      <w:r>
        <w:rPr>
          <w:noProof/>
        </w:rPr>
        <w:t>maksunduse ja tolliliidu peadirektoraadis kontrollib kõiki kulukohustusi personali- või finantstalituse juhataja. Järelikult hõlmab eelkontroll määratud summasid 100 % ulatuses. Kõnealune menetlus annab kindluse tehingute õiguspärasuse ja korrektsuse suhtes;</w:t>
      </w:r>
    </w:p>
    <w:p>
      <w:pPr>
        <w:pStyle w:val="Text1"/>
        <w:pBdr>
          <w:top w:val="single" w:sz="4" w:space="1" w:color="auto"/>
          <w:left w:val="single" w:sz="4" w:space="4" w:color="auto"/>
          <w:bottom w:val="single" w:sz="4" w:space="1" w:color="auto"/>
          <w:right w:val="single" w:sz="4" w:space="4" w:color="auto"/>
        </w:pBdr>
        <w:rPr>
          <w:noProof/>
        </w:rPr>
      </w:pPr>
      <w:r>
        <w:rPr>
          <w:noProof/>
        </w:rPr>
        <w:t>maksete eelkontroll:</w:t>
      </w:r>
    </w:p>
    <w:p>
      <w:pPr>
        <w:pStyle w:val="Text1"/>
        <w:pBdr>
          <w:top w:val="single" w:sz="4" w:space="1" w:color="auto"/>
          <w:left w:val="single" w:sz="4" w:space="4" w:color="auto"/>
          <w:bottom w:val="single" w:sz="4" w:space="1" w:color="auto"/>
          <w:right w:val="single" w:sz="4" w:space="4" w:color="auto"/>
        </w:pBdr>
        <w:rPr>
          <w:noProof/>
        </w:rPr>
      </w:pPr>
      <w:r>
        <w:rPr>
          <w:noProof/>
        </w:rPr>
        <w:t>100 % maksetest kontrollitakse eelnevalt. Lisaks valitakse igal nädalal pisteliselt eelkontrolliks, mida teeb personali- või finantstalituse juhataja, vähemalt üks makse (kõikides kulukategooriates). Kontrolli katvuse suhtes kindlaid eesmärke ei seata, sest kontrolli eesmärk on kontrollida makseid pisteliselt, et teha kindlaks, kas kõik maksed vastavad nõuetele. Ülejäänud makseid töödeldakse iga päev vastavalt kehtivatele eeskirjadele.</w:t>
      </w:r>
    </w:p>
    <w:p>
      <w:pPr>
        <w:pStyle w:val="Text1"/>
        <w:pBdr>
          <w:top w:val="single" w:sz="4" w:space="1" w:color="auto"/>
          <w:left w:val="single" w:sz="4" w:space="4" w:color="auto"/>
          <w:bottom w:val="single" w:sz="4" w:space="1" w:color="auto"/>
          <w:right w:val="single" w:sz="4" w:space="4" w:color="auto"/>
        </w:pBdr>
        <w:rPr>
          <w:noProof/>
        </w:rPr>
      </w:pPr>
      <w:r>
        <w:rPr>
          <w:noProof/>
        </w:rPr>
        <w:t>Edasivolitatud eelarvevahendite käsutajate deklaratsioonid</w:t>
      </w:r>
    </w:p>
    <w:p>
      <w:pPr>
        <w:pStyle w:val="Text1"/>
        <w:pBdr>
          <w:top w:val="single" w:sz="4" w:space="1" w:color="auto"/>
          <w:left w:val="single" w:sz="4" w:space="4" w:color="auto"/>
          <w:bottom w:val="single" w:sz="4" w:space="1" w:color="auto"/>
          <w:right w:val="single" w:sz="4" w:space="4" w:color="auto"/>
        </w:pBdr>
        <w:rPr>
          <w:noProof/>
        </w:rPr>
      </w:pPr>
      <w:r>
        <w:rPr>
          <w:noProof/>
        </w:rPr>
        <w:t>kõik edasivolitatud eelarvevahendite käsutajad kirjutavad alla deklaratsioonile, mis lisatakse asjaomase aasta kohta koostatud tegevusaruandele. Deklaratsioon hõlmab programmi raames elluviidavaid tegevusi. Edasivolitatud eelarvevahendite käsutaja kinnitab, et eelarve täitmisega seotud toimingud on ellu viidud vastavalt usaldusväärse finantsjuhtimise põhimõttele, et kehtivad juhtimis- ja kontrollisüsteemid tagavad rahuldavalt tehingute õiguspärasuse ja korrektsuse ning et toimingutega seotud riskid on nõuetekohaselt tuvastatud, nendest on teatatud ja et on rakendatud riskide maandamise meetmeid.</w:t>
      </w:r>
    </w:p>
    <w:p>
      <w:pPr>
        <w:pStyle w:val="ManualHeading3"/>
        <w:rPr>
          <w:noProof/>
        </w:rPr>
      </w:pPr>
      <w:r>
        <w:t>2.2.3.</w:t>
      </w:r>
      <w:r>
        <w:tab/>
      </w:r>
      <w:r>
        <w:rPr>
          <w:noProof/>
        </w:rPr>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Kehtestatud kontrollimenetlused annavad maksunduse ja tolliliidu peadirektoraadile piisava kindluse kulude kvaliteedi ja korrektsuse suhtes ning vähendavad nõuetele mittevastamise ohtu. Eespool nimetatud kontrollistrateegia meetmed langetavad võimaliku riskitaseme alla 2 % ja see mõjutab kõiki toetusesaajaid. Kõik lisameetmed riskide edasiseks vähendamiseks oleks ebaproportsionaalselt kulukad ja seetõttu neid ette ei nähta. </w:t>
      </w:r>
    </w:p>
    <w:p>
      <w:pPr>
        <w:pStyle w:val="Text1"/>
        <w:pBdr>
          <w:top w:val="single" w:sz="4" w:space="1" w:color="auto"/>
          <w:left w:val="single" w:sz="4" w:space="4" w:color="auto"/>
          <w:bottom w:val="single" w:sz="4" w:space="1" w:color="auto"/>
          <w:right w:val="single" w:sz="4" w:space="4" w:color="auto"/>
        </w:pBdr>
        <w:rPr>
          <w:noProof/>
        </w:rPr>
      </w:pPr>
      <w:r>
        <w:rPr>
          <w:noProof/>
        </w:rPr>
        <w:t>Eespool nimetatud kontrollistrateegia rakendamisel tekkinud üldkulud (kõigi programmi „Fiscalis 2020” raames tehtud kulutuste korral) moodustavad kuni 1,6 % kõigist tehtud maksetest. Käesoleva algatuse korral jääb kõnealune määr eeldatavasti samaks.</w:t>
      </w:r>
    </w:p>
    <w:p>
      <w:pPr>
        <w:pStyle w:val="Text1"/>
        <w:pBdr>
          <w:top w:val="single" w:sz="4" w:space="1" w:color="auto"/>
          <w:left w:val="single" w:sz="4" w:space="4" w:color="auto"/>
          <w:bottom w:val="single" w:sz="4" w:space="1" w:color="auto"/>
          <w:right w:val="single" w:sz="4" w:space="4" w:color="auto"/>
        </w:pBdr>
        <w:rPr>
          <w:noProof/>
        </w:rPr>
      </w:pPr>
      <w:r>
        <w:rPr>
          <w:noProof/>
        </w:rPr>
        <w:t>Programmi kontrollistrateegia muudab mittevastavuse ohu praktiliselt olematuks ning on kaasnevate riskidega proportsionaalne.</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Euroopa Pettustevastane Amet (OLAF) võib teha muu hulgas kohapealseid kontrolle ja inspekteerimisi vastavalt Euroopa Parlamendi ja nõukogu määruse (EÜ) nr 1073/1999</w:t>
      </w:r>
      <w:r>
        <w:rPr>
          <w:rStyle w:val="FootnoteReference"/>
          <w:noProof/>
        </w:rPr>
        <w:footnoteReference w:id="34"/>
      </w:r>
      <w:r>
        <w:rPr>
          <w:noProof/>
        </w:rPr>
        <w:t xml:space="preserve"> ning nõukogu määruse (Euratom, EÜ) nr 2185/96</w:t>
      </w:r>
      <w:r>
        <w:rPr>
          <w:rStyle w:val="FootnoteReference"/>
          <w:noProof/>
        </w:rPr>
        <w:footnoteReference w:id="35"/>
      </w:r>
      <w:r>
        <w:rPr>
          <w:noProof/>
        </w:rPr>
        <w:t xml:space="preserve"> materiaal- ja menetlusõiguse normidele, et teha kindlaks, kas käesoleva määruse alusel rahastatud toetuslepingu, toetuse määramise otsuse või lepingu puhul on olnud tegemist liidu finantshuve kahjustava pettuse, korruptsiooni või muu ebaseadusliku tegevusega.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rPr>
        <w:t>Järjestage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Mitmeaastase finantsraamistiku rubriik</w:t>
            </w:r>
          </w:p>
        </w:tc>
        <w:tc>
          <w:tcPr>
            <w:tcW w:w="3240" w:type="dxa"/>
            <w:vAlign w:val="center"/>
          </w:tcPr>
          <w:p>
            <w:pPr>
              <w:spacing w:before="60" w:after="60"/>
              <w:jc w:val="center"/>
              <w:rPr>
                <w:noProof/>
                <w:sz w:val="22"/>
              </w:rPr>
            </w:pPr>
            <w:r>
              <w:rPr>
                <w:noProof/>
                <w:sz w:val="20"/>
              </w:rPr>
              <w:t>Eelarverida</w:t>
            </w:r>
          </w:p>
        </w:tc>
        <w:tc>
          <w:tcPr>
            <w:tcW w:w="1200" w:type="dxa"/>
            <w:vAlign w:val="center"/>
          </w:tcPr>
          <w:p>
            <w:pPr>
              <w:spacing w:before="60" w:after="60"/>
              <w:jc w:val="center"/>
              <w:rPr>
                <w:noProof/>
                <w:sz w:val="22"/>
              </w:rPr>
            </w:pPr>
            <w:r>
              <w:rPr>
                <w:noProof/>
                <w:sz w:val="18"/>
              </w:rPr>
              <w:t xml:space="preserve">Kulu liik </w:t>
            </w:r>
            <w:r>
              <w:rPr>
                <w:noProof/>
              </w:rPr>
              <w:br/>
            </w:r>
          </w:p>
        </w:tc>
        <w:tc>
          <w:tcPr>
            <w:tcW w:w="4320" w:type="dxa"/>
            <w:gridSpan w:val="4"/>
            <w:vAlign w:val="center"/>
          </w:tcPr>
          <w:p>
            <w:pPr>
              <w:spacing w:before="60" w:after="60"/>
              <w:jc w:val="center"/>
              <w:rPr>
                <w:noProof/>
                <w:sz w:val="22"/>
              </w:rPr>
            </w:pPr>
            <w:r>
              <w:rPr>
                <w:noProof/>
                <w:sz w:val="20"/>
              </w:rPr>
              <w:t xml:space="preserve">Rahaline osalus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Liigendatud/ liigendamata.</w:t>
            </w:r>
            <w:r>
              <w:rPr>
                <w:rStyle w:val="FootnoteReference"/>
                <w:noProof/>
                <w:sz w:val="18"/>
              </w:rPr>
              <w:footnoteReference w:id="36"/>
            </w:r>
          </w:p>
        </w:tc>
        <w:tc>
          <w:tcPr>
            <w:tcW w:w="960" w:type="dxa"/>
            <w:vAlign w:val="center"/>
          </w:tcPr>
          <w:p>
            <w:pPr>
              <w:jc w:val="center"/>
              <w:rPr>
                <w:noProof/>
                <w:sz w:val="22"/>
              </w:rPr>
            </w:pPr>
            <w:r>
              <w:rPr>
                <w:noProof/>
                <w:sz w:val="18"/>
              </w:rPr>
              <w:t>EFTA riigid</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Kandidaatriigid</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sz w:val="22"/>
              </w:rPr>
            </w:pPr>
            <w:r>
              <w:rPr>
                <w:noProof/>
                <w:sz w:val="16"/>
              </w:rPr>
              <w:t xml:space="preserve">finantsmääruse artikli 21 lõike 2 punkti b tähenduses </w:t>
            </w:r>
          </w:p>
        </w:tc>
      </w:tr>
      <w:tr>
        <w:tc>
          <w:tcPr>
            <w:tcW w:w="1800" w:type="dxa"/>
            <w:vAlign w:val="center"/>
          </w:tcPr>
          <w:p>
            <w:pPr>
              <w:jc w:val="center"/>
              <w:rPr>
                <w:noProof/>
                <w:sz w:val="22"/>
              </w:rPr>
            </w:pPr>
            <w:r>
              <w:rPr>
                <w:noProof/>
                <w:sz w:val="22"/>
              </w:rPr>
              <w:t>1 A Konkurentsivõime majanduskasvu ja tööhõive tagamiseks</w:t>
            </w:r>
          </w:p>
        </w:tc>
        <w:tc>
          <w:tcPr>
            <w:tcW w:w="3240" w:type="dxa"/>
            <w:vAlign w:val="center"/>
          </w:tcPr>
          <w:p>
            <w:pPr>
              <w:rPr>
                <w:noProof/>
                <w:sz w:val="22"/>
              </w:rPr>
            </w:pPr>
            <w:r>
              <w:rPr>
                <w:noProof/>
                <w:sz w:val="22"/>
              </w:rPr>
              <w:t>Maksusüsteemide toimimise parandamine</w:t>
            </w:r>
          </w:p>
          <w:p>
            <w:pPr>
              <w:spacing w:after="60"/>
              <w:rPr>
                <w:noProof/>
                <w:sz w:val="22"/>
              </w:rPr>
            </w:pPr>
          </w:p>
        </w:tc>
        <w:tc>
          <w:tcPr>
            <w:tcW w:w="1200" w:type="dxa"/>
            <w:vAlign w:val="center"/>
          </w:tcPr>
          <w:p>
            <w:pPr>
              <w:jc w:val="center"/>
              <w:rPr>
                <w:noProof/>
                <w:color w:val="0000FF"/>
                <w:sz w:val="22"/>
              </w:rPr>
            </w:pPr>
            <w:r>
              <w:rPr>
                <w:noProof/>
                <w:sz w:val="22"/>
              </w:rPr>
              <w:t>Liigendatud</w:t>
            </w:r>
          </w:p>
        </w:tc>
        <w:tc>
          <w:tcPr>
            <w:tcW w:w="96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pStyle w:val="ListBullet1"/>
        <w:rPr>
          <w:noProof/>
        </w:rPr>
      </w:pPr>
      <w:r>
        <w:rPr>
          <w:noProof/>
        </w:rPr>
        <w:t xml:space="preserve">Uued eelarveread, mille loomist taotletakse </w:t>
      </w:r>
    </w:p>
    <w:p>
      <w:pPr>
        <w:pStyle w:val="Text1"/>
        <w:rPr>
          <w:i/>
          <w:noProof/>
          <w:sz w:val="20"/>
        </w:rPr>
      </w:pPr>
      <w:r>
        <w:rPr>
          <w:i/>
          <w:noProof/>
          <w:u w:val="single"/>
        </w:rPr>
        <w:t>Järjestage</w:t>
      </w:r>
      <w:r>
        <w:rPr>
          <w:i/>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Mitmeaastase finantsraamistiku rubriik</w:t>
            </w:r>
          </w:p>
        </w:tc>
        <w:tc>
          <w:tcPr>
            <w:tcW w:w="3960" w:type="dxa"/>
            <w:vAlign w:val="center"/>
          </w:tcPr>
          <w:p>
            <w:pPr>
              <w:spacing w:before="60" w:after="60"/>
              <w:jc w:val="center"/>
              <w:rPr>
                <w:noProof/>
                <w:sz w:val="22"/>
              </w:rPr>
            </w:pPr>
            <w:r>
              <w:rPr>
                <w:noProof/>
                <w:sz w:val="20"/>
              </w:rPr>
              <w:t>Eelarverida</w:t>
            </w:r>
          </w:p>
        </w:tc>
        <w:tc>
          <w:tcPr>
            <w:tcW w:w="1080" w:type="dxa"/>
            <w:vAlign w:val="center"/>
          </w:tcPr>
          <w:p>
            <w:pPr>
              <w:spacing w:before="60" w:after="60"/>
              <w:jc w:val="center"/>
              <w:rPr>
                <w:noProof/>
                <w:sz w:val="22"/>
              </w:rPr>
            </w:pPr>
            <w:r>
              <w:rPr>
                <w:noProof/>
                <w:sz w:val="18"/>
              </w:rPr>
              <w:t>Kulu liik</w:t>
            </w:r>
            <w:r>
              <w:rPr>
                <w:noProof/>
              </w:rPr>
              <w:br/>
            </w:r>
          </w:p>
        </w:tc>
        <w:tc>
          <w:tcPr>
            <w:tcW w:w="4440" w:type="dxa"/>
            <w:gridSpan w:val="4"/>
            <w:vAlign w:val="center"/>
          </w:tcPr>
          <w:p>
            <w:pPr>
              <w:spacing w:before="60" w:after="60"/>
              <w:jc w:val="center"/>
              <w:rPr>
                <w:noProof/>
                <w:sz w:val="22"/>
              </w:rPr>
            </w:pPr>
            <w:r>
              <w:rPr>
                <w:noProof/>
                <w:sz w:val="20"/>
              </w:rPr>
              <w:t xml:space="preserve">Rahaline osalus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Number </w:t>
            </w:r>
            <w:r>
              <w:rPr>
                <w:noProof/>
              </w:rPr>
              <w:br/>
            </w:r>
            <w:r>
              <w:rPr>
                <w:noProof/>
                <w:sz w:val="20"/>
              </w:rPr>
              <w:t>[Nimetus ………………………………………]</w:t>
            </w:r>
          </w:p>
        </w:tc>
        <w:tc>
          <w:tcPr>
            <w:tcW w:w="1080" w:type="dxa"/>
            <w:vAlign w:val="center"/>
          </w:tcPr>
          <w:p>
            <w:pPr>
              <w:jc w:val="center"/>
              <w:rPr>
                <w:noProof/>
                <w:sz w:val="22"/>
              </w:rPr>
            </w:pPr>
            <w:r>
              <w:rPr>
                <w:noProof/>
                <w:sz w:val="18"/>
              </w:rPr>
              <w:t>Liigendatud/ liigendamata.</w:t>
            </w:r>
          </w:p>
        </w:tc>
        <w:tc>
          <w:tcPr>
            <w:tcW w:w="956" w:type="dxa"/>
            <w:vAlign w:val="center"/>
          </w:tcPr>
          <w:p>
            <w:pPr>
              <w:jc w:val="center"/>
              <w:rPr>
                <w:noProof/>
                <w:sz w:val="18"/>
              </w:rPr>
            </w:pPr>
            <w:r>
              <w:rPr>
                <w:noProof/>
                <w:sz w:val="18"/>
              </w:rPr>
              <w:t>EFTA riigid</w:t>
            </w:r>
          </w:p>
        </w:tc>
        <w:tc>
          <w:tcPr>
            <w:tcW w:w="1080" w:type="dxa"/>
            <w:vAlign w:val="center"/>
          </w:tcPr>
          <w:p>
            <w:pPr>
              <w:jc w:val="center"/>
              <w:rPr>
                <w:noProof/>
                <w:sz w:val="18"/>
              </w:rPr>
            </w:pPr>
            <w:r>
              <w:rPr>
                <w:noProof/>
                <w:sz w:val="18"/>
              </w:rPr>
              <w:t>Kandidaatriigid</w:t>
            </w: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sz w:val="22"/>
              </w:rPr>
            </w:pPr>
            <w:r>
              <w:rPr>
                <w:noProof/>
                <w:sz w:val="16"/>
              </w:rPr>
              <w:t xml:space="preserve">finantsmääruse artikli 21 lõike 2 punkti b tähenduses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[XX.AA.AA.AA]</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JAH/EI</w:t>
            </w:r>
          </w:p>
        </w:tc>
        <w:tc>
          <w:tcPr>
            <w:tcW w:w="1080" w:type="dxa"/>
            <w:vAlign w:val="center"/>
          </w:tcPr>
          <w:p>
            <w:pPr>
              <w:jc w:val="center"/>
              <w:rPr>
                <w:noProof/>
                <w:color w:val="0000FF"/>
                <w:sz w:val="18"/>
              </w:rPr>
            </w:pPr>
            <w:r>
              <w:rPr>
                <w:noProof/>
                <w:sz w:val="22"/>
              </w:rPr>
              <w:t>JAH/EI</w:t>
            </w:r>
          </w:p>
        </w:tc>
        <w:tc>
          <w:tcPr>
            <w:tcW w:w="956" w:type="dxa"/>
            <w:vAlign w:val="center"/>
          </w:tcPr>
          <w:p>
            <w:pPr>
              <w:jc w:val="center"/>
              <w:rPr>
                <w:noProof/>
                <w:color w:val="0000FF"/>
                <w:sz w:val="18"/>
              </w:rPr>
            </w:pPr>
            <w:r>
              <w:rPr>
                <w:noProof/>
                <w:sz w:val="22"/>
              </w:rPr>
              <w:t>JAH/EI</w:t>
            </w:r>
          </w:p>
        </w:tc>
        <w:tc>
          <w:tcPr>
            <w:tcW w:w="1448" w:type="dxa"/>
            <w:vAlign w:val="center"/>
          </w:tcPr>
          <w:p>
            <w:pPr>
              <w:jc w:val="center"/>
              <w:rPr>
                <w:noProof/>
                <w:sz w:val="22"/>
              </w:rPr>
            </w:pPr>
            <w:r>
              <w:rPr>
                <w:noProof/>
                <w:sz w:val="22"/>
              </w:rPr>
              <w:t>JAH/EI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Text1"/>
        <w:rPr>
          <w:noProof/>
        </w:rPr>
      </w:pPr>
      <w:r>
        <w:rPr>
          <w:noProof/>
          <w:highlight w:val="lightGray"/>
        </w:rPr>
        <w:t xml:space="preserve">[Selle punkti täitmisel tuleb kasutada </w:t>
      </w:r>
      <w:hyperlink r:id="rId13" w:history="1">
        <w:r>
          <w:rPr>
            <w:rStyle w:val="Hyperlink"/>
            <w:b/>
            <w:noProof/>
            <w:highlight w:val="lightGray"/>
          </w:rPr>
          <w:t>haldusalaste eelarveandmete tabelit</w:t>
        </w:r>
      </w:hyperlink>
      <w:r>
        <w:rPr>
          <w:noProof/>
          <w:highlight w:val="lightGray"/>
        </w:rPr>
        <w:t xml:space="preserve"> (käesoleva finantsselgituse lisas esitatud teine dokument) ja laadida see üles CISNETi võrku talitustevahelise konsulteerimise eesmärgil.]</w:t>
      </w:r>
    </w:p>
    <w:p>
      <w:pPr>
        <w:pStyle w:val="ManualHeading3"/>
        <w:rPr>
          <w:noProof/>
          <w:u w:val="single"/>
        </w:rPr>
      </w:pPr>
      <w:r>
        <w:t>3.2.1.</w:t>
      </w:r>
      <w:r>
        <w:tab/>
      </w:r>
      <w:r>
        <w:rPr>
          <w:noProof/>
        </w:rPr>
        <w:t xml:space="preserve">Üldine hinnanguline mõju kuludele </w:t>
      </w:r>
    </w:p>
    <w:p>
      <w:pPr>
        <w:jc w:val="right"/>
        <w:rPr>
          <w:noProof/>
          <w:sz w:val="20"/>
        </w:rPr>
      </w:pPr>
      <w:r>
        <w:rPr>
          <w:noProof/>
          <w:sz w:val="20"/>
        </w:rPr>
        <w:t>miljonites eurodes (kolm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Mitmeaastase finantsraamistiku </w:t>
            </w:r>
            <w:r>
              <w:rPr>
                <w:noProof/>
              </w:rPr>
              <w:br/>
            </w:r>
            <w:r>
              <w:rPr>
                <w:b/>
                <w:noProof/>
                <w:sz w:val="22"/>
              </w:rPr>
              <w:t xml:space="preserve">rubriik: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Konkurentsivõime majanduskasvu ja tööhõive tagamiseks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 xml:space="preserve">maksunduse ja tolliliidu peadirektoraat </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Aasta</w:t>
            </w:r>
            <w:r>
              <w:rPr>
                <w:noProof/>
              </w:rPr>
              <w:br/>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Aasta</w:t>
            </w:r>
            <w:r>
              <w:rPr>
                <w:noProof/>
                <w:sz w:val="22"/>
              </w:rPr>
              <w:br/>
            </w:r>
            <w:r>
              <w:rPr>
                <w:b/>
                <w:noProof/>
                <w:sz w:val="20"/>
              </w:rPr>
              <w:t>N+1</w:t>
            </w:r>
          </w:p>
        </w:tc>
        <w:tc>
          <w:tcPr>
            <w:tcW w:w="868" w:type="dxa"/>
            <w:vAlign w:val="center"/>
          </w:tcPr>
          <w:p>
            <w:pPr>
              <w:jc w:val="center"/>
              <w:rPr>
                <w:noProof/>
                <w:sz w:val="20"/>
              </w:rPr>
            </w:pPr>
            <w:r>
              <w:rPr>
                <w:noProof/>
                <w:sz w:val="20"/>
              </w:rPr>
              <w:t>Aasta</w:t>
            </w:r>
            <w:r>
              <w:rPr>
                <w:noProof/>
                <w:sz w:val="22"/>
              </w:rPr>
              <w:br/>
            </w:r>
            <w:r>
              <w:rPr>
                <w:b/>
                <w:noProof/>
                <w:sz w:val="20"/>
              </w:rPr>
              <w:t>N+2</w:t>
            </w:r>
          </w:p>
        </w:tc>
        <w:tc>
          <w:tcPr>
            <w:tcW w:w="868" w:type="dxa"/>
            <w:vAlign w:val="center"/>
          </w:tcPr>
          <w:p>
            <w:pPr>
              <w:jc w:val="center"/>
              <w:rPr>
                <w:noProof/>
                <w:sz w:val="20"/>
              </w:rPr>
            </w:pPr>
            <w:r>
              <w:rPr>
                <w:noProof/>
                <w:sz w:val="20"/>
              </w:rPr>
              <w:t>Aasta</w:t>
            </w:r>
            <w:r>
              <w:rPr>
                <w:noProof/>
                <w:sz w:val="22"/>
              </w:rPr>
              <w:br/>
            </w:r>
            <w:r>
              <w:rPr>
                <w:b/>
                <w:noProof/>
                <w:sz w:val="20"/>
              </w:rPr>
              <w:t>N+3</w:t>
            </w:r>
          </w:p>
        </w:tc>
        <w:tc>
          <w:tcPr>
            <w:tcW w:w="868" w:type="dxa"/>
            <w:vAlign w:val="center"/>
          </w:tcPr>
          <w:p>
            <w:pPr>
              <w:jc w:val="center"/>
              <w:rPr>
                <w:b/>
                <w:noProof/>
                <w:sz w:val="18"/>
              </w:rPr>
            </w:pPr>
            <w:r>
              <w:rPr>
                <w:noProof/>
                <w:sz w:val="20"/>
              </w:rPr>
              <w:t>Aasta</w:t>
            </w:r>
            <w:r>
              <w:rPr>
                <w:noProof/>
                <w:sz w:val="22"/>
              </w:rPr>
              <w:br/>
            </w:r>
            <w:r>
              <w:rPr>
                <w:b/>
                <w:noProof/>
                <w:sz w:val="20"/>
              </w:rPr>
              <w:t>N+4</w:t>
            </w:r>
          </w:p>
        </w:tc>
        <w:tc>
          <w:tcPr>
            <w:tcW w:w="868" w:type="dxa"/>
            <w:vAlign w:val="center"/>
          </w:tcPr>
          <w:p>
            <w:pPr>
              <w:jc w:val="center"/>
              <w:rPr>
                <w:b/>
                <w:noProof/>
                <w:sz w:val="18"/>
              </w:rPr>
            </w:pPr>
            <w:r>
              <w:rPr>
                <w:noProof/>
                <w:sz w:val="20"/>
              </w:rPr>
              <w:t>Aasta</w:t>
            </w:r>
            <w:r>
              <w:rPr>
                <w:noProof/>
                <w:sz w:val="22"/>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Eelarverida 14.03.01</w:t>
            </w:r>
          </w:p>
        </w:tc>
        <w:tc>
          <w:tcPr>
            <w:tcW w:w="1440" w:type="dxa"/>
            <w:vAlign w:val="center"/>
          </w:tcPr>
          <w:p>
            <w:pPr>
              <w:spacing w:before="20" w:after="20"/>
              <w:rPr>
                <w:noProof/>
                <w:sz w:val="18"/>
              </w:rPr>
            </w:pPr>
            <w:r>
              <w:rPr>
                <w:noProof/>
                <w:sz w:val="18"/>
              </w:rPr>
              <w:t>Kulukohustus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Eelarverida nr</w:t>
            </w:r>
          </w:p>
        </w:tc>
        <w:tc>
          <w:tcPr>
            <w:tcW w:w="1440" w:type="dxa"/>
            <w:vAlign w:val="center"/>
          </w:tcPr>
          <w:p>
            <w:pPr>
              <w:spacing w:before="20" w:after="20"/>
              <w:rPr>
                <w:noProof/>
                <w:sz w:val="18"/>
              </w:rPr>
            </w:pPr>
            <w:r>
              <w:rPr>
                <w:noProof/>
                <w:sz w:val="18"/>
              </w:rPr>
              <w:t>Kulukohustus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Eriprogrammide vahenditest rahastatavad haldusassigneeringud</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Eelarverida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 xml:space="preserve">Maksunduse ja tolliliidu peadirektoraadi </w:t>
            </w:r>
            <w:r>
              <w:rPr>
                <w:noProof/>
              </w:rPr>
              <w:br/>
            </w:r>
            <w:r>
              <w:rPr>
                <w:b/>
                <w:noProof/>
                <w:sz w:val="22"/>
              </w:rPr>
              <w:t>assigneeringud KOKKU</w:t>
            </w:r>
          </w:p>
        </w:tc>
        <w:tc>
          <w:tcPr>
            <w:tcW w:w="1440" w:type="dxa"/>
            <w:vAlign w:val="center"/>
          </w:tcPr>
          <w:p>
            <w:pPr>
              <w:rPr>
                <w:noProof/>
                <w:sz w:val="18"/>
              </w:rPr>
            </w:pPr>
            <w:r>
              <w:rPr>
                <w:noProof/>
                <w:sz w:val="18"/>
              </w:rPr>
              <w:t>Kulukohustus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Tegevusassigneeringud KOKKU </w:t>
            </w:r>
          </w:p>
        </w:tc>
        <w:tc>
          <w:tcPr>
            <w:tcW w:w="1440" w:type="dxa"/>
            <w:vAlign w:val="center"/>
          </w:tcPr>
          <w:p>
            <w:pPr>
              <w:spacing w:beforeLines="20" w:before="48" w:afterLines="20" w:after="48"/>
              <w:rPr>
                <w:noProof/>
                <w:sz w:val="18"/>
              </w:rPr>
            </w:pPr>
            <w:r>
              <w:rPr>
                <w:noProof/>
                <w:sz w:val="18"/>
              </w:rPr>
              <w:t>Kulukohustus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Eriprogrammide vahenditest rahastatavad haldusassigneeringud KOKKU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sz w:val="22"/>
              </w:rPr>
              <w:t xml:space="preserve">Mitmeaastase finantsraamistiku </w:t>
            </w:r>
            <w:r>
              <w:rPr>
                <w:b/>
                <w:noProof/>
                <w:sz w:val="22"/>
              </w:rPr>
              <w:t>RUBRIIGI 1A</w:t>
            </w:r>
            <w:r>
              <w:rPr>
                <w:noProof/>
              </w:rPr>
              <w:br/>
            </w:r>
            <w:r>
              <w:rPr>
                <w:b/>
                <w:noProof/>
                <w:sz w:val="22"/>
              </w:rPr>
              <w:t xml:space="preserve">assigneeringud KOKKU </w:t>
            </w:r>
            <w:r>
              <w:rPr>
                <w:noProof/>
              </w:rPr>
              <w:br/>
            </w:r>
          </w:p>
        </w:tc>
        <w:tc>
          <w:tcPr>
            <w:tcW w:w="1440" w:type="dxa"/>
            <w:vAlign w:val="center"/>
          </w:tcPr>
          <w:p>
            <w:pPr>
              <w:rPr>
                <w:noProof/>
                <w:sz w:val="18"/>
              </w:rPr>
            </w:pPr>
            <w:r>
              <w:rPr>
                <w:noProof/>
                <w:sz w:val="18"/>
              </w:rPr>
              <w:t>Kulukohustus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Maksed</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Tegevusassigneeringud KOKKU </w:t>
            </w:r>
          </w:p>
        </w:tc>
        <w:tc>
          <w:tcPr>
            <w:tcW w:w="1440" w:type="dxa"/>
            <w:tcBorders>
              <w:top w:val="single" w:sz="4" w:space="0" w:color="FF0000"/>
            </w:tcBorders>
            <w:vAlign w:val="center"/>
          </w:tcPr>
          <w:p>
            <w:pPr>
              <w:spacing w:beforeLines="20" w:before="48" w:afterLines="20" w:after="48"/>
              <w:rPr>
                <w:noProof/>
                <w:sz w:val="18"/>
              </w:rPr>
            </w:pPr>
            <w:r>
              <w:rPr>
                <w:noProof/>
                <w:sz w:val="18"/>
              </w:rPr>
              <w:t>Kulukohustus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Eriprogrammide vahenditest rahastatavad haldusassigneeringud KOKKU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 xml:space="preserve">Mitmeaastase finantsraamistiku </w:t>
            </w:r>
            <w:r>
              <w:rPr>
                <w:b/>
                <w:noProof/>
                <w:sz w:val="22"/>
              </w:rPr>
              <w:t>RUBRIIKIDE 1–4</w:t>
            </w:r>
            <w:r>
              <w:rPr>
                <w:noProof/>
              </w:rPr>
              <w:br/>
            </w:r>
            <w:r>
              <w:rPr>
                <w:b/>
                <w:noProof/>
                <w:sz w:val="22"/>
              </w:rPr>
              <w:t xml:space="preserve">assigneeringud KOKKU </w:t>
            </w:r>
            <w:r>
              <w:rPr>
                <w:noProof/>
              </w:rPr>
              <w:br/>
            </w:r>
            <w:r>
              <w:rPr>
                <w:noProof/>
                <w:sz w:val="20"/>
              </w:rPr>
              <w:t>(võrdlussumma)</w:t>
            </w:r>
          </w:p>
        </w:tc>
        <w:tc>
          <w:tcPr>
            <w:tcW w:w="1440" w:type="dxa"/>
            <w:vAlign w:val="center"/>
          </w:tcPr>
          <w:p>
            <w:pPr>
              <w:rPr>
                <w:noProof/>
                <w:sz w:val="18"/>
              </w:rPr>
            </w:pPr>
            <w:r>
              <w:rPr>
                <w:noProof/>
                <w:sz w:val="18"/>
              </w:rPr>
              <w:t>Kulukohustus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Maksed</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Mitmeaastase finantsraamistiku rubriik: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„Halduskulud kokku“</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N</w:t>
            </w:r>
          </w:p>
        </w:tc>
        <w:tc>
          <w:tcPr>
            <w:tcW w:w="868" w:type="dxa"/>
            <w:vAlign w:val="center"/>
          </w:tcPr>
          <w:p>
            <w:pPr>
              <w:jc w:val="center"/>
              <w:rPr>
                <w:noProof/>
                <w:sz w:val="20"/>
              </w:rPr>
            </w:pPr>
            <w:r>
              <w:rPr>
                <w:noProof/>
                <w:sz w:val="20"/>
              </w:rPr>
              <w:t>Aasta</w:t>
            </w:r>
            <w:r>
              <w:rPr>
                <w:noProof/>
                <w:sz w:val="22"/>
              </w:rPr>
              <w:br/>
            </w:r>
            <w:r>
              <w:rPr>
                <w:b/>
                <w:noProof/>
                <w:sz w:val="20"/>
              </w:rPr>
              <w:t>N+1</w:t>
            </w:r>
          </w:p>
        </w:tc>
        <w:tc>
          <w:tcPr>
            <w:tcW w:w="868" w:type="dxa"/>
            <w:vAlign w:val="center"/>
          </w:tcPr>
          <w:p>
            <w:pPr>
              <w:jc w:val="center"/>
              <w:rPr>
                <w:noProof/>
                <w:sz w:val="20"/>
              </w:rPr>
            </w:pPr>
            <w:r>
              <w:rPr>
                <w:noProof/>
                <w:sz w:val="20"/>
              </w:rPr>
              <w:t>Aasta</w:t>
            </w:r>
            <w:r>
              <w:rPr>
                <w:noProof/>
                <w:sz w:val="22"/>
              </w:rPr>
              <w:br/>
            </w:r>
            <w:r>
              <w:rPr>
                <w:b/>
                <w:noProof/>
                <w:sz w:val="20"/>
              </w:rPr>
              <w:t>N+2</w:t>
            </w:r>
          </w:p>
        </w:tc>
        <w:tc>
          <w:tcPr>
            <w:tcW w:w="868" w:type="dxa"/>
            <w:vAlign w:val="center"/>
          </w:tcPr>
          <w:p>
            <w:pPr>
              <w:jc w:val="center"/>
              <w:rPr>
                <w:noProof/>
                <w:sz w:val="20"/>
              </w:rPr>
            </w:pPr>
            <w:r>
              <w:rPr>
                <w:noProof/>
                <w:sz w:val="20"/>
              </w:rPr>
              <w:t>Aasta</w:t>
            </w:r>
            <w:r>
              <w:rPr>
                <w:noProof/>
                <w:sz w:val="22"/>
              </w:rPr>
              <w:br/>
            </w:r>
            <w:r>
              <w:rPr>
                <w:b/>
                <w:noProof/>
                <w:sz w:val="20"/>
              </w:rPr>
              <w:t>N+3</w:t>
            </w:r>
          </w:p>
        </w:tc>
        <w:tc>
          <w:tcPr>
            <w:tcW w:w="868" w:type="dxa"/>
            <w:vAlign w:val="center"/>
          </w:tcPr>
          <w:p>
            <w:pPr>
              <w:jc w:val="center"/>
              <w:rPr>
                <w:noProof/>
                <w:sz w:val="20"/>
              </w:rPr>
            </w:pPr>
            <w:r>
              <w:rPr>
                <w:noProof/>
                <w:sz w:val="20"/>
              </w:rPr>
              <w:t>Aasta</w:t>
            </w:r>
            <w:r>
              <w:rPr>
                <w:noProof/>
                <w:sz w:val="22"/>
              </w:rPr>
              <w:br/>
            </w:r>
            <w:r>
              <w:rPr>
                <w:b/>
                <w:noProof/>
                <w:sz w:val="20"/>
              </w:rPr>
              <w:t>N+4</w:t>
            </w:r>
          </w:p>
        </w:tc>
        <w:tc>
          <w:tcPr>
            <w:tcW w:w="3513" w:type="dxa"/>
            <w:vAlign w:val="center"/>
          </w:tcPr>
          <w:p>
            <w:pPr>
              <w:jc w:val="center"/>
              <w:rPr>
                <w:b/>
                <w:noProof/>
                <w:sz w:val="20"/>
              </w:rPr>
            </w:pPr>
            <w:r>
              <w:rPr>
                <w:b/>
                <w:noProof/>
                <w:sz w:val="20"/>
              </w:rPr>
              <w:t>KOKKU</w:t>
            </w:r>
          </w:p>
        </w:tc>
      </w:tr>
      <w:tr>
        <w:trPr>
          <w:gridAfter w:val="8"/>
          <w:wAfter w:w="9947" w:type="dxa"/>
        </w:trPr>
        <w:tc>
          <w:tcPr>
            <w:tcW w:w="3960" w:type="dxa"/>
            <w:vAlign w:val="center"/>
          </w:tcPr>
          <w:p>
            <w:pPr>
              <w:spacing w:before="60" w:after="60"/>
              <w:jc w:val="center"/>
              <w:rPr>
                <w:noProof/>
                <w:sz w:val="22"/>
              </w:rPr>
            </w:pPr>
            <w:r>
              <w:rPr>
                <w:noProof/>
                <w:sz w:val="22"/>
              </w:rPr>
              <w:t xml:space="preserve">maksunduse ja tolliliidu peadirektoraadi </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Personalikulud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Muud halduskulud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Maksunduse ja tolliliidu peadirektoraat KOKKU</w:t>
            </w:r>
          </w:p>
        </w:tc>
        <w:tc>
          <w:tcPr>
            <w:tcW w:w="2094" w:type="dxa"/>
            <w:gridSpan w:val="2"/>
            <w:vAlign w:val="center"/>
          </w:tcPr>
          <w:p>
            <w:pPr>
              <w:rPr>
                <w:noProof/>
                <w:sz w:val="14"/>
              </w:rPr>
            </w:pPr>
            <w:r>
              <w:rPr>
                <w:noProof/>
                <w:sz w:val="18"/>
              </w:rPr>
              <w:t xml:space="preserve">Assigneeringud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noProof/>
                <w:sz w:val="22"/>
              </w:rPr>
              <w:t>Mitmeaastase finantsraamistiku</w:t>
            </w:r>
            <w:r>
              <w:rPr>
                <w:noProof/>
                <w:sz w:val="22"/>
              </w:rPr>
              <w:br/>
            </w:r>
            <w:r>
              <w:rPr>
                <w:b/>
                <w:noProof/>
                <w:sz w:val="22"/>
              </w:rPr>
              <w:t>RUBRIIGI 5</w:t>
            </w:r>
            <w:r>
              <w:rPr>
                <w:noProof/>
              </w:rPr>
              <w:br/>
            </w:r>
            <w:r>
              <w:rPr>
                <w:b/>
                <w:noProof/>
                <w:sz w:val="22"/>
              </w:rPr>
              <w:t xml:space="preserve">assigneeringud KOKKU </w:t>
            </w:r>
          </w:p>
        </w:tc>
        <w:tc>
          <w:tcPr>
            <w:tcW w:w="2094" w:type="dxa"/>
            <w:vAlign w:val="center"/>
          </w:tcPr>
          <w:p>
            <w:pPr>
              <w:spacing w:before="40" w:after="40"/>
              <w:rPr>
                <w:noProof/>
                <w:sz w:val="22"/>
              </w:rPr>
            </w:pPr>
            <w:r>
              <w:rPr>
                <w:noProof/>
                <w:sz w:val="18"/>
              </w:rPr>
              <w:t>(Kulukohustuste kogusumma = maksete kogusumma)</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Aasta</w:t>
            </w:r>
            <w:r>
              <w:rPr>
                <w:noProof/>
                <w:sz w:val="22"/>
              </w:rPr>
              <w:br/>
            </w:r>
            <w:r>
              <w:rPr>
                <w:b/>
                <w:noProof/>
                <w:sz w:val="20"/>
              </w:rPr>
              <w:t>N+1</w:t>
            </w:r>
          </w:p>
        </w:tc>
        <w:tc>
          <w:tcPr>
            <w:tcW w:w="868" w:type="dxa"/>
            <w:vAlign w:val="center"/>
          </w:tcPr>
          <w:p>
            <w:pPr>
              <w:jc w:val="center"/>
              <w:rPr>
                <w:noProof/>
                <w:sz w:val="20"/>
              </w:rPr>
            </w:pPr>
            <w:r>
              <w:rPr>
                <w:noProof/>
                <w:sz w:val="20"/>
              </w:rPr>
              <w:t>Aasta</w:t>
            </w:r>
            <w:r>
              <w:rPr>
                <w:noProof/>
                <w:sz w:val="22"/>
              </w:rPr>
              <w:br/>
            </w:r>
            <w:r>
              <w:rPr>
                <w:b/>
                <w:noProof/>
                <w:sz w:val="20"/>
              </w:rPr>
              <w:t>N+2</w:t>
            </w:r>
          </w:p>
        </w:tc>
        <w:tc>
          <w:tcPr>
            <w:tcW w:w="868" w:type="dxa"/>
            <w:vAlign w:val="center"/>
          </w:tcPr>
          <w:p>
            <w:pPr>
              <w:jc w:val="center"/>
              <w:rPr>
                <w:noProof/>
                <w:sz w:val="20"/>
              </w:rPr>
            </w:pPr>
            <w:r>
              <w:rPr>
                <w:noProof/>
                <w:sz w:val="20"/>
              </w:rPr>
              <w:t>Aasta</w:t>
            </w:r>
            <w:r>
              <w:rPr>
                <w:noProof/>
                <w:sz w:val="22"/>
              </w:rPr>
              <w:br/>
            </w:r>
            <w:r>
              <w:rPr>
                <w:b/>
                <w:noProof/>
                <w:sz w:val="20"/>
              </w:rPr>
              <w:t>N+3</w:t>
            </w:r>
          </w:p>
        </w:tc>
        <w:tc>
          <w:tcPr>
            <w:tcW w:w="868" w:type="dxa"/>
            <w:vAlign w:val="center"/>
          </w:tcPr>
          <w:p>
            <w:pPr>
              <w:jc w:val="center"/>
              <w:rPr>
                <w:noProof/>
                <w:sz w:val="20"/>
              </w:rPr>
            </w:pPr>
            <w:r>
              <w:rPr>
                <w:noProof/>
                <w:sz w:val="20"/>
              </w:rPr>
              <w:t>Aasta</w:t>
            </w:r>
            <w:r>
              <w:rPr>
                <w:noProof/>
                <w:sz w:val="22"/>
              </w:rPr>
              <w:br/>
            </w:r>
            <w:r>
              <w:rPr>
                <w:b/>
                <w:noProof/>
                <w:sz w:val="20"/>
              </w:rPr>
              <w:t>N+4</w:t>
            </w:r>
          </w:p>
        </w:tc>
        <w:tc>
          <w:tcPr>
            <w:tcW w:w="868" w:type="dxa"/>
            <w:vAlign w:val="center"/>
          </w:tcPr>
          <w:p>
            <w:pPr>
              <w:jc w:val="center"/>
              <w:rPr>
                <w:noProof/>
                <w:sz w:val="20"/>
              </w:rPr>
            </w:pPr>
            <w:r>
              <w:rPr>
                <w:noProof/>
                <w:sz w:val="20"/>
              </w:rPr>
              <w:t>Aasta</w:t>
            </w:r>
            <w:r>
              <w:rPr>
                <w:noProof/>
                <w:sz w:val="22"/>
              </w:rPr>
              <w:br/>
            </w:r>
            <w:r>
              <w:rPr>
                <w:b/>
                <w:noProof/>
                <w:sz w:val="20"/>
              </w:rPr>
              <w:t>N+5</w:t>
            </w:r>
          </w:p>
        </w:tc>
        <w:tc>
          <w:tcPr>
            <w:tcW w:w="2645" w:type="dxa"/>
            <w:vAlign w:val="center"/>
          </w:tcPr>
          <w:p>
            <w:pPr>
              <w:jc w:val="center"/>
              <w:rPr>
                <w:b/>
                <w:noProof/>
                <w:sz w:val="20"/>
              </w:rPr>
            </w:pPr>
            <w:r>
              <w:rPr>
                <w:b/>
                <w:noProof/>
                <w:sz w:val="20"/>
              </w:rPr>
              <w:t>KOKKU</w:t>
            </w:r>
          </w:p>
        </w:tc>
      </w:tr>
      <w:tr>
        <w:tc>
          <w:tcPr>
            <w:tcW w:w="3960" w:type="dxa"/>
            <w:vMerge w:val="restart"/>
            <w:shd w:val="clear" w:color="auto" w:fill="C0C0C0"/>
            <w:vAlign w:val="center"/>
          </w:tcPr>
          <w:p>
            <w:pPr>
              <w:jc w:val="center"/>
              <w:rPr>
                <w:b/>
                <w:noProof/>
                <w:sz w:val="22"/>
              </w:rPr>
            </w:pPr>
            <w:r>
              <w:rPr>
                <w:noProof/>
                <w:sz w:val="22"/>
              </w:rPr>
              <w:t>mitmeaastase finantsraamistiku</w:t>
            </w:r>
            <w:r>
              <w:rPr>
                <w:noProof/>
                <w:sz w:val="22"/>
              </w:rPr>
              <w:br/>
            </w:r>
            <w:r>
              <w:rPr>
                <w:b/>
                <w:noProof/>
                <w:sz w:val="22"/>
              </w:rPr>
              <w:t>RUBRIIKIDE 1–5</w:t>
            </w:r>
            <w:r>
              <w:rPr>
                <w:noProof/>
              </w:rPr>
              <w:br/>
            </w:r>
            <w:r>
              <w:rPr>
                <w:b/>
                <w:noProof/>
                <w:sz w:val="22"/>
              </w:rPr>
              <w:t>assigneeringud KOKKU</w:t>
            </w:r>
          </w:p>
        </w:tc>
        <w:tc>
          <w:tcPr>
            <w:tcW w:w="2094" w:type="dxa"/>
            <w:gridSpan w:val="2"/>
            <w:vAlign w:val="center"/>
          </w:tcPr>
          <w:p>
            <w:pPr>
              <w:rPr>
                <w:noProof/>
                <w:sz w:val="14"/>
              </w:rPr>
            </w:pPr>
            <w:r>
              <w:rPr>
                <w:noProof/>
                <w:sz w:val="18"/>
              </w:rPr>
              <w:t>Kulukohustus</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FD"/>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343"/>
        <w:gridCol w:w="1342"/>
        <w:gridCol w:w="23"/>
      </w:tblGrid>
      <w:tr>
        <w:tc>
          <w:tcPr>
            <w:tcW w:w="1423" w:type="dxa"/>
            <w:vMerge w:val="restart"/>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Aasta</w:t>
            </w:r>
            <w:r>
              <w:rPr>
                <w:noProof/>
                <w:sz w:val="22"/>
              </w:rPr>
              <w:br/>
            </w:r>
            <w:r>
              <w:rPr>
                <w:b/>
                <w:noProof/>
                <w:sz w:val="18"/>
              </w:rPr>
              <w:t>N</w:t>
            </w:r>
          </w:p>
        </w:tc>
        <w:tc>
          <w:tcPr>
            <w:tcW w:w="1560" w:type="dxa"/>
            <w:gridSpan w:val="2"/>
            <w:vAlign w:val="center"/>
          </w:tcPr>
          <w:p>
            <w:pPr>
              <w:ind w:right="-29"/>
              <w:jc w:val="center"/>
              <w:rPr>
                <w:noProof/>
                <w:sz w:val="18"/>
                <w:szCs w:val="18"/>
              </w:rPr>
            </w:pPr>
            <w:r>
              <w:rPr>
                <w:noProof/>
                <w:sz w:val="18"/>
              </w:rPr>
              <w:t>Aasta</w:t>
            </w:r>
            <w:r>
              <w:rPr>
                <w:noProof/>
                <w:sz w:val="22"/>
              </w:rPr>
              <w:br/>
            </w:r>
            <w:r>
              <w:rPr>
                <w:b/>
                <w:noProof/>
                <w:sz w:val="18"/>
              </w:rPr>
              <w:t>N+1</w:t>
            </w:r>
          </w:p>
        </w:tc>
        <w:tc>
          <w:tcPr>
            <w:tcW w:w="1602" w:type="dxa"/>
            <w:gridSpan w:val="2"/>
            <w:vAlign w:val="center"/>
          </w:tcPr>
          <w:p>
            <w:pPr>
              <w:ind w:right="-29"/>
              <w:jc w:val="center"/>
              <w:rPr>
                <w:noProof/>
                <w:sz w:val="18"/>
                <w:szCs w:val="18"/>
              </w:rPr>
            </w:pPr>
            <w:r>
              <w:rPr>
                <w:noProof/>
                <w:sz w:val="18"/>
              </w:rPr>
              <w:t>Aasta</w:t>
            </w:r>
            <w:r>
              <w:rPr>
                <w:noProof/>
                <w:sz w:val="22"/>
              </w:rPr>
              <w:br/>
            </w:r>
            <w:r>
              <w:rPr>
                <w:b/>
                <w:noProof/>
                <w:sz w:val="18"/>
              </w:rPr>
              <w:t>N+2</w:t>
            </w:r>
          </w:p>
        </w:tc>
        <w:tc>
          <w:tcPr>
            <w:tcW w:w="1630" w:type="dxa"/>
            <w:gridSpan w:val="3"/>
            <w:vAlign w:val="center"/>
          </w:tcPr>
          <w:p>
            <w:pPr>
              <w:ind w:right="-29"/>
              <w:jc w:val="center"/>
              <w:rPr>
                <w:noProof/>
                <w:sz w:val="18"/>
                <w:szCs w:val="18"/>
              </w:rPr>
            </w:pPr>
            <w:r>
              <w:rPr>
                <w:noProof/>
                <w:sz w:val="18"/>
              </w:rPr>
              <w:t>Aasta</w:t>
            </w:r>
            <w:r>
              <w:rPr>
                <w:noProof/>
                <w:sz w:val="22"/>
              </w:rPr>
              <w:br/>
            </w:r>
            <w:r>
              <w:rPr>
                <w:b/>
                <w:noProof/>
                <w:sz w:val="18"/>
              </w:rPr>
              <w:t>N+3</w:t>
            </w:r>
          </w:p>
        </w:tc>
        <w:tc>
          <w:tcPr>
            <w:tcW w:w="1616" w:type="dxa"/>
            <w:gridSpan w:val="2"/>
            <w:vAlign w:val="center"/>
          </w:tcPr>
          <w:p>
            <w:pPr>
              <w:spacing w:after="0"/>
              <w:jc w:val="center"/>
              <w:rPr>
                <w:noProof/>
                <w:sz w:val="18"/>
              </w:rPr>
            </w:pPr>
            <w:r>
              <w:rPr>
                <w:noProof/>
                <w:sz w:val="18"/>
              </w:rPr>
              <w:t>Aasta</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KOKKU</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VÄLJUNDID</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Väljundi 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99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62" w:type="dxa"/>
            <w:gridSpan w:val="2"/>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1365" w:type="dxa"/>
            <w:gridSpan w:val="2"/>
            <w:tcBorders>
              <w:left w:val="dashSmallGap" w:sz="4" w:space="0" w:color="auto"/>
            </w:tcBorders>
            <w:shd w:val="pct10" w:color="auto" w:fill="auto"/>
            <w:vAlign w:val="center"/>
          </w:tcPr>
          <w:p>
            <w:pPr>
              <w:jc w:val="center"/>
              <w:rPr>
                <w:noProof/>
                <w:sz w:val="18"/>
                <w:szCs w:val="18"/>
              </w:rPr>
            </w:pPr>
            <w:r>
              <w:rPr>
                <w:noProof/>
                <w:sz w:val="18"/>
              </w:rPr>
              <w:t>Kulud kokku</w:t>
            </w:r>
          </w:p>
        </w:tc>
      </w:tr>
      <w:tr>
        <w:tc>
          <w:tcPr>
            <w:tcW w:w="2844" w:type="dxa"/>
            <w:gridSpan w:val="3"/>
            <w:vAlign w:val="center"/>
          </w:tcPr>
          <w:p>
            <w:pPr>
              <w:spacing w:before="60" w:after="60"/>
              <w:ind w:right="-29"/>
              <w:jc w:val="center"/>
              <w:rPr>
                <w:noProof/>
                <w:sz w:val="18"/>
                <w:szCs w:val="18"/>
              </w:rPr>
            </w:pPr>
            <w:r>
              <w:rPr>
                <w:noProof/>
                <w:sz w:val="18"/>
              </w:rPr>
              <w:t>ERIEESMÄRK nr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762" w:type="dxa"/>
            <w:gridSpan w:val="2"/>
            <w:tcBorders>
              <w:top w:val="nil"/>
              <w:left w:val="nil"/>
              <w:bottom w:val="nil"/>
              <w:right w:val="nil"/>
            </w:tcBorders>
          </w:tcPr>
          <w:p>
            <w:pPr>
              <w:spacing w:before="60" w:after="60"/>
              <w:ind w:right="-29"/>
              <w:jc w:val="center"/>
              <w:rPr>
                <w:noProof/>
                <w:sz w:val="18"/>
                <w:szCs w:val="18"/>
              </w:rPr>
            </w:pPr>
          </w:p>
        </w:tc>
        <w:tc>
          <w:tcPr>
            <w:tcW w:w="1365"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Tehniline kirjeldus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762" w:type="dxa"/>
            <w:gridSpan w:val="2"/>
          </w:tcPr>
          <w:p>
            <w:pPr>
              <w:ind w:right="-29"/>
              <w:jc w:val="center"/>
              <w:rPr>
                <w:noProof/>
                <w:sz w:val="18"/>
                <w:szCs w:val="18"/>
              </w:rPr>
            </w:pPr>
          </w:p>
        </w:tc>
        <w:tc>
          <w:tcPr>
            <w:tcW w:w="1365"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Kasv</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762" w:type="dxa"/>
            <w:gridSpan w:val="2"/>
          </w:tcPr>
          <w:p>
            <w:pPr>
              <w:ind w:right="-29"/>
              <w:jc w:val="center"/>
              <w:rPr>
                <w:noProof/>
                <w:sz w:val="18"/>
                <w:szCs w:val="18"/>
              </w:rPr>
            </w:pPr>
          </w:p>
        </w:tc>
        <w:tc>
          <w:tcPr>
            <w:tcW w:w="1365"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Säilitamine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762" w:type="dxa"/>
            <w:gridSpan w:val="2"/>
          </w:tcPr>
          <w:p>
            <w:pPr>
              <w:ind w:right="-29"/>
              <w:jc w:val="center"/>
              <w:rPr>
                <w:noProof/>
                <w:sz w:val="18"/>
                <w:szCs w:val="18"/>
              </w:rPr>
            </w:pPr>
          </w:p>
        </w:tc>
        <w:tc>
          <w:tcPr>
            <w:tcW w:w="1365"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Toetus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762" w:type="dxa"/>
            <w:gridSpan w:val="2"/>
          </w:tcPr>
          <w:p>
            <w:pPr>
              <w:ind w:right="-29"/>
              <w:jc w:val="center"/>
              <w:rPr>
                <w:noProof/>
                <w:sz w:val="18"/>
                <w:szCs w:val="18"/>
              </w:rPr>
            </w:pPr>
          </w:p>
        </w:tc>
        <w:tc>
          <w:tcPr>
            <w:tcW w:w="1365"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Koolitus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762" w:type="dxa"/>
            <w:gridSpan w:val="2"/>
          </w:tcPr>
          <w:p>
            <w:pPr>
              <w:ind w:right="-29"/>
              <w:jc w:val="center"/>
              <w:rPr>
                <w:noProof/>
                <w:sz w:val="18"/>
                <w:szCs w:val="18"/>
              </w:rPr>
            </w:pPr>
          </w:p>
        </w:tc>
        <w:tc>
          <w:tcPr>
            <w:tcW w:w="1365"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noProof/>
                <w:sz w:val="18"/>
              </w:rPr>
              <w:t>ITSM (taristu, hosting, litsentsid jms)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762" w:type="dxa"/>
            <w:gridSpan w:val="2"/>
          </w:tcPr>
          <w:p>
            <w:pPr>
              <w:ind w:right="-29"/>
              <w:jc w:val="center"/>
              <w:rPr>
                <w:noProof/>
                <w:sz w:val="18"/>
                <w:szCs w:val="18"/>
              </w:rPr>
            </w:pPr>
          </w:p>
        </w:tc>
        <w:tc>
          <w:tcPr>
            <w:tcW w:w="1365"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Erieesmärk nr 1 kokku</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762" w:type="dxa"/>
            <w:gridSpan w:val="2"/>
            <w:tcBorders>
              <w:bottom w:val="single" w:sz="12" w:space="0" w:color="auto"/>
            </w:tcBorders>
          </w:tcPr>
          <w:p>
            <w:pPr>
              <w:ind w:right="-29"/>
              <w:jc w:val="center"/>
              <w:rPr>
                <w:noProof/>
                <w:sz w:val="18"/>
                <w:szCs w:val="18"/>
              </w:rPr>
            </w:pPr>
          </w:p>
        </w:tc>
        <w:tc>
          <w:tcPr>
            <w:tcW w:w="1365"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ERIEESMÄRK nr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762" w:type="dxa"/>
            <w:gridSpan w:val="2"/>
            <w:tcBorders>
              <w:top w:val="nil"/>
              <w:left w:val="nil"/>
              <w:bottom w:val="nil"/>
              <w:right w:val="nil"/>
            </w:tcBorders>
          </w:tcPr>
          <w:p>
            <w:pPr>
              <w:spacing w:before="60" w:after="60"/>
              <w:ind w:right="-29"/>
              <w:jc w:val="center"/>
              <w:rPr>
                <w:noProof/>
                <w:sz w:val="18"/>
                <w:szCs w:val="18"/>
              </w:rPr>
            </w:pPr>
          </w:p>
        </w:tc>
        <w:tc>
          <w:tcPr>
            <w:tcW w:w="1365"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762" w:type="dxa"/>
            <w:gridSpan w:val="2"/>
          </w:tcPr>
          <w:p>
            <w:pPr>
              <w:ind w:right="-29"/>
              <w:jc w:val="center"/>
              <w:rPr>
                <w:noProof/>
                <w:sz w:val="18"/>
                <w:szCs w:val="18"/>
              </w:rPr>
            </w:pPr>
          </w:p>
        </w:tc>
        <w:tc>
          <w:tcPr>
            <w:tcW w:w="1365"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Erieesmärk nr 2 kokku</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Hinnanguline mõju haldusassigneeringutele</w:t>
      </w:r>
    </w:p>
    <w:p>
      <w:pPr>
        <w:pStyle w:val="ManualHeading4"/>
        <w:rPr>
          <w:noProof/>
        </w:rPr>
      </w:pPr>
      <w:r>
        <w:t>3.2.3.1.</w:t>
      </w:r>
      <w:r>
        <w:tab/>
      </w:r>
      <w:r>
        <w:rPr>
          <w:noProof/>
        </w:rPr>
        <w:t xml:space="preserve">Ülevaade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FD"/>
      </w:r>
      <w:r>
        <w:rPr>
          <w:noProof/>
        </w:rPr>
        <w:tab/>
        <w:t>Ettepanek/algatus hõlmab haldusassigneeringute kasutamist, mis toimub järgmiselt:</w:t>
      </w:r>
    </w:p>
    <w:p>
      <w:pPr>
        <w:rPr>
          <w:noProof/>
          <w:sz w:val="20"/>
        </w:rPr>
      </w:pPr>
      <w:r>
        <w:rPr>
          <w:noProof/>
          <w:sz w:val="20"/>
        </w:rPr>
        <w:t>miljonites eurodes (kolm kohta pärast koma)</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 xml:space="preserve">N </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N+3</w:t>
            </w:r>
          </w:p>
        </w:tc>
        <w:tc>
          <w:tcPr>
            <w:tcW w:w="1080" w:type="dxa"/>
            <w:vAlign w:val="center"/>
          </w:tcPr>
          <w:p>
            <w:pPr>
              <w:spacing w:line="200" w:lineRule="exact"/>
              <w:jc w:val="center"/>
              <w:rPr>
                <w:b/>
                <w:noProof/>
                <w:sz w:val="16"/>
                <w:szCs w:val="16"/>
              </w:rPr>
            </w:pPr>
            <w:r>
              <w:rPr>
                <w:noProof/>
                <w:sz w:val="16"/>
              </w:rPr>
              <w:t>Aasta</w:t>
            </w:r>
            <w:r>
              <w:rPr>
                <w:noProof/>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Mitmeaastase finantsraamistiku </w:t>
            </w:r>
            <w:r>
              <w:rPr>
                <w:noProof/>
              </w:rPr>
              <w:br/>
            </w:r>
            <w:r>
              <w:rPr>
                <w:b/>
                <w:noProof/>
                <w:sz w:val="16"/>
              </w:rPr>
              <w:t>RUBRIIK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rPr>
              <w:br/>
            </w:r>
            <w:r>
              <w:rPr>
                <w:b/>
                <w:noProof/>
                <w:sz w:val="16"/>
              </w:rPr>
              <w:t xml:space="preserve"> RUBRIIGI 5 vahesumma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rPr>
              <w:br/>
            </w:r>
            <w:r>
              <w:rPr>
                <w:b/>
                <w:noProof/>
                <w:sz w:val="16"/>
              </w:rPr>
              <w:t>RUBRIIGIST 5 välja jäävad</w:t>
            </w:r>
            <w:r>
              <w:rPr>
                <w:rStyle w:val="FootnoteReference"/>
                <w:b/>
                <w:noProof/>
                <w:sz w:val="16"/>
              </w:rPr>
              <w:footnoteReference w:id="45"/>
            </w:r>
            <w:r>
              <w:rPr>
                <w:b/>
                <w:noProof/>
                <w:sz w:val="16"/>
              </w:rPr>
              <w:t xml:space="preserve"> kulud</w:t>
            </w:r>
            <w:r>
              <w:rPr>
                <w:noProof/>
              </w:rPr>
              <w:br/>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r>
              <w:rPr>
                <w:noProof/>
              </w:rPr>
              <w:br/>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Mitmeaastase finantsraamistiku </w:t>
            </w:r>
            <w:r>
              <w:rPr>
                <w:noProof/>
              </w:rPr>
              <w:br/>
            </w:r>
            <w:r>
              <w:rPr>
                <w:b/>
                <w:noProof/>
                <w:sz w:val="16"/>
              </w:rPr>
              <w:t>RUBRIIGIST 5 välja jäävate kulude</w:t>
            </w:r>
            <w:r>
              <w:rPr>
                <w:noProof/>
              </w:rPr>
              <w:br/>
            </w:r>
            <w:r>
              <w:rPr>
                <w:b/>
                <w:noProof/>
                <w:sz w:val="16"/>
              </w:rPr>
              <w:t>vahesumma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Personaliga seotud assigneeringute vajadused kaetakse asjaomase peadirektoraadi poolt kõnealuse meetme haldamiseks juba antud ja/või ümberpaigutatud assigneeringute raames, täiendades neid vajaduse korral täiendavate assigneeringutega, mida võidakse anda haldavale peadirektoraadile iga-aastase vahendite eraldamise menetluse käigus, arvestades eelarvepiirangutega.</w:t>
      </w:r>
    </w:p>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FD"/>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2"/>
        <w:gridCol w:w="2804"/>
        <w:gridCol w:w="581"/>
        <w:gridCol w:w="581"/>
        <w:gridCol w:w="927"/>
        <w:gridCol w:w="926"/>
        <w:gridCol w:w="926"/>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Aasta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Aasta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Aasta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(komisjoni peakorteris ja esindustes)</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46"/>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renditud tööjõud)</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renditud tööjõud ja noored eksperdid delegatsioonides)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(lepingulised töötajad, riikide lähetatud eksperdid ja renditud tööjõud kaudse teadustegevuse valdkonnas)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riikide lähetatud eksperdid ja renditud tööjõud otsese teadustegevuse valdkonnas)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Muud eelarveread (täpsustage)</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sz w:val="18"/>
        </w:rPr>
        <w:t xml:space="preserve"> osutab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rPr>
                <w:noProof/>
                <w:sz w:val="20"/>
              </w:rPr>
            </w:pPr>
            <w:r>
              <w:rPr>
                <w:noProof/>
                <w:sz w:val="20"/>
              </w:rPr>
              <w:t xml:space="preserve">Koosolekute ettevalmistamine ja kirjavahetus liikmesriikidega; töö vormide, IT-vormingute ja keskregistriga; </w:t>
            </w:r>
          </w:p>
          <w:p>
            <w:pPr>
              <w:rPr>
                <w:noProof/>
                <w:sz w:val="20"/>
              </w:rPr>
            </w:pPr>
            <w:r>
              <w:rPr>
                <w:noProof/>
                <w:sz w:val="20"/>
              </w:rPr>
              <w:t>välistelt töövõtjatelt IT-süsteemiga seotud töö tellimine.</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r>
              <w:rPr>
                <w:noProof/>
                <w:sz w:val="20"/>
              </w:rPr>
              <w:t>Ei kohaldata</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Kooskõla kehtiva mitmeaastase finantsraamistikuga </w:t>
      </w:r>
    </w:p>
    <w:p>
      <w:pPr>
        <w:pStyle w:val="ListDash1"/>
        <w:rPr>
          <w:noProof/>
        </w:rPr>
      </w:pPr>
      <w:r>
        <w:rPr>
          <w:noProof/>
        </w:rPr>
        <w:sym w:font="Wingdings" w:char="F0FD"/>
      </w:r>
      <w:r>
        <w:rPr>
          <w:noProof/>
        </w:rPr>
        <w:tab/>
        <w:t>Ettepanek/algatus on kooskõlas kehtiva mitmeaastase finantsraamistikuga.</w:t>
      </w:r>
    </w:p>
    <w:p>
      <w:pPr>
        <w:pStyle w:val="ListDash1"/>
        <w:rPr>
          <w:noProof/>
        </w:rPr>
      </w:pPr>
      <w:r>
        <w:rPr>
          <w:noProof/>
        </w:rPr>
        <w:sym w:font="Wingdings" w:char="F0A8"/>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eelarveridadele ja summadele.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Kolmandate isikute rahaline osalus </w:t>
      </w:r>
    </w:p>
    <w:p>
      <w:pPr>
        <w:pStyle w:val="ListDash1"/>
        <w:rPr>
          <w:noProof/>
        </w:rPr>
      </w:pPr>
      <w:r>
        <w:rPr>
          <w:noProof/>
        </w:rPr>
        <w:t xml:space="preserve">Ettepanek/algatus ei hõlma kolmandate isikute poolset kaasrahastamist. </w:t>
      </w:r>
    </w:p>
    <w:p>
      <w:pPr>
        <w:pStyle w:val="ListDash1"/>
        <w:rPr>
          <w:strike/>
          <w:noProof/>
        </w:rPr>
      </w:pPr>
      <w:r>
        <w:rPr>
          <w:strike/>
          <w:noProof/>
        </w:rPr>
        <w:t>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rPr>
              <w:br/>
            </w:r>
            <w:r>
              <w:rPr>
                <w:b/>
                <w:noProof/>
                <w:sz w:val="20"/>
              </w:rPr>
              <w:t>N</w:t>
            </w:r>
          </w:p>
        </w:tc>
        <w:tc>
          <w:tcPr>
            <w:tcW w:w="964" w:type="dxa"/>
            <w:vAlign w:val="center"/>
          </w:tcPr>
          <w:p>
            <w:pPr>
              <w:jc w:val="center"/>
              <w:rPr>
                <w:noProof/>
                <w:sz w:val="20"/>
              </w:rPr>
            </w:pPr>
            <w:r>
              <w:rPr>
                <w:noProof/>
                <w:sz w:val="20"/>
              </w:rPr>
              <w:t>Aasta</w:t>
            </w:r>
            <w:r>
              <w:rPr>
                <w:noProof/>
                <w:sz w:val="22"/>
              </w:rPr>
              <w:br/>
            </w:r>
            <w:r>
              <w:rPr>
                <w:b/>
                <w:noProof/>
                <w:sz w:val="20"/>
              </w:rPr>
              <w:t>N+1</w:t>
            </w:r>
          </w:p>
        </w:tc>
        <w:tc>
          <w:tcPr>
            <w:tcW w:w="964" w:type="dxa"/>
            <w:vAlign w:val="center"/>
          </w:tcPr>
          <w:p>
            <w:pPr>
              <w:jc w:val="center"/>
              <w:rPr>
                <w:noProof/>
                <w:sz w:val="20"/>
              </w:rPr>
            </w:pPr>
            <w:r>
              <w:rPr>
                <w:noProof/>
                <w:sz w:val="20"/>
              </w:rPr>
              <w:t>Aasta</w:t>
            </w:r>
            <w:r>
              <w:rPr>
                <w:noProof/>
                <w:sz w:val="22"/>
              </w:rPr>
              <w:br/>
            </w:r>
            <w:r>
              <w:rPr>
                <w:b/>
                <w:noProof/>
                <w:sz w:val="20"/>
              </w:rPr>
              <w:t>N+2</w:t>
            </w:r>
          </w:p>
        </w:tc>
        <w:tc>
          <w:tcPr>
            <w:tcW w:w="964" w:type="dxa"/>
            <w:vAlign w:val="center"/>
          </w:tcPr>
          <w:p>
            <w:pPr>
              <w:jc w:val="center"/>
              <w:rPr>
                <w:noProof/>
                <w:sz w:val="20"/>
              </w:rPr>
            </w:pPr>
            <w:r>
              <w:rPr>
                <w:noProof/>
                <w:sz w:val="20"/>
              </w:rPr>
              <w:t>Aasta</w:t>
            </w:r>
            <w:r>
              <w:rPr>
                <w:noProof/>
                <w:sz w:val="22"/>
              </w:rPr>
              <w:br/>
            </w:r>
            <w:r>
              <w:rPr>
                <w:b/>
                <w:noProof/>
                <w:sz w:val="20"/>
              </w:rPr>
              <w:t>N+3</w:t>
            </w:r>
          </w:p>
        </w:tc>
        <w:tc>
          <w:tcPr>
            <w:tcW w:w="2892" w:type="dxa"/>
            <w:gridSpan w:val="3"/>
            <w:vAlign w:val="center"/>
          </w:tcPr>
          <w:p>
            <w:pPr>
              <w:jc w:val="center"/>
              <w:rPr>
                <w:b/>
                <w:noProof/>
                <w:sz w:val="20"/>
              </w:rPr>
            </w:pPr>
            <w:r>
              <w:rPr>
                <w:noProof/>
                <w:sz w:val="20"/>
              </w:rPr>
              <w:t>Lisage vajalik arv aastaid, et kajastada kogu finantsmõju kestust (vt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sz w:val="22"/>
              </w:rPr>
            </w:pPr>
            <w:r>
              <w:rPr>
                <w:noProof/>
                <w:sz w:val="20"/>
              </w:rPr>
              <w:t>Täpsustage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Hinnanguline mõju tuludele </w:t>
      </w:r>
    </w:p>
    <w:p>
      <w:pPr>
        <w:pStyle w:val="ListDash1"/>
        <w:rPr>
          <w:noProof/>
        </w:rPr>
      </w:pPr>
      <w:r>
        <w:rPr>
          <w:noProof/>
        </w:rPr>
        <w:sym w:font="Wingdings" w:char="F0FD"/>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A8"/>
      </w:r>
      <w:r>
        <w:rPr>
          <w:noProof/>
        </w:rPr>
        <w:tab/>
        <w:t xml:space="preserve">mitmesugustele tuludele </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noProof/>
                <w:sz w:val="22"/>
              </w:rPr>
              <w:br/>
            </w:r>
            <w:r>
              <w:rPr>
                <w:b/>
                <w:noProof/>
                <w:sz w:val="18"/>
              </w:rPr>
              <w:t>N</w:t>
            </w:r>
          </w:p>
        </w:tc>
        <w:tc>
          <w:tcPr>
            <w:tcW w:w="900" w:type="dxa"/>
            <w:vAlign w:val="center"/>
          </w:tcPr>
          <w:p>
            <w:pPr>
              <w:jc w:val="center"/>
              <w:rPr>
                <w:noProof/>
                <w:sz w:val="18"/>
              </w:rPr>
            </w:pPr>
            <w:r>
              <w:rPr>
                <w:noProof/>
                <w:sz w:val="18"/>
              </w:rPr>
              <w:t>Aasta</w:t>
            </w:r>
            <w:r>
              <w:rPr>
                <w:noProof/>
                <w:sz w:val="22"/>
              </w:rPr>
              <w:br/>
            </w:r>
            <w:r>
              <w:rPr>
                <w:b/>
                <w:noProof/>
                <w:sz w:val="18"/>
              </w:rPr>
              <w:t>N+1</w:t>
            </w:r>
          </w:p>
        </w:tc>
        <w:tc>
          <w:tcPr>
            <w:tcW w:w="900" w:type="dxa"/>
            <w:vAlign w:val="center"/>
          </w:tcPr>
          <w:p>
            <w:pPr>
              <w:jc w:val="center"/>
              <w:rPr>
                <w:noProof/>
                <w:sz w:val="18"/>
              </w:rPr>
            </w:pPr>
            <w:r>
              <w:rPr>
                <w:noProof/>
                <w:sz w:val="18"/>
              </w:rPr>
              <w:t>Aasta</w:t>
            </w:r>
            <w:r>
              <w:rPr>
                <w:noProof/>
                <w:sz w:val="22"/>
              </w:rPr>
              <w:br/>
            </w:r>
            <w:r>
              <w:rPr>
                <w:b/>
                <w:noProof/>
                <w:sz w:val="18"/>
              </w:rPr>
              <w:t>N+2</w:t>
            </w:r>
          </w:p>
        </w:tc>
        <w:tc>
          <w:tcPr>
            <w:tcW w:w="1080" w:type="dxa"/>
            <w:vAlign w:val="center"/>
          </w:tcPr>
          <w:p>
            <w:pPr>
              <w:jc w:val="center"/>
              <w:rPr>
                <w:noProof/>
                <w:sz w:val="18"/>
              </w:rPr>
            </w:pPr>
            <w:r>
              <w:rPr>
                <w:noProof/>
                <w:sz w:val="18"/>
              </w:rPr>
              <w:t>Aasta</w:t>
            </w:r>
            <w:r>
              <w:rPr>
                <w:noProof/>
                <w:sz w:val="22"/>
              </w:rPr>
              <w:br/>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Täpsustage tuludele avalduva mõju arvutusmeetod.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9. detsembri 2014. aasta direktiiv (EL) 2014/107, millega muudetakse direktiivi 2011/16/EL seoses kohustusliku automaatse teabevahetusega maksustamise valdkonnas (ELT L 359, 18.12.2015, lk 1–29).</w:t>
      </w:r>
    </w:p>
  </w:footnote>
  <w:footnote w:id="2">
    <w:p>
      <w:pPr>
        <w:pStyle w:val="FootnoteText"/>
      </w:pPr>
      <w:r>
        <w:rPr>
          <w:rStyle w:val="FootnoteReference"/>
        </w:rPr>
        <w:footnoteRef/>
      </w:r>
      <w:r>
        <w:tab/>
        <w:t>Euroopa Parlamendi ja nõukogu 20. mai 2015. aasta direktiiv (EL) 2015/849, mis käsitleb finantssüsteemi rahapesu või terrorismi rahastamise eesmärgil kasutamise tõkestamist ning millega muudetakse Euroopa Parlamendi ja nõukogu määrust (EL) nr 648/2012 ja tunnistatakse kehtetuks Euroopa Parlamendi ja nõukogu direktiiv 2005/60/EÜ ja komisjoni direktiiv 2006/70/EÜ (ELT L 141, 5.6.2015, lk 73).</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Euroopa Parlamendi resolutsioon maksualaste siduvate eelotsuste ja samasuguse iseloomuga või mõjuga meetmete kohta</w:t>
      </w:r>
      <w:r>
        <w:rPr>
          <w:b/>
          <w:sz w:val="20"/>
        </w:rPr>
        <w:t xml:space="preserve"> </w:t>
      </w:r>
      <w:r>
        <w:rPr>
          <w:sz w:val="20"/>
        </w:rPr>
        <w:t>(</w:t>
      </w:r>
      <w:hyperlink r:id="rId1">
        <w:r>
          <w:rPr>
            <w:rStyle w:val="Hyperlink"/>
            <w:sz w:val="20"/>
          </w:rPr>
          <w:t>2016/2038(INI)</w:t>
        </w:r>
      </w:hyperlink>
      <w:r>
        <w:rPr>
          <w:sz w:val="20"/>
        </w:rPr>
        <w:t xml:space="preserve">) </w:t>
      </w:r>
      <w:hyperlink r:id="rId2">
        <w:r>
          <w:rPr>
            <w:rStyle w:val="Hyperlink"/>
            <w:sz w:val="20"/>
          </w:rPr>
          <w:t>http://www.europarl.europa.eu/sides/getDoc.do?pubRef=-//EP//TEXT+TA+P8-TA-2016- 0310+0+DOC+XML+V0//EN</w:t>
        </w:r>
      </w:hyperlink>
    </w:p>
  </w:footnote>
  <w:footnote w:id="4">
    <w:p>
      <w:pPr>
        <w:pStyle w:val="FootnoteText"/>
      </w:pPr>
      <w:r>
        <w:rPr>
          <w:rStyle w:val="FootnoteReference"/>
        </w:rPr>
        <w:footnoteRef/>
      </w:r>
      <w:r>
        <w:tab/>
        <w:t>Mitteametlik ECOFINi kohtumine 22. aprillil 2016.</w:t>
      </w:r>
    </w:p>
  </w:footnote>
  <w:footnote w:id="5">
    <w:p>
      <w:pPr>
        <w:pStyle w:val="FootnoteText"/>
      </w:pPr>
      <w:r>
        <w:rPr>
          <w:rStyle w:val="FootnoteReference"/>
        </w:rPr>
        <w:footnoteRef/>
      </w:r>
      <w:r>
        <w:tab/>
        <w:t>OECD maksubaasi kahanemise ja kasumi ümberpaigutamise projekt – BEPS (2015): „</w:t>
      </w:r>
      <w:hyperlink r:id="rId3">
        <w:r>
          <w:rPr>
            <w:rStyle w:val="Hyperlink"/>
            <w:i/>
          </w:rPr>
          <w:t>Public Discussion Draft BEPS Action 12: Mandatory Disclosure Rules</w:t>
        </w:r>
      </w:hyperlink>
      <w:r>
        <w:t>“. Täiendavaid selgitusi vaata ka sõnastikust.</w:t>
      </w:r>
    </w:p>
  </w:footnote>
  <w:footnote w:id="6">
    <w:p>
      <w:pPr>
        <w:pStyle w:val="FootnoteText"/>
      </w:pPr>
      <w:r>
        <w:rPr>
          <w:rStyle w:val="FootnoteReference"/>
        </w:rPr>
        <w:footnoteRef/>
      </w:r>
      <w:r>
        <w:tab/>
        <w:t xml:space="preserve">Euroopa Liidu Nõukogu (2016), </w:t>
      </w:r>
      <w:hyperlink r:id="rId4">
        <w:r>
          <w:rPr>
            <w:rStyle w:val="Hyperlink"/>
            <w:i/>
          </w:rPr>
          <w:t>Nõukogu järeldused, milles käsitletakse komisjoni teatist tõhusa maksustamise välisstrateegia kohta ning komisjoni soovitust maksulepingute kuritarvitamise vastaste meetmete rakendamise kohta</w:t>
        </w:r>
      </w:hyperlink>
      <w:r>
        <w:t>, 25.5.2016 (2016. aasta mai ECOFINi järeldused).</w:t>
      </w:r>
    </w:p>
  </w:footnote>
  <w:footnote w:id="7">
    <w:p>
      <w:pPr>
        <w:pStyle w:val="FootnoteText"/>
      </w:pPr>
      <w:r>
        <w:rPr>
          <w:rStyle w:val="FootnoteReference"/>
        </w:rPr>
        <w:footnoteRef/>
      </w:r>
      <w:r>
        <w:tab/>
        <w:t>2016. aasta mai ECOFINi järeldused, punkt 12.</w:t>
      </w:r>
    </w:p>
  </w:footnote>
  <w:footnote w:id="8">
    <w:p>
      <w:pPr>
        <w:pStyle w:val="FootnoteText"/>
      </w:pPr>
      <w:r>
        <w:rPr>
          <w:rStyle w:val="FootnoteReference"/>
        </w:rPr>
        <w:footnoteRef/>
      </w:r>
      <w:r>
        <w:tab/>
        <w:t xml:space="preserve">G20 prioriteedid: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Euroopa komisjoni teatis täiendavate meetmete kohta läbipaistvuse suurendamiseks ning maksustamise vältimise ja maksudest kõrvalehoidumise vastu võitlemiseks</w:t>
      </w:r>
      <w:hyperlink r:id="rId6">
        <w:r>
          <w:rPr>
            <w:rStyle w:val="Hyperlink"/>
          </w:rPr>
          <w:t>COM(2016) 451 final</w:t>
        </w:r>
      </w:hyperlink>
      <w:r>
        <w:rPr>
          <w:rStyle w:val="Hyperlink"/>
        </w:rPr>
        <w:t>, 5.7.2016 (</w:t>
      </w:r>
      <w:r>
        <w:rPr>
          <w:rStyle w:val="Hyperlink"/>
          <w:i/>
        </w:rPr>
        <w:t>Panama teatis</w:t>
      </w:r>
      <w:r>
        <w:rPr>
          <w:rStyle w:val="Hyperlink"/>
        </w:rPr>
        <w:t>).</w:t>
      </w:r>
    </w:p>
  </w:footnote>
  <w:footnote w:id="10">
    <w:p>
      <w:pPr>
        <w:pStyle w:val="FootnoteText"/>
      </w:pPr>
      <w:r>
        <w:rPr>
          <w:rStyle w:val="FootnoteReference"/>
        </w:rPr>
        <w:footnoteRef/>
      </w:r>
      <w:r>
        <w:tab/>
        <w:t>Nõukogu 15. veebruari 2011. aasta direktiiv (EL) 2011/16 maksustamisalase halduskoostöö kohta (ELT L 64, 11.3.2011, lk 1).</w:t>
      </w:r>
    </w:p>
  </w:footnote>
  <w:footnote w:id="11">
    <w:p>
      <w:pPr>
        <w:pStyle w:val="FootnoteText"/>
      </w:pPr>
      <w:r>
        <w:rPr>
          <w:rStyle w:val="FootnoteReference"/>
        </w:rPr>
        <w:footnoteRef/>
      </w:r>
      <w:r>
        <w:tab/>
        <w:t>Nõukogu 19. detsembri 1977. aasta direktiiv 77/799/EMÜ liikmesriikide pädevate asutuste vastastikuse abi kohta otsese maksustamise valdkonnas (EÜT L 336, 27.12.1977, lk 15–20).</w:t>
      </w:r>
    </w:p>
  </w:footnote>
  <w:footnote w:id="12">
    <w:p>
      <w:pPr>
        <w:pStyle w:val="FootnoteText"/>
      </w:pPr>
      <w:r>
        <w:rPr>
          <w:rStyle w:val="FootnoteReference"/>
        </w:rPr>
        <w:footnoteRef/>
      </w:r>
      <w:r>
        <w:tab/>
        <w:t>Nõukogu 9. detsembri 2014. aasta direktiiv (EL) 2014/107, millega muudetakse direktiivi 2011/16/EL seoses kohustusliku automaatse teabevahetusega maksustamise valdkonnas (ELT L 359, 16.2.2014, lk 1).</w:t>
      </w:r>
    </w:p>
  </w:footnote>
  <w:footnote w:id="13">
    <w:p>
      <w:pPr>
        <w:pStyle w:val="FootnoteText"/>
      </w:pPr>
      <w:r>
        <w:rPr>
          <w:rStyle w:val="FootnoteReference"/>
        </w:rPr>
        <w:footnoteRef/>
      </w:r>
      <w:r>
        <w:tab/>
        <w:t>Nõukogu 8. detsembri 2015. aasta direktiiv (EL) 2015/2376, millega muudetakse direktiivi 2011/16/EL seoses kohustusliku automaatse teabevahetusega maksustamise valdkonnas (ELT L 332, 18.12.2015, lk 1).</w:t>
      </w:r>
    </w:p>
  </w:footnote>
  <w:footnote w:id="14">
    <w:p>
      <w:pPr>
        <w:pStyle w:val="FootnoteText"/>
      </w:pPr>
      <w:r>
        <w:rPr>
          <w:rStyle w:val="FootnoteReference"/>
        </w:rPr>
        <w:footnoteRef/>
      </w:r>
      <w:r>
        <w:tab/>
        <w:t>Nõukogu 25. mai 2016. aasta direktiiv (EL) 2016/881, millega muudetakse direktiivi 2011/16/EL seoses kohustusliku automaatse teabevahetusega maksustamise valdkonnas (ELT L 146, 3.6.2016, lk 8).</w:t>
      </w:r>
    </w:p>
  </w:footnote>
  <w:footnote w:id="15">
    <w:p>
      <w:pPr>
        <w:pStyle w:val="FootnoteText"/>
      </w:pPr>
      <w:r>
        <w:rPr>
          <w:rStyle w:val="FootnoteReference"/>
        </w:rPr>
        <w:footnoteRef/>
      </w:r>
      <w:r>
        <w:tab/>
        <w:t>Komisjoni 12. aprilli 2016. aasta ettepanek võtta vastu Euroopa Parlamendi ja nõukogu direktiiv 2016/0107 (COD), millega muudetakse direktiivi 2013/34/EL seoses tulumaksualase teabe avalikustamisega teatavate äriühingute ja filiaalide poolt.</w:t>
      </w:r>
    </w:p>
  </w:footnote>
  <w:footnote w:id="16">
    <w:p>
      <w:pPr>
        <w:pStyle w:val="FootnoteText"/>
      </w:pPr>
      <w:r>
        <w:rPr>
          <w:rStyle w:val="FootnoteReference"/>
        </w:rPr>
        <w:footnoteRef/>
      </w:r>
      <w:r>
        <w:tab/>
        <w:t>Mõned sellised kokkulepped, mis puudutavad teatavaid kolmandaid riike Euroopas, sõlmib liit.</w:t>
      </w:r>
    </w:p>
  </w:footnote>
  <w:footnote w:id="17">
    <w:p>
      <w:pPr>
        <w:pStyle w:val="FootnoteText"/>
      </w:pPr>
      <w:r>
        <w:rPr>
          <w:rStyle w:val="FootnoteReference"/>
        </w:rPr>
        <w:footnoteRef/>
      </w:r>
      <w:r>
        <w:tab/>
        <w:t>http://ec.europa.eu/transparency/regdoc/?fuseaction=ia</w:t>
      </w:r>
    </w:p>
  </w:footnote>
  <w:footnote w:id="18">
    <w:p>
      <w:pPr>
        <w:pStyle w:val="FootnoteText"/>
      </w:pPr>
      <w:r>
        <w:rPr>
          <w:rStyle w:val="FootnoteReference"/>
        </w:rPr>
        <w:footnoteRef/>
      </w:r>
      <w:r>
        <w:tab/>
      </w:r>
      <w:hyperlink r:id="rId7">
        <w:r>
          <w:rPr>
            <w:rStyle w:val="Hyperlink"/>
          </w:rPr>
          <w:t>http://ec.europa.eu/transparency/regdoc/?fuseaction=ia</w:t>
        </w:r>
      </w:hyperlink>
      <w:r>
        <w:t xml:space="preserve"> </w:t>
      </w:r>
    </w:p>
  </w:footnote>
  <w:footnote w:id="19">
    <w:p>
      <w:pPr>
        <w:pStyle w:val="FootnoteText"/>
      </w:pPr>
      <w:r>
        <w:rPr>
          <w:rStyle w:val="FootnoteReference"/>
        </w:rPr>
        <w:footnoteRef/>
      </w:r>
      <w:r>
        <w:tab/>
        <w:t>ELT C , , lk .</w:t>
      </w:r>
    </w:p>
  </w:footnote>
  <w:footnote w:id="20">
    <w:p>
      <w:pPr>
        <w:pStyle w:val="FootnoteText"/>
      </w:pPr>
      <w:r>
        <w:rPr>
          <w:rStyle w:val="FootnoteReference"/>
        </w:rPr>
        <w:footnoteRef/>
      </w:r>
      <w:r>
        <w:tab/>
        <w:t>ELT C , , lk .</w:t>
      </w:r>
    </w:p>
  </w:footnote>
  <w:footnote w:id="21">
    <w:p>
      <w:pPr>
        <w:pStyle w:val="FootnoteText"/>
      </w:pPr>
      <w:r>
        <w:rPr>
          <w:rStyle w:val="FootnoteReference"/>
        </w:rPr>
        <w:footnoteRef/>
      </w:r>
      <w:r>
        <w:tab/>
        <w:t>Nõukogu 15. veebruari 2011. aasta direktiiv (EL) 2011/16 maksustamisalase halduskoostöö kohta (ELT L 64, 11.3.2011, lk 1).</w:t>
      </w:r>
    </w:p>
  </w:footnote>
  <w:footnote w:id="22">
    <w:p>
      <w:pPr>
        <w:pStyle w:val="FootnoteText"/>
      </w:pPr>
      <w:r>
        <w:rPr>
          <w:rStyle w:val="FootnoteReference"/>
        </w:rPr>
        <w:footnoteRef/>
      </w:r>
      <w:r>
        <w:tab/>
        <w:t>Nõukogu 9. detsembri 2014. aasta direktiiv (EL) 2014/107, millega muudetakse direktiivi 2011/16/EL seoses kohustusliku automaatse teabevahetusega maksustamise valdkonnas (ELT L 359, 16.2.2014, lk 1).</w:t>
      </w:r>
    </w:p>
  </w:footnote>
  <w:footnote w:id="23">
    <w:p>
      <w:pPr>
        <w:pStyle w:val="FootnoteText"/>
      </w:pPr>
      <w:r>
        <w:rPr>
          <w:rStyle w:val="FootnoteReference"/>
        </w:rPr>
        <w:footnoteRef/>
      </w:r>
      <w:r>
        <w:tab/>
        <w:t>Nõukogu 8. detsembri 2015. aasta direktiiv (EL) 2015/2376, millega muudetakse direktiivi 2011/16/EL seoses kohustusliku automaatse teabevahetusega maksustamise valdkonnas (ELT L 332, 18.12.2015, lk 1).</w:t>
      </w:r>
    </w:p>
  </w:footnote>
  <w:footnote w:id="24">
    <w:p>
      <w:pPr>
        <w:pStyle w:val="FootnoteText"/>
      </w:pPr>
      <w:r>
        <w:rPr>
          <w:rStyle w:val="FootnoteReference"/>
        </w:rPr>
        <w:footnoteRef/>
      </w:r>
      <w:r>
        <w:tab/>
        <w:t>Nõukogu 25. mai 2016. aasta direktiiv (EL) 2016/881, millega muudetakse direktiivi 2011/16/EL seoses kohustusliku automaatse teabevahetusega maksustamise valdkonnas (ELT L 146, 3.6.2016, lk 8).</w:t>
      </w:r>
    </w:p>
  </w:footnote>
  <w:footnote w:id="25">
    <w:p>
      <w:pPr>
        <w:pStyle w:val="FootnoteText"/>
      </w:pPr>
      <w:r>
        <w:rPr>
          <w:rStyle w:val="FootnoteReference"/>
        </w:rPr>
        <w:footnoteRef/>
      </w:r>
      <w:r>
        <w:tab/>
        <w:t>Nõukogu 6. detsembri 2016. aasta direktiiv (EL) 2016/2258, millega muudetakse direktiivi 2011/16/EL seoses maksuhaldurite juurdepääsuga rahapesuvastasele teabele (ELT L 342, 16.12.2016, lk 1).</w:t>
      </w:r>
    </w:p>
  </w:footnote>
  <w:footnote w:id="26">
    <w:p>
      <w:pPr>
        <w:pStyle w:val="FootnoteText"/>
      </w:pPr>
      <w:r>
        <w:rPr>
          <w:rStyle w:val="FootnoteReference"/>
        </w:rPr>
        <w:footnoteRef/>
      </w:r>
      <w:r>
        <w:tab/>
        <w:t>Euroopa Parlamendi ja nõukogu 20. mai 2015. aasta direktiiv (EL) 2015/849, mis käsitleb finantssüsteemi rahapesu või terrorismi rahastamise eesmärgil kasutamise tõkestamist ning millega muudetakse Euroopa Parlamendi ja nõukogu määrust (EL) nr 648/2012 ja tunnistatakse kehtetuks Euroopa Parlamendi ja nõukogu direktiiv 2005/60/EÜ ja komisjoni direktiiv 2006/70/EÜ (ELT L 141, 5.6.2015, lk 73).</w:t>
      </w:r>
    </w:p>
  </w:footnote>
  <w:footnote w:id="27">
    <w:p>
      <w:pPr>
        <w:pStyle w:val="FootnoteText"/>
      </w:pPr>
      <w:r>
        <w:rPr>
          <w:rStyle w:val="FootnoteReference"/>
        </w:rPr>
        <w:footnoteRef/>
      </w:r>
      <w:r>
        <w:tab/>
        <w:t>Nõukogu 9. detsembri 2014. aasta direktiiv (EL) 2014/107, millega muudetakse direktiivi 2011/16/EL seoses kohustusliku automaatse teabevahetusega maksustamise valdkonnas (ELT L 359, 16.2.2014, lk 1).</w:t>
      </w:r>
    </w:p>
  </w:footnote>
  <w:footnote w:id="28">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29">
    <w:p>
      <w:pPr>
        <w:pStyle w:val="FootnoteText"/>
      </w:pPr>
      <w:r>
        <w:rPr>
          <w:rStyle w:val="FootnoteReference"/>
        </w:rPr>
        <w:footnoteRef/>
      </w:r>
      <w:r>
        <w:tab/>
        <w:t>Euroopa Parlamendi ja nõukogu 18. detsembri 2000. aasta määrus (EÜ) nr 45/2001 üksikisikute kaitse kohta isikuandmete töötlemisel ühenduse institutsioonides ja asutustes ning selliste andmete vaba liikumise kohta (EÜT L 8, 12.1.2001, lk 1).</w:t>
      </w:r>
    </w:p>
  </w:footnote>
  <w:footnote w:id="30">
    <w:p>
      <w:pPr>
        <w:pStyle w:val="FootnoteText"/>
      </w:pPr>
      <w:r>
        <w:rPr>
          <w:rStyle w:val="FootnoteReference"/>
        </w:rPr>
        <w:footnoteRef/>
      </w:r>
      <w:r>
        <w:tab/>
        <w:t>Euroopa Parlamendi ja nõukogu 24. oktoobri 1995. aasta direktiiv 95/46/EÜ üksikisikute kaitse kohta isikuandmete töötlemisel ja selliste andmete vaba liikumise kohta (EÜT L 281, 23.11.1995, lk 31).</w:t>
      </w:r>
    </w:p>
  </w:footnote>
  <w:footnote w:id="31">
    <w:p>
      <w:pPr>
        <w:pStyle w:val="FootnoteText"/>
        <w:rPr>
          <w:szCs w:val="24"/>
        </w:rPr>
      </w:pPr>
      <w:r>
        <w:rPr>
          <w:rStyle w:val="FootnoteReference"/>
        </w:rPr>
        <w:footnoteRef/>
      </w:r>
      <w:r>
        <w:tab/>
        <w:t>ABM: tegevuspõhine juhtimine; ABB: tegevuspõhine eelarvestamine.</w:t>
      </w:r>
    </w:p>
  </w:footnote>
  <w:footnote w:id="32">
    <w:p>
      <w:pPr>
        <w:pStyle w:val="FootnoteText"/>
        <w:rPr>
          <w:szCs w:val="24"/>
        </w:rPr>
      </w:pPr>
      <w:r>
        <w:rPr>
          <w:rStyle w:val="FootnoteReference"/>
        </w:rPr>
        <w:footnoteRef/>
      </w:r>
      <w:r>
        <w:tab/>
        <w:t>Vastavalt finantsmääruse artikli 54 lõike 2 punktile a või b.</w:t>
      </w:r>
    </w:p>
  </w:footnote>
  <w:footnote w:id="33">
    <w:p>
      <w:pPr>
        <w:pStyle w:val="FootnoteText"/>
        <w:rPr>
          <w:szCs w:val="24"/>
        </w:rPr>
      </w:pPr>
      <w:r>
        <w:rPr>
          <w:rStyle w:val="FootnoteReference"/>
        </w:rPr>
        <w:footnoteRef/>
      </w:r>
      <w:r>
        <w:tab/>
        <w:t xml:space="preserve">Eelarve täitmise viise selgitatakse koos viidetega finantsmäärusele veebisaidil BudgWeb: </w:t>
      </w:r>
      <w:hyperlink r:id="rId8" w:history="1">
        <w:r>
          <w:rPr>
            <w:rStyle w:val="Hyperlink"/>
            <w:sz w:val="18"/>
          </w:rPr>
          <w:t>http://www.cc.cec/budg/man/budgmanag/budgmanag_en.html</w:t>
        </w:r>
      </w:hyperlink>
    </w:p>
  </w:footnote>
  <w:footnote w:id="34">
    <w:p>
      <w:pPr>
        <w:pStyle w:val="FootnoteText"/>
      </w:pPr>
      <w:r>
        <w:rPr>
          <w:rStyle w:val="FootnoteReference"/>
        </w:rPr>
        <w:footnoteRef/>
      </w:r>
      <w:r>
        <w:tab/>
        <w:t>Euroopa Parlamendi ja nõukogu 25. mai 1999. aasta määrus (EÜ) nr 1073/1999 Euroopa Pettustevastase Ameti (OLAF) juurdluste kohta (EÜT L 136, 31.5.1999, lk 1).</w:t>
      </w:r>
    </w:p>
  </w:footnote>
  <w:footnote w:id="35">
    <w:p>
      <w:pPr>
        <w:ind w:left="709" w:hanging="709"/>
        <w:rPr>
          <w:sz w:val="20"/>
        </w:rPr>
      </w:pPr>
      <w:r>
        <w:rPr>
          <w:rStyle w:val="FootnoteReference"/>
        </w:rPr>
        <w:footnoteRef/>
      </w:r>
      <w:r>
        <w:tab/>
      </w:r>
      <w:r>
        <w:rPr>
          <w:sz w:val="20"/>
        </w:rPr>
        <w:t>Nõukogu 11. novembri 1996. aasta määrus (Euratom, EÜ) nr 2185/96, mis käsitleb komisjoni tehtavat kohapealset kontrolli ja inspekteerimist, et kaitsta Euroopa ühenduste finantshuve pettuste ja igasuguse muu eeskirjade eiramiste eest (EÜT L 292, 15.11.1996, lk 2).</w:t>
      </w:r>
    </w:p>
    <w:p>
      <w:pPr>
        <w:pStyle w:val="FootnoteText"/>
      </w:pPr>
    </w:p>
  </w:footnote>
  <w:footnote w:id="36">
    <w:p>
      <w:pPr>
        <w:pStyle w:val="FootnoteText"/>
        <w:rPr>
          <w:szCs w:val="24"/>
        </w:rPr>
      </w:pPr>
      <w:r>
        <w:rPr>
          <w:rStyle w:val="FootnoteReference"/>
        </w:rPr>
        <w:footnoteRef/>
      </w:r>
      <w:r>
        <w:tab/>
        <w:t>Liigendatud assigneeringud / liigendamata assigneeringud.</w:t>
      </w:r>
    </w:p>
  </w:footnote>
  <w:footnote w:id="37">
    <w:p>
      <w:pPr>
        <w:pStyle w:val="FootnoteText"/>
        <w:rPr>
          <w:szCs w:val="24"/>
        </w:rPr>
      </w:pPr>
      <w:r>
        <w:rPr>
          <w:rStyle w:val="FootnoteReference"/>
        </w:rPr>
        <w:footnoteRef/>
      </w:r>
      <w:r>
        <w:tab/>
        <w:t xml:space="preserve">EFTA: Euroopa Vabakaubanduse Assotsiatsioon. </w:t>
      </w:r>
    </w:p>
  </w:footnote>
  <w:footnote w:id="38">
    <w:p>
      <w:pPr>
        <w:pStyle w:val="FootnoteText"/>
        <w:rPr>
          <w:szCs w:val="24"/>
        </w:rPr>
      </w:pPr>
      <w:r>
        <w:rPr>
          <w:rStyle w:val="FootnoteReference"/>
        </w:rPr>
        <w:footnoteRef/>
      </w:r>
      <w:r>
        <w:tab/>
        <w:t>Kandidaatriigid ja vajaduse korral Lääne-Balkani potentsiaalsed kandidaatriigid.</w:t>
      </w:r>
    </w:p>
  </w:footnote>
  <w:footnote w:id="39">
    <w:p>
      <w:pPr>
        <w:pStyle w:val="FootnoteText"/>
        <w:rPr>
          <w:szCs w:val="24"/>
        </w:rPr>
      </w:pPr>
      <w:r>
        <w:rPr>
          <w:rStyle w:val="FootnoteReference"/>
        </w:rPr>
        <w:footnoteRef/>
      </w:r>
      <w:r>
        <w:tab/>
        <w:t>Aasta N, mil alustatakse ettepaneku/algatuse rakendamist.</w:t>
      </w:r>
    </w:p>
  </w:footnote>
  <w:footnote w:id="40">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41">
    <w:p>
      <w:pPr>
        <w:pStyle w:val="FootnoteText"/>
        <w:rPr>
          <w:szCs w:val="24"/>
        </w:rPr>
      </w:pPr>
      <w:r>
        <w:rPr>
          <w:rStyle w:val="FootnoteReference"/>
        </w:rPr>
        <w:footnoteRef/>
      </w:r>
      <w:r>
        <w:tab/>
        <w:t>Aasta N, mil alustatakse ettepaneku/algatuse rakendamist.</w:t>
      </w:r>
    </w:p>
  </w:footnote>
  <w:footnote w:id="42">
    <w:p>
      <w:pPr>
        <w:pStyle w:val="FootnoteText"/>
        <w:rPr>
          <w:szCs w:val="24"/>
        </w:rPr>
      </w:pPr>
      <w:r>
        <w:rPr>
          <w:rStyle w:val="FootnoteReference"/>
        </w:rPr>
        <w:footnoteRef/>
      </w:r>
      <w:r>
        <w:tab/>
        <w:t>Väljunditena käsitatakse tarnitud tooteid ja osutatavaid teenuseid (rahastatud üliõpilasvahetuste arv, ehitatud teede pikkus kilomeetrites jms).</w:t>
      </w:r>
    </w:p>
  </w:footnote>
  <w:footnote w:id="43">
    <w:p>
      <w:pPr>
        <w:pStyle w:val="FootnoteText"/>
        <w:rPr>
          <w:szCs w:val="24"/>
        </w:rPr>
      </w:pPr>
      <w:r>
        <w:rPr>
          <w:rStyle w:val="FootnoteReference"/>
        </w:rPr>
        <w:footnoteRef/>
      </w:r>
      <w:r>
        <w:tab/>
        <w:t xml:space="preserve">Vastavalt punktis 1.4.2 nimetatud erieesmärkidele. </w:t>
      </w:r>
    </w:p>
  </w:footnote>
  <w:footnote w:id="44">
    <w:p>
      <w:pPr>
        <w:pStyle w:val="FootnoteText"/>
        <w:rPr>
          <w:szCs w:val="24"/>
        </w:rPr>
      </w:pPr>
      <w:r>
        <w:rPr>
          <w:rStyle w:val="FootnoteReference"/>
        </w:rPr>
        <w:footnoteRef/>
      </w:r>
      <w:r>
        <w:tab/>
        <w:t>Aasta N, mil alustatakse ettepaneku/algatuse rakendamist.</w:t>
      </w:r>
    </w:p>
  </w:footnote>
  <w:footnote w:id="45">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46">
    <w:p>
      <w:pPr>
        <w:pStyle w:val="FootnoteText"/>
        <w:rPr>
          <w:szCs w:val="24"/>
        </w:rPr>
      </w:pPr>
      <w:r>
        <w:rPr>
          <w:rStyle w:val="FootnoteReference"/>
        </w:rPr>
        <w:footnoteRef/>
      </w:r>
      <w:r>
        <w:tab/>
        <w:t>Lepingulised töötajad, kohalikud töötajad, riikide lähetatud eksperdid, renditööjõud, noored eksperdid delegatsioonides.</w:t>
      </w:r>
    </w:p>
  </w:footnote>
  <w:footnote w:id="47">
    <w:p>
      <w:pPr>
        <w:pStyle w:val="FootnoteText"/>
        <w:rPr>
          <w:szCs w:val="24"/>
        </w:rPr>
      </w:pPr>
      <w:r>
        <w:rPr>
          <w:rStyle w:val="FootnoteReference"/>
        </w:rPr>
        <w:footnoteRef/>
      </w:r>
      <w:r>
        <w:tab/>
        <w:t>Tegevusassigneeringutest rahastatavate koosseisuväliste töötajate ülempiiri arvestades (endised B..A read).</w:t>
      </w:r>
    </w:p>
  </w:footnote>
  <w:footnote w:id="48">
    <w:p>
      <w:pPr>
        <w:pStyle w:val="FootnoteText"/>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7"/>
  </w:num>
  <w:num w:numId="18">
    <w:abstractNumId w:val="20"/>
  </w:num>
  <w:num w:numId="19">
    <w:abstractNumId w:val="6"/>
  </w:num>
  <w:num w:numId="20">
    <w:abstractNumId w:val="12"/>
  </w:num>
  <w:num w:numId="21">
    <w:abstractNumId w:val="24"/>
  </w:num>
  <w:num w:numId="22">
    <w:abstractNumId w:val="18"/>
  </w:num>
  <w:num w:numId="23">
    <w:abstractNumId w:val="10"/>
  </w:num>
  <w:num w:numId="24">
    <w:abstractNumId w:val="21"/>
  </w:num>
  <w:num w:numId="25">
    <w:abstractNumId w:val="9"/>
  </w:num>
  <w:num w:numId="26">
    <w:abstractNumId w:val="11"/>
  </w:num>
  <w:num w:numId="27">
    <w:abstractNumId w:val="7"/>
  </w:num>
  <w:num w:numId="28">
    <w:abstractNumId w:val="20"/>
  </w:num>
  <w:num w:numId="29">
    <w:abstractNumId w:val="6"/>
  </w:num>
  <w:num w:numId="30">
    <w:abstractNumId w:val="12"/>
  </w:num>
  <w:num w:numId="31">
    <w:abstractNumId w:val="16"/>
  </w:num>
  <w:num w:numId="32">
    <w:abstractNumId w:val="17"/>
  </w:num>
  <w:num w:numId="33">
    <w:abstractNumId w:val="8"/>
  </w:num>
  <w:num w:numId="34">
    <w:abstractNumId w:val="1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BE28417F3B2A42A5A7DEC2A36C7F2D11"/>
    <w:docVar w:name="LW_CROSSREFERENCE" w:val="{SWD(2017) 236 final}_x000b_{SWD(2017) 237 final}"/>
    <w:docVar w:name="LW_DocType" w:val="COM"/>
    <w:docVar w:name="LW_EMISSION" w:val="21.6.2017"/>
    <w:docVar w:name="LW_EMISSION_ISODATE" w:val="2017-06-21"/>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Ettepanek:"/>
    <w:docVar w:name="LW_SUPERTITRE" w:val="&lt;UNUSED&gt;"/>
    <w:docVar w:name="LW_TITRE.OBJ.CP" w:val="millega muudetakse direktiivi 2011/16/EL seoses kohustusliku automaatse teabevahetusega maksustamise valdkonnas avalikustatavate piiriüleste skeemide puhul"/>
    <w:docVar w:name="LW_TYPE.DOC.CP" w:val="NÕUKOGU DIREKTI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lang w:eastAsia="de-DE"/>
    </w:rPr>
  </w:style>
  <w:style w:type="paragraph" w:customStyle="1" w:styleId="ListBullet1">
    <w:name w:val="List Bullet 1"/>
    <w:basedOn w:val="Normal"/>
    <w:pPr>
      <w:numPr>
        <w:numId w:val="1"/>
      </w:numPr>
    </w:pPr>
    <w:rPr>
      <w:lang w:eastAsia="de-DE"/>
    </w:rPr>
  </w:style>
  <w:style w:type="paragraph" w:customStyle="1" w:styleId="ListDash1">
    <w:name w:val="List Dash 1"/>
    <w:basedOn w:val="Normal"/>
    <w:pPr>
      <w:numPr>
        <w:numId w:val="2"/>
      </w:numPr>
    </w:pPr>
    <w:rPr>
      <w:lang w:eastAsia="de-DE"/>
    </w:rPr>
  </w:style>
  <w:style w:type="paragraph" w:customStyle="1" w:styleId="ListDash2">
    <w:name w:val="List Dash 2"/>
    <w:basedOn w:val="Normal"/>
    <w:pPr>
      <w:numPr>
        <w:numId w:val="3"/>
      </w:numPr>
    </w:pPr>
    <w:rPr>
      <w:lang w:eastAsia="de-DE"/>
    </w:rPr>
  </w:style>
  <w:style w:type="paragraph" w:customStyle="1" w:styleId="ListNumberLevel2">
    <w:name w:val="List Number (Level 2)"/>
    <w:basedOn w:val="Normal"/>
    <w:pPr>
      <w:numPr>
        <w:ilvl w:val="1"/>
        <w:numId w:val="4"/>
      </w:numPr>
    </w:pPr>
    <w:rPr>
      <w:lang w:eastAsia="de-DE"/>
    </w:rPr>
  </w:style>
  <w:style w:type="paragraph" w:customStyle="1" w:styleId="ListNumberLevel3">
    <w:name w:val="List Number (Level 3)"/>
    <w:basedOn w:val="Normal"/>
    <w:pPr>
      <w:numPr>
        <w:ilvl w:val="2"/>
        <w:numId w:val="4"/>
      </w:numPr>
    </w:pPr>
    <w:rPr>
      <w:lang w:eastAsia="de-DE"/>
    </w:rPr>
  </w:style>
  <w:style w:type="paragraph" w:customStyle="1" w:styleId="ListNumberLevel4">
    <w:name w:val="List Number (Level 4)"/>
    <w:basedOn w:val="Normal"/>
    <w:pPr>
      <w:numPr>
        <w:ilvl w:val="3"/>
        <w:numId w:val="4"/>
      </w:numPr>
    </w:pPr>
    <w:rPr>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lang w:val="fr-FR"/>
    </w:rPr>
  </w:style>
  <w:style w:type="paragraph" w:styleId="ListBullet2">
    <w:name w:val="List Bullet 2"/>
    <w:basedOn w:val="Normal"/>
    <w:pPr>
      <w:numPr>
        <w:numId w:val="6"/>
      </w:numPr>
    </w:pPr>
    <w:rPr>
      <w:lang w:val="fr-FR"/>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lang w:eastAsia="de-DE"/>
    </w:rPr>
  </w:style>
  <w:style w:type="paragraph" w:customStyle="1" w:styleId="ListBullet1">
    <w:name w:val="List Bullet 1"/>
    <w:basedOn w:val="Normal"/>
    <w:pPr>
      <w:numPr>
        <w:numId w:val="1"/>
      </w:numPr>
    </w:pPr>
    <w:rPr>
      <w:lang w:eastAsia="de-DE"/>
    </w:rPr>
  </w:style>
  <w:style w:type="paragraph" w:customStyle="1" w:styleId="ListDash1">
    <w:name w:val="List Dash 1"/>
    <w:basedOn w:val="Normal"/>
    <w:pPr>
      <w:numPr>
        <w:numId w:val="2"/>
      </w:numPr>
    </w:pPr>
    <w:rPr>
      <w:lang w:eastAsia="de-DE"/>
    </w:rPr>
  </w:style>
  <w:style w:type="paragraph" w:customStyle="1" w:styleId="ListDash2">
    <w:name w:val="List Dash 2"/>
    <w:basedOn w:val="Normal"/>
    <w:pPr>
      <w:numPr>
        <w:numId w:val="3"/>
      </w:numPr>
    </w:pPr>
    <w:rPr>
      <w:lang w:eastAsia="de-DE"/>
    </w:rPr>
  </w:style>
  <w:style w:type="paragraph" w:customStyle="1" w:styleId="ListNumberLevel2">
    <w:name w:val="List Number (Level 2)"/>
    <w:basedOn w:val="Normal"/>
    <w:pPr>
      <w:numPr>
        <w:ilvl w:val="1"/>
        <w:numId w:val="4"/>
      </w:numPr>
    </w:pPr>
    <w:rPr>
      <w:lang w:eastAsia="de-DE"/>
    </w:rPr>
  </w:style>
  <w:style w:type="paragraph" w:customStyle="1" w:styleId="ListNumberLevel3">
    <w:name w:val="List Number (Level 3)"/>
    <w:basedOn w:val="Normal"/>
    <w:pPr>
      <w:numPr>
        <w:ilvl w:val="2"/>
        <w:numId w:val="4"/>
      </w:numPr>
    </w:pPr>
    <w:rPr>
      <w:lang w:eastAsia="de-DE"/>
    </w:rPr>
  </w:style>
  <w:style w:type="paragraph" w:customStyle="1" w:styleId="ListNumberLevel4">
    <w:name w:val="List Number (Level 4)"/>
    <w:basedOn w:val="Normal"/>
    <w:pPr>
      <w:numPr>
        <w:ilvl w:val="3"/>
        <w:numId w:val="4"/>
      </w:numPr>
    </w:pPr>
    <w:rPr>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lang w:val="fr-FR"/>
    </w:rPr>
  </w:style>
  <w:style w:type="paragraph" w:styleId="ListBullet2">
    <w:name w:val="List Bullet 2"/>
    <w:basedOn w:val="Normal"/>
    <w:pPr>
      <w:numPr>
        <w:numId w:val="6"/>
      </w:numPr>
    </w:pPr>
    <w:rPr>
      <w:lang w:val="fr-FR"/>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20%20%200310+0+DOC+XML+V0//EN"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EN/1-2016-451-EN-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6120-3E92-4173-848D-83BA02DB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43</Pages>
  <Words>9780</Words>
  <Characters>75507</Characters>
  <Application>Microsoft Office Word</Application>
  <DocSecurity>0</DocSecurity>
  <Lines>2097</Lines>
  <Paragraphs>907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2017-06-26T15:47:00Z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