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239A667224D47A599C3F7D091342160"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t>”LIITE IV</w:t>
      </w:r>
      <w:r>
        <w:rPr>
          <w:noProof/>
        </w:rPr>
        <w:br/>
        <w:t>TUNNUSMERKIT</w:t>
      </w:r>
    </w:p>
    <w:p>
      <w:pPr>
        <w:pStyle w:val="Text1"/>
        <w:ind w:left="0"/>
        <w:jc w:val="center"/>
        <w:rPr>
          <w:noProof/>
        </w:rPr>
      </w:pPr>
    </w:p>
    <w:p>
      <w:pPr>
        <w:rPr>
          <w:noProof/>
        </w:rPr>
      </w:pPr>
      <w:r>
        <w:rPr>
          <w:noProof/>
        </w:rPr>
        <w:t>Yleiset tunnusmerkit ja B luokan erityiset tunnusmerkit voidaan ottaa huomioon vain, jos ne läpäisevät pääasiallista hyötyä mittaavan testin.</w:t>
      </w:r>
    </w:p>
    <w:p>
      <w:pPr>
        <w:rPr>
          <w:noProof/>
        </w:rPr>
      </w:pPr>
    </w:p>
    <w:p>
      <w:pPr>
        <w:rPr>
          <w:b/>
          <w:noProof/>
        </w:rPr>
      </w:pPr>
      <w:r>
        <w:rPr>
          <w:b/>
          <w:noProof/>
        </w:rPr>
        <w:t>Pääasiallista hyötyä mittaava testi</w:t>
      </w:r>
    </w:p>
    <w:p>
      <w:pPr>
        <w:rPr>
          <w:noProof/>
        </w:rPr>
      </w:pPr>
      <w:r>
        <w:rPr>
          <w:noProof/>
        </w:rPr>
        <w:t>Testi katsotaan läpäistyksi, kun järjestelyn tai järjestelyjen sarjan pääasiallisena hyötynä on verotuksellisen edun saaminen, jos voidaan osoittaa, että kyseisestä järjestelystä tai järjestelyjen sarjasta voidaan odottaa saavan verotuksellista etua esimerkiksi hyödyntämällä järjestelyn tai järjestelyjen sarjan erityistä rakennetta.</w:t>
      </w:r>
    </w:p>
    <w:p>
      <w:pPr>
        <w:rPr>
          <w:b/>
          <w:noProof/>
        </w:rPr>
      </w:pPr>
      <w:r>
        <w:rPr>
          <w:b/>
          <w:noProof/>
        </w:rPr>
        <w:t>A.</w:t>
      </w:r>
      <w:r>
        <w:rPr>
          <w:noProof/>
        </w:rPr>
        <w:tab/>
      </w:r>
      <w:r>
        <w:rPr>
          <w:b/>
          <w:noProof/>
        </w:rPr>
        <w:t>Yleiset tunnusmerkit</w:t>
      </w:r>
    </w:p>
    <w:p>
      <w:pPr>
        <w:pStyle w:val="NumPar1"/>
        <w:numPr>
          <w:ilvl w:val="0"/>
          <w:numId w:val="8"/>
        </w:numPr>
        <w:rPr>
          <w:noProof/>
        </w:rPr>
      </w:pPr>
      <w:r>
        <w:rPr>
          <w:noProof/>
        </w:rPr>
        <w:t>Järjestely tai järjestelyjen sarja, jonka yhteydessä verovelvollinen sitoutuu noudattamaan luottamuksellisuuden ehtoa, jonka nojalla he eivät saa paljastaa muille välittäjille tai veroviranomaisille, kuinka järjestelystä voi saada verotuksellista etua.</w:t>
      </w:r>
    </w:p>
    <w:p>
      <w:pPr>
        <w:pStyle w:val="NumPar1"/>
        <w:rPr>
          <w:noProof/>
        </w:rPr>
      </w:pPr>
      <w:r>
        <w:rPr>
          <w:noProof/>
        </w:rPr>
        <w:t>Järjestely tai järjestelyjen sarja, josta välittäjällä on oikeus saada maksu (tai korkoa, rahoituskulujen kattamiseen tarkoitettua korvausta tai muita maksuja), joka määritetään</w:t>
      </w:r>
    </w:p>
    <w:p>
      <w:pPr>
        <w:pStyle w:val="Point1"/>
        <w:rPr>
          <w:noProof/>
        </w:rPr>
      </w:pPr>
      <w:r>
        <w:rPr>
          <w:noProof/>
        </w:rPr>
        <w:t>a)</w:t>
      </w:r>
      <w:r>
        <w:rPr>
          <w:noProof/>
        </w:rPr>
        <w:tab/>
        <w:t>kyseisestä järjestelystä tai järjestelyjen sarjasta saatavan verotuksellisen edun määrän perusteella; tai</w:t>
      </w:r>
    </w:p>
    <w:p>
      <w:pPr>
        <w:pStyle w:val="Point1"/>
        <w:rPr>
          <w:noProof/>
        </w:rPr>
      </w:pPr>
      <w:r>
        <w:rPr>
          <w:noProof/>
        </w:rPr>
        <w:t>b)</w:t>
      </w:r>
      <w:r>
        <w:rPr>
          <w:noProof/>
        </w:rPr>
        <w:tab/>
        <w:t>sen perusteella, onko verotuksellinen etu tosiasiassa peräisin järjestelystä tai järjestelyjen sarjasta. Osana tätä välittäjä velvoitettaisiin korvaamaan kyseiset maksut joko kokonaan tai osittain, jos järjestelyn tai järjestelyjen sarjan tavoitteena ollutta verotuksellista etua ei saatu tai se saatiin vain osittain.</w:t>
      </w:r>
    </w:p>
    <w:p>
      <w:pPr>
        <w:pStyle w:val="NumPar1"/>
        <w:rPr>
          <w:noProof/>
        </w:rPr>
      </w:pPr>
      <w:r>
        <w:rPr>
          <w:noProof/>
        </w:rPr>
        <w:t>Järjestely tai järjestelyjen sarja, johon liittyy vakiomuotoisten asiakirjojen, kuten vakiolomakkeiden, käyttöä. Asiakirjat ovat yleisesti useamman kuin yhden verovelvollisen saatavilla, eikä niitä ole tarpeen räätälöidä, jotta verovelvollinen voisi toteuttaa järjestelyn tai järjestelyjen sarjan.</w:t>
      </w:r>
    </w:p>
    <w:p>
      <w:pPr>
        <w:rPr>
          <w:noProof/>
        </w:rPr>
      </w:pPr>
    </w:p>
    <w:p>
      <w:pPr>
        <w:rPr>
          <w:b/>
          <w:noProof/>
        </w:rPr>
      </w:pPr>
      <w:r>
        <w:rPr>
          <w:b/>
          <w:noProof/>
        </w:rPr>
        <w:t>B.</w:t>
      </w:r>
      <w:r>
        <w:rPr>
          <w:noProof/>
        </w:rPr>
        <w:tab/>
      </w:r>
      <w:r>
        <w:rPr>
          <w:b/>
          <w:noProof/>
        </w:rPr>
        <w:t>Erityiset tunnusmerkit, joilla voi olla yhteys pääasiallista hyötyä mittaavaan testiin</w:t>
      </w:r>
    </w:p>
    <w:p>
      <w:pPr>
        <w:pStyle w:val="NumPar1"/>
        <w:numPr>
          <w:ilvl w:val="0"/>
          <w:numId w:val="1"/>
        </w:numPr>
        <w:rPr>
          <w:noProof/>
        </w:rPr>
      </w:pPr>
      <w:r>
        <w:rPr>
          <w:noProof/>
        </w:rPr>
        <w:t>Järjestely tai järjestelyjen sarja, jossa verovelvollinen käyttää tappioita vähentääkseen verotaakkaansa, mukaan lukien siirtämällä tappiot toiselle lainkäyttöalueelle tai nopeuttamalla tappioiden käyttöä.</w:t>
      </w:r>
    </w:p>
    <w:p>
      <w:pPr>
        <w:pStyle w:val="NumPar1"/>
        <w:rPr>
          <w:noProof/>
        </w:rPr>
      </w:pPr>
      <w:r>
        <w:rPr>
          <w:noProof/>
        </w:rPr>
        <w:t>Järjestely tai järjestelyjen sarja, jolla tulot muunnetaan pääomaksi, lahjoituksiksi tai muiden tuloluokkien tuotteiksi, joiden verotus on alhaisempi.</w:t>
      </w:r>
    </w:p>
    <w:p>
      <w:pPr>
        <w:pStyle w:val="NumPar1"/>
        <w:rPr>
          <w:noProof/>
        </w:rPr>
      </w:pPr>
      <w:r>
        <w:rPr>
          <w:noProof/>
        </w:rPr>
        <w:t>Järjestely tai järjestelyjen sarja, joka sisältää kehämäisiä liiketoimia (”circular transactions”), jotka johtavat wash trading -toimintaan (”round-tripping of funds”) erityisesti sellaisten välikätenä toimivien oikeushenkilöiden kautta, joilla ei ole muuta ensisijaista kaupallista tarkoitusta, taikka liiketoimia, jotka mitätöivät tai peruuttavat toisensa tai joilla on muita vastaavia piirteitä.</w:t>
      </w:r>
    </w:p>
    <w:p>
      <w:pPr>
        <w:pStyle w:val="Text1"/>
        <w:rPr>
          <w:noProof/>
        </w:rPr>
      </w:pPr>
    </w:p>
    <w:p>
      <w:pPr>
        <w:rPr>
          <w:b/>
          <w:i/>
          <w:noProof/>
        </w:rPr>
      </w:pPr>
      <w:r>
        <w:rPr>
          <w:b/>
          <w:noProof/>
        </w:rPr>
        <w:t>C.</w:t>
      </w:r>
      <w:r>
        <w:rPr>
          <w:noProof/>
        </w:rPr>
        <w:tab/>
      </w:r>
      <w:r>
        <w:rPr>
          <w:b/>
          <w:noProof/>
        </w:rPr>
        <w:t>Erityiset tunnusmerkit, jotka liittyvät rajatylittäviin liiketoimiin</w:t>
      </w:r>
    </w:p>
    <w:p>
      <w:pPr>
        <w:pStyle w:val="NumPar1"/>
        <w:numPr>
          <w:ilvl w:val="0"/>
          <w:numId w:val="2"/>
        </w:numPr>
        <w:rPr>
          <w:noProof/>
        </w:rPr>
      </w:pPr>
      <w:r>
        <w:rPr>
          <w:noProof/>
        </w:rPr>
        <w:t>Järjestely tai järjestelyjen sarja, johon liittyy vähennyskelpoisia rajatylittäviä maksuja kahden tai useamman toisiinsa liittyvän osapuolen välillä ja kun ainakin yksi seuraavista ehdoista täyttyy:</w:t>
      </w:r>
    </w:p>
    <w:p>
      <w:pPr>
        <w:pStyle w:val="Point1"/>
        <w:rPr>
          <w:noProof/>
        </w:rPr>
      </w:pPr>
      <w:r>
        <w:rPr>
          <w:noProof/>
        </w:rPr>
        <w:t>a)</w:t>
      </w:r>
      <w:r>
        <w:rPr>
          <w:noProof/>
        </w:rPr>
        <w:tab/>
        <w:t xml:space="preserve">vastaanottajalla ei ole verotuksellista kotipaikkaa millään lainkäyttöalueella; </w:t>
      </w:r>
    </w:p>
    <w:p>
      <w:pPr>
        <w:pStyle w:val="Point1"/>
        <w:rPr>
          <w:noProof/>
        </w:rPr>
      </w:pPr>
      <w:r>
        <w:rPr>
          <w:noProof/>
        </w:rPr>
        <w:t>b)</w:t>
      </w:r>
      <w:r>
        <w:rPr>
          <w:noProof/>
        </w:rPr>
        <w:tab/>
        <w:t>vaikka vastaanottajalla on verotuksellinen kotipaikka jollakin lainkäyttöalueella, kyseinen lainkäyttöalue</w:t>
      </w:r>
    </w:p>
    <w:p>
      <w:pPr>
        <w:pStyle w:val="Point2"/>
        <w:rPr>
          <w:noProof/>
        </w:rPr>
      </w:pPr>
      <w:r>
        <w:rPr>
          <w:noProof/>
        </w:rPr>
        <w:t>i.</w:t>
      </w:r>
      <w:r>
        <w:rPr>
          <w:noProof/>
        </w:rPr>
        <w:tab/>
        <w:t>ei kanna minkäänlaista yhtiöveroa; tai</w:t>
      </w:r>
    </w:p>
    <w:p>
      <w:pPr>
        <w:pStyle w:val="Point2"/>
        <w:rPr>
          <w:noProof/>
        </w:rPr>
      </w:pPr>
      <w:r>
        <w:rPr>
          <w:noProof/>
        </w:rPr>
        <w:t>ii.</w:t>
      </w:r>
      <w:r>
        <w:rPr>
          <w:noProof/>
        </w:rPr>
        <w:tab/>
        <w:t>kantaa yhtiöveroa, mutta sen lakisääteinen yhtiöverokanta on nolla tai alle puolet lakisääteisestä yritysverokannasta unionissa keskimäärin, sellaisena kuin se on ollut edellisen kalenterivuoden lopussa; tai</w:t>
      </w:r>
    </w:p>
    <w:p>
      <w:pPr>
        <w:pStyle w:val="Point2"/>
        <w:rPr>
          <w:noProof/>
        </w:rPr>
      </w:pPr>
      <w:r>
        <w:rPr>
          <w:noProof/>
        </w:rPr>
        <w:t>iii.</w:t>
      </w:r>
      <w:r>
        <w:rPr>
          <w:noProof/>
        </w:rPr>
        <w:tab/>
        <w:t>sisältyy luetteloon tietyistä kolmansien maiden lainkäyttöalueista, jotka jäsenvaltiot ovat yhdessä arvioineet tai jotka on kansainvälisen järjestön puitteissa arvioitu haitallisia verojärjestelyjä hyödyntäviksi;</w:t>
      </w:r>
    </w:p>
    <w:p>
      <w:pPr>
        <w:pStyle w:val="Point1"/>
        <w:rPr>
          <w:noProof/>
        </w:rPr>
      </w:pPr>
      <w:r>
        <w:rPr>
          <w:noProof/>
        </w:rPr>
        <w:t>c)</w:t>
      </w:r>
      <w:r>
        <w:rPr>
          <w:noProof/>
        </w:rPr>
        <w:tab/>
        <w:t>maksu on osittain tai kokonaan verovapaa sillä lainkäyttöalueella, jolla vastaanottajan verotuksellinen kotipaikka sijaitsee;</w:t>
      </w:r>
    </w:p>
    <w:p>
      <w:pPr>
        <w:pStyle w:val="Point1"/>
        <w:rPr>
          <w:noProof/>
        </w:rPr>
      </w:pPr>
      <w:r>
        <w:rPr>
          <w:noProof/>
        </w:rPr>
        <w:t>d)</w:t>
      </w:r>
      <w:r>
        <w:rPr>
          <w:noProof/>
        </w:rPr>
        <w:tab/>
        <w:t>maksu hyötyy suotuisasta verokohtelusta sillä lainkäyttöalueella, jolla vastaanottajan verotuksellinen kotipaikka sijaitsee;</w:t>
      </w:r>
    </w:p>
    <w:p>
      <w:pPr>
        <w:pStyle w:val="Point1"/>
        <w:rPr>
          <w:noProof/>
        </w:rPr>
      </w:pPr>
      <w:r>
        <w:rPr>
          <w:noProof/>
        </w:rPr>
        <w:t>e)</w:t>
      </w:r>
      <w:r>
        <w:rPr>
          <w:noProof/>
        </w:rPr>
        <w:tab/>
        <w:t>havaitaan ristiriita ministerineuvoston 23 päivänä toukokuuta 2017 hyväksymän neuvoston direktiivin, jolla muutetaan direktiiviä (EU) 2016/1164, soveltamisalan kanssa siltä osin kuin on kyse verokohtelun eroavaisuuksista kolmansien maiden kanssa.</w:t>
      </w:r>
    </w:p>
    <w:p>
      <w:pPr>
        <w:pStyle w:val="NumPar1"/>
        <w:rPr>
          <w:noProof/>
        </w:rPr>
      </w:pPr>
      <w:r>
        <w:rPr>
          <w:noProof/>
        </w:rPr>
        <w:t>Kyseiset varat voidaan vähentää poistoina useammalla kuin yhdellä lainkäyttöalueella.</w:t>
      </w:r>
    </w:p>
    <w:p>
      <w:pPr>
        <w:pStyle w:val="NumPar1"/>
        <w:rPr>
          <w:noProof/>
        </w:rPr>
      </w:pPr>
      <w:r>
        <w:rPr>
          <w:noProof/>
        </w:rPr>
        <w:t>Useampi kuin yksi verovelvollinen voi hakea vapautusta kaksinkertaisesta verotuksesta samasta tulosta eri lainkäyttöalueilla.</w:t>
      </w:r>
    </w:p>
    <w:p>
      <w:pPr>
        <w:pStyle w:val="NumPar1"/>
        <w:rPr>
          <w:noProof/>
        </w:rPr>
      </w:pPr>
      <w:r>
        <w:rPr>
          <w:noProof/>
        </w:rPr>
        <w:t>Järjestelyyn tai järjestelyjen sarjaan sisältyy varojen siirtoja ja kun kyseessä olevilla lainkäyttöalueilla kyseisistä varoista vastikkeena maksettavissa summissa on olennaisia eroja.</w:t>
      </w:r>
    </w:p>
    <w:p>
      <w:pPr>
        <w:rPr>
          <w:noProof/>
        </w:rPr>
      </w:pPr>
    </w:p>
    <w:p>
      <w:pPr>
        <w:rPr>
          <w:b/>
          <w:noProof/>
        </w:rPr>
      </w:pPr>
      <w:r>
        <w:rPr>
          <w:b/>
          <w:noProof/>
        </w:rPr>
        <w:t>D.</w:t>
      </w:r>
      <w:r>
        <w:rPr>
          <w:noProof/>
        </w:rPr>
        <w:tab/>
      </w:r>
      <w:r>
        <w:rPr>
          <w:b/>
          <w:noProof/>
        </w:rPr>
        <w:t>Erityiset tunnusmerkit, jotka liittyvät automaattista tietojenvaihtoa koskeviin sopimuksiin unionissa</w:t>
      </w:r>
    </w:p>
    <w:p>
      <w:pPr>
        <w:pStyle w:val="Text1"/>
        <w:rPr>
          <w:noProof/>
        </w:rPr>
      </w:pPr>
      <w:r>
        <w:rPr>
          <w:noProof/>
        </w:rPr>
        <w:t>Järjestely tai järjestelyjen sarja, jolla kierretään unionin lainsäädäntöä tai automaattista tietojenvaihtoa koskevia sopimuksia, kuten kolmansien maiden kanssa tehtyjä sopimuksia, ja joiden ansiosta verovelvollinen välttyy tulojen ilmoittamiselta siinä valtiossa, jossa hänen verotuksellinen kotipaikkansa sijaitsee. Näitä järjestelyjä voivat olla muun muassa</w:t>
      </w:r>
    </w:p>
    <w:p>
      <w:pPr>
        <w:pStyle w:val="Point1"/>
        <w:rPr>
          <w:noProof/>
        </w:rPr>
      </w:pPr>
      <w:r>
        <w:rPr>
          <w:noProof/>
        </w:rPr>
        <w:t>a)</w:t>
      </w:r>
      <w:r>
        <w:rPr>
          <w:noProof/>
        </w:rPr>
        <w:tab/>
        <w:t>sellaisten lainkäyttöalueiden käyttäminen, joita unionin lainsäädäntö tai automaattista tietojenvaihtoa koskevat sopimukset eivät sido;</w:t>
      </w:r>
    </w:p>
    <w:p>
      <w:pPr>
        <w:pStyle w:val="Point1"/>
        <w:rPr>
          <w:noProof/>
        </w:rPr>
      </w:pPr>
      <w:r>
        <w:rPr>
          <w:noProof/>
        </w:rPr>
        <w:t>b)</w:t>
      </w:r>
      <w:r>
        <w:rPr>
          <w:noProof/>
        </w:rPr>
        <w:tab/>
        <w:t>tulojen uudelleenluokittelu luokkiin, joita ei koske automaattisen tietojenvaihdon vaatimus;</w:t>
      </w:r>
    </w:p>
    <w:p>
      <w:pPr>
        <w:pStyle w:val="Point1"/>
        <w:rPr>
          <w:noProof/>
        </w:rPr>
      </w:pPr>
      <w:r>
        <w:rPr>
          <w:noProof/>
        </w:rPr>
        <w:t>c)</w:t>
      </w:r>
      <w:r>
        <w:rPr>
          <w:noProof/>
        </w:rPr>
        <w:tab/>
        <w:t>sellaisten oikeussubjektien ja rakenteiden käyttäminen, joista ei säädetä unionin lainsäädännössä tai automaattista tietojenvaihtoa koskevissa sopimuksissa;</w:t>
      </w:r>
    </w:p>
    <w:p>
      <w:pPr>
        <w:pStyle w:val="Point1"/>
        <w:rPr>
          <w:noProof/>
        </w:rPr>
      </w:pPr>
      <w:r>
        <w:rPr>
          <w:noProof/>
        </w:rPr>
        <w:t>d)</w:t>
      </w:r>
      <w:r>
        <w:rPr>
          <w:noProof/>
        </w:rPr>
        <w:tab/>
        <w:t>sellaisten lainkäyttöalueiden käyttö, joilla rahanpesun vastaisen lainsäädännön noudattamisen valvonta on riittämätöntä tai heikkoa. Tämä koskee myös tilanteita, joissa oikeussubjektien, kuten trustien, säätiöiden ja erillisyhtiöiden, tosiasiallisen omistajuuden määrittämistä koskevia sääntöjä ei ole, tai kun todellisen omistajan ja edunsaajan henkilöllisyys salataan nimellisomistajaa tai valtakirjaa käyttämällä.</w:t>
      </w:r>
    </w:p>
    <w:p>
      <w:pPr>
        <w:pStyle w:val="Text1"/>
        <w:rPr>
          <w:noProof/>
        </w:rPr>
      </w:pPr>
    </w:p>
    <w:p>
      <w:pPr>
        <w:rPr>
          <w:b/>
          <w:noProof/>
        </w:rPr>
      </w:pPr>
      <w:r>
        <w:rPr>
          <w:b/>
          <w:noProof/>
        </w:rPr>
        <w:t>E.</w:t>
      </w:r>
      <w:r>
        <w:rPr>
          <w:noProof/>
        </w:rPr>
        <w:tab/>
      </w:r>
      <w:r>
        <w:rPr>
          <w:b/>
          <w:noProof/>
        </w:rPr>
        <w:t>Erityiset tunnusmerkit, jotka liittyvät siirtohinnoitteluun</w:t>
      </w:r>
    </w:p>
    <w:p>
      <w:pPr>
        <w:pStyle w:val="NumPar1"/>
        <w:numPr>
          <w:ilvl w:val="0"/>
          <w:numId w:val="3"/>
        </w:numPr>
        <w:rPr>
          <w:noProof/>
        </w:rPr>
      </w:pPr>
      <w:r>
        <w:rPr>
          <w:noProof/>
        </w:rPr>
        <w:t>Järjestely tai järjestelyn sarja, joka ei ole markkinaehtoperiaatteen tai OECD:n siirtohinnoitteluohjeiden mukainen, mukaan lukien voittojen jakaminen saman konsernin eri jäsenten kesken.</w:t>
      </w:r>
    </w:p>
    <w:p>
      <w:pPr>
        <w:pStyle w:val="NumPar1"/>
        <w:rPr>
          <w:noProof/>
        </w:rPr>
      </w:pPr>
      <w:r>
        <w:rPr>
          <w:noProof/>
        </w:rPr>
        <w:t>Järjestely tai järjestelyn sarja, johon sovelletaan rajatylittäviä tilanteita varten annettavien ennakkopäätösten automaattista tietojenvaihtoa koskevia säännöksiä mutta josta ei raportoida tai jota koskevia tietoja ei vaihdeta.”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525D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26AD7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2822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94DA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8CADC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00F8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0AFB32"/>
    <w:lvl w:ilvl="0">
      <w:start w:val="1"/>
      <w:numFmt w:val="decimal"/>
      <w:pStyle w:val="ListNumber"/>
      <w:lvlText w:val="%1."/>
      <w:lvlJc w:val="left"/>
      <w:pPr>
        <w:tabs>
          <w:tab w:val="num" w:pos="360"/>
        </w:tabs>
        <w:ind w:left="360" w:hanging="360"/>
      </w:pPr>
    </w:lvl>
  </w:abstractNum>
  <w:abstractNum w:abstractNumId="7">
    <w:nsid w:val="FFFFFF89"/>
    <w:multiLevelType w:val="singleLevel"/>
    <w:tmpl w:val="838296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6: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asiakirjaan"/>
    <w:docVar w:name="LW_ACCOMPAGNANT.CP" w:val="asiakirjaan"/>
    <w:docVar w:name="LW_ANNEX_NBR_FIRST" w:val="1"/>
    <w:docVar w:name="LW_ANNEX_NBR_LAST" w:val="1"/>
    <w:docVar w:name="LW_CONFIDENCE" w:val=" "/>
    <w:docVar w:name="LW_CONST_RESTREINT_UE" w:val="RESTREINT UE"/>
    <w:docVar w:name="LW_CORRIGENDUM" w:val="&lt;UNUSED&gt;"/>
    <w:docVar w:name="LW_COVERPAGE_GUID" w:val="5239A667224D47A599C3F7D091342160"/>
    <w:docVar w:name="LW_CROSSREFERENCE" w:val="{SWD(2017) 236 final}_x000b_{SWD(2017) 237 final}"/>
    <w:docVar w:name="LW_DocType" w:val="ANNEX"/>
    <w:docVar w:name="LW_EMISSION" w:val="21.6.2017"/>
    <w:docVar w:name="LW_EMISSION_ISODATE" w:val="2017-06-21"/>
    <w:docVar w:name="LW_EMISSION_LOCATION" w:val="BRX"/>
    <w:docVar w:name="LW_EMISSION_PREFIX" w:val="Bryssel "/>
    <w:docVar w:name="LW_EMISSION_SUFFIX" w:val=" "/>
    <w:docVar w:name="LW_ID_DOCSTRUCTURE" w:val="COM/ANNEX"/>
    <w:docVar w:name="LW_ID_DOCTYPE" w:val="SG-017"/>
    <w:docVar w:name="LW_LANGUE" w:val="FI"/>
    <w:docVar w:name="LW_MARKING" w:val="&lt;UNUSED&gt;"/>
    <w:docVar w:name="LW_NOM.INST" w:val="EUROOPAN KOMISSIO"/>
    <w:docVar w:name="LW_NOM.INST_JOINTDOC" w:val="&lt;EMPTY&gt;"/>
    <w:docVar w:name="LW_OBJETACTEPRINCIPAL" w:val="direktiivin 2011/16/EU muuttamisesta siltä osin kuin on kyse raportoitavia rajatylittäviä järjestelyjä koskevasta pakollisesta automaattisesta tietojenvaihdosta verotuksen alalla"/>
    <w:docVar w:name="LW_OBJETACTEPRINCIPAL.CP" w:val="direktiivin 2011/16/EU muuttamisesta siltä osin kuin on kyse raportoitavia rajatylittäviä järjestelyjä koskevasta pakollisesta automaattisesta tietojenvaihdosta verotuksen alalla"/>
    <w:docVar w:name="LW_PART_NBR" w:val="1"/>
    <w:docVar w:name="LW_PART_NBR_TOTAL" w:val="1"/>
    <w:docVar w:name="LW_REF.INST.NEW" w:val="COM"/>
    <w:docVar w:name="LW_REF.INST.NEW_ADOPTED" w:val="final"/>
    <w:docVar w:name="LW_REF.INST.NEW_TEXT" w:val="(2017) 335"/>
    <w:docVar w:name="LW_REF.INTERNE" w:val="&lt;UNUSED&gt;"/>
    <w:docVar w:name="LW_SUPERTITRE" w:val="&lt;UNUSED&gt;"/>
    <w:docVar w:name="LW_TITRE.OBJ.CP" w:val="&lt;UNUSED&gt;"/>
    <w:docVar w:name="LW_TYPE.DOC" w:val="LIITE"/>
    <w:docVar w:name="LW_TYPE.DOC.CP" w:val="LIITE"/>
    <w:docVar w:name="LW_TYPEACTEPRINCIPAL" w:val="Ehdotus neuvoston direktiiviksi"/>
    <w:docVar w:name="LW_TYPEACTEPRINCIPAL.CP" w:val="Ehdotus neuvoston direktiivi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678</Words>
  <Characters>5500</Characters>
  <Application>Microsoft Office Word</Application>
  <DocSecurity>0</DocSecurity>
  <Lines>101</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QUADRI Eva (TAXUD)</dc:creator>
  <cp:lastModifiedBy>DIGIT/A3</cp:lastModifiedBy>
  <cp:revision>8</cp:revision>
  <dcterms:created xsi:type="dcterms:W3CDTF">2017-06-26T12:01:00Z</dcterms:created>
  <dcterms:modified xsi:type="dcterms:W3CDTF">2017-06-27T08:56:00Z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