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FD59883C5234A5BB5CD5A1AE8FC0616" style="width:450.75pt;height:4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 xml:space="preserve">"BILAG IV </w:t>
      </w:r>
      <w:r>
        <w:rPr>
          <w:noProof/>
        </w:rPr>
        <w:br/>
        <w:t>KENDETEGN</w:t>
      </w:r>
    </w:p>
    <w:p>
      <w:pPr>
        <w:pStyle w:val="Text1"/>
        <w:ind w:left="0"/>
        <w:jc w:val="center"/>
        <w:rPr>
          <w:noProof/>
        </w:rPr>
      </w:pPr>
    </w:p>
    <w:p>
      <w:pPr>
        <w:rPr>
          <w:noProof/>
        </w:rPr>
      </w:pPr>
      <w:r>
        <w:rPr>
          <w:noProof/>
        </w:rPr>
        <w:t>Der må kun tages hensyn til de generelle kendetegn og de særlige kendetegn i kategori B, hvis "kriteteriet om det primære formål" er opfyldt.</w:t>
      </w:r>
    </w:p>
    <w:p>
      <w:pPr>
        <w:rPr>
          <w:noProof/>
        </w:rPr>
      </w:pPr>
    </w:p>
    <w:p>
      <w:pPr>
        <w:rPr>
          <w:b/>
          <w:noProof/>
        </w:rPr>
      </w:pPr>
      <w:r>
        <w:rPr>
          <w:b/>
          <w:noProof/>
        </w:rPr>
        <w:t>Kriteriet om det primære formål</w:t>
      </w:r>
    </w:p>
    <w:p>
      <w:pPr>
        <w:rPr>
          <w:noProof/>
        </w:rPr>
      </w:pPr>
      <w:r>
        <w:rPr>
          <w:noProof/>
        </w:rPr>
        <w:t>Kriteriet om, at en ordnings eller en række ordningers primære formål er at opnå en skattefordel, er opfyldt, hvis det kan påvises, at fordelen er det resultat, som kan forventes af en sådan ordning eller række af ordninger, bl.a. ved at drage fordel af den særlige måde, hvorpå ordningen eller rækken af ordninger er indrettet.</w:t>
      </w:r>
    </w:p>
    <w:p>
      <w:pPr>
        <w:rPr>
          <w:b/>
          <w:noProof/>
        </w:rPr>
      </w:pPr>
      <w:r>
        <w:rPr>
          <w:b/>
          <w:noProof/>
        </w:rPr>
        <w:t>A. Generelle kendetegn</w:t>
      </w:r>
    </w:p>
    <w:p>
      <w:pPr>
        <w:pStyle w:val="NumPar1"/>
        <w:numPr>
          <w:ilvl w:val="0"/>
          <w:numId w:val="10"/>
        </w:numPr>
        <w:rPr>
          <w:noProof/>
        </w:rPr>
      </w:pPr>
      <w:r>
        <w:rPr>
          <w:noProof/>
        </w:rPr>
        <w:t>En ordning eller række af ordninger, hvor skatteyderen forpligter sig til at overholde en tavshedspligt, som kan betyde, at vedkommende ikke må afsløre, hvordan ordningen/ordningerne kan sikre en skattefordel i forhold til andre mellemmænd eller skattemyndighederne.</w:t>
      </w:r>
    </w:p>
    <w:p>
      <w:pPr>
        <w:pStyle w:val="NumPar1"/>
        <w:rPr>
          <w:noProof/>
        </w:rPr>
      </w:pPr>
      <w:r>
        <w:rPr>
          <w:noProof/>
        </w:rPr>
        <w:t>En ordning eller række af ordninger, hvor mellemmanden er berettiget til et honorar (eller en rente, et vederlag for finansieringsomkostninger eller andre omkostninger) for ordningen eller rækken af ordninger, og dette honorar fastsættes på basis af:</w:t>
      </w:r>
    </w:p>
    <w:p>
      <w:pPr>
        <w:pStyle w:val="Point1"/>
        <w:rPr>
          <w:noProof/>
        </w:rPr>
      </w:pPr>
      <w:r>
        <w:rPr>
          <w:noProof/>
        </w:rPr>
        <w:t>a)</w:t>
      </w:r>
      <w:r>
        <w:rPr>
          <w:noProof/>
        </w:rPr>
        <w:tab/>
        <w:t>den skattefordel, der udledes af ordningen eller rækken af ordninger, eller</w:t>
      </w:r>
    </w:p>
    <w:p>
      <w:pPr>
        <w:pStyle w:val="Point1"/>
        <w:rPr>
          <w:noProof/>
        </w:rPr>
      </w:pPr>
      <w:r>
        <w:rPr>
          <w:noProof/>
        </w:rPr>
        <w:t>b)</w:t>
      </w:r>
      <w:r>
        <w:rPr>
          <w:noProof/>
        </w:rPr>
        <w:tab/>
        <w:t>hvorvidt der rent faktisk drages en skattefordel af ordningen eller rækken af ordninger. Her pålægges mellemmanden bl.a. en forpligtelse til at refundere hele eller en del af honoraret, hvis den tilsigtede skattefordel ved ordningen eller rækken af ordninger ikke opnås helt eller delvist.</w:t>
      </w:r>
    </w:p>
    <w:p>
      <w:pPr>
        <w:pStyle w:val="NumPar1"/>
        <w:rPr>
          <w:noProof/>
        </w:rPr>
      </w:pPr>
      <w:r>
        <w:rPr>
          <w:noProof/>
        </w:rPr>
        <w:t>En ordning eller række af ordninger, der omfatter brug af standarddokumentation, herunder standardformularer. Dokumenterne er almindeligt tilgængelige for flere skatteydere og behøver ikke skræddersys for, at en skatteyder kan gøre brug af ordningen eller rækken af ordninger.</w:t>
      </w:r>
    </w:p>
    <w:p>
      <w:pPr>
        <w:rPr>
          <w:noProof/>
        </w:rPr>
      </w:pPr>
    </w:p>
    <w:p>
      <w:pPr>
        <w:rPr>
          <w:b/>
          <w:noProof/>
        </w:rPr>
      </w:pPr>
      <w:r>
        <w:rPr>
          <w:b/>
          <w:noProof/>
        </w:rPr>
        <w:t>B. Særlige kendetegn, som kan være relevante ved kontrollen af, om kriteriet for det primære formål er opfyldt</w:t>
      </w:r>
    </w:p>
    <w:p>
      <w:pPr>
        <w:pStyle w:val="NumPar1"/>
        <w:numPr>
          <w:ilvl w:val="0"/>
          <w:numId w:val="1"/>
        </w:numPr>
        <w:rPr>
          <w:noProof/>
        </w:rPr>
      </w:pPr>
      <w:r>
        <w:rPr>
          <w:noProof/>
        </w:rPr>
        <w:t>En ordning eller række af ordninger, hvorved skatteyderen bruger tab til at mindske deres skattetilsvar, bl.a. ved at overføre tabene til en anden jurisdiktion eller ved at fremskynde brugen af tabene.</w:t>
      </w:r>
    </w:p>
    <w:p>
      <w:pPr>
        <w:pStyle w:val="NumPar1"/>
        <w:rPr>
          <w:noProof/>
        </w:rPr>
      </w:pPr>
      <w:r>
        <w:rPr>
          <w:noProof/>
        </w:rPr>
        <w:t>En ordning eller række af ordninger, der bevirker, at en indtægt omdannes til kapital, gaver eller andre former for indkomst, som beskattes lavere.</w:t>
      </w:r>
    </w:p>
    <w:p>
      <w:pPr>
        <w:pStyle w:val="NumPar1"/>
        <w:rPr>
          <w:noProof/>
        </w:rPr>
      </w:pPr>
      <w:r>
        <w:rPr>
          <w:noProof/>
        </w:rPr>
        <w:t>En ordning eller række af ordninger, der omfatter cirkulære transaktioner, som fører til round-tripping af midler, navnlig ved at inddrage mellemmænd uden andre primære kommercielle funktioner eller transaktioner, der udligner hinanden eller har andre lignende egenskaber.</w:t>
      </w:r>
    </w:p>
    <w:p>
      <w:pPr>
        <w:pStyle w:val="Text1"/>
        <w:rPr>
          <w:noProof/>
        </w:rPr>
      </w:pPr>
    </w:p>
    <w:p>
      <w:pPr>
        <w:rPr>
          <w:b/>
          <w:i/>
          <w:noProof/>
        </w:rPr>
      </w:pPr>
      <w:r>
        <w:rPr>
          <w:b/>
          <w:noProof/>
        </w:rPr>
        <w:lastRenderedPageBreak/>
        <w:t>C. Særlige kendetegn i forbindelse med grænseoverskridende transaktioner</w:t>
      </w:r>
    </w:p>
    <w:p>
      <w:pPr>
        <w:pStyle w:val="NumPar1"/>
        <w:numPr>
          <w:ilvl w:val="0"/>
          <w:numId w:val="2"/>
        </w:numPr>
        <w:rPr>
          <w:noProof/>
        </w:rPr>
      </w:pPr>
      <w:r>
        <w:rPr>
          <w:noProof/>
        </w:rPr>
        <w:t>En ordning eller række af ordninger, hvor der foretages fradragsberettigede grænseoverskridende betalinger mellem to eller flere indbyrdes forbundne parter, og hvor mindst et af følgende forhold gør sig gældende:</w:t>
      </w:r>
    </w:p>
    <w:p>
      <w:pPr>
        <w:pStyle w:val="Point1"/>
        <w:rPr>
          <w:noProof/>
        </w:rPr>
      </w:pPr>
      <w:r>
        <w:rPr>
          <w:noProof/>
        </w:rPr>
        <w:t>a)</w:t>
      </w:r>
      <w:r>
        <w:rPr>
          <w:noProof/>
        </w:rPr>
        <w:tab/>
        <w:t xml:space="preserve">modtageren er ikke skattemæssigt hjemmehørende i nogen skattejurisdiktion </w:t>
      </w:r>
    </w:p>
    <w:p>
      <w:pPr>
        <w:pStyle w:val="Point1"/>
        <w:rPr>
          <w:noProof/>
        </w:rPr>
      </w:pPr>
      <w:r>
        <w:rPr>
          <w:noProof/>
        </w:rPr>
        <w:t>b)</w:t>
      </w:r>
      <w:r>
        <w:rPr>
          <w:noProof/>
        </w:rPr>
        <w:tab/>
        <w:t>modtageren er skattemæssigt hjemmehørende i en jurisdiktion, men denne jurisdiktion:</w:t>
      </w:r>
    </w:p>
    <w:p>
      <w:pPr>
        <w:pStyle w:val="Point0"/>
        <w:ind w:left="2268"/>
        <w:rPr>
          <w:noProof/>
        </w:rPr>
      </w:pPr>
      <w:r>
        <w:rPr>
          <w:noProof/>
        </w:rPr>
        <w:t>i)</w:t>
      </w:r>
      <w:r>
        <w:rPr>
          <w:noProof/>
        </w:rPr>
        <w:tab/>
        <w:t>opkræver ikke virksomhedsskat eller</w:t>
      </w:r>
    </w:p>
    <w:p>
      <w:pPr>
        <w:pStyle w:val="Point0"/>
        <w:ind w:left="2268"/>
        <w:rPr>
          <w:noProof/>
        </w:rPr>
      </w:pPr>
      <w:r>
        <w:rPr>
          <w:noProof/>
        </w:rPr>
        <w:t>ii)</w:t>
      </w:r>
      <w:r>
        <w:rPr>
          <w:noProof/>
        </w:rPr>
        <w:tab/>
        <w:t>opkræver virksomhedsskat på nul procent eller til en lovbestemt sats, der er lavere end halvdelen af den gennemsnitlige lovbestemte virksomhedsskattesats i EU ved udgangen af det foregående kalenderår, eller</w:t>
      </w:r>
    </w:p>
    <w:p>
      <w:pPr>
        <w:pStyle w:val="Point0"/>
        <w:ind w:left="2268"/>
        <w:rPr>
          <w:noProof/>
        </w:rPr>
      </w:pPr>
      <w:r>
        <w:rPr>
          <w:noProof/>
        </w:rPr>
        <w:t>iii)</w:t>
      </w:r>
      <w:r>
        <w:rPr>
          <w:noProof/>
        </w:rPr>
        <w:tab/>
        <w:t>er opført på en liste over tredjelandes jurisdiktioner, som medlemsstaterne kollektivt eller inden for rammerne af en international organisation har vurderet som havende skadelige skatteordninger.</w:t>
      </w:r>
    </w:p>
    <w:p>
      <w:pPr>
        <w:pStyle w:val="Point1"/>
        <w:rPr>
          <w:noProof/>
        </w:rPr>
      </w:pPr>
      <w:r>
        <w:rPr>
          <w:noProof/>
        </w:rPr>
        <w:t>c)</w:t>
      </w:r>
      <w:r>
        <w:rPr>
          <w:noProof/>
        </w:rPr>
        <w:tab/>
        <w:t>betalingerne fritages helt eller delvist fra beskatning i den jurisdiktion, hvor modtageren er skattemæssigt hjemmehørende.</w:t>
      </w:r>
    </w:p>
    <w:p>
      <w:pPr>
        <w:pStyle w:val="Point1"/>
        <w:rPr>
          <w:noProof/>
        </w:rPr>
      </w:pPr>
      <w:r>
        <w:rPr>
          <w:noProof/>
        </w:rPr>
        <w:t>d)</w:t>
      </w:r>
      <w:r>
        <w:rPr>
          <w:noProof/>
        </w:rPr>
        <w:tab/>
        <w:t>betalingerne er genstand for en fordelagtig skatteordning i den jurisdiktion, hvor modtageren er skattemæssigt hjemmehørende.</w:t>
      </w:r>
    </w:p>
    <w:p>
      <w:pPr>
        <w:pStyle w:val="Point1"/>
        <w:rPr>
          <w:noProof/>
        </w:rPr>
      </w:pPr>
      <w:r>
        <w:rPr>
          <w:noProof/>
        </w:rPr>
        <w:t>e)</w:t>
      </w:r>
      <w:r>
        <w:rPr>
          <w:noProof/>
        </w:rPr>
        <w:tab/>
        <w:t>der er et mismatch som omhandlet i Rådets direktiv om ændring af direktiv (EU) 2016/1164 for så vidt angår hybride mismatch med tredjelande, som blev vedtaget af Ministerrådet den 23. maj 2017.</w:t>
      </w:r>
    </w:p>
    <w:p>
      <w:pPr>
        <w:pStyle w:val="NumPar1"/>
        <w:rPr>
          <w:noProof/>
        </w:rPr>
      </w:pPr>
      <w:r>
        <w:rPr>
          <w:noProof/>
        </w:rPr>
        <w:t>Det samme aktiv afskrives i mere end én jurisdiktion.</w:t>
      </w:r>
    </w:p>
    <w:p>
      <w:pPr>
        <w:pStyle w:val="NumPar1"/>
        <w:rPr>
          <w:noProof/>
        </w:rPr>
      </w:pPr>
      <w:r>
        <w:rPr>
          <w:noProof/>
        </w:rPr>
        <w:t>Mere end én skatteyder kan kræve fritagelse for dobbeltbeskatning af den samme indkomst i forskellige jurisdiktioner.</w:t>
      </w:r>
    </w:p>
    <w:p>
      <w:pPr>
        <w:pStyle w:val="NumPar1"/>
        <w:rPr>
          <w:noProof/>
        </w:rPr>
      </w:pPr>
      <w:r>
        <w:rPr>
          <w:noProof/>
        </w:rPr>
        <w:t>Der findes en ordning eller række af ordninger, som omfatter overførsel af aktiver, og hvor der i de involverede jurisdiktioner er en væsentlig forskel på det beløb, der skal betales som modydelse for aktiverne.</w:t>
      </w:r>
    </w:p>
    <w:p>
      <w:pPr>
        <w:rPr>
          <w:noProof/>
        </w:rPr>
      </w:pPr>
    </w:p>
    <w:p>
      <w:pPr>
        <w:rPr>
          <w:b/>
          <w:noProof/>
        </w:rPr>
      </w:pPr>
      <w:r>
        <w:rPr>
          <w:b/>
          <w:noProof/>
        </w:rPr>
        <w:t>D.</w:t>
      </w:r>
      <w:r>
        <w:rPr>
          <w:noProof/>
        </w:rPr>
        <w:tab/>
      </w:r>
      <w:r>
        <w:rPr>
          <w:b/>
          <w:noProof/>
        </w:rPr>
        <w:t>Særlige kendetegn vedrørende aftaler om automatisk udveksling af oplysninger i EU</w:t>
      </w:r>
    </w:p>
    <w:p>
      <w:pPr>
        <w:pStyle w:val="Text1"/>
        <w:rPr>
          <w:noProof/>
        </w:rPr>
      </w:pPr>
      <w:r>
        <w:rPr>
          <w:noProof/>
        </w:rPr>
        <w:t>En ordning eller række af ordninger, hvor EU-lovgivningen eller aftaler med bl.a. tredjelande om automatisk udveksling af oplysninger omgås, og som bevirker, at indberetning af indtægt til den stat, hvor skatteyderen er skattemæssigt hjemmehørende, undgås. Disse ordninger kan omfatte:</w:t>
      </w:r>
    </w:p>
    <w:p>
      <w:pPr>
        <w:pStyle w:val="Point1"/>
        <w:rPr>
          <w:noProof/>
        </w:rPr>
      </w:pPr>
      <w:r>
        <w:rPr>
          <w:noProof/>
        </w:rPr>
        <w:t>a)</w:t>
      </w:r>
      <w:r>
        <w:rPr>
          <w:noProof/>
        </w:rPr>
        <w:tab/>
        <w:t>brug af jurisdiktioner, som ikke er underlagt EU-lovgivningen eller aftaler om automatisk udveksling af oplysninger</w:t>
      </w:r>
    </w:p>
    <w:p>
      <w:pPr>
        <w:pStyle w:val="Point1"/>
        <w:rPr>
          <w:noProof/>
        </w:rPr>
      </w:pPr>
      <w:r>
        <w:rPr>
          <w:noProof/>
        </w:rPr>
        <w:t>b)</w:t>
      </w:r>
      <w:r>
        <w:rPr>
          <w:noProof/>
        </w:rPr>
        <w:tab/>
        <w:t>omklassificering af indtægtstyperne i kategorier, som ikke er underlagt krav om automatisk udveksling af oplysninger</w:t>
      </w:r>
    </w:p>
    <w:p>
      <w:pPr>
        <w:pStyle w:val="Point1"/>
        <w:rPr>
          <w:noProof/>
        </w:rPr>
      </w:pPr>
      <w:r>
        <w:rPr>
          <w:noProof/>
        </w:rPr>
        <w:lastRenderedPageBreak/>
        <w:t>c)</w:t>
      </w:r>
      <w:r>
        <w:rPr>
          <w:noProof/>
        </w:rPr>
        <w:tab/>
        <w:t>brug af juridiske enheder og strukturer, som ikke er omfattet af enten EU-lovgivningen eller aftaler om automatisk udveksling af oplysninger</w:t>
      </w:r>
    </w:p>
    <w:p>
      <w:pPr>
        <w:pStyle w:val="Point1"/>
        <w:rPr>
          <w:noProof/>
        </w:rPr>
      </w:pPr>
      <w:r>
        <w:rPr>
          <w:noProof/>
        </w:rPr>
        <w:t>d)</w:t>
      </w:r>
      <w:r>
        <w:rPr>
          <w:noProof/>
        </w:rPr>
        <w:tab/>
        <w:t>brug af jurisdiktioner med utilstrækkelige eller svage systemer til håndhævelse af lovgivningen om bekæmpelse af hvidvaskning af penge. Dette gælder også situationer, hvor der mangler regler til brug ved udpegelse af det reelle ejerskab af juridiske enheder, herunder truster, fonde og enheder med særlige formål, eller hvor der anvendes stråmænd eller fuldmagter til at skjule den reelle ejers identitet.</w:t>
      </w:r>
    </w:p>
    <w:p>
      <w:pPr>
        <w:pStyle w:val="Text1"/>
        <w:rPr>
          <w:noProof/>
        </w:rPr>
      </w:pPr>
    </w:p>
    <w:p>
      <w:pPr>
        <w:rPr>
          <w:b/>
          <w:noProof/>
        </w:rPr>
      </w:pPr>
      <w:r>
        <w:rPr>
          <w:b/>
          <w:noProof/>
        </w:rPr>
        <w:t>E.</w:t>
      </w:r>
      <w:r>
        <w:rPr>
          <w:noProof/>
        </w:rPr>
        <w:tab/>
      </w:r>
      <w:r>
        <w:rPr>
          <w:b/>
          <w:noProof/>
        </w:rPr>
        <w:t>Særlige kendetegn vedrørende interne afregningspriser</w:t>
      </w:r>
    </w:p>
    <w:p>
      <w:pPr>
        <w:pStyle w:val="NumPar1"/>
        <w:numPr>
          <w:ilvl w:val="0"/>
          <w:numId w:val="5"/>
        </w:numPr>
        <w:rPr>
          <w:noProof/>
        </w:rPr>
      </w:pPr>
      <w:r>
        <w:rPr>
          <w:noProof/>
        </w:rPr>
        <w:t>En ordning eller række af ordninger, som ikke harmonerer med armslængdeprincippet eller med OECD's retningslinjer vedrørende interne afregningspriser, herunder fordeling af overskud mellem forskellige dele af den samme koncern.</w:t>
      </w:r>
    </w:p>
    <w:p>
      <w:pPr>
        <w:pStyle w:val="NumPar1"/>
        <w:rPr>
          <w:noProof/>
        </w:rPr>
      </w:pPr>
      <w:r>
        <w:rPr>
          <w:noProof/>
        </w:rPr>
        <w:t>En ordning eller række af ordninger, der er omfattet af automatisk udveksling af oplysninger om grænseoverskridende forhåndstilsagn, men som ikke indberettes, eller som der ikke udveksles oplysninger om."</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525D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26AD7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2822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94DA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8CADC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00F89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0AFB32"/>
    <w:lvl w:ilvl="0">
      <w:start w:val="1"/>
      <w:numFmt w:val="decimal"/>
      <w:pStyle w:val="ListNumber"/>
      <w:lvlText w:val="%1."/>
      <w:lvlJc w:val="left"/>
      <w:pPr>
        <w:tabs>
          <w:tab w:val="num" w:pos="360"/>
        </w:tabs>
        <w:ind w:left="360" w:hanging="360"/>
      </w:pPr>
    </w:lvl>
  </w:abstractNum>
  <w:abstractNum w:abstractNumId="7">
    <w:nsid w:val="FFFFFF89"/>
    <w:multiLevelType w:val="singleLevel"/>
    <w:tmpl w:val="838296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6: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1"/>
    <w:docVar w:name="LW_CONFIDENCE" w:val=" "/>
    <w:docVar w:name="LW_CONST_RESTREINT_UE" w:val="RESTREINT UE"/>
    <w:docVar w:name="LW_CORRIGENDUM" w:val="&lt;UNUSED&gt;"/>
    <w:docVar w:name="LW_COVERPAGE_GUID" w:val="DFD59883C5234A5BB5CD5A1AE8FC0616"/>
    <w:docVar w:name="LW_CROSSREFERENCE" w:val="{SWD(2017) 236 final}_x000b_{SWD(2017) 237 final}"/>
    <w:docVar w:name="LW_DocType" w:val="ANNEX"/>
    <w:docVar w:name="LW_EMISSION" w:val="21.6.2017"/>
    <w:docVar w:name="LW_EMISSION_ISODATE" w:val="2017-06-21"/>
    <w:docVar w:name="LW_EMISSION_LOCATION" w:val="BRX"/>
    <w:docVar w:name="LW_EMISSION_PREFIX" w:val="Bruxelles, den "/>
    <w:docVar w:name="LW_EMISSION_SUFFIX" w:val=" "/>
    <w:docVar w:name="LW_ID_DOCSTRUCTURE" w:val="COM/ANNEX"/>
    <w:docVar w:name="LW_ID_DOCTYPE" w:val="SG-017"/>
    <w:docVar w:name="LW_LANGUE" w:val="DA"/>
    <w:docVar w:name="LW_MARKING" w:val="&lt;UNUSED&gt;"/>
    <w:docVar w:name="LW_NOM.INST" w:val="EUROPA-KOMMISSIONEN"/>
    <w:docVar w:name="LW_NOM.INST_JOINTDOC" w:val="&lt;EMPTY&gt;"/>
    <w:docVar w:name="LW_OBJETACTEPRINCIPAL" w:val="om ændring af direktiv 2011/16/EU for så vidt angår obligatorisk automatisk udveksling af oplysninger på beskatningsområdet i forbindelse med indberetningspligtige grænseoverskridende ordninger"/>
    <w:docVar w:name="LW_OBJETACTEPRINCIPAL.CP" w:val="om ændring af direktiv 2011/16/EU for så vidt angår obligatorisk automatisk udveksling af oplysninger på beskatningsområdet i forbindelse med indberetningspligtige grænseoverskridende ordninger"/>
    <w:docVar w:name="LW_PART_NBR" w:val="1"/>
    <w:docVar w:name="LW_PART_NBR_TOTAL" w:val="1"/>
    <w:docVar w:name="LW_REF.INST.NEW" w:val="COM"/>
    <w:docVar w:name="LW_REF.INST.NEW_ADOPTED" w:val="final"/>
    <w:docVar w:name="LW_REF.INST.NEW_TEXT" w:val="(2017) 335"/>
    <w:docVar w:name="LW_REF.INTERNE" w:val="&lt;UNUSED&gt;"/>
    <w:docVar w:name="LW_SUPERTITRE" w:val="&lt;UNUSED&gt;"/>
    <w:docVar w:name="LW_TITRE.OBJ.CP" w:val="&lt;UNUSED&gt;"/>
    <w:docVar w:name="LW_TYPE.DOC" w:val="BILAG"/>
    <w:docVar w:name="LW_TYPE.DOC.CP" w:val="BILAG"/>
    <w:docVar w:name="LW_TYPEACTEPRINCIPAL" w:val="Forslag til_x000b_RÅDETS DIREKTIV"/>
    <w:docVar w:name="LW_TYPEACTEPRINCIPAL.CP" w:val="Forslag til_x000b_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840</Words>
  <Characters>5012</Characters>
  <Application>Microsoft Office Word</Application>
  <DocSecurity>0</DocSecurity>
  <Lines>100</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QUADRI Eva (TAXUD)</dc:creator>
  <cp:lastModifiedBy>DIGIT/A3</cp:lastModifiedBy>
  <cp:revision>8</cp:revision>
  <dcterms:created xsi:type="dcterms:W3CDTF">2017-06-26T10:10:00Z</dcterms:created>
  <dcterms:modified xsi:type="dcterms:W3CDTF">2017-06-27T08:56:00Z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