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40028495"/>
      <w:bookmarkStart w:id="1" w:name="_Toc440614173"/>
      <w:bookmarkStart w:id="2"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5F0EDF9C5F24833812EB1A895F87B09" style="width:450.6pt;height:320.85pt">
            <v:imagedata r:id="rId9" o:title=""/>
          </v:shape>
        </w:pict>
      </w:r>
    </w:p>
    <w:bookmarkEnd w:id="2"/>
    <w:p>
      <w:pPr>
        <w:pStyle w:val="Heading1"/>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noProof/>
        </w:rPr>
      </w:pPr>
      <w:bookmarkStart w:id="3" w:name="_GoBack"/>
      <w:bookmarkEnd w:id="3"/>
      <w:r>
        <w:rPr>
          <w:rStyle w:val="Heading1Char"/>
          <w:b/>
          <w:smallCaps/>
          <w:noProof/>
        </w:rPr>
        <w:lastRenderedPageBreak/>
        <w:t>Vajadzība pēc ES rīcības, kas apkarotu rezistenci pret antimikrobiālajiem līdzekļiem (</w:t>
      </w:r>
      <w:r>
        <w:rPr>
          <w:rStyle w:val="Heading1Char"/>
          <w:b/>
          <w:i/>
          <w:smallCaps/>
          <w:noProof/>
        </w:rPr>
        <w:t>AMR</w:t>
      </w:r>
      <w:r>
        <w:rPr>
          <w:rStyle w:val="Heading1Char"/>
          <w:b/>
          <w:smallCaps/>
          <w:noProof/>
        </w:rPr>
        <w:t>)</w:t>
      </w:r>
    </w:p>
    <w:p>
      <w:pPr>
        <w:pStyle w:val="Heading2"/>
        <w:rPr>
          <w:noProof/>
        </w:rPr>
      </w:pPr>
      <w:r>
        <w:rPr>
          <w:noProof/>
        </w:rPr>
        <w:t>Pašreizējā situācija</w:t>
      </w:r>
    </w:p>
    <w:p>
      <w:pPr>
        <w:autoSpaceDE w:val="0"/>
        <w:autoSpaceDN w:val="0"/>
        <w:adjustRightInd w:val="0"/>
        <w:spacing w:after="0"/>
        <w:rPr>
          <w:rFonts w:ascii="Times New Roman" w:hAnsi="Times New Roman"/>
          <w:noProof/>
          <w:sz w:val="24"/>
          <w:szCs w:val="24"/>
        </w:rPr>
      </w:pPr>
      <w:r>
        <w:rPr>
          <w:rFonts w:ascii="Times New Roman" w:hAnsi="Times New Roman"/>
          <w:noProof/>
          <w:sz w:val="24"/>
        </w:rPr>
        <w:t>Kopš 1928. gadā pirmo reizi tika atklāts penicilīns, mūsu sabiedrību un ekonomiku revolucionizējuši dzīvības glābēji antimikrobiālie līdzekļi. Reiz nāvējošas slimības kļuvušas par parastām kaitēm, no kurām atbrīvo pavisam īsa ārstēšana. Šie panākumi tagad ir apdraudēti, galvenokārt tāpēc, ka antimikrobiālie līdzekļi tiek lietoti pārmērīgi vai nepareizi, un tādēļ arvien vairāk rodas un izplatās multirezistentas baktērijas. Ja iedarbīgi nerīkosimies, lai pašreizējās tendences pavērstu pretējā virzienā, varam atgriezties pirmsantibiotiku laikmetā, kad vienkāršas brūces un infekcijas nodarīja lielu kaitējumu vai pat izraisīja nāvi, un parastas medicīniskas manipulācijas bija ļoti riskantas.</w:t>
      </w:r>
    </w:p>
    <w:p>
      <w:pPr>
        <w:autoSpaceDE w:val="0"/>
        <w:autoSpaceDN w:val="0"/>
        <w:adjustRightInd w:val="0"/>
        <w:spacing w:after="0"/>
        <w:rPr>
          <w:rFonts w:ascii="Times New Roman" w:hAnsi="Times New Roman"/>
          <w:noProof/>
          <w:sz w:val="24"/>
          <w:szCs w:val="24"/>
        </w:rPr>
      </w:pPr>
    </w:p>
    <w:tbl>
      <w:tblPr>
        <w:tblStyle w:val="TableGrid"/>
        <w:tblW w:w="0" w:type="auto"/>
        <w:tblLook w:val="04A0" w:firstRow="1" w:lastRow="0" w:firstColumn="1" w:lastColumn="0" w:noHBand="0" w:noVBand="1"/>
      </w:tblPr>
      <w:tblGrid>
        <w:gridCol w:w="9288"/>
      </w:tblGrid>
      <w:tr>
        <w:tc>
          <w:tcPr>
            <w:tcW w:w="9288" w:type="dxa"/>
            <w:tcBorders>
              <w:top w:val="single" w:sz="18" w:space="0" w:color="auto"/>
              <w:left w:val="single" w:sz="18" w:space="0" w:color="auto"/>
              <w:bottom w:val="single" w:sz="18" w:space="0" w:color="auto"/>
              <w:right w:val="single" w:sz="18" w:space="0" w:color="auto"/>
            </w:tcBorders>
          </w:tcPr>
          <w:p>
            <w:pPr>
              <w:rPr>
                <w:rFonts w:ascii="Times New Roman" w:hAnsi="Times New Roman"/>
                <w:noProof/>
              </w:rPr>
            </w:pPr>
            <w:r>
              <w:rPr>
                <w:rFonts w:ascii="Times New Roman" w:hAnsi="Times New Roman"/>
                <w:b/>
                <w:noProof/>
                <w:sz w:val="24"/>
              </w:rPr>
              <w:t>Antimikrobiālie līdzekļi</w:t>
            </w:r>
            <w:r>
              <w:rPr>
                <w:rFonts w:ascii="Times New Roman" w:hAnsi="Times New Roman"/>
                <w:noProof/>
                <w:sz w:val="16"/>
              </w:rPr>
              <w:t>:</w:t>
            </w:r>
            <w:r>
              <w:rPr>
                <w:rFonts w:ascii="Times New Roman" w:hAnsi="Times New Roman"/>
                <w:noProof/>
              </w:rPr>
              <w:t xml:space="preserve"> antibiotikas, pretvīrusu, pretsēnīšu un pretprotozoju līdzekļi. Tās ir sintētiskas vai dabiskas cilmes aktīvās vielas, kas nonāvē mikroorganismus vai nomāc to vairošanos. Šīm medicīnā standartgadījumos (piem., urīnceļu infekcijas, ķirurģija un priekšlaicīgi dzimušu zīdaiņu aprūpe) lietotajām zālēm ir ļoti liela nozīme cilvēka un dzīvnieku infekciju profilaksē un ārstēšanā.</w:t>
            </w:r>
          </w:p>
          <w:p>
            <w:pPr>
              <w:rPr>
                <w:rFonts w:ascii="Times New Roman" w:hAnsi="Times New Roman"/>
                <w:noProof/>
                <w:sz w:val="24"/>
                <w:szCs w:val="24"/>
              </w:rPr>
            </w:pPr>
            <w:r>
              <w:rPr>
                <w:rFonts w:ascii="Times New Roman" w:hAnsi="Times New Roman"/>
                <w:b/>
                <w:noProof/>
                <w:sz w:val="24"/>
              </w:rPr>
              <w:t>Rezistence pret antimikrobiālajiem līdzekļiem (</w:t>
            </w:r>
            <w:r>
              <w:rPr>
                <w:rFonts w:ascii="Times New Roman" w:hAnsi="Times New Roman"/>
                <w:b/>
                <w:i/>
                <w:noProof/>
                <w:sz w:val="24"/>
              </w:rPr>
              <w:t>AMR</w:t>
            </w:r>
            <w:r>
              <w:rPr>
                <w:rFonts w:ascii="Times New Roman" w:hAnsi="Times New Roman"/>
                <w:b/>
                <w:noProof/>
                <w:sz w:val="24"/>
              </w:rPr>
              <w:t>)</w:t>
            </w:r>
            <w:r>
              <w:rPr>
                <w:rFonts w:ascii="Times New Roman" w:hAnsi="Times New Roman"/>
                <w:noProof/>
                <w:sz w:val="16"/>
              </w:rPr>
              <w:t>:</w:t>
            </w:r>
            <w:r>
              <w:rPr>
                <w:rFonts w:ascii="Times New Roman" w:hAnsi="Times New Roman"/>
                <w:noProof/>
                <w:sz w:val="24"/>
              </w:rPr>
              <w:t xml:space="preserve"> </w:t>
            </w:r>
            <w:r>
              <w:rPr>
                <w:rFonts w:ascii="Times New Roman" w:hAnsi="Times New Roman"/>
                <w:noProof/>
              </w:rPr>
              <w:t xml:space="preserve">baktērijām un citiem mikroorganismiem piemītošā spēja kļūt arvien rezistentākām pret kādu antimikrobiālu līdzekli, pret kuru tās iepriekš bijušas uzņēmīgas. </w:t>
            </w:r>
            <w:r>
              <w:rPr>
                <w:rFonts w:ascii="Times New Roman" w:hAnsi="Times New Roman"/>
                <w:i/>
                <w:noProof/>
              </w:rPr>
              <w:t>AMR</w:t>
            </w:r>
            <w:r>
              <w:rPr>
                <w:rFonts w:ascii="Times New Roman" w:hAnsi="Times New Roman"/>
                <w:noProof/>
              </w:rPr>
              <w:t xml:space="preserve"> ir dabiskās izlases un ģenētisko mutāciju sekas. Ar to saistītās mutācijas tiek nodotas tālāk un palīdz veidoties rezistencei. Šo dabiskās izlases procesu pastiprina tādi cilvēciski faktori kā nepareiza antimikrobiālo līdzekļu lietošana medicīnā un veterinārijā, slikti higiēniskie apstākļi un prakse veselības aprūpes iestādēs vai pārtikas apritē, kuri sekmē rezistentu mikroorganismu nodošanu tālāk. Šajā procesā antimikrobiālie līdzekļi ar laiku zaudē iedarbīgumu un visbeidzot kļūst nekam nederīgi.</w:t>
            </w:r>
          </w:p>
        </w:tc>
      </w:tr>
    </w:tbl>
    <w:p>
      <w:pPr>
        <w:autoSpaceDE w:val="0"/>
        <w:autoSpaceDN w:val="0"/>
        <w:adjustRightInd w:val="0"/>
        <w:spacing w:after="0"/>
        <w:rPr>
          <w:rFonts w:ascii="Times New Roman" w:hAnsi="Times New Roman"/>
          <w:noProof/>
          <w:sz w:val="24"/>
          <w:szCs w:val="24"/>
        </w:rPr>
      </w:pPr>
    </w:p>
    <w:p>
      <w:pPr>
        <w:spacing w:before="240"/>
        <w:rPr>
          <w:rFonts w:ascii="Times New Roman" w:hAnsi="Times New Roman"/>
          <w:noProof/>
          <w:sz w:val="24"/>
          <w:szCs w:val="24"/>
        </w:rPr>
      </w:pPr>
      <w:r>
        <w:rPr>
          <w:rFonts w:ascii="Times New Roman" w:hAnsi="Times New Roman"/>
          <w:i/>
          <w:noProof/>
          <w:sz w:val="24"/>
        </w:rPr>
        <w:t>AMR</w:t>
      </w:r>
      <w:r>
        <w:rPr>
          <w:rFonts w:ascii="Times New Roman" w:hAnsi="Times New Roman"/>
          <w:noProof/>
          <w:sz w:val="24"/>
        </w:rPr>
        <w:t xml:space="preserve"> ir nopietna problēma gan Eiropas Savienībai, gan visai pasaulei. Pēc Pasaules Veselības organizācijas (PVO) datiem</w:t>
      </w:r>
      <w:r>
        <w:rPr>
          <w:rStyle w:val="FootnoteReference"/>
          <w:rFonts w:ascii="Times New Roman" w:hAnsi="Times New Roman"/>
          <w:noProof/>
          <w:sz w:val="24"/>
        </w:rPr>
        <w:footnoteReference w:id="2"/>
      </w:r>
      <w:r>
        <w:rPr>
          <w:rFonts w:ascii="Times New Roman" w:hAnsi="Times New Roman"/>
          <w:noProof/>
          <w:sz w:val="24"/>
        </w:rPr>
        <w:t xml:space="preserve"> daudzās pasaules daļās </w:t>
      </w:r>
      <w:r>
        <w:rPr>
          <w:rFonts w:ascii="Times New Roman" w:hAnsi="Times New Roman"/>
          <w:i/>
          <w:noProof/>
          <w:sz w:val="24"/>
        </w:rPr>
        <w:t>AMR</w:t>
      </w:r>
      <w:r>
        <w:rPr>
          <w:rFonts w:ascii="Times New Roman" w:hAnsi="Times New Roman"/>
          <w:noProof/>
          <w:sz w:val="24"/>
        </w:rPr>
        <w:t xml:space="preserve"> jau sasniegusi satraucošu līmeni. Visos PVO reģionos augsts </w:t>
      </w:r>
      <w:r>
        <w:rPr>
          <w:rFonts w:ascii="Times New Roman" w:hAnsi="Times New Roman"/>
          <w:i/>
          <w:noProof/>
          <w:sz w:val="24"/>
        </w:rPr>
        <w:t>AMR</w:t>
      </w:r>
      <w:r>
        <w:rPr>
          <w:rFonts w:ascii="Times New Roman" w:hAnsi="Times New Roman"/>
          <w:noProof/>
          <w:sz w:val="24"/>
        </w:rPr>
        <w:t xml:space="preserve"> līmenis novērots baktērijām, kas saistītas ar vairākām parastām infekcijām (piem., urīnceļu infekcijas, pneimonija, tuberkuloze un gonoreja).</w:t>
      </w:r>
      <w:r>
        <w:rPr>
          <w:noProof/>
        </w:rPr>
        <w:t xml:space="preserve"> </w:t>
      </w:r>
      <w:r>
        <w:rPr>
          <w:rFonts w:ascii="Times New Roman" w:hAnsi="Times New Roman"/>
          <w:noProof/>
          <w:sz w:val="24"/>
        </w:rPr>
        <w:t>Pastiprinās arī rezistence pret tādiem pretvīrusu preparātiem kā HIV ārstēšanai izmantotie preparāti.</w:t>
      </w:r>
    </w:p>
    <w:p>
      <w:pPr>
        <w:spacing w:before="240"/>
        <w:rPr>
          <w:rFonts w:ascii="Times New Roman" w:hAnsi="Times New Roman"/>
          <w:noProof/>
          <w:sz w:val="24"/>
          <w:szCs w:val="24"/>
        </w:rPr>
      </w:pPr>
      <w:r>
        <w:rPr>
          <w:rFonts w:ascii="Times New Roman" w:hAnsi="Times New Roman"/>
          <w:noProof/>
          <w:sz w:val="24"/>
        </w:rPr>
        <w:t>Pie globālajiem centieniem pieder 2016. gada ANO Politiskā deklarācija par rezistenci pret antimikrobiālajiem līdzekļiem</w:t>
      </w:r>
      <w:r>
        <w:rPr>
          <w:rStyle w:val="FootnoteReference"/>
          <w:rFonts w:ascii="Times New Roman" w:hAnsi="Times New Roman"/>
          <w:noProof/>
          <w:sz w:val="24"/>
        </w:rPr>
        <w:footnoteReference w:id="3"/>
      </w:r>
      <w:r>
        <w:rPr>
          <w:rFonts w:ascii="Times New Roman" w:hAnsi="Times New Roman"/>
          <w:noProof/>
          <w:sz w:val="24"/>
        </w:rPr>
        <w:t xml:space="preserve"> un 2015. gada PVO Globālais rīcības plāns cīņai pret rezistenci pret antimikrobiālajiem līdzekļiem</w:t>
      </w:r>
      <w:r>
        <w:rPr>
          <w:rStyle w:val="FootnoteReference"/>
          <w:noProof/>
        </w:rPr>
        <w:footnoteReference w:id="4"/>
      </w:r>
      <w:r>
        <w:rPr>
          <w:rFonts w:ascii="Times New Roman" w:hAnsi="Times New Roman"/>
          <w:noProof/>
          <w:sz w:val="24"/>
        </w:rPr>
        <w:t>, kuriem galu galā pievienojās Pasaules Dzīvnieku veselības organizācija (</w:t>
      </w:r>
      <w:r>
        <w:rPr>
          <w:rFonts w:ascii="Times New Roman" w:hAnsi="Times New Roman"/>
          <w:i/>
          <w:noProof/>
          <w:sz w:val="24"/>
        </w:rPr>
        <w:t>OIE</w:t>
      </w:r>
      <w:r>
        <w:rPr>
          <w:rFonts w:ascii="Times New Roman" w:hAnsi="Times New Roman"/>
          <w:noProof/>
          <w:sz w:val="24"/>
        </w:rPr>
        <w:t>) un Pārtikas un lauksaimniecības organizācija (</w:t>
      </w:r>
      <w:r>
        <w:rPr>
          <w:rFonts w:ascii="Times New Roman" w:hAnsi="Times New Roman"/>
          <w:i/>
          <w:noProof/>
          <w:sz w:val="24"/>
        </w:rPr>
        <w:t>FAO</w:t>
      </w:r>
      <w:r>
        <w:rPr>
          <w:rFonts w:ascii="Times New Roman" w:hAnsi="Times New Roman"/>
          <w:noProof/>
          <w:sz w:val="24"/>
        </w:rPr>
        <w:t xml:space="preserve">). </w:t>
      </w:r>
      <w:r>
        <w:rPr>
          <w:rFonts w:ascii="Times New Roman" w:hAnsi="Times New Roman"/>
          <w:i/>
          <w:noProof/>
          <w:sz w:val="24"/>
        </w:rPr>
        <w:t>AMR</w:t>
      </w:r>
      <w:r>
        <w:rPr>
          <w:rFonts w:ascii="Times New Roman" w:hAnsi="Times New Roman"/>
          <w:noProof/>
          <w:sz w:val="24"/>
        </w:rPr>
        <w:t xml:space="preserve"> ir apspriesta arī G7 un G20 forumos.</w:t>
      </w:r>
    </w:p>
    <w:p>
      <w:pPr>
        <w:autoSpaceDE w:val="0"/>
        <w:autoSpaceDN w:val="0"/>
        <w:adjustRightInd w:val="0"/>
        <w:spacing w:after="0"/>
        <w:rPr>
          <w:rFonts w:ascii="Times New Roman" w:hAnsi="Times New Roman"/>
          <w:noProof/>
          <w:sz w:val="24"/>
          <w:szCs w:val="24"/>
        </w:rPr>
      </w:pPr>
      <w:r>
        <w:rPr>
          <w:rFonts w:ascii="Times New Roman" w:hAnsi="Times New Roman"/>
          <w:i/>
          <w:noProof/>
          <w:sz w:val="24"/>
        </w:rPr>
        <w:t>AMR</w:t>
      </w:r>
      <w:r>
        <w:rPr>
          <w:rFonts w:ascii="Times New Roman" w:hAnsi="Times New Roman"/>
          <w:noProof/>
          <w:sz w:val="24"/>
        </w:rPr>
        <w:t xml:space="preserve"> jau tagad rada nopietnu sociālo un ekonomisko slogu. Tiek lēsts, ka Eiropas Savienībā vien</w:t>
      </w:r>
      <w:bookmarkStart w:id="4" w:name="_Ref484079547"/>
      <w:r>
        <w:rPr>
          <w:rStyle w:val="FootnoteReference"/>
          <w:rFonts w:ascii="Times New Roman" w:hAnsi="Times New Roman"/>
          <w:noProof/>
          <w:sz w:val="24"/>
        </w:rPr>
        <w:footnoteReference w:id="5"/>
      </w:r>
      <w:bookmarkEnd w:id="4"/>
      <w:r>
        <w:rPr>
          <w:rFonts w:ascii="Times New Roman" w:hAnsi="Times New Roman"/>
          <w:noProof/>
          <w:sz w:val="24"/>
        </w:rPr>
        <w:t xml:space="preserve"> gadā ar to saistīti 25 000, savukārt pasaulē — 700 000 nāves gadījumu. Tiek prognozēts, ka nerīkošanās gadījumā pasaulē būs vairāki miljoni nāves gadījumu: pēc aplēsēm līdz 2050. gadam sakarā ar </w:t>
      </w:r>
      <w:r>
        <w:rPr>
          <w:rFonts w:ascii="Times New Roman" w:hAnsi="Times New Roman"/>
          <w:i/>
          <w:noProof/>
          <w:sz w:val="24"/>
        </w:rPr>
        <w:t>AMR</w:t>
      </w:r>
      <w:r>
        <w:rPr>
          <w:rFonts w:ascii="Times New Roman" w:hAnsi="Times New Roman"/>
          <w:noProof/>
          <w:sz w:val="24"/>
        </w:rPr>
        <w:t xml:space="preserve"> varētu mirt vairāk cilvēku nekā no vēža</w:t>
      </w:r>
      <w:r>
        <w:rPr>
          <w:rStyle w:val="FootnoteReference"/>
          <w:rFonts w:ascii="Times New Roman" w:hAnsi="Times New Roman"/>
          <w:noProof/>
          <w:sz w:val="24"/>
        </w:rPr>
        <w:footnoteReference w:id="6"/>
      </w:r>
      <w:r>
        <w:rPr>
          <w:rFonts w:ascii="Times New Roman" w:hAnsi="Times New Roman"/>
          <w:noProof/>
          <w:sz w:val="24"/>
        </w:rPr>
        <w:t>.</w:t>
      </w:r>
    </w:p>
    <w:p>
      <w:pPr>
        <w:autoSpaceDE w:val="0"/>
        <w:autoSpaceDN w:val="0"/>
        <w:adjustRightInd w:val="0"/>
        <w:spacing w:after="0"/>
        <w:rPr>
          <w:rFonts w:ascii="Times New Roman" w:hAnsi="Times New Roman"/>
          <w:noProof/>
          <w:sz w:val="24"/>
          <w:szCs w:val="24"/>
        </w:rPr>
      </w:pPr>
    </w:p>
    <w:p>
      <w:pPr>
        <w:autoSpaceDE w:val="0"/>
        <w:autoSpaceDN w:val="0"/>
        <w:adjustRightInd w:val="0"/>
        <w:spacing w:after="0"/>
        <w:rPr>
          <w:rFonts w:ascii="Times New Roman" w:hAnsi="Times New Roman"/>
          <w:noProof/>
          <w:sz w:val="24"/>
          <w:szCs w:val="24"/>
        </w:rPr>
      </w:pPr>
      <w:r>
        <w:rPr>
          <w:rFonts w:ascii="Times New Roman" w:hAnsi="Times New Roman"/>
          <w:noProof/>
          <w:sz w:val="24"/>
        </w:rPr>
        <w:t xml:space="preserve">Šis pavērsiens ne vien rada cilvēciskas ciešanas: </w:t>
      </w:r>
      <w:r>
        <w:rPr>
          <w:rFonts w:ascii="Times New Roman" w:hAnsi="Times New Roman"/>
          <w:i/>
          <w:noProof/>
          <w:sz w:val="24"/>
        </w:rPr>
        <w:t>AMR</w:t>
      </w:r>
      <w:r>
        <w:rPr>
          <w:rFonts w:ascii="Times New Roman" w:hAnsi="Times New Roman"/>
          <w:noProof/>
          <w:sz w:val="24"/>
        </w:rPr>
        <w:t xml:space="preserve"> turklāt paaugstina ar slimībām saistītās ārstēšanas izmaksas un mazina ražīgumu. Tiek lēsts, ka Eiropas Savienībā vien AMR veselības aprūpes izmaksu un ražīguma zudumu izteiksmē</w:t>
      </w:r>
      <w:r>
        <w:rPr>
          <w:rFonts w:ascii="Times New Roman" w:hAnsi="Times New Roman"/>
          <w:noProof/>
          <w:sz w:val="24"/>
          <w:szCs w:val="24"/>
          <w:vertAlign w:val="superscript"/>
        </w:rPr>
        <w:fldChar w:fldCharType="begin"/>
      </w:r>
      <w:r>
        <w:rPr>
          <w:rFonts w:ascii="Times New Roman" w:hAnsi="Times New Roman"/>
          <w:noProof/>
          <w:sz w:val="24"/>
          <w:szCs w:val="24"/>
          <w:vertAlign w:val="superscript"/>
        </w:rPr>
        <w:instrText xml:space="preserve"> NOTEREF _Ref484079547 \h  \* MERGEFORMAT </w:instrText>
      </w:r>
      <w:r>
        <w:rPr>
          <w:rFonts w:ascii="Times New Roman" w:hAnsi="Times New Roman"/>
          <w:noProof/>
          <w:sz w:val="24"/>
          <w:szCs w:val="24"/>
          <w:vertAlign w:val="superscript"/>
        </w:rPr>
      </w:r>
      <w:r>
        <w:rPr>
          <w:rFonts w:ascii="Times New Roman" w:hAnsi="Times New Roman"/>
          <w:noProof/>
          <w:sz w:val="24"/>
          <w:szCs w:val="24"/>
          <w:vertAlign w:val="superscript"/>
        </w:rPr>
        <w:fldChar w:fldCharType="separate"/>
      </w:r>
      <w:r>
        <w:rPr>
          <w:rFonts w:ascii="Times New Roman" w:hAnsi="Times New Roman"/>
          <w:noProof/>
          <w:sz w:val="24"/>
          <w:szCs w:val="24"/>
          <w:vertAlign w:val="superscript"/>
        </w:rPr>
        <w:t>4</w:t>
      </w:r>
      <w:r>
        <w:rPr>
          <w:rFonts w:ascii="Times New Roman" w:hAnsi="Times New Roman"/>
          <w:noProof/>
          <w:sz w:val="24"/>
          <w:szCs w:val="24"/>
          <w:vertAlign w:val="superscript"/>
        </w:rPr>
        <w:fldChar w:fldCharType="end"/>
      </w:r>
      <w:r>
        <w:rPr>
          <w:rFonts w:ascii="Times New Roman" w:hAnsi="Times New Roman"/>
          <w:noProof/>
          <w:sz w:val="24"/>
        </w:rPr>
        <w:t xml:space="preserve"> katru gadu izmaksā EUR 1,5 miljardus. Pasaules Banka</w:t>
      </w:r>
      <w:r>
        <w:rPr>
          <w:rStyle w:val="FootnoteReference"/>
          <w:rFonts w:ascii="Times New Roman" w:hAnsi="Times New Roman"/>
          <w:noProof/>
          <w:sz w:val="24"/>
        </w:rPr>
        <w:footnoteReference w:id="7"/>
      </w:r>
      <w:r>
        <w:rPr>
          <w:rFonts w:ascii="Times New Roman" w:hAnsi="Times New Roman"/>
          <w:noProof/>
          <w:sz w:val="24"/>
        </w:rPr>
        <w:t xml:space="preserve"> ir brīdinājusi, ka līdz 2050. gadam pret zālēm rezistentas infekcijas pasaules mērogā varētu radīt ekonomiskos zaudējumus, kas apmērā pielīdzināmi 2008. gada finansiālās krīzes zaudējumiem. AMR rada arī risku, ka netiks sasniegti vairāki ANO ilgtspējīgas attīstības mērķi, jo īpaši mērķvērtības, kas noteiktas attiecībā uz labu veselību un labklājību</w:t>
      </w:r>
      <w:r>
        <w:rPr>
          <w:rStyle w:val="FootnoteReference"/>
          <w:rFonts w:ascii="Times New Roman" w:hAnsi="Times New Roman"/>
          <w:noProof/>
          <w:sz w:val="24"/>
        </w:rPr>
        <w:footnoteReference w:id="8"/>
      </w:r>
      <w:r>
        <w:rPr>
          <w:rFonts w:ascii="Times New Roman" w:hAnsi="Times New Roman"/>
          <w:noProof/>
          <w:sz w:val="24"/>
        </w:rPr>
        <w:t xml:space="preserve"> (3. mērķis).</w:t>
      </w:r>
    </w:p>
    <w:p>
      <w:pPr>
        <w:autoSpaceDE w:val="0"/>
        <w:autoSpaceDN w:val="0"/>
        <w:adjustRightInd w:val="0"/>
        <w:spacing w:after="0"/>
        <w:rPr>
          <w:rFonts w:ascii="Times New Roman" w:hAnsi="Times New Roman"/>
          <w:noProof/>
          <w:sz w:val="24"/>
          <w:szCs w:val="24"/>
        </w:rPr>
      </w:pPr>
    </w:p>
    <w:p>
      <w:pPr>
        <w:autoSpaceDE w:val="0"/>
        <w:autoSpaceDN w:val="0"/>
        <w:adjustRightInd w:val="0"/>
        <w:spacing w:after="0"/>
        <w:rPr>
          <w:rFonts w:ascii="Times New Roman" w:hAnsi="Times New Roman"/>
          <w:noProof/>
          <w:sz w:val="24"/>
          <w:szCs w:val="24"/>
        </w:rPr>
      </w:pPr>
      <w:r>
        <w:rPr>
          <w:rFonts w:ascii="Times New Roman" w:hAnsi="Times New Roman"/>
          <w:noProof/>
          <w:sz w:val="24"/>
        </w:rPr>
        <w:t xml:space="preserve">Pret </w:t>
      </w:r>
      <w:r>
        <w:rPr>
          <w:rFonts w:ascii="Times New Roman" w:hAnsi="Times New Roman"/>
          <w:i/>
          <w:noProof/>
          <w:sz w:val="24"/>
        </w:rPr>
        <w:t>AMR</w:t>
      </w:r>
      <w:r>
        <w:rPr>
          <w:rFonts w:ascii="Times New Roman" w:hAnsi="Times New Roman"/>
          <w:noProof/>
          <w:sz w:val="24"/>
        </w:rPr>
        <w:t xml:space="preserve"> vērsta iedarbīga rīcība mazinās tās negatīvo ietekmi uz tautsaimniecību, tāpēc to var uzskatīt par ieguldījumu ekonomiskajā izaugsmē, turklāt, mazinot veselības aprūpes izmaksas, tā palīdzēs veidot ilgtspējīgus veselības aprūpes budžetus, kā arī palīdzēs gādāt, ka iedzīvotāji ir produktīvi un veselīgi. </w:t>
      </w:r>
    </w:p>
    <w:p>
      <w:pPr>
        <w:autoSpaceDE w:val="0"/>
        <w:autoSpaceDN w:val="0"/>
        <w:adjustRightInd w:val="0"/>
        <w:spacing w:after="0"/>
        <w:rPr>
          <w:rFonts w:ascii="Times New Roman" w:hAnsi="Times New Roman"/>
          <w:noProof/>
          <w:sz w:val="24"/>
          <w:szCs w:val="24"/>
        </w:rPr>
      </w:pPr>
    </w:p>
    <w:p>
      <w:pPr>
        <w:autoSpaceDE w:val="0"/>
        <w:autoSpaceDN w:val="0"/>
        <w:adjustRightInd w:val="0"/>
        <w:spacing w:after="0"/>
        <w:rPr>
          <w:rFonts w:ascii="Times New Roman" w:hAnsi="Times New Roman"/>
          <w:noProof/>
          <w:sz w:val="24"/>
          <w:szCs w:val="24"/>
        </w:rPr>
      </w:pPr>
      <w:r>
        <w:rPr>
          <w:rFonts w:ascii="Times New Roman" w:hAnsi="Times New Roman"/>
          <w:i/>
          <w:noProof/>
          <w:sz w:val="24"/>
        </w:rPr>
        <w:t>AMR</w:t>
      </w:r>
      <w:r>
        <w:rPr>
          <w:rFonts w:ascii="Times New Roman" w:hAnsi="Times New Roman"/>
          <w:noProof/>
          <w:sz w:val="24"/>
        </w:rPr>
        <w:t xml:space="preserve"> apkarošanas nozīmi ES saprata drīz vien, kā liecina Kopienas 2001. gada stratēģija pret mikrobu rezistenci</w:t>
      </w:r>
      <w:r>
        <w:rPr>
          <w:rStyle w:val="FootnoteReference"/>
          <w:rFonts w:ascii="Times New Roman" w:hAnsi="Times New Roman"/>
          <w:noProof/>
          <w:sz w:val="24"/>
        </w:rPr>
        <w:footnoteReference w:id="9"/>
      </w:r>
      <w:r>
        <w:rPr>
          <w:rFonts w:ascii="Times New Roman" w:hAnsi="Times New Roman"/>
          <w:noProof/>
          <w:sz w:val="24"/>
        </w:rPr>
        <w:t>. Šo politiku pastiprināja 2011. Komisijas rīcības plāns</w:t>
      </w:r>
      <w:r>
        <w:rPr>
          <w:rStyle w:val="FootnoteReference"/>
          <w:rFonts w:ascii="Times New Roman" w:hAnsi="Times New Roman"/>
          <w:noProof/>
          <w:sz w:val="24"/>
        </w:rPr>
        <w:footnoteReference w:id="10"/>
      </w:r>
      <w:r>
        <w:rPr>
          <w:rFonts w:ascii="Times New Roman" w:hAnsi="Times New Roman"/>
          <w:noProof/>
          <w:sz w:val="24"/>
        </w:rPr>
        <w:t xml:space="preserve">, kas pievēršas pieejai “Viena veselība” un aplūko </w:t>
      </w:r>
      <w:r>
        <w:rPr>
          <w:rFonts w:ascii="Times New Roman" w:hAnsi="Times New Roman"/>
          <w:i/>
          <w:noProof/>
          <w:sz w:val="24"/>
        </w:rPr>
        <w:t>AMR</w:t>
      </w:r>
      <w:r>
        <w:rPr>
          <w:rFonts w:ascii="Times New Roman" w:hAnsi="Times New Roman"/>
          <w:noProof/>
          <w:sz w:val="24"/>
        </w:rPr>
        <w:t xml:space="preserve"> gan cilvēka, gan dzīvnieku veselības kontekstā.</w:t>
      </w:r>
    </w:p>
    <w:p>
      <w:pPr>
        <w:autoSpaceDE w:val="0"/>
        <w:autoSpaceDN w:val="0"/>
        <w:adjustRightInd w:val="0"/>
        <w:spacing w:after="0"/>
        <w:rPr>
          <w:rFonts w:ascii="Times New Roman" w:hAnsi="Times New Roman"/>
          <w:noProof/>
          <w:sz w:val="24"/>
          <w:szCs w:val="24"/>
        </w:rPr>
      </w:pPr>
    </w:p>
    <w:tbl>
      <w:tblPr>
        <w:tblStyle w:val="TableGrid"/>
        <w:tblW w:w="0" w:type="auto"/>
        <w:tblLook w:val="04A0" w:firstRow="1" w:lastRow="0" w:firstColumn="1" w:lastColumn="0" w:noHBand="0" w:noVBand="1"/>
      </w:tblPr>
      <w:tblGrid>
        <w:gridCol w:w="9288"/>
      </w:tblGrid>
      <w:tr>
        <w:tc>
          <w:tcPr>
            <w:tcW w:w="9288" w:type="dxa"/>
            <w:tcBorders>
              <w:top w:val="single" w:sz="18" w:space="0" w:color="auto"/>
              <w:left w:val="single" w:sz="18" w:space="0" w:color="auto"/>
              <w:bottom w:val="single" w:sz="18" w:space="0" w:color="auto"/>
              <w:right w:val="single" w:sz="18" w:space="0" w:color="auto"/>
            </w:tcBorders>
          </w:tcPr>
          <w:p>
            <w:pPr>
              <w:rPr>
                <w:rFonts w:ascii="Times New Roman" w:hAnsi="Times New Roman"/>
                <w:noProof/>
                <w:sz w:val="24"/>
                <w:szCs w:val="24"/>
              </w:rPr>
            </w:pPr>
            <w:r>
              <w:rPr>
                <w:rFonts w:ascii="Times New Roman" w:hAnsi="Times New Roman"/>
                <w:b/>
                <w:noProof/>
                <w:sz w:val="24"/>
              </w:rPr>
              <w:t>Viena veselība</w:t>
            </w:r>
            <w:r>
              <w:rPr>
                <w:rFonts w:ascii="Times New Roman" w:hAnsi="Times New Roman"/>
                <w:noProof/>
                <w:sz w:val="24"/>
              </w:rPr>
              <w:t>:</w:t>
            </w:r>
            <w:r>
              <w:rPr>
                <w:rFonts w:ascii="Times New Roman" w:hAnsi="Times New Roman"/>
                <w:noProof/>
              </w:rPr>
              <w:t xml:space="preserve"> termins, ko izmanto, lai aprakstītu principu, kas atzīst, ka cilvēka un dzīvnieku veselība ir savstarpēji saistītas, ka slimības tiek pārnēsātas no cilvēka uz dzīvniekiem un otrādi un ka tādēļ tās jāapkaro gan vienā, gan otrā laukā. Pieeja “Viena veselība” aptver arī vidi, kas ir vēl viena saikne starp cilvēku un dzīvniekiem</w:t>
            </w:r>
            <w:r>
              <w:rPr>
                <w:noProof/>
              </w:rPr>
              <w:t xml:space="preserve"> </w:t>
            </w:r>
            <w:r>
              <w:rPr>
                <w:rFonts w:ascii="Times New Roman" w:hAnsi="Times New Roman"/>
                <w:noProof/>
              </w:rPr>
              <w:t>un līdzīgā veidā potenciāls jaunu rezistentu mikroorganismu avots. Šis pasaulē atzītais termins jau ir plaši izmantots Eiropas Savienībā, kā arī 2016. gadā — ANO Politiskajā deklarācijā par rezistenci pret antimikrobiālajiem līdzekļiem.</w:t>
            </w:r>
          </w:p>
        </w:tc>
      </w:tr>
    </w:tbl>
    <w:p>
      <w:pPr>
        <w:autoSpaceDE w:val="0"/>
        <w:autoSpaceDN w:val="0"/>
        <w:adjustRightInd w:val="0"/>
        <w:spacing w:after="0"/>
        <w:rPr>
          <w:rFonts w:ascii="Times New Roman" w:hAnsi="Times New Roman"/>
          <w:noProof/>
          <w:sz w:val="24"/>
          <w:szCs w:val="24"/>
        </w:rPr>
      </w:pPr>
    </w:p>
    <w:p>
      <w:pPr>
        <w:rPr>
          <w:rFonts w:ascii="Times New Roman" w:hAnsi="Times New Roman"/>
          <w:noProof/>
          <w:sz w:val="24"/>
          <w:szCs w:val="24"/>
        </w:rPr>
      </w:pPr>
      <w:r>
        <w:rPr>
          <w:rFonts w:ascii="Times New Roman" w:hAnsi="Times New Roman"/>
          <w:noProof/>
          <w:sz w:val="24"/>
        </w:rPr>
        <w:t xml:space="preserve">Kopš 1999. gada Komisija </w:t>
      </w:r>
      <w:r>
        <w:rPr>
          <w:rFonts w:ascii="Times New Roman" w:hAnsi="Times New Roman"/>
          <w:i/>
          <w:noProof/>
          <w:sz w:val="24"/>
        </w:rPr>
        <w:t>AMR</w:t>
      </w:r>
      <w:r>
        <w:rPr>
          <w:rFonts w:ascii="Times New Roman" w:hAnsi="Times New Roman"/>
          <w:noProof/>
          <w:sz w:val="24"/>
        </w:rPr>
        <w:t xml:space="preserve"> pētniecībā ieguldījusi vairāk nekā EUR 1,3 miljardus, padarot Eiropu par šīs jomas līderi. Pie ES sasniegumiem pieder nesen atklātā programma </w:t>
      </w:r>
      <w:r>
        <w:rPr>
          <w:rFonts w:ascii="Times New Roman" w:hAnsi="Times New Roman"/>
          <w:i/>
          <w:noProof/>
          <w:sz w:val="24"/>
        </w:rPr>
        <w:t>New Drugs for Bad Bugs (ND4BB)</w:t>
      </w:r>
      <w:r>
        <w:rPr>
          <w:rStyle w:val="FootnoteReference"/>
          <w:rFonts w:ascii="Times New Roman" w:hAnsi="Times New Roman"/>
          <w:noProof/>
          <w:sz w:val="24"/>
        </w:rPr>
        <w:footnoteReference w:id="11"/>
      </w:r>
      <w:r>
        <w:rPr>
          <w:rFonts w:ascii="Times New Roman" w:hAnsi="Times New Roman"/>
          <w:noProof/>
          <w:sz w:val="24"/>
        </w:rPr>
        <w:t xml:space="preserve">, kas, būdama pasaulē lielākā publiskā un privātā sektora partnerība </w:t>
      </w:r>
      <w:r>
        <w:rPr>
          <w:rFonts w:ascii="Times New Roman" w:hAnsi="Times New Roman"/>
          <w:i/>
          <w:noProof/>
          <w:sz w:val="24"/>
        </w:rPr>
        <w:t>AMR</w:t>
      </w:r>
      <w:r>
        <w:rPr>
          <w:rFonts w:ascii="Times New Roman" w:hAnsi="Times New Roman"/>
          <w:noProof/>
          <w:sz w:val="24"/>
        </w:rPr>
        <w:t xml:space="preserve"> pētniecības jautājumos, daļēji veido Inovatīvo zāļu ierosmi (</w:t>
      </w:r>
      <w:r>
        <w:rPr>
          <w:rFonts w:ascii="Times New Roman" w:hAnsi="Times New Roman"/>
          <w:i/>
          <w:noProof/>
          <w:sz w:val="24"/>
        </w:rPr>
        <w:t>IMI</w:t>
      </w:r>
      <w:r>
        <w:rPr>
          <w:rFonts w:ascii="Times New Roman" w:hAnsi="Times New Roman"/>
          <w:noProof/>
          <w:sz w:val="24"/>
        </w:rPr>
        <w:t>)</w:t>
      </w:r>
      <w:r>
        <w:rPr>
          <w:rStyle w:val="FootnoteReference"/>
          <w:rFonts w:ascii="Times New Roman" w:hAnsi="Times New Roman"/>
          <w:noProof/>
          <w:sz w:val="24"/>
        </w:rPr>
        <w:footnoteReference w:id="12"/>
      </w:r>
      <w:r>
        <w:rPr>
          <w:rFonts w:ascii="Times New Roman" w:hAnsi="Times New Roman"/>
          <w:noProof/>
          <w:sz w:val="24"/>
        </w:rPr>
        <w:t xml:space="preserve">. ES ir arī izveidojusi kopīgas plānošanas iniciatīvu </w:t>
      </w:r>
      <w:r>
        <w:rPr>
          <w:rFonts w:ascii="Times New Roman" w:hAnsi="Times New Roman"/>
          <w:i/>
          <w:noProof/>
          <w:sz w:val="24"/>
        </w:rPr>
        <w:t>AMR</w:t>
      </w:r>
      <w:r>
        <w:rPr>
          <w:rFonts w:ascii="Times New Roman" w:hAnsi="Times New Roman"/>
          <w:noProof/>
          <w:sz w:val="24"/>
        </w:rPr>
        <w:t xml:space="preserve"> jautājumos (</w:t>
      </w:r>
      <w:r>
        <w:rPr>
          <w:rFonts w:ascii="Times New Roman" w:hAnsi="Times New Roman"/>
          <w:i/>
          <w:noProof/>
          <w:sz w:val="24"/>
        </w:rPr>
        <w:t>JPIAMR</w:t>
      </w:r>
      <w:r>
        <w:rPr>
          <w:rFonts w:ascii="Times New Roman" w:hAnsi="Times New Roman"/>
          <w:noProof/>
          <w:sz w:val="24"/>
        </w:rPr>
        <w:t>)</w:t>
      </w:r>
      <w:r>
        <w:rPr>
          <w:rStyle w:val="FootnoteReference"/>
          <w:rFonts w:ascii="Times New Roman" w:hAnsi="Times New Roman"/>
          <w:noProof/>
          <w:sz w:val="24"/>
        </w:rPr>
        <w:footnoteReference w:id="13"/>
      </w:r>
      <w:r>
        <w:rPr>
          <w:rFonts w:ascii="Times New Roman" w:hAnsi="Times New Roman"/>
          <w:noProof/>
          <w:sz w:val="24"/>
        </w:rPr>
        <w:t>, kuras mērķis ir labāk koordinēt un saskaņot pētniecības centienus visā pasaulē.</w:t>
      </w:r>
    </w:p>
    <w:p>
      <w:pPr>
        <w:rPr>
          <w:rFonts w:ascii="Times New Roman" w:hAnsi="Times New Roman"/>
          <w:noProof/>
          <w:sz w:val="24"/>
          <w:szCs w:val="24"/>
        </w:rPr>
      </w:pPr>
      <w:r>
        <w:rPr>
          <w:rFonts w:ascii="Times New Roman" w:hAnsi="Times New Roman"/>
          <w:noProof/>
          <w:sz w:val="24"/>
        </w:rPr>
        <w:t>Par spīti tam pēdējos gados pret kombinētu zāļu terapiju un pēdējās iespējas terapijām</w:t>
      </w:r>
      <w:r>
        <w:rPr>
          <w:rStyle w:val="FootnoteReference"/>
          <w:rFonts w:ascii="Times New Roman" w:hAnsi="Times New Roman"/>
          <w:noProof/>
          <w:sz w:val="24"/>
        </w:rPr>
        <w:footnoteReference w:id="14"/>
      </w:r>
      <w:r>
        <w:rPr>
          <w:rFonts w:ascii="Times New Roman" w:hAnsi="Times New Roman"/>
          <w:noProof/>
          <w:sz w:val="24"/>
        </w:rPr>
        <w:t xml:space="preserve"> rezistentas infekcijas gadījumu skaits Eiropas Savienībā ir būtiski audzis</w:t>
      </w:r>
      <w:r>
        <w:rPr>
          <w:rStyle w:val="FootnoteReference"/>
          <w:rFonts w:ascii="Times New Roman" w:hAnsi="Times New Roman"/>
          <w:noProof/>
          <w:sz w:val="24"/>
        </w:rPr>
        <w:footnoteReference w:id="15"/>
      </w:r>
      <w:r>
        <w:rPr>
          <w:rFonts w:ascii="Times New Roman" w:hAnsi="Times New Roman"/>
          <w:noProof/>
          <w:sz w:val="24"/>
        </w:rPr>
        <w:t>.</w:t>
      </w:r>
    </w:p>
    <w:p>
      <w:pPr>
        <w:rPr>
          <w:rFonts w:ascii="Times New Roman" w:hAnsi="Times New Roman"/>
          <w:noProof/>
          <w:sz w:val="24"/>
          <w:szCs w:val="24"/>
        </w:rPr>
      </w:pPr>
      <w:r>
        <w:rPr>
          <w:rFonts w:ascii="Times New Roman" w:hAnsi="Times New Roman"/>
          <w:noProof/>
          <w:sz w:val="24"/>
        </w:rPr>
        <w:t xml:space="preserve">Arvien lielākas bažas rada un tālāku izpēti prasa arī </w:t>
      </w:r>
      <w:r>
        <w:rPr>
          <w:rFonts w:ascii="Times New Roman" w:hAnsi="Times New Roman"/>
          <w:i/>
          <w:noProof/>
          <w:sz w:val="24"/>
        </w:rPr>
        <w:t>AMR</w:t>
      </w:r>
      <w:r>
        <w:rPr>
          <w:rFonts w:ascii="Times New Roman" w:hAnsi="Times New Roman"/>
          <w:noProof/>
          <w:sz w:val="24"/>
        </w:rPr>
        <w:t xml:space="preserve"> veidošanās un izplatīšanās vidē. Vairākos zinātniskos pētījumos apzinātas potenciālās negatīvās sekas, ko videi rada rezistenti mikroorganismi vai arī antimikrobiālie līdzekļi.</w:t>
      </w:r>
    </w:p>
    <w:p>
      <w:pPr>
        <w:rPr>
          <w:rFonts w:ascii="Times New Roman" w:hAnsi="Times New Roman"/>
          <w:noProof/>
          <w:sz w:val="24"/>
          <w:szCs w:val="24"/>
        </w:rPr>
      </w:pPr>
      <w:r>
        <w:rPr>
          <w:rFonts w:ascii="Times New Roman" w:hAnsi="Times New Roman"/>
          <w:noProof/>
          <w:sz w:val="24"/>
        </w:rPr>
        <w:t>Turklāt pēdējos 20 gados jauni antimikrobiāli līdzekļi tiek atklāti, izstrādāti, ražoti un tirgoti daudz lēnāk. Vēsturiski dati liecina, ka sekmju procents ir neliels: no agrīnā pētniecības posma līdz klīniskai izmantošanai pacientiem nonāk tikai vienas no 16 antibiotikām</w:t>
      </w:r>
      <w:r>
        <w:rPr>
          <w:rStyle w:val="FootnoteReference"/>
          <w:rFonts w:ascii="Times New Roman" w:hAnsi="Times New Roman"/>
          <w:noProof/>
          <w:sz w:val="24"/>
        </w:rPr>
        <w:footnoteReference w:id="16"/>
      </w:r>
      <w:r>
        <w:rPr>
          <w:rFonts w:ascii="Times New Roman" w:hAnsi="Times New Roman"/>
          <w:noProof/>
          <w:sz w:val="24"/>
        </w:rPr>
        <w:t>.</w:t>
      </w:r>
    </w:p>
    <w:p>
      <w:pPr>
        <w:pStyle w:val="Heading2"/>
        <w:rPr>
          <w:noProof/>
        </w:rPr>
      </w:pPr>
      <w:r>
        <w:rPr>
          <w:noProof/>
        </w:rPr>
        <w:t>Jaunākās norises un ceļš uz priekšu</w:t>
      </w:r>
    </w:p>
    <w:p>
      <w:pPr>
        <w:rPr>
          <w:rFonts w:ascii="Times New Roman" w:hAnsi="Times New Roman"/>
          <w:noProof/>
          <w:sz w:val="24"/>
          <w:szCs w:val="24"/>
        </w:rPr>
      </w:pPr>
      <w:r>
        <w:rPr>
          <w:rFonts w:ascii="Times New Roman" w:hAnsi="Times New Roman"/>
          <w:noProof/>
          <w:sz w:val="24"/>
        </w:rPr>
        <w:t xml:space="preserve">ES ir globālu un reģionālu </w:t>
      </w:r>
      <w:r>
        <w:rPr>
          <w:rFonts w:ascii="Times New Roman" w:hAnsi="Times New Roman"/>
          <w:i/>
          <w:noProof/>
          <w:sz w:val="24"/>
        </w:rPr>
        <w:t>AMR</w:t>
      </w:r>
      <w:r>
        <w:rPr>
          <w:rFonts w:ascii="Times New Roman" w:hAnsi="Times New Roman"/>
          <w:noProof/>
          <w:sz w:val="24"/>
        </w:rPr>
        <w:t xml:space="preserve"> problēmu risināšanas avangardā. Tomēr nekāda atsevišķa rīcība nebūs pietiekams risinājums. Rezistentas baktērijas un infekcijas slimības nepazīst robežu. Problēmu nevar atrisināt neviena atsevišķa dalībvalsts vai viena pati ES. Tomēr, ņemot vērā Eiropas Savienības augsto ekonomiskās attīstības līmeni un apņemšanos nodrošināt augstu aizsardzības līmeni cilvēka veselībai, tai ir stingras pozīcijas rīcībai.</w:t>
      </w:r>
    </w:p>
    <w:p>
      <w:pPr>
        <w:rPr>
          <w:rFonts w:ascii="Times New Roman" w:hAnsi="Times New Roman"/>
          <w:noProof/>
          <w:sz w:val="24"/>
          <w:szCs w:val="24"/>
        </w:rPr>
      </w:pPr>
      <w:r>
        <w:rPr>
          <w:rFonts w:ascii="Times New Roman" w:hAnsi="Times New Roman"/>
          <w:noProof/>
          <w:sz w:val="24"/>
        </w:rPr>
        <w:t>Padomes 2016. gada 17. jūnija secinājumos pēc dalībvalstu pieprasījuma ietverts</w:t>
      </w:r>
      <w:r>
        <w:rPr>
          <w:rStyle w:val="FootnoteReference"/>
          <w:rFonts w:ascii="Times New Roman" w:hAnsi="Times New Roman"/>
          <w:noProof/>
          <w:sz w:val="24"/>
        </w:rPr>
        <w:footnoteReference w:id="17"/>
      </w:r>
      <w:r>
        <w:rPr>
          <w:rFonts w:ascii="Times New Roman" w:hAnsi="Times New Roman"/>
          <w:noProof/>
          <w:sz w:val="24"/>
        </w:rPr>
        <w:t xml:space="preserve"> aicinājums attiecībā uz </w:t>
      </w:r>
      <w:r>
        <w:rPr>
          <w:rFonts w:ascii="Times New Roman" w:hAnsi="Times New Roman"/>
          <w:i/>
          <w:noProof/>
          <w:sz w:val="24"/>
        </w:rPr>
        <w:t>AMR</w:t>
      </w:r>
      <w:r>
        <w:rPr>
          <w:rFonts w:ascii="Times New Roman" w:hAnsi="Times New Roman"/>
          <w:noProof/>
          <w:sz w:val="24"/>
        </w:rPr>
        <w:t xml:space="preserve"> nākt klajā ar jaunu un visaptverošu ES rīcības plānu, kura pamatā būtu pieeja “Viena veselība”.</w:t>
      </w:r>
    </w:p>
    <w:p>
      <w:pPr>
        <w:rPr>
          <w:rFonts w:ascii="Times New Roman" w:hAnsi="Times New Roman"/>
          <w:noProof/>
          <w:sz w:val="24"/>
          <w:szCs w:val="24"/>
        </w:rPr>
      </w:pPr>
      <w:r>
        <w:rPr>
          <w:rFonts w:ascii="Times New Roman" w:hAnsi="Times New Roman"/>
          <w:noProof/>
          <w:sz w:val="24"/>
        </w:rPr>
        <w:t>Jaunā rīcības plāna pamatā ir 2011. gada rīcības plāns, tā izvērtējums</w:t>
      </w:r>
      <w:r>
        <w:rPr>
          <w:rStyle w:val="FootnoteReference"/>
          <w:rFonts w:ascii="Times New Roman" w:hAnsi="Times New Roman"/>
          <w:noProof/>
          <w:sz w:val="24"/>
        </w:rPr>
        <w:footnoteReference w:id="18"/>
      </w:r>
      <w:r>
        <w:rPr>
          <w:rFonts w:ascii="Times New Roman" w:hAnsi="Times New Roman"/>
          <w:noProof/>
          <w:sz w:val="24"/>
        </w:rPr>
        <w:t>, atsauksmes par ceļvedi</w:t>
      </w:r>
      <w:r>
        <w:rPr>
          <w:rStyle w:val="FootnoteReference"/>
          <w:rFonts w:ascii="Times New Roman" w:hAnsi="Times New Roman"/>
          <w:noProof/>
          <w:sz w:val="24"/>
        </w:rPr>
        <w:footnoteReference w:id="19"/>
      </w:r>
      <w:r>
        <w:rPr>
          <w:rFonts w:ascii="Times New Roman" w:hAnsi="Times New Roman"/>
          <w:noProof/>
          <w:sz w:val="24"/>
        </w:rPr>
        <w:t xml:space="preserve"> un atklāta sabiedriskā apspriešana</w:t>
      </w:r>
      <w:r>
        <w:rPr>
          <w:rStyle w:val="FootnoteReference"/>
          <w:rFonts w:ascii="Times New Roman" w:hAnsi="Times New Roman"/>
          <w:noProof/>
          <w:sz w:val="24"/>
        </w:rPr>
        <w:footnoteReference w:id="20"/>
      </w:r>
      <w:r>
        <w:rPr>
          <w:rFonts w:ascii="Times New Roman" w:hAnsi="Times New Roman"/>
          <w:noProof/>
          <w:sz w:val="24"/>
        </w:rPr>
        <w:t>.</w:t>
      </w:r>
    </w:p>
    <w:p>
      <w:pPr>
        <w:rPr>
          <w:rFonts w:ascii="Times New Roman" w:hAnsi="Times New Roman"/>
          <w:noProof/>
          <w:sz w:val="24"/>
          <w:szCs w:val="24"/>
        </w:rPr>
      </w:pPr>
      <w:r>
        <w:rPr>
          <w:rFonts w:ascii="Times New Roman" w:hAnsi="Times New Roman"/>
          <w:noProof/>
          <w:sz w:val="24"/>
        </w:rPr>
        <w:t xml:space="preserve">Izvērtējums secināja, ka 2011. gada rīcības plānam bija nepārprotama ES pievienotā vērtība, tas bija politiskas apņemšanās simbols, rosināja dalībvalstu rīcību un pastiprināja starptautisko sadarbību. Izvērtējums arī apstiprināja, ka 2011. gada plānā aplūkotie jautājumi joprojām ir aktuāli. Tomēr iniciatīvas jāpaplašina, kā, piemēram, ir paplašināta pieeja “Viena veselība”, kas aptver arī vidi un pret </w:t>
      </w:r>
      <w:r>
        <w:rPr>
          <w:rFonts w:ascii="Times New Roman" w:hAnsi="Times New Roman"/>
          <w:i/>
          <w:noProof/>
          <w:sz w:val="24"/>
        </w:rPr>
        <w:t>AMR</w:t>
      </w:r>
      <w:r>
        <w:rPr>
          <w:rFonts w:ascii="Times New Roman" w:hAnsi="Times New Roman"/>
          <w:noProof/>
          <w:sz w:val="24"/>
        </w:rPr>
        <w:t xml:space="preserve"> vēršas vēl daudzveidīgāk, balstoties uz labāku datu vākšanu, monitoringu un uzraudzību. Izvērtējums ieteica arī ES dalībvalstis joprojām atbalstīt un tām palīdzēt tā, lai novērstu atšķirības un sekmētu sadarbību, efektīvāk un labāk koordinēt uz zināšanu pilnveidi un risinājumu izstrādi orientētu pētniecību, kā arī Eiropas Savienībai pasaules līmenī joprojām runāt vienbalsīgi, stingri un saskaņoti.</w:t>
      </w:r>
    </w:p>
    <w:p>
      <w:pPr>
        <w:rPr>
          <w:rFonts w:ascii="Times New Roman" w:hAnsi="Times New Roman"/>
          <w:noProof/>
          <w:sz w:val="24"/>
          <w:szCs w:val="24"/>
        </w:rPr>
      </w:pPr>
      <w:r>
        <w:rPr>
          <w:rFonts w:ascii="Times New Roman" w:hAnsi="Times New Roman"/>
          <w:noProof/>
          <w:sz w:val="24"/>
        </w:rPr>
        <w:t xml:space="preserve">No 2016. gada 24. oktobra līdz 2017. gada 28. martam pienesumu jaunajam ES </w:t>
      </w:r>
      <w:r>
        <w:rPr>
          <w:rFonts w:ascii="Times New Roman" w:hAnsi="Times New Roman"/>
          <w:i/>
          <w:noProof/>
          <w:sz w:val="24"/>
        </w:rPr>
        <w:t>AMR</w:t>
      </w:r>
      <w:r>
        <w:rPr>
          <w:rFonts w:ascii="Times New Roman" w:hAnsi="Times New Roman"/>
          <w:noProof/>
          <w:sz w:val="24"/>
        </w:rPr>
        <w:t xml:space="preserve"> rīcības plāna ceļvedim deva 22 ieinteresētās personas. Atklātā sabiedriskā apspriešana notika no 2017. gada 27. janvāra līdz 28. aprīlim. Tā sastāvēja no divām atsevišķām tiešsaistes aptaujām: viena pilsoņiem un vēl viena — valstu pārvaldes iestādēm, asociācijām un citām organizācijām. Pavisam tika saņemta 421 atbilde no pilsoņiem un 163 — no pārvaldes iestādēm, asociācijām un citām organizācijām. Šim paziņojumam pievienotais kopsavilkuma ziņojums sniedz pārskatu par saņemto pienesumu un tā izmantojumu konkrētu pasākumu definēšanā. Iesniegtās atbildes kopumā apstiprina gan stingru atbalstu jaunam “Vienas veselības” rīcības plānam, gan vispusīgas pieejas svarīgumu.</w:t>
      </w:r>
    </w:p>
    <w:p>
      <w:pPr>
        <w:rPr>
          <w:rFonts w:ascii="Times New Roman" w:hAnsi="Times New Roman"/>
          <w:noProof/>
          <w:sz w:val="24"/>
          <w:szCs w:val="24"/>
        </w:rPr>
      </w:pPr>
      <w:r>
        <w:rPr>
          <w:rFonts w:ascii="Times New Roman" w:hAnsi="Times New Roman"/>
          <w:noProof/>
          <w:sz w:val="24"/>
        </w:rPr>
        <w:t xml:space="preserve">Jauno “Vienas veselības” </w:t>
      </w:r>
      <w:r>
        <w:rPr>
          <w:rFonts w:ascii="Times New Roman" w:hAnsi="Times New Roman"/>
          <w:i/>
          <w:noProof/>
          <w:sz w:val="24"/>
        </w:rPr>
        <w:t>AMR</w:t>
      </w:r>
      <w:r>
        <w:rPr>
          <w:rFonts w:ascii="Times New Roman" w:hAnsi="Times New Roman"/>
          <w:noProof/>
          <w:sz w:val="24"/>
        </w:rPr>
        <w:t xml:space="preserve"> apkarošanas rīcības plānu motivē vajadzība, lai ES uzņemtos vadošu lomu cīņā pret rezistenci pret antimikrobiālajiem līdzekļiem</w:t>
      </w:r>
      <w:r>
        <w:rPr>
          <w:noProof/>
        </w:rPr>
        <w:t xml:space="preserve"> </w:t>
      </w:r>
      <w:r>
        <w:rPr>
          <w:rFonts w:ascii="Times New Roman" w:hAnsi="Times New Roman"/>
          <w:noProof/>
          <w:sz w:val="24"/>
        </w:rPr>
        <w:t xml:space="preserve">un papildinātu dalībvalstu veikumu. Virsmērķis ir saglabāt iespēju rezultatīvi ārstēt cilvēka un dzīvnieku infekcijas. Rīcības plāns nodrošina satvaru turpinātai plašākai rīcībai, kas mazinātu </w:t>
      </w:r>
      <w:r>
        <w:rPr>
          <w:rFonts w:ascii="Times New Roman" w:hAnsi="Times New Roman"/>
          <w:i/>
          <w:noProof/>
          <w:sz w:val="24"/>
        </w:rPr>
        <w:t>AMR</w:t>
      </w:r>
      <w:r>
        <w:rPr>
          <w:rFonts w:ascii="Times New Roman" w:hAnsi="Times New Roman"/>
          <w:noProof/>
          <w:sz w:val="24"/>
        </w:rPr>
        <w:t xml:space="preserve"> rašanos un izplatīšanos un palielinātu jaunu iedarbīgu antimikrobiālo līdzekļu izstrādi un pieejamību Eiropas Savienībā un ārpus tās robežām.</w:t>
      </w:r>
    </w:p>
    <w:p>
      <w:pPr>
        <w:rPr>
          <w:rFonts w:ascii="Times New Roman" w:hAnsi="Times New Roman"/>
          <w:noProof/>
          <w:sz w:val="24"/>
          <w:szCs w:val="24"/>
        </w:rPr>
      </w:pPr>
      <w:r>
        <w:rPr>
          <w:rFonts w:ascii="Times New Roman" w:hAnsi="Times New Roman"/>
          <w:noProof/>
          <w:sz w:val="24"/>
        </w:rPr>
        <w:t>Jaunā plāna galvenie mērķi balstās uz trim galvenajiem pīlāriem:</w:t>
      </w:r>
    </w:p>
    <w:p>
      <w:pPr>
        <w:pStyle w:val="ListParagraph"/>
        <w:numPr>
          <w:ilvl w:val="0"/>
          <w:numId w:val="14"/>
        </w:numPr>
        <w:spacing w:after="0"/>
        <w:rPr>
          <w:rFonts w:ascii="Times New Roman" w:hAnsi="Times New Roman"/>
          <w:noProof/>
          <w:sz w:val="24"/>
          <w:szCs w:val="24"/>
        </w:rPr>
      </w:pPr>
      <w:r>
        <w:rPr>
          <w:rFonts w:ascii="Times New Roman" w:hAnsi="Times New Roman"/>
          <w:noProof/>
          <w:sz w:val="24"/>
        </w:rPr>
        <w:t xml:space="preserve">padarīt ES par paraugprakses reģionu; kā liecina 2011. gada rīcības plāna izvērtējums, šim nolūkam būs vajadzīgi kvalitatīvāki dati, labāka koordinācija un uzraudzība, kā arī labāki kontroles pasākumi. ES rīcība koncentrēsies uz svarīgākajām jomām un palīdzēs dalībvalstīm izveidot, ieviest un pārraudzīt savus nacionālos “Vienas veselības” </w:t>
      </w:r>
      <w:r>
        <w:rPr>
          <w:rFonts w:ascii="Times New Roman" w:hAnsi="Times New Roman"/>
          <w:i/>
          <w:noProof/>
          <w:sz w:val="24"/>
        </w:rPr>
        <w:t>AMR</w:t>
      </w:r>
      <w:r>
        <w:rPr>
          <w:rFonts w:ascii="Times New Roman" w:hAnsi="Times New Roman"/>
          <w:noProof/>
          <w:sz w:val="24"/>
        </w:rPr>
        <w:t xml:space="preserve"> apkarošanas rīcības plānus, kurus izstrādāt tās vienojās 2015. gada Pasaules Veselības asamblejā</w:t>
      </w:r>
      <w:r>
        <w:rPr>
          <w:rStyle w:val="FootnoteReference"/>
          <w:rFonts w:ascii="Times New Roman" w:hAnsi="Times New Roman"/>
          <w:noProof/>
          <w:sz w:val="24"/>
        </w:rPr>
        <w:footnoteReference w:id="21"/>
      </w:r>
      <w:r>
        <w:rPr>
          <w:rFonts w:ascii="Times New Roman" w:hAnsi="Times New Roman"/>
          <w:noProof/>
          <w:sz w:val="24"/>
        </w:rPr>
        <w:t>;</w:t>
      </w:r>
    </w:p>
    <w:p>
      <w:pPr>
        <w:pStyle w:val="ListParagraph"/>
        <w:spacing w:after="0"/>
        <w:ind w:left="1080"/>
        <w:rPr>
          <w:rFonts w:ascii="Times New Roman" w:hAnsi="Times New Roman"/>
          <w:noProof/>
          <w:sz w:val="24"/>
          <w:szCs w:val="24"/>
        </w:rPr>
      </w:pPr>
    </w:p>
    <w:p>
      <w:pPr>
        <w:pStyle w:val="ListParagraph"/>
        <w:numPr>
          <w:ilvl w:val="0"/>
          <w:numId w:val="14"/>
        </w:numPr>
        <w:autoSpaceDE w:val="0"/>
        <w:autoSpaceDN w:val="0"/>
        <w:adjustRightInd w:val="0"/>
        <w:spacing w:after="0"/>
        <w:rPr>
          <w:rFonts w:ascii="Times New Roman" w:hAnsi="Times New Roman"/>
          <w:noProof/>
          <w:sz w:val="24"/>
          <w:szCs w:val="24"/>
        </w:rPr>
      </w:pPr>
      <w:r>
        <w:rPr>
          <w:rFonts w:ascii="Times New Roman" w:hAnsi="Times New Roman"/>
          <w:noProof/>
          <w:sz w:val="24"/>
        </w:rPr>
        <w:t xml:space="preserve">pastiprināt pētniecību, izstrādi un inovāciju, aizpildot līdzšinējos robus zināšanās, sagādājot jaunus risinājumus un instrumentus infekcijas slimību profilaksei un ārstniecībai, kā arī uzlabojot diagnosticēšanu, lai ar tās palīdzību kontrolētu </w:t>
      </w:r>
      <w:r>
        <w:rPr>
          <w:rFonts w:ascii="Times New Roman" w:hAnsi="Times New Roman"/>
          <w:i/>
          <w:noProof/>
          <w:sz w:val="24"/>
        </w:rPr>
        <w:t>AMR</w:t>
      </w:r>
      <w:r>
        <w:rPr>
          <w:rFonts w:ascii="Times New Roman" w:hAnsi="Times New Roman"/>
          <w:noProof/>
          <w:sz w:val="24"/>
        </w:rPr>
        <w:t xml:space="preserve"> izplatīšanos;</w:t>
      </w:r>
    </w:p>
    <w:p>
      <w:pPr>
        <w:pStyle w:val="ListParagraph"/>
        <w:spacing w:after="0"/>
        <w:ind w:left="1080"/>
        <w:rPr>
          <w:rFonts w:ascii="Times New Roman" w:hAnsi="Times New Roman"/>
          <w:noProof/>
          <w:sz w:val="24"/>
          <w:szCs w:val="24"/>
        </w:rPr>
      </w:pPr>
    </w:p>
    <w:p>
      <w:pPr>
        <w:pStyle w:val="ListParagraph"/>
        <w:numPr>
          <w:ilvl w:val="0"/>
          <w:numId w:val="14"/>
        </w:numPr>
        <w:spacing w:after="0"/>
        <w:rPr>
          <w:rFonts w:ascii="Times New Roman" w:hAnsi="Times New Roman"/>
          <w:noProof/>
          <w:sz w:val="24"/>
          <w:szCs w:val="24"/>
        </w:rPr>
      </w:pPr>
      <w:r>
        <w:rPr>
          <w:rFonts w:ascii="Times New Roman" w:hAnsi="Times New Roman"/>
          <w:noProof/>
          <w:sz w:val="24"/>
        </w:rPr>
        <w:t xml:space="preserve">pasaulē, kas kļūst arvien ciešāk savienota, pastiprināt ES centienus veidot globālo dienaskārtību </w:t>
      </w:r>
      <w:r>
        <w:rPr>
          <w:rFonts w:ascii="Times New Roman" w:hAnsi="Times New Roman"/>
          <w:i/>
          <w:noProof/>
          <w:sz w:val="24"/>
        </w:rPr>
        <w:t>AMR</w:t>
      </w:r>
      <w:r>
        <w:rPr>
          <w:rFonts w:ascii="Times New Roman" w:hAnsi="Times New Roman"/>
          <w:noProof/>
          <w:sz w:val="24"/>
        </w:rPr>
        <w:t xml:space="preserve"> un ar to saistītā apdraudējuma jautājumos.</w:t>
      </w:r>
    </w:p>
    <w:p>
      <w:pPr>
        <w:spacing w:before="240"/>
        <w:rPr>
          <w:rFonts w:ascii="Times New Roman" w:hAnsi="Times New Roman"/>
          <w:noProof/>
          <w:sz w:val="24"/>
          <w:szCs w:val="24"/>
        </w:rPr>
      </w:pPr>
      <w:r>
        <w:rPr>
          <w:rFonts w:ascii="Times New Roman" w:hAnsi="Times New Roman"/>
          <w:noProof/>
          <w:sz w:val="24"/>
        </w:rPr>
        <w:t>Jaunajā plānā ietilpst konkrēti pasākumi ar ES pievienoto vērtību, kurus Komisija turpmākajos gados attiecīgi attīstīs tālāk un nostiprinās. Visi šie pasākumi ir svarīgi paši par sevi, taču tie ir arī savstarpēji atkarīgi un, lai panāktu vislabākos rezultātus, jāīsteno līdztekus.</w:t>
      </w:r>
    </w:p>
    <w:p>
      <w:pPr>
        <w:pStyle w:val="Heading1"/>
        <w:rPr>
          <w:noProof/>
        </w:rPr>
      </w:pPr>
      <w:r>
        <w:rPr>
          <w:noProof/>
        </w:rPr>
        <w:t>Padarīt ES par paraugprakses reģionu</w:t>
      </w:r>
    </w:p>
    <w:p>
      <w:pPr>
        <w:autoSpaceDE w:val="0"/>
        <w:autoSpaceDN w:val="0"/>
        <w:adjustRightInd w:val="0"/>
        <w:spacing w:after="0"/>
        <w:rPr>
          <w:rFonts w:ascii="Times New Roman" w:hAnsi="Times New Roman"/>
          <w:noProof/>
          <w:sz w:val="24"/>
          <w:szCs w:val="24"/>
        </w:rPr>
      </w:pPr>
      <w:r>
        <w:rPr>
          <w:rFonts w:ascii="Times New Roman" w:hAnsi="Times New Roman"/>
          <w:noProof/>
          <w:sz w:val="24"/>
        </w:rPr>
        <w:t xml:space="preserve">Eiropas Savienībā stāvoklis dalībvalstīs attiecībā uz </w:t>
      </w:r>
      <w:r>
        <w:rPr>
          <w:rFonts w:ascii="Times New Roman" w:hAnsi="Times New Roman"/>
          <w:i/>
          <w:noProof/>
          <w:sz w:val="24"/>
        </w:rPr>
        <w:t>AMR</w:t>
      </w:r>
      <w:r>
        <w:rPr>
          <w:rFonts w:ascii="Times New Roman" w:hAnsi="Times New Roman"/>
          <w:noProof/>
          <w:sz w:val="24"/>
        </w:rPr>
        <w:t xml:space="preserve"> ļoti atšķiras. Pie atšķirībām pieder antimikrobiālo līdzekļu lietošanas modeļi, rezistences sastopamība un tas, cik lielā mērā ir īstenota iedarbīga nacionāla rīcībpolitika </w:t>
      </w:r>
      <w:r>
        <w:rPr>
          <w:rFonts w:ascii="Times New Roman" w:hAnsi="Times New Roman"/>
          <w:i/>
          <w:noProof/>
          <w:sz w:val="24"/>
        </w:rPr>
        <w:t xml:space="preserve">AMR </w:t>
      </w:r>
      <w:r>
        <w:rPr>
          <w:rFonts w:ascii="Times New Roman" w:hAnsi="Times New Roman"/>
          <w:noProof/>
          <w:sz w:val="24"/>
        </w:rPr>
        <w:t>apkarošanai. Lai risinātu šo situāciju, Komisija vislielāko uzmanību pievērsīs svarīgākajām jomām, kur tā dalībvalstīm var sagādāt vislielāko pievienoto vērtību, vienlaikus nepārkāpjot ES kompetences robežas un neaizmirstot, ka par veselības politikas noteikšanu pirmām kārtām joprojām atbild dalībvalstis.</w:t>
      </w:r>
    </w:p>
    <w:p>
      <w:pPr>
        <w:autoSpaceDE w:val="0"/>
        <w:autoSpaceDN w:val="0"/>
        <w:adjustRightInd w:val="0"/>
        <w:spacing w:after="0"/>
        <w:rPr>
          <w:rFonts w:ascii="Times New Roman" w:hAnsi="Times New Roman"/>
          <w:noProof/>
          <w:sz w:val="24"/>
          <w:szCs w:val="24"/>
        </w:rPr>
      </w:pPr>
    </w:p>
    <w:p>
      <w:pPr>
        <w:autoSpaceDE w:val="0"/>
        <w:autoSpaceDN w:val="0"/>
        <w:adjustRightInd w:val="0"/>
        <w:spacing w:after="0"/>
        <w:rPr>
          <w:rFonts w:ascii="Times New Roman" w:hAnsi="Times New Roman"/>
          <w:noProof/>
          <w:sz w:val="24"/>
          <w:szCs w:val="24"/>
        </w:rPr>
      </w:pPr>
      <w:r>
        <w:rPr>
          <w:rFonts w:ascii="Times New Roman" w:hAnsi="Times New Roman"/>
          <w:noProof/>
          <w:sz w:val="24"/>
        </w:rPr>
        <w:t>Komisija joprojām pulcinās kopā visas attiecīgās ES zinātniskās aģentūras, proti, Eiropas Pārtikas nekaitīguma iestādi (</w:t>
      </w:r>
      <w:r>
        <w:rPr>
          <w:rFonts w:ascii="Times New Roman" w:hAnsi="Times New Roman"/>
          <w:i/>
          <w:noProof/>
          <w:sz w:val="24"/>
        </w:rPr>
        <w:t>EFSA</w:t>
      </w:r>
      <w:r>
        <w:rPr>
          <w:rFonts w:ascii="Times New Roman" w:hAnsi="Times New Roman"/>
          <w:noProof/>
          <w:sz w:val="24"/>
        </w:rPr>
        <w:t>), Eiropas Zāļu aģentūru (</w:t>
      </w:r>
      <w:r>
        <w:rPr>
          <w:rFonts w:ascii="Times New Roman" w:hAnsi="Times New Roman"/>
          <w:i/>
          <w:noProof/>
          <w:sz w:val="24"/>
        </w:rPr>
        <w:t>EMA</w:t>
      </w:r>
      <w:r>
        <w:rPr>
          <w:rFonts w:ascii="Times New Roman" w:hAnsi="Times New Roman"/>
          <w:noProof/>
          <w:sz w:val="24"/>
        </w:rPr>
        <w:t>) un Eiropas Slimību profilakses un kontroles centru (</w:t>
      </w:r>
      <w:r>
        <w:rPr>
          <w:rFonts w:ascii="Times New Roman" w:hAnsi="Times New Roman"/>
          <w:i/>
          <w:noProof/>
          <w:sz w:val="24"/>
        </w:rPr>
        <w:t>ECDC</w:t>
      </w:r>
      <w:r>
        <w:rPr>
          <w:rFonts w:ascii="Times New Roman" w:hAnsi="Times New Roman"/>
          <w:noProof/>
          <w:sz w:val="24"/>
        </w:rPr>
        <w:t xml:space="preserve">), lai tās kopīgi veiktu attiecīgos pasākumus. Tas dalībvalstīm pavērs visiedarbīgāko atbalstu un resursus </w:t>
      </w:r>
      <w:r>
        <w:rPr>
          <w:rFonts w:ascii="Times New Roman" w:hAnsi="Times New Roman"/>
          <w:i/>
          <w:noProof/>
          <w:sz w:val="24"/>
        </w:rPr>
        <w:t xml:space="preserve">AMR </w:t>
      </w:r>
      <w:r>
        <w:rPr>
          <w:rFonts w:ascii="Times New Roman" w:hAnsi="Times New Roman"/>
          <w:noProof/>
          <w:sz w:val="24"/>
        </w:rPr>
        <w:t>samazināšanai un antimikrobiālo līdzekļu iedarbīguma saglabāšanai. Pie aģentūras atbalsta pasākumiem piederēs tāda infekciju profilakse, biodrošības pasākumi un kontroļu prakse cilvēku veselības aprūpē un lopkopībā, ieskaitot akvakultūru, kas mazinātu infekciju biežumu un attiecīgi vajadzību lietot antimikrobiālos līdzekļus.</w:t>
      </w:r>
    </w:p>
    <w:p>
      <w:pPr>
        <w:autoSpaceDE w:val="0"/>
        <w:autoSpaceDN w:val="0"/>
        <w:adjustRightInd w:val="0"/>
        <w:spacing w:after="0"/>
        <w:rPr>
          <w:rFonts w:ascii="Times New Roman" w:hAnsi="Times New Roman"/>
          <w:noProof/>
          <w:sz w:val="24"/>
          <w:szCs w:val="24"/>
        </w:rPr>
      </w:pPr>
    </w:p>
    <w:p>
      <w:pPr>
        <w:rPr>
          <w:rFonts w:ascii="Times New Roman" w:hAnsi="Times New Roman"/>
          <w:noProof/>
          <w:sz w:val="24"/>
          <w:szCs w:val="24"/>
        </w:rPr>
      </w:pPr>
      <w:r>
        <w:rPr>
          <w:rFonts w:ascii="Times New Roman" w:hAnsi="Times New Roman"/>
          <w:noProof/>
          <w:sz w:val="24"/>
        </w:rPr>
        <w:t xml:space="preserve">ES pasākumi galvenokārt koncentrēsies jomās, kur sagaidāma lielākā pievienotā vērtība dalībvalstīm, piem., atbalsts antimikrobiālo līdzekļu piesardzīgai lietošanai, starpnozaru darba pastiprināšana, labāka infekciju profilakse un konsolidēta </w:t>
      </w:r>
      <w:r>
        <w:rPr>
          <w:rFonts w:ascii="Times New Roman" w:hAnsi="Times New Roman"/>
          <w:i/>
          <w:noProof/>
          <w:sz w:val="24"/>
        </w:rPr>
        <w:t>AMR</w:t>
      </w:r>
      <w:r>
        <w:rPr>
          <w:rFonts w:ascii="Times New Roman" w:hAnsi="Times New Roman"/>
          <w:noProof/>
          <w:sz w:val="24"/>
        </w:rPr>
        <w:t xml:space="preserve"> un antimikrobiālo līdzekļu patēriņa uzraudzība.</w:t>
      </w:r>
    </w:p>
    <w:p>
      <w:pPr>
        <w:autoSpaceDE w:val="0"/>
        <w:autoSpaceDN w:val="0"/>
        <w:adjustRightInd w:val="0"/>
        <w:spacing w:before="240" w:after="0"/>
        <w:rPr>
          <w:rFonts w:ascii="Times New Roman" w:hAnsi="Times New Roman"/>
          <w:noProof/>
          <w:sz w:val="24"/>
          <w:szCs w:val="24"/>
        </w:rPr>
      </w:pPr>
    </w:p>
    <w:p>
      <w:pPr>
        <w:pStyle w:val="Heading2"/>
        <w:rPr>
          <w:noProof/>
        </w:rPr>
      </w:pPr>
      <w:r>
        <w:rPr>
          <w:noProof/>
        </w:rPr>
        <w:t xml:space="preserve">Kvalitatīvāki dati un labāka izpratne par </w:t>
      </w:r>
      <w:r>
        <w:rPr>
          <w:i/>
          <w:noProof/>
        </w:rPr>
        <w:t>AMR</w:t>
      </w:r>
      <w:r>
        <w:rPr>
          <w:noProof/>
        </w:rPr>
        <w:t xml:space="preserve"> problemātiku</w:t>
      </w:r>
    </w:p>
    <w:p>
      <w:pPr>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 xml:space="preserve">Pieejā “Viena veselība” pastiprināt uzraudzību un ziņošanu par </w:t>
      </w:r>
      <w:r>
        <w:rPr>
          <w:rFonts w:ascii="Times New Roman" w:eastAsiaTheme="majorEastAsia" w:hAnsi="Times New Roman"/>
          <w:noProof/>
          <w:color w:val="000000" w:themeColor="text1"/>
          <w:sz w:val="24"/>
        </w:rPr>
        <w:t>AMR</w:t>
      </w:r>
      <w:r>
        <w:rPr>
          <w:rFonts w:ascii="Times New Roman" w:eastAsiaTheme="majorEastAsia" w:hAnsi="Times New Roman"/>
          <w:i/>
          <w:noProof/>
          <w:color w:val="000000" w:themeColor="text1"/>
          <w:sz w:val="24"/>
        </w:rPr>
        <w:t xml:space="preserve"> un antimikrobiālo līdzekļu izmantošanu</w:t>
      </w:r>
    </w:p>
    <w:p>
      <w:pPr>
        <w:keepLines/>
        <w:outlineLvl w:val="1"/>
        <w:rPr>
          <w:rFonts w:ascii="Times New Roman" w:eastAsiaTheme="majorEastAsia" w:hAnsi="Times New Roman"/>
          <w:bCs/>
          <w:noProof/>
          <w:color w:val="000000" w:themeColor="text1"/>
          <w:sz w:val="24"/>
          <w:szCs w:val="24"/>
        </w:rPr>
      </w:pPr>
      <w:r>
        <w:rPr>
          <w:rFonts w:ascii="Times New Roman" w:eastAsiaTheme="majorEastAsia" w:hAnsi="Times New Roman"/>
          <w:noProof/>
          <w:color w:val="000000" w:themeColor="text1"/>
          <w:sz w:val="24"/>
        </w:rPr>
        <w:t xml:space="preserve">Rezistenti mikroorganismi </w:t>
      </w:r>
      <w:r>
        <w:rPr>
          <w:rFonts w:ascii="Times New Roman" w:hAnsi="Times New Roman"/>
          <w:noProof/>
          <w:sz w:val="24"/>
        </w:rPr>
        <w:t xml:space="preserve">pastāv cilvēka un dzīvnieku organismā, kā arī pārtikā un vidē. Tas padara </w:t>
      </w:r>
      <w:r>
        <w:rPr>
          <w:rFonts w:ascii="Times New Roman" w:hAnsi="Times New Roman"/>
          <w:i/>
          <w:noProof/>
          <w:sz w:val="24"/>
        </w:rPr>
        <w:t>AMR</w:t>
      </w:r>
      <w:r>
        <w:rPr>
          <w:rFonts w:ascii="Times New Roman" w:hAnsi="Times New Roman"/>
          <w:noProof/>
          <w:sz w:val="24"/>
        </w:rPr>
        <w:t xml:space="preserve"> par sarežģītu epidemioloģisku uzdevumu. Galvenais </w:t>
      </w:r>
      <w:r>
        <w:rPr>
          <w:rFonts w:ascii="Times New Roman" w:hAnsi="Times New Roman"/>
          <w:i/>
          <w:noProof/>
          <w:sz w:val="24"/>
        </w:rPr>
        <w:t>AMR</w:t>
      </w:r>
      <w:r>
        <w:rPr>
          <w:rFonts w:ascii="Times New Roman" w:hAnsi="Times New Roman"/>
          <w:noProof/>
          <w:sz w:val="24"/>
        </w:rPr>
        <w:t xml:space="preserve"> iemesls ir antimikrobiālo līdzekļu izmantošana. </w:t>
      </w:r>
      <w:r>
        <w:rPr>
          <w:rFonts w:ascii="Times New Roman" w:eastAsiaTheme="majorEastAsia" w:hAnsi="Times New Roman"/>
          <w:noProof/>
          <w:color w:val="000000" w:themeColor="text1"/>
          <w:sz w:val="24"/>
        </w:rPr>
        <w:t xml:space="preserve">Tāpēc, lai varētu izprast problēmas mērogu, apzināt tendences, noteikt, kāds antimikrobiālo līdzekļu lietošanai sakars ar </w:t>
      </w:r>
      <w:r>
        <w:rPr>
          <w:rFonts w:ascii="Times New Roman" w:eastAsiaTheme="majorEastAsia" w:hAnsi="Times New Roman"/>
          <w:i/>
          <w:noProof/>
          <w:color w:val="000000" w:themeColor="text1"/>
          <w:sz w:val="24"/>
        </w:rPr>
        <w:t>AMR</w:t>
      </w:r>
      <w:r>
        <w:rPr>
          <w:rFonts w:ascii="Times New Roman" w:eastAsiaTheme="majorEastAsia" w:hAnsi="Times New Roman"/>
          <w:noProof/>
          <w:color w:val="000000" w:themeColor="text1"/>
          <w:sz w:val="24"/>
        </w:rPr>
        <w:t xml:space="preserve">, izvērtēt rīcībpolitikas un noteikt prioritātes, ir būtiski vajadzīga vispusīga, sadarbīga un koordinēta datu vākšana un analīze, ko īsteno vairākās jomās, proti, pieejas “Viena veselība” </w:t>
      </w:r>
      <w:r>
        <w:rPr>
          <w:rFonts w:ascii="Times New Roman" w:eastAsiaTheme="majorEastAsia" w:hAnsi="Times New Roman"/>
          <w:i/>
          <w:noProof/>
          <w:color w:val="000000" w:themeColor="text1"/>
          <w:sz w:val="24"/>
        </w:rPr>
        <w:t>AMR</w:t>
      </w:r>
      <w:r>
        <w:rPr>
          <w:rFonts w:ascii="Times New Roman" w:eastAsiaTheme="majorEastAsia" w:hAnsi="Times New Roman"/>
          <w:noProof/>
          <w:color w:val="000000" w:themeColor="text1"/>
          <w:sz w:val="24"/>
        </w:rPr>
        <w:t xml:space="preserve"> uzraudzības sistēma. Lai gan Eiropas Savienībā ir daudz dažādu uzraudzības sistēmu un pasākumu, kas aptver dažādus sektorus, uzraudzībā joprojām ir pārrāvumi. Lai varētu iegūt pilnīgu priekšstatu par </w:t>
      </w:r>
      <w:r>
        <w:rPr>
          <w:rFonts w:ascii="Times New Roman" w:eastAsiaTheme="majorEastAsia" w:hAnsi="Times New Roman"/>
          <w:i/>
          <w:noProof/>
          <w:color w:val="000000" w:themeColor="text1"/>
          <w:sz w:val="24"/>
        </w:rPr>
        <w:t>AMR</w:t>
      </w:r>
      <w:r>
        <w:rPr>
          <w:rFonts w:ascii="Times New Roman" w:eastAsiaTheme="majorEastAsia" w:hAnsi="Times New Roman"/>
          <w:noProof/>
          <w:color w:val="000000" w:themeColor="text1"/>
          <w:sz w:val="24"/>
        </w:rPr>
        <w:t xml:space="preserve"> epidemioloģisko situāciju Eiropas Savienībā un labāk apzināt kritiskos kontrolpunktus, ir vajadzīga integrētāka uzraudzības sistēma. Labāku pamatu, uz kura izstrādāt detalizētus noteikumus par kontroli attiecībā uz rezistentām baktērijām, piedāvā jauns dzīvnieku veselības jomas tiesiskais regulējums (Dzīvnieku veselības tiesību akts</w:t>
      </w:r>
      <w:r>
        <w:rPr>
          <w:rStyle w:val="FootnoteReference"/>
          <w:rFonts w:ascii="Times New Roman" w:hAnsi="Times New Roman"/>
          <w:noProof/>
          <w:color w:val="000000"/>
          <w:sz w:val="24"/>
        </w:rPr>
        <w:footnoteReference w:id="22"/>
      </w:r>
      <w:r>
        <w:rPr>
          <w:rFonts w:ascii="Times New Roman" w:eastAsiaTheme="majorEastAsia" w:hAnsi="Times New Roman"/>
          <w:noProof/>
          <w:color w:val="000000" w:themeColor="text1"/>
          <w:sz w:val="24"/>
        </w:rPr>
        <w:t>).</w:t>
      </w:r>
    </w:p>
    <w:p>
      <w:pPr>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Komisija:</w:t>
      </w:r>
    </w:p>
    <w:p>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lai būtu ņemtas vērā jaunākās zinātnes atziņas un datu vākšanas vajadzības, pārskatīs ES īstenošanas tiesību aktus par </w:t>
      </w:r>
      <w:r>
        <w:rPr>
          <w:rFonts w:ascii="Times New Roman" w:hAnsi="Times New Roman"/>
          <w:i/>
          <w:noProof/>
          <w:sz w:val="24"/>
        </w:rPr>
        <w:t>AMR</w:t>
      </w:r>
      <w:r>
        <w:rPr>
          <w:rFonts w:ascii="Times New Roman" w:hAnsi="Times New Roman"/>
          <w:noProof/>
          <w:sz w:val="24"/>
        </w:rPr>
        <w:t xml:space="preserve"> monitoringu attiecībā uz zoonotiskām un komensālām baktērijām lauksaimniecības dzīvnieku organismā un pārtikā</w:t>
      </w:r>
      <w:r>
        <w:rPr>
          <w:rStyle w:val="FootnoteReference"/>
          <w:rFonts w:ascii="Times New Roman" w:hAnsi="Times New Roman"/>
          <w:noProof/>
          <w:sz w:val="24"/>
        </w:rPr>
        <w:footnoteReference w:id="23"/>
      </w:r>
      <w:r>
        <w:rPr>
          <w:rFonts w:ascii="Times New Roman" w:hAnsi="Times New Roman"/>
          <w:noProof/>
          <w:sz w:val="24"/>
        </w:rPr>
        <w:t>;</w:t>
      </w:r>
    </w:p>
    <w:p>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lai būtu ņemtas vērā jaunākās zinātnes atziņas un datu vākšanas vajadzības, pārskatīs ES īstenošanas tiesību aktus, kas reglamentē ziņošanu par cilvēku infekcijas slimībām</w:t>
      </w:r>
      <w:r>
        <w:rPr>
          <w:rStyle w:val="FootnoteReference"/>
          <w:rFonts w:ascii="Times New Roman" w:hAnsi="Times New Roman"/>
          <w:noProof/>
          <w:sz w:val="24"/>
        </w:rPr>
        <w:footnoteReference w:id="24"/>
      </w:r>
      <w:r>
        <w:rPr>
          <w:rFonts w:ascii="Times New Roman" w:hAnsi="Times New Roman"/>
          <w:noProof/>
          <w:sz w:val="24"/>
        </w:rPr>
        <w:t>;</w:t>
      </w:r>
    </w:p>
    <w:p>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saskaņā ar Dzīvnieku veselības tiesību aktu un ar </w:t>
      </w:r>
      <w:r>
        <w:rPr>
          <w:rFonts w:ascii="Times New Roman" w:hAnsi="Times New Roman"/>
          <w:i/>
          <w:noProof/>
          <w:sz w:val="24"/>
        </w:rPr>
        <w:t xml:space="preserve">EFSA </w:t>
      </w:r>
      <w:r>
        <w:rPr>
          <w:rFonts w:ascii="Times New Roman" w:hAnsi="Times New Roman"/>
          <w:noProof/>
          <w:sz w:val="24"/>
        </w:rPr>
        <w:t>atbalstu apzinās un novērtēs rezistentas baktērijas, kas rada pārnēsājamas dzīvnieku slimības, un vajadzības gadījumā izstrādās saskaņotus noteikumus to uzraudzīšanai;</w:t>
      </w:r>
    </w:p>
    <w:p>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uzlabos </w:t>
      </w:r>
      <w:r>
        <w:rPr>
          <w:rFonts w:ascii="Times New Roman" w:hAnsi="Times New Roman"/>
          <w:i/>
          <w:noProof/>
          <w:sz w:val="24"/>
        </w:rPr>
        <w:t>AMR</w:t>
      </w:r>
      <w:r>
        <w:rPr>
          <w:rFonts w:ascii="Times New Roman" w:hAnsi="Times New Roman"/>
          <w:noProof/>
          <w:sz w:val="24"/>
        </w:rPr>
        <w:t xml:space="preserve"> atklāšanu cilvēka veselības nozarē, gādājot, ka ES atbalsta sadarbību tīklos un references laboratoriju darbību;</w:t>
      </w:r>
    </w:p>
    <w:p>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apsvērs risinājumus, kā saskaņoti monitorēt </w:t>
      </w:r>
      <w:r>
        <w:rPr>
          <w:rFonts w:ascii="Times New Roman" w:hAnsi="Times New Roman"/>
          <w:i/>
          <w:noProof/>
          <w:sz w:val="24"/>
        </w:rPr>
        <w:t>AMR</w:t>
      </w:r>
      <w:r>
        <w:rPr>
          <w:rFonts w:ascii="Times New Roman" w:hAnsi="Times New Roman"/>
          <w:noProof/>
          <w:sz w:val="24"/>
        </w:rPr>
        <w:t xml:space="preserve"> vidē, arī izmantojot veterinārās nozares nacionālo references laboratoriju tīklu.</w:t>
      </w:r>
    </w:p>
    <w:p>
      <w:pPr>
        <w:keepNext/>
        <w:keepLines/>
        <w:outlineLvl w:val="1"/>
        <w:rPr>
          <w:rFonts w:ascii="Times New Roman" w:eastAsia="MS Mincho" w:hAnsi="Times New Roman"/>
          <w:i/>
          <w:noProof/>
          <w:color w:val="000000"/>
          <w:sz w:val="24"/>
          <w:szCs w:val="24"/>
        </w:rPr>
      </w:pPr>
      <w:r>
        <w:rPr>
          <w:rFonts w:ascii="Times New Roman" w:hAnsi="Times New Roman"/>
          <w:i/>
          <w:noProof/>
          <w:color w:val="000000"/>
          <w:sz w:val="24"/>
        </w:rPr>
        <w:t>Izmantot labāko uz pierādījumiem balstīto analīzi un labākos datus</w:t>
      </w:r>
    </w:p>
    <w:p>
      <w:pPr>
        <w:keepNext/>
        <w:keepLines/>
        <w:outlineLvl w:val="1"/>
        <w:rPr>
          <w:rFonts w:ascii="Times New Roman" w:eastAsia="MS Mincho" w:hAnsi="Times New Roman"/>
          <w:noProof/>
          <w:color w:val="000000"/>
          <w:sz w:val="24"/>
          <w:szCs w:val="24"/>
        </w:rPr>
      </w:pPr>
      <w:r>
        <w:rPr>
          <w:rFonts w:ascii="Times New Roman" w:hAnsi="Times New Roman"/>
          <w:noProof/>
          <w:color w:val="000000"/>
          <w:sz w:val="24"/>
        </w:rPr>
        <w:t xml:space="preserve">Augsti kvalitatīva pētniecība, dati un analīze ir ļoti nepieciešami kā bāze jauniem pret </w:t>
      </w:r>
      <w:r>
        <w:rPr>
          <w:rFonts w:ascii="Times New Roman" w:hAnsi="Times New Roman"/>
          <w:i/>
          <w:noProof/>
          <w:color w:val="000000"/>
          <w:sz w:val="24"/>
        </w:rPr>
        <w:t>AMR</w:t>
      </w:r>
      <w:r>
        <w:rPr>
          <w:rFonts w:ascii="Times New Roman" w:hAnsi="Times New Roman"/>
          <w:noProof/>
          <w:color w:val="000000"/>
          <w:sz w:val="24"/>
        </w:rPr>
        <w:t xml:space="preserve"> vērstiem pasākumiem un kā palīdzība rīcībpolitikas veidotājiem līdzšinējo pasākumu uzlabošanai. Zināms informācijas apjoms dalībvalstīm jau ir, taču jauna uzticama informācija vēl jāģenerē.</w:t>
      </w:r>
    </w:p>
    <w:p>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Komisija:</w:t>
      </w:r>
    </w:p>
    <w:p>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 xml:space="preserve">ar </w:t>
      </w:r>
      <w:r>
        <w:rPr>
          <w:rFonts w:ascii="Times New Roman" w:hAnsi="Times New Roman"/>
          <w:i/>
          <w:noProof/>
          <w:sz w:val="24"/>
        </w:rPr>
        <w:t>ECDC</w:t>
      </w:r>
      <w:r>
        <w:rPr>
          <w:rFonts w:ascii="Times New Roman" w:hAnsi="Times New Roman"/>
          <w:noProof/>
          <w:sz w:val="24"/>
        </w:rPr>
        <w:t xml:space="preserve">, </w:t>
      </w:r>
      <w:r>
        <w:rPr>
          <w:rFonts w:ascii="Times New Roman" w:hAnsi="Times New Roman"/>
          <w:i/>
          <w:noProof/>
          <w:sz w:val="24"/>
        </w:rPr>
        <w:t>EMA</w:t>
      </w:r>
      <w:r>
        <w:rPr>
          <w:rFonts w:ascii="Times New Roman" w:hAnsi="Times New Roman"/>
          <w:noProof/>
          <w:sz w:val="24"/>
        </w:rPr>
        <w:t xml:space="preserve"> un </w:t>
      </w:r>
      <w:r>
        <w:rPr>
          <w:rFonts w:ascii="Times New Roman" w:hAnsi="Times New Roman"/>
          <w:i/>
          <w:noProof/>
          <w:sz w:val="24"/>
        </w:rPr>
        <w:t>EFSA</w:t>
      </w:r>
      <w:r>
        <w:rPr>
          <w:rFonts w:ascii="Times New Roman" w:hAnsi="Times New Roman"/>
          <w:noProof/>
          <w:sz w:val="24"/>
        </w:rPr>
        <w:t xml:space="preserve"> starpniecību sagādās uz pierādījumiem balstītus datus par iespējamajām saiknēm starp antimikrobiālo līdzekļu patēriņu un to, ka cilvēka un produktīvo dzīvnieku organismā parādās rezistence pret antimikrobiālajiem līdzekļiem</w:t>
      </w:r>
      <w:r>
        <w:rPr>
          <w:rFonts w:ascii="Times New Roman" w:hAnsi="Times New Roman"/>
          <w:noProof/>
          <w:color w:val="000000"/>
          <w:sz w:val="24"/>
        </w:rPr>
        <w:t>;</w:t>
      </w:r>
    </w:p>
    <w:p>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 xml:space="preserve">lai mērītu ES un dalībvalstu panākumus cīņā pret </w:t>
      </w:r>
      <w:r>
        <w:rPr>
          <w:rFonts w:ascii="Times New Roman" w:hAnsi="Times New Roman"/>
          <w:i/>
          <w:noProof/>
          <w:sz w:val="24"/>
        </w:rPr>
        <w:t>AMR</w:t>
      </w:r>
      <w:r>
        <w:rPr>
          <w:rFonts w:ascii="Times New Roman" w:hAnsi="Times New Roman"/>
          <w:noProof/>
          <w:sz w:val="24"/>
        </w:rPr>
        <w:t xml:space="preserve">, ar </w:t>
      </w:r>
      <w:r>
        <w:rPr>
          <w:rFonts w:ascii="Times New Roman" w:hAnsi="Times New Roman"/>
          <w:i/>
          <w:noProof/>
          <w:sz w:val="24"/>
        </w:rPr>
        <w:t>ECDC</w:t>
      </w:r>
      <w:r>
        <w:rPr>
          <w:rFonts w:ascii="Times New Roman" w:hAnsi="Times New Roman"/>
          <w:noProof/>
          <w:sz w:val="24"/>
        </w:rPr>
        <w:t xml:space="preserve">, </w:t>
      </w:r>
      <w:r>
        <w:rPr>
          <w:rFonts w:ascii="Times New Roman" w:hAnsi="Times New Roman"/>
          <w:i/>
          <w:noProof/>
          <w:sz w:val="24"/>
        </w:rPr>
        <w:t>EMA</w:t>
      </w:r>
      <w:r>
        <w:rPr>
          <w:rFonts w:ascii="Times New Roman" w:hAnsi="Times New Roman"/>
          <w:noProof/>
          <w:sz w:val="24"/>
        </w:rPr>
        <w:t xml:space="preserve"> un </w:t>
      </w:r>
      <w:r>
        <w:rPr>
          <w:rFonts w:ascii="Times New Roman" w:hAnsi="Times New Roman"/>
          <w:i/>
          <w:noProof/>
          <w:sz w:val="24"/>
        </w:rPr>
        <w:t>EFSA</w:t>
      </w:r>
      <w:r>
        <w:rPr>
          <w:rFonts w:ascii="Times New Roman" w:hAnsi="Times New Roman"/>
          <w:noProof/>
          <w:sz w:val="24"/>
        </w:rPr>
        <w:t xml:space="preserve"> atbalstu definēs nedaudzus galvenos iznākuma rādītājus attiecībā uz </w:t>
      </w:r>
      <w:r>
        <w:rPr>
          <w:rFonts w:ascii="Times New Roman" w:hAnsi="Times New Roman"/>
          <w:i/>
          <w:noProof/>
          <w:sz w:val="24"/>
        </w:rPr>
        <w:t>AMR</w:t>
      </w:r>
      <w:r>
        <w:rPr>
          <w:rFonts w:ascii="Times New Roman" w:hAnsi="Times New Roman"/>
          <w:noProof/>
          <w:sz w:val="24"/>
        </w:rPr>
        <w:t xml:space="preserve"> un antimikrobiālo līdzekļu patēriņu</w:t>
      </w:r>
      <w:r>
        <w:rPr>
          <w:rFonts w:ascii="Times New Roman" w:hAnsi="Times New Roman"/>
          <w:noProof/>
          <w:color w:val="000000"/>
          <w:sz w:val="24"/>
        </w:rPr>
        <w:t>;</w:t>
      </w:r>
    </w:p>
    <w:p>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 xml:space="preserve">ar ESAO starpniecību izstrādās modeli, kura mērķis ir dalībvalstīm palīdzēt novērtēt ekonomisko slogu, ko </w:t>
      </w:r>
      <w:r>
        <w:rPr>
          <w:rFonts w:ascii="Times New Roman" w:hAnsi="Times New Roman"/>
          <w:i/>
          <w:noProof/>
          <w:sz w:val="24"/>
        </w:rPr>
        <w:t>AMR</w:t>
      </w:r>
      <w:r>
        <w:rPr>
          <w:rFonts w:ascii="Times New Roman" w:hAnsi="Times New Roman"/>
          <w:noProof/>
          <w:sz w:val="24"/>
        </w:rPr>
        <w:t xml:space="preserve"> rada cilvēkiem, un izvērtēt savu </w:t>
      </w:r>
      <w:r>
        <w:rPr>
          <w:rFonts w:ascii="Times New Roman" w:hAnsi="Times New Roman"/>
          <w:i/>
          <w:noProof/>
          <w:sz w:val="24"/>
        </w:rPr>
        <w:t>AMR</w:t>
      </w:r>
      <w:r>
        <w:rPr>
          <w:rFonts w:ascii="Times New Roman" w:hAnsi="Times New Roman"/>
          <w:noProof/>
          <w:sz w:val="24"/>
        </w:rPr>
        <w:t xml:space="preserve"> mazināšanas rīcībpolitiku rentabilitāti</w:t>
      </w:r>
      <w:r>
        <w:rPr>
          <w:rFonts w:ascii="Times New Roman" w:hAnsi="Times New Roman"/>
          <w:noProof/>
          <w:color w:val="000000"/>
          <w:sz w:val="24"/>
        </w:rPr>
        <w:t>.</w:t>
      </w:r>
    </w:p>
    <w:p>
      <w:pPr>
        <w:keepLines/>
        <w:outlineLvl w:val="1"/>
        <w:rPr>
          <w:rFonts w:ascii="Times New Roman" w:eastAsia="MS Mincho" w:hAnsi="Times New Roman"/>
          <w:i/>
          <w:noProof/>
          <w:color w:val="000000"/>
          <w:sz w:val="24"/>
          <w:szCs w:val="24"/>
        </w:rPr>
      </w:pPr>
      <w:r>
        <w:rPr>
          <w:rFonts w:ascii="Times New Roman" w:hAnsi="Times New Roman"/>
          <w:i/>
          <w:noProof/>
          <w:color w:val="000000"/>
          <w:sz w:val="24"/>
        </w:rPr>
        <w:t>Vairot zināšanas un izpratni</w:t>
      </w:r>
    </w:p>
    <w:p>
      <w:pPr>
        <w:keepLines/>
        <w:outlineLvl w:val="1"/>
        <w:rPr>
          <w:rFonts w:ascii="Times New Roman" w:eastAsia="MS Mincho" w:hAnsi="Times New Roman"/>
          <w:i/>
          <w:noProof/>
          <w:color w:val="000000"/>
          <w:sz w:val="24"/>
          <w:szCs w:val="24"/>
        </w:rPr>
      </w:pPr>
      <w:r>
        <w:rPr>
          <w:rFonts w:ascii="Times New Roman" w:hAnsi="Times New Roman"/>
          <w:noProof/>
          <w:color w:val="000000"/>
          <w:sz w:val="24"/>
        </w:rPr>
        <w:t xml:space="preserve">Vairākas kopš 2010. gada īstenotas Eirobarometra aptaujas par </w:t>
      </w:r>
      <w:r>
        <w:rPr>
          <w:rFonts w:ascii="Times New Roman" w:hAnsi="Times New Roman"/>
          <w:i/>
          <w:noProof/>
          <w:color w:val="000000"/>
          <w:sz w:val="24"/>
        </w:rPr>
        <w:t>AMR</w:t>
      </w:r>
      <w:r>
        <w:rPr>
          <w:rStyle w:val="FootnoteReference"/>
          <w:rFonts w:ascii="Times New Roman" w:hAnsi="Times New Roman"/>
          <w:noProof/>
          <w:color w:val="000000"/>
          <w:sz w:val="24"/>
        </w:rPr>
        <w:footnoteReference w:id="25"/>
      </w:r>
      <w:r>
        <w:rPr>
          <w:rFonts w:ascii="Times New Roman" w:hAnsi="Times New Roman"/>
          <w:noProof/>
          <w:color w:val="000000"/>
          <w:sz w:val="24"/>
        </w:rPr>
        <w:t xml:space="preserve"> liecina, ka izpratne par sakaru starp antimikrobiālo līdzekļu izmantošanu un</w:t>
      </w:r>
      <w:r>
        <w:rPr>
          <w:rFonts w:ascii="Times New Roman" w:hAnsi="Times New Roman"/>
          <w:i/>
          <w:noProof/>
          <w:color w:val="000000"/>
          <w:sz w:val="24"/>
        </w:rPr>
        <w:t xml:space="preserve"> AMR</w:t>
      </w:r>
      <w:r>
        <w:rPr>
          <w:rFonts w:ascii="Times New Roman" w:hAnsi="Times New Roman"/>
          <w:noProof/>
          <w:color w:val="000000"/>
          <w:sz w:val="24"/>
        </w:rPr>
        <w:t xml:space="preserve"> veidošanos un izplatību joprojām ir zemā līmenī. Tas ir būtisks iemesls nepareizai antimikrobiālo līdzekļu izmantošanai cilvēkiem un dzīvniekiem. Ir jāpanāk, lai cilvēki </w:t>
      </w:r>
      <w:r>
        <w:rPr>
          <w:rFonts w:ascii="Times New Roman" w:hAnsi="Times New Roman"/>
          <w:i/>
          <w:noProof/>
          <w:color w:val="000000"/>
          <w:sz w:val="24"/>
        </w:rPr>
        <w:t>AMR</w:t>
      </w:r>
      <w:r>
        <w:rPr>
          <w:rFonts w:ascii="Times New Roman" w:hAnsi="Times New Roman"/>
          <w:noProof/>
          <w:color w:val="000000"/>
          <w:sz w:val="24"/>
        </w:rPr>
        <w:t xml:space="preserve"> labāk izprastu un par to vairāk zinātu. ES līmeņa komunikācijas iniciatīvām vajadzētu atbalstīt, ka dalībvalstis uzlabo sabiedrības un speciālistu izpratni par </w:t>
      </w:r>
      <w:r>
        <w:rPr>
          <w:rFonts w:ascii="Times New Roman" w:hAnsi="Times New Roman"/>
          <w:i/>
          <w:noProof/>
          <w:color w:val="000000"/>
          <w:sz w:val="24"/>
        </w:rPr>
        <w:t>AMR</w:t>
      </w:r>
      <w:r>
        <w:rPr>
          <w:rFonts w:ascii="Times New Roman" w:hAnsi="Times New Roman"/>
          <w:noProof/>
          <w:color w:val="000000"/>
          <w:sz w:val="24"/>
        </w:rPr>
        <w:t>, veicināt piesardzīgu antimikrobiālo līdzekļu izmantošanu un sekmēt uz labāku informētību balstītus klīniskus lēmumus un pārdomātu antimikrobiālo līdzekļu izrakstīšanu.</w:t>
      </w:r>
    </w:p>
    <w:p>
      <w:pPr>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Komisija:</w:t>
      </w:r>
    </w:p>
    <w:p>
      <w:pPr>
        <w:pStyle w:val="ListParagraph"/>
        <w:keepLines/>
        <w:numPr>
          <w:ilvl w:val="0"/>
          <w:numId w:val="22"/>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ar Eirobarometra aptauju starpniecību informēs, kā sabiedrībā lieto antimikrobiālos līdzekļus un cik sabiedrība par tiem informēta;</w:t>
      </w:r>
    </w:p>
    <w:p>
      <w:pPr>
        <w:pStyle w:val="ListParagraph"/>
        <w:keepLines/>
        <w:numPr>
          <w:ilvl w:val="0"/>
          <w:numId w:val="22"/>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 xml:space="preserve">ar īpašiem komunikācijas instrumentiem, kas orientēti uz svarīgākajām auditorijām, atbalstīs dalībvalstu nacionālos izpratnes veicināšanas centienus un palīdzēs organizēt </w:t>
      </w:r>
      <w:r>
        <w:rPr>
          <w:rFonts w:ascii="Times New Roman" w:hAnsi="Times New Roman"/>
          <w:noProof/>
          <w:color w:val="000000"/>
          <w:sz w:val="24"/>
        </w:rPr>
        <w:t>ik gadu atzīmēto Eiropas Antibiotiku informācijas dienu (</w:t>
      </w:r>
      <w:r>
        <w:rPr>
          <w:rFonts w:ascii="Times New Roman" w:hAnsi="Times New Roman"/>
          <w:i/>
          <w:noProof/>
          <w:color w:val="000000"/>
          <w:sz w:val="24"/>
        </w:rPr>
        <w:t>EAAD</w:t>
      </w:r>
      <w:r>
        <w:rPr>
          <w:rFonts w:ascii="Times New Roman" w:hAnsi="Times New Roman"/>
          <w:noProof/>
          <w:color w:val="000000"/>
          <w:sz w:val="24"/>
        </w:rPr>
        <w:t>)</w:t>
      </w:r>
      <w:r>
        <w:rPr>
          <w:rFonts w:ascii="Times New Roman" w:hAnsi="Times New Roman"/>
          <w:noProof/>
          <w:sz w:val="24"/>
        </w:rPr>
        <w:t>.</w:t>
      </w:r>
    </w:p>
    <w:p>
      <w:pPr>
        <w:pStyle w:val="Heading2"/>
        <w:rPr>
          <w:noProof/>
        </w:rPr>
      </w:pPr>
      <w:r>
        <w:rPr>
          <w:i/>
          <w:noProof/>
        </w:rPr>
        <w:t>AMR</w:t>
      </w:r>
      <w:r>
        <w:rPr>
          <w:noProof/>
        </w:rPr>
        <w:t xml:space="preserve"> novēršanai paredzēto ES noteikumu labāka koordinācija un īstenošana</w:t>
      </w:r>
    </w:p>
    <w:p>
      <w:pPr>
        <w:keepNext/>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 xml:space="preserve">Uzlabot, kā dalībvalstis pieejā </w:t>
      </w:r>
      <w:r>
        <w:rPr>
          <w:rFonts w:ascii="Times New Roman" w:hAnsi="Times New Roman"/>
          <w:i/>
          <w:noProof/>
          <w:sz w:val="24"/>
        </w:rPr>
        <w:t>“</w:t>
      </w:r>
      <w:r>
        <w:rPr>
          <w:rFonts w:ascii="Times New Roman" w:eastAsiaTheme="majorEastAsia" w:hAnsi="Times New Roman"/>
          <w:i/>
          <w:noProof/>
          <w:color w:val="000000" w:themeColor="text1"/>
          <w:sz w:val="24"/>
        </w:rPr>
        <w:t xml:space="preserve">Viena veselība” koordinē reaģēšanu </w:t>
      </w:r>
      <w:r>
        <w:rPr>
          <w:rFonts w:ascii="Times New Roman" w:eastAsiaTheme="majorEastAsia" w:hAnsi="Times New Roman"/>
          <w:noProof/>
          <w:color w:val="000000" w:themeColor="text1"/>
          <w:sz w:val="24"/>
        </w:rPr>
        <w:t>AMR</w:t>
      </w:r>
      <w:r>
        <w:rPr>
          <w:rFonts w:ascii="Times New Roman" w:eastAsiaTheme="majorEastAsia" w:hAnsi="Times New Roman"/>
          <w:i/>
          <w:noProof/>
          <w:color w:val="000000" w:themeColor="text1"/>
          <w:sz w:val="24"/>
        </w:rPr>
        <w:t xml:space="preserve"> gadījumos</w:t>
      </w:r>
    </w:p>
    <w:p>
      <w:pPr>
        <w:keepNext/>
        <w:keepLines/>
        <w:rPr>
          <w:rFonts w:ascii="Times New Roman" w:hAnsi="Times New Roman"/>
          <w:noProof/>
          <w:sz w:val="24"/>
          <w:szCs w:val="24"/>
        </w:rPr>
      </w:pPr>
      <w:r>
        <w:rPr>
          <w:rFonts w:ascii="Times New Roman" w:hAnsi="Times New Roman"/>
          <w:i/>
          <w:noProof/>
          <w:sz w:val="24"/>
        </w:rPr>
        <w:t>AMR</w:t>
      </w:r>
      <w:r>
        <w:rPr>
          <w:rFonts w:ascii="Times New Roman" w:hAnsi="Times New Roman"/>
          <w:noProof/>
          <w:sz w:val="24"/>
        </w:rPr>
        <w:t xml:space="preserve"> Eiropas Savienībā arvien vairāk izplatoties, ļoti nepieciešams nodrošināt, lai no sekmīgām stratēģijām gūta mācība kļūtu pieejama visās dalībvalstīs. </w:t>
      </w:r>
      <w:r>
        <w:rPr>
          <w:rFonts w:ascii="Times New Roman" w:hAnsi="Times New Roman"/>
          <w:i/>
          <w:noProof/>
          <w:sz w:val="24"/>
        </w:rPr>
        <w:t>AMR</w:t>
      </w:r>
      <w:r>
        <w:rPr>
          <w:rFonts w:ascii="Times New Roman" w:hAnsi="Times New Roman"/>
          <w:noProof/>
          <w:sz w:val="24"/>
        </w:rPr>
        <w:t xml:space="preserve"> kā pārrobežu veselības apdraudējuma apkarošanā</w:t>
      </w:r>
      <w:r>
        <w:rPr>
          <w:rStyle w:val="FootnoteReference"/>
          <w:rFonts w:ascii="Times New Roman" w:hAnsi="Times New Roman"/>
          <w:noProof/>
          <w:sz w:val="24"/>
        </w:rPr>
        <w:footnoteReference w:id="26"/>
      </w:r>
      <w:r>
        <w:rPr>
          <w:rFonts w:ascii="Times New Roman" w:hAnsi="Times New Roman"/>
          <w:noProof/>
          <w:sz w:val="24"/>
        </w:rPr>
        <w:t xml:space="preserve"> izšķirīgi svarīgi ir apzināt paraugpraksi un labākās rīcībpolitikas, tajās dalīties un ar tām apmainīties, lai nerīkošanās kādā atsevišķā reģionā vai nozarē negrautu pārējo reģionu un nozaru panākumus. Lai atbalstītu un paātrinātu šādu sadarbību, 2017. gada sākumā Komisija pieejā “Viena veselība” izveidoja </w:t>
      </w:r>
      <w:r>
        <w:rPr>
          <w:rFonts w:ascii="Times New Roman" w:hAnsi="Times New Roman"/>
          <w:i/>
          <w:noProof/>
          <w:sz w:val="24"/>
        </w:rPr>
        <w:t>AMR</w:t>
      </w:r>
      <w:r>
        <w:rPr>
          <w:rFonts w:ascii="Times New Roman" w:hAnsi="Times New Roman"/>
          <w:noProof/>
          <w:sz w:val="24"/>
        </w:rPr>
        <w:t xml:space="preserve"> apkarošanas tīklu, ko veido valstu eksperti no cilvēka veselības, dzīvnieku veselības un vides nozares, kā arī ES zinātniskās aģentūras, kuras darbojas cilvēka un dzīvnieku veselības nozarē (</w:t>
      </w:r>
      <w:r>
        <w:rPr>
          <w:rFonts w:ascii="Times New Roman" w:hAnsi="Times New Roman"/>
          <w:i/>
          <w:noProof/>
          <w:sz w:val="24"/>
        </w:rPr>
        <w:t>ECDC</w:t>
      </w:r>
      <w:r>
        <w:rPr>
          <w:rFonts w:ascii="Times New Roman" w:hAnsi="Times New Roman"/>
          <w:noProof/>
          <w:sz w:val="24"/>
        </w:rPr>
        <w:t xml:space="preserve">, </w:t>
      </w:r>
      <w:r>
        <w:rPr>
          <w:rFonts w:ascii="Times New Roman" w:hAnsi="Times New Roman"/>
          <w:i/>
          <w:noProof/>
          <w:sz w:val="24"/>
        </w:rPr>
        <w:t>EMA</w:t>
      </w:r>
      <w:r>
        <w:rPr>
          <w:rFonts w:ascii="Times New Roman" w:hAnsi="Times New Roman"/>
          <w:noProof/>
          <w:sz w:val="24"/>
        </w:rPr>
        <w:t xml:space="preserve"> un </w:t>
      </w:r>
      <w:r>
        <w:rPr>
          <w:rFonts w:ascii="Times New Roman" w:hAnsi="Times New Roman"/>
          <w:i/>
          <w:noProof/>
          <w:sz w:val="24"/>
        </w:rPr>
        <w:t>EFSA</w:t>
      </w:r>
      <w:r>
        <w:rPr>
          <w:rFonts w:ascii="Times New Roman" w:hAnsi="Times New Roman"/>
          <w:noProof/>
          <w:sz w:val="24"/>
        </w:rPr>
        <w:t xml:space="preserve">). Pieejas “Viena veselība” </w:t>
      </w:r>
      <w:r>
        <w:rPr>
          <w:rFonts w:ascii="Times New Roman" w:hAnsi="Times New Roman"/>
          <w:i/>
          <w:noProof/>
          <w:sz w:val="24"/>
        </w:rPr>
        <w:t xml:space="preserve">AMR </w:t>
      </w:r>
      <w:r>
        <w:rPr>
          <w:rFonts w:ascii="Times New Roman" w:hAnsi="Times New Roman"/>
          <w:noProof/>
          <w:sz w:val="24"/>
        </w:rPr>
        <w:t xml:space="preserve">apkarošanas tīkla dalībnieki tiecas atvieglināt savstarpēju mācīšanos, dalīties ar novatoriskām idejām, panākt vienprātību, salīdzināt svarīgākajās jomās gūtos panākumus un vajadzības gadījumā intensificēt nacionālos centienus </w:t>
      </w:r>
      <w:r>
        <w:rPr>
          <w:rFonts w:ascii="Times New Roman" w:hAnsi="Times New Roman"/>
          <w:i/>
          <w:noProof/>
          <w:sz w:val="24"/>
        </w:rPr>
        <w:t xml:space="preserve">AMR </w:t>
      </w:r>
      <w:r>
        <w:rPr>
          <w:rFonts w:ascii="Times New Roman" w:hAnsi="Times New Roman"/>
          <w:noProof/>
          <w:sz w:val="24"/>
        </w:rPr>
        <w:t>apkarošanā.</w:t>
      </w:r>
    </w:p>
    <w:p>
      <w:pPr>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Komisija:</w:t>
      </w:r>
    </w:p>
    <w:p>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darīs pieejamu “Vienas veselības” </w:t>
      </w:r>
      <w:r>
        <w:rPr>
          <w:rFonts w:ascii="Times New Roman" w:hAnsi="Times New Roman"/>
          <w:i/>
          <w:noProof/>
          <w:sz w:val="24"/>
        </w:rPr>
        <w:t>AMR</w:t>
      </w:r>
      <w:r>
        <w:rPr>
          <w:rFonts w:ascii="Times New Roman" w:hAnsi="Times New Roman"/>
          <w:noProof/>
          <w:sz w:val="24"/>
        </w:rPr>
        <w:t xml:space="preserve"> apkarošanas tīkla kontekstā regulāri saņemtu informāciju, tādējādi sniedzot pārskatu par </w:t>
      </w:r>
      <w:r>
        <w:rPr>
          <w:rFonts w:ascii="Times New Roman" w:hAnsi="Times New Roman"/>
          <w:i/>
          <w:noProof/>
          <w:sz w:val="24"/>
        </w:rPr>
        <w:t>AMR</w:t>
      </w:r>
      <w:r>
        <w:rPr>
          <w:rFonts w:ascii="Times New Roman" w:hAnsi="Times New Roman"/>
          <w:noProof/>
          <w:sz w:val="24"/>
        </w:rPr>
        <w:t xml:space="preserve"> epidemioloģisko situāciju dalībvalstu un Eiropas Savienības līmenī; </w:t>
      </w:r>
    </w:p>
    <w:p>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Komisijas un </w:t>
      </w:r>
      <w:r>
        <w:rPr>
          <w:rFonts w:ascii="Times New Roman" w:hAnsi="Times New Roman"/>
          <w:i/>
          <w:noProof/>
          <w:sz w:val="24"/>
        </w:rPr>
        <w:t xml:space="preserve">ECDC </w:t>
      </w:r>
      <w:r>
        <w:rPr>
          <w:rFonts w:ascii="Times New Roman" w:hAnsi="Times New Roman"/>
          <w:noProof/>
          <w:sz w:val="24"/>
        </w:rPr>
        <w:t xml:space="preserve">pārstāvjiem pēc pieprasījuma apmeklējot dalībvalstīs, atbalstīs “Vienas veselības” nacionālo </w:t>
      </w:r>
      <w:r>
        <w:rPr>
          <w:rFonts w:ascii="Times New Roman" w:hAnsi="Times New Roman"/>
          <w:i/>
          <w:noProof/>
          <w:sz w:val="24"/>
        </w:rPr>
        <w:t>AMR</w:t>
      </w:r>
      <w:r>
        <w:rPr>
          <w:rFonts w:ascii="Times New Roman" w:hAnsi="Times New Roman"/>
          <w:noProof/>
          <w:sz w:val="24"/>
        </w:rPr>
        <w:t xml:space="preserve"> apkarošanas rīcības plānu īstenošanu;</w:t>
      </w:r>
    </w:p>
    <w:p>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nāks klajā ar kopīgu rīcību</w:t>
      </w:r>
      <w:r>
        <w:rPr>
          <w:rStyle w:val="FootnoteReference"/>
          <w:rFonts w:ascii="Times New Roman" w:hAnsi="Times New Roman"/>
          <w:noProof/>
          <w:sz w:val="24"/>
        </w:rPr>
        <w:footnoteReference w:id="27"/>
      </w:r>
      <w:r>
        <w:rPr>
          <w:rFonts w:ascii="Times New Roman" w:hAnsi="Times New Roman"/>
          <w:noProof/>
          <w:sz w:val="24"/>
        </w:rPr>
        <w:t xml:space="preserve">, kas atbalsta, ka dalībvalstis sadarbojas un izstrādā rīcībpolitikas </w:t>
      </w:r>
      <w:r>
        <w:rPr>
          <w:rFonts w:ascii="Times New Roman" w:hAnsi="Times New Roman"/>
          <w:i/>
          <w:noProof/>
          <w:sz w:val="24"/>
        </w:rPr>
        <w:t>AMR</w:t>
      </w:r>
      <w:r>
        <w:rPr>
          <w:rFonts w:ascii="Times New Roman" w:hAnsi="Times New Roman"/>
          <w:noProof/>
          <w:sz w:val="24"/>
        </w:rPr>
        <w:t xml:space="preserve"> un veselības aprūpē iegūtu infekciju apkarošanā;</w:t>
      </w:r>
    </w:p>
    <w:p>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lai pastiprinātu koordināciju un sekmētu informācijas apmaiņu, veterinārijas un pārtikas jomā vairāk izmantos ES Veselības drošības komiteju un Komisijas </w:t>
      </w:r>
      <w:r>
        <w:rPr>
          <w:rFonts w:ascii="Times New Roman" w:hAnsi="Times New Roman"/>
          <w:i/>
          <w:noProof/>
          <w:sz w:val="24"/>
        </w:rPr>
        <w:t>AMR</w:t>
      </w:r>
      <w:r>
        <w:rPr>
          <w:rFonts w:ascii="Times New Roman" w:hAnsi="Times New Roman"/>
          <w:noProof/>
          <w:sz w:val="24"/>
        </w:rPr>
        <w:t xml:space="preserve"> darba grupu;</w:t>
      </w:r>
    </w:p>
    <w:p>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centīsies līdzfinansēt PVO un ar to sadarboties pasākumos, kas ES dalībvalstīm palīdzēs izstrādāt un īstenot “Vienas veselības” nacionālos </w:t>
      </w:r>
      <w:r>
        <w:rPr>
          <w:rFonts w:ascii="Times New Roman" w:hAnsi="Times New Roman"/>
          <w:i/>
          <w:noProof/>
          <w:sz w:val="24"/>
        </w:rPr>
        <w:t>AMR</w:t>
      </w:r>
      <w:r>
        <w:rPr>
          <w:rFonts w:ascii="Times New Roman" w:hAnsi="Times New Roman"/>
          <w:noProof/>
          <w:sz w:val="24"/>
        </w:rPr>
        <w:t xml:space="preserve"> apkarošanas rīcības plānus.</w:t>
      </w:r>
    </w:p>
    <w:p>
      <w:pPr>
        <w:keepLines/>
        <w:outlineLvl w:val="1"/>
        <w:rPr>
          <w:noProof/>
        </w:rPr>
      </w:pPr>
      <w:r>
        <w:rPr>
          <w:rFonts w:ascii="Times New Roman" w:eastAsiaTheme="majorEastAsia" w:hAnsi="Times New Roman"/>
          <w:i/>
          <w:noProof/>
          <w:color w:val="000000" w:themeColor="text1"/>
          <w:sz w:val="24"/>
        </w:rPr>
        <w:t>Labāk īstenot ES noteikumus</w:t>
      </w:r>
    </w:p>
    <w:p>
      <w:pPr>
        <w:keepLines/>
        <w:outlineLvl w:val="1"/>
        <w:rPr>
          <w:rFonts w:ascii="Times New Roman" w:eastAsia="MS Mincho" w:hAnsi="Times New Roman"/>
          <w:noProof/>
          <w:color w:val="000000"/>
          <w:sz w:val="24"/>
          <w:szCs w:val="24"/>
        </w:rPr>
      </w:pPr>
      <w:r>
        <w:rPr>
          <w:rFonts w:ascii="Times New Roman" w:hAnsi="Times New Roman"/>
          <w:noProof/>
          <w:color w:val="000000"/>
          <w:sz w:val="24"/>
        </w:rPr>
        <w:t xml:space="preserve">Lai gūtu ilgstošus rezultātus un radītu vajadzīgo impulsu, ir svarīgi, lai tiktu attiecīgi īstenoti ar </w:t>
      </w:r>
      <w:r>
        <w:rPr>
          <w:rFonts w:ascii="Times New Roman" w:hAnsi="Times New Roman"/>
          <w:i/>
          <w:noProof/>
          <w:color w:val="000000"/>
          <w:sz w:val="24"/>
        </w:rPr>
        <w:t>AMR</w:t>
      </w:r>
      <w:r>
        <w:rPr>
          <w:rFonts w:ascii="Times New Roman" w:hAnsi="Times New Roman"/>
          <w:noProof/>
          <w:color w:val="000000"/>
          <w:sz w:val="24"/>
        </w:rPr>
        <w:t xml:space="preserve"> saistītie ES tiesību akti (piem., noteikumi par </w:t>
      </w:r>
      <w:r>
        <w:rPr>
          <w:rFonts w:ascii="Times New Roman" w:hAnsi="Times New Roman"/>
          <w:i/>
          <w:noProof/>
          <w:color w:val="000000"/>
          <w:sz w:val="24"/>
        </w:rPr>
        <w:t xml:space="preserve">AMR </w:t>
      </w:r>
      <w:r>
        <w:rPr>
          <w:rFonts w:ascii="Times New Roman" w:hAnsi="Times New Roman"/>
          <w:noProof/>
          <w:color w:val="000000"/>
          <w:sz w:val="24"/>
        </w:rPr>
        <w:t xml:space="preserve">monitoringu produktīvajiem dzīvniekiem, par veterināro zāļu lietošanu un par barību, kam pievienotas zāles). No tā izriet, ka pienācīgi jāapmāca oficiālās kontroles pasākumos iesaistītie dalībvalstu darbinieki un tiem nepārtraukti jāsaņem atjaunināta informācija par visiem ar </w:t>
      </w:r>
      <w:r>
        <w:rPr>
          <w:rFonts w:ascii="Times New Roman" w:hAnsi="Times New Roman"/>
          <w:i/>
          <w:noProof/>
          <w:color w:val="000000"/>
          <w:sz w:val="24"/>
        </w:rPr>
        <w:t>AMR</w:t>
      </w:r>
      <w:r>
        <w:rPr>
          <w:rFonts w:ascii="Times New Roman" w:hAnsi="Times New Roman"/>
          <w:noProof/>
          <w:color w:val="000000"/>
          <w:sz w:val="24"/>
        </w:rPr>
        <w:t xml:space="preserve"> saistīto ES tiesību aktu elementiem, lai būtu drošība, ka kontroles visās dalībvalstīs tiek veiktas vienveidīgi un objektīvi.</w:t>
      </w:r>
    </w:p>
    <w:p>
      <w:pPr>
        <w:keepNext/>
        <w:pBdr>
          <w:top w:val="single" w:sz="4" w:space="1" w:color="auto"/>
          <w:left w:val="single" w:sz="4" w:space="4" w:color="auto"/>
          <w:bottom w:val="single" w:sz="4" w:space="0"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Komisija:</w:t>
      </w:r>
    </w:p>
    <w:p>
      <w:pPr>
        <w:pStyle w:val="ListParagraph"/>
        <w:keepNext/>
        <w:numPr>
          <w:ilvl w:val="0"/>
          <w:numId w:val="23"/>
        </w:numPr>
        <w:pBdr>
          <w:top w:val="single" w:sz="4" w:space="1" w:color="auto"/>
          <w:left w:val="single" w:sz="4" w:space="4" w:color="auto"/>
          <w:bottom w:val="single" w:sz="4" w:space="0"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joprojām veicot regulāras revīzijas dalībvalstīs, novērtēs, cik rezultatīvi tiek īstenoti ES tiesību akti</w:t>
      </w:r>
      <w:r>
        <w:rPr>
          <w:rStyle w:val="FootnoteReference"/>
          <w:rFonts w:ascii="Times New Roman" w:hAnsi="Times New Roman"/>
          <w:noProof/>
          <w:color w:val="000000"/>
          <w:sz w:val="24"/>
        </w:rPr>
        <w:footnoteReference w:id="28"/>
      </w:r>
      <w:r>
        <w:rPr>
          <w:rFonts w:ascii="Times New Roman" w:hAnsi="Times New Roman"/>
          <w:noProof/>
          <w:color w:val="000000"/>
          <w:sz w:val="24"/>
        </w:rPr>
        <w:t xml:space="preserve"> cita starpā par </w:t>
      </w:r>
      <w:r>
        <w:rPr>
          <w:rFonts w:ascii="Times New Roman" w:hAnsi="Times New Roman"/>
          <w:i/>
          <w:noProof/>
          <w:color w:val="000000"/>
          <w:sz w:val="24"/>
        </w:rPr>
        <w:t>AMR</w:t>
      </w:r>
      <w:r>
        <w:rPr>
          <w:rFonts w:ascii="Times New Roman" w:hAnsi="Times New Roman"/>
          <w:noProof/>
          <w:color w:val="000000"/>
          <w:sz w:val="24"/>
        </w:rPr>
        <w:t xml:space="preserve"> monitoringu produktīvo dzīvnieku populācijās un pārtikā;</w:t>
      </w:r>
    </w:p>
    <w:p>
      <w:pPr>
        <w:pStyle w:val="ListParagraph"/>
        <w:keepNext/>
        <w:numPr>
          <w:ilvl w:val="0"/>
          <w:numId w:val="23"/>
        </w:numPr>
        <w:pBdr>
          <w:top w:val="single" w:sz="4" w:space="1" w:color="auto"/>
          <w:left w:val="single" w:sz="4" w:space="4" w:color="auto"/>
          <w:bottom w:val="single" w:sz="4" w:space="0"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iniciatīvā “Labāka apmācība nekaitīgai pārtikai” (</w:t>
      </w:r>
      <w:r>
        <w:rPr>
          <w:rFonts w:ascii="Times New Roman" w:hAnsi="Times New Roman"/>
          <w:i/>
          <w:noProof/>
          <w:color w:val="000000"/>
          <w:sz w:val="24"/>
        </w:rPr>
        <w:t>BTSF</w:t>
      </w:r>
      <w:r>
        <w:rPr>
          <w:rFonts w:ascii="Times New Roman" w:hAnsi="Times New Roman"/>
          <w:noProof/>
          <w:color w:val="000000"/>
          <w:sz w:val="24"/>
        </w:rPr>
        <w:t xml:space="preserve">) izstrādās </w:t>
      </w:r>
      <w:r>
        <w:rPr>
          <w:rFonts w:ascii="Times New Roman" w:hAnsi="Times New Roman"/>
          <w:i/>
          <w:noProof/>
          <w:color w:val="000000"/>
          <w:sz w:val="24"/>
        </w:rPr>
        <w:t>AMR</w:t>
      </w:r>
      <w:r>
        <w:rPr>
          <w:rFonts w:ascii="Times New Roman" w:hAnsi="Times New Roman"/>
          <w:noProof/>
          <w:color w:val="000000"/>
          <w:sz w:val="24"/>
        </w:rPr>
        <w:t xml:space="preserve"> veltītas mācību programmas dalībvalstu kompetentajām iestādēm, savukārt ar </w:t>
      </w:r>
      <w:r>
        <w:rPr>
          <w:rFonts w:ascii="Times New Roman" w:hAnsi="Times New Roman"/>
          <w:i/>
          <w:noProof/>
          <w:color w:val="000000"/>
          <w:sz w:val="24"/>
        </w:rPr>
        <w:t>ECDC</w:t>
      </w:r>
      <w:r>
        <w:rPr>
          <w:rFonts w:ascii="Times New Roman" w:hAnsi="Times New Roman"/>
          <w:noProof/>
          <w:color w:val="000000"/>
          <w:sz w:val="24"/>
        </w:rPr>
        <w:t xml:space="preserve"> un ES veselības programmas starpniecību — šādas mācību programmas veselības aprūpes profesionāļiem;</w:t>
      </w:r>
    </w:p>
    <w:p>
      <w:pPr>
        <w:pStyle w:val="ListParagraph"/>
        <w:keepNext/>
        <w:numPr>
          <w:ilvl w:val="0"/>
          <w:numId w:val="23"/>
        </w:numPr>
        <w:pBdr>
          <w:top w:val="single" w:sz="4" w:space="1" w:color="auto"/>
          <w:left w:val="single" w:sz="4" w:space="4" w:color="auto"/>
          <w:bottom w:val="single" w:sz="4" w:space="0"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 xml:space="preserve">konsultēs dalībvalstis par iespēju </w:t>
      </w:r>
      <w:r>
        <w:rPr>
          <w:rFonts w:ascii="Times New Roman" w:hAnsi="Times New Roman"/>
          <w:i/>
          <w:noProof/>
          <w:color w:val="000000"/>
          <w:sz w:val="24"/>
        </w:rPr>
        <w:t>AMR</w:t>
      </w:r>
      <w:r>
        <w:rPr>
          <w:rFonts w:ascii="Times New Roman" w:hAnsi="Times New Roman"/>
          <w:noProof/>
          <w:color w:val="000000"/>
          <w:sz w:val="24"/>
        </w:rPr>
        <w:t xml:space="preserve"> apkarošanas rīcībpolitiku izstrādei un īstenošanai izmantot Strukturālo reformu atbalsta dienesta (</w:t>
      </w:r>
      <w:r>
        <w:rPr>
          <w:rFonts w:ascii="Times New Roman" w:hAnsi="Times New Roman"/>
          <w:i/>
          <w:noProof/>
          <w:color w:val="000000"/>
          <w:sz w:val="24"/>
        </w:rPr>
        <w:t>SRSS</w:t>
      </w:r>
      <w:r>
        <w:rPr>
          <w:rFonts w:ascii="Times New Roman" w:hAnsi="Times New Roman"/>
          <w:noProof/>
          <w:color w:val="000000"/>
          <w:sz w:val="24"/>
        </w:rPr>
        <w:t>) finansējumu.</w:t>
      </w:r>
    </w:p>
    <w:p>
      <w:pPr>
        <w:pStyle w:val="Heading2"/>
        <w:rPr>
          <w:noProof/>
        </w:rPr>
      </w:pPr>
      <w:r>
        <w:rPr>
          <w:noProof/>
        </w:rPr>
        <w:t xml:space="preserve">Labāka </w:t>
      </w:r>
      <w:r>
        <w:rPr>
          <w:i/>
          <w:noProof/>
        </w:rPr>
        <w:t>AMR</w:t>
      </w:r>
      <w:r>
        <w:rPr>
          <w:noProof/>
        </w:rPr>
        <w:t xml:space="preserve"> profilakse un kontrole</w:t>
      </w:r>
    </w:p>
    <w:p>
      <w:pPr>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Pastiprināti infekciju profilakses un kontroles pasākumi</w:t>
      </w:r>
    </w:p>
    <w:p>
      <w:pPr>
        <w:rPr>
          <w:rFonts w:ascii="Times New Roman" w:hAnsi="Times New Roman"/>
          <w:noProof/>
          <w:sz w:val="24"/>
          <w:szCs w:val="24"/>
        </w:rPr>
      </w:pPr>
      <w:r>
        <w:rPr>
          <w:rFonts w:ascii="Times New Roman" w:hAnsi="Times New Roman"/>
          <w:noProof/>
          <w:sz w:val="24"/>
        </w:rPr>
        <w:t xml:space="preserve">Kontrolē attiecībā uz visiem infekciozajiem mikroorganismiem izšķirīga nozīme ir infekciju profilaksei, biodrošības pasākumiem un kontroļu praksei, jo tās mazina vajadzību lietot antimikrobiālos līdzekļus un attiecīgi mikroorganismu iespējas vairoties un izplatīt rezistenci. </w:t>
      </w:r>
    </w:p>
    <w:p>
      <w:pPr>
        <w:rPr>
          <w:rFonts w:ascii="Times New Roman" w:hAnsi="Times New Roman"/>
          <w:noProof/>
          <w:sz w:val="24"/>
          <w:szCs w:val="24"/>
        </w:rPr>
      </w:pPr>
      <w:r>
        <w:rPr>
          <w:rFonts w:ascii="Times New Roman" w:hAnsi="Times New Roman"/>
          <w:noProof/>
          <w:sz w:val="24"/>
        </w:rPr>
        <w:t>Jaunu un saskanīgāku uzraudzības datu, pētniecības un tehnoloģiju pieejamība būs informatīvs pamats inovatīvām pieejām un labākiem infekciju profilakses un kontroles pasākumiem. Dažu slimību sastopamību un izplatīšanos varētu mazināt arī citi kontroles pasākumi, piem., vakcinācija, tādējādi mazinot vajadzību pēc antimikrobiālajiem līdzekļiem. Turklāt izmaksu ziņā lietderīgs sabiedriskās veselības pasākums, kura ekonomiskais labums ir pierādīts, ir imunizēšana ar vakcinācijas starpniecību</w:t>
      </w:r>
      <w:r>
        <w:rPr>
          <w:rStyle w:val="FootnoteReference"/>
          <w:rFonts w:ascii="Times New Roman" w:hAnsi="Times New Roman"/>
          <w:noProof/>
          <w:sz w:val="24"/>
        </w:rPr>
        <w:footnoteReference w:id="29"/>
      </w:r>
      <w:r>
        <w:rPr>
          <w:rFonts w:ascii="Times New Roman" w:hAnsi="Times New Roman"/>
          <w:noProof/>
          <w:sz w:val="24"/>
        </w:rPr>
        <w:t>.</w:t>
      </w:r>
    </w:p>
    <w:p>
      <w:pPr>
        <w:keepNext/>
        <w:keepLines/>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Komisija:</w:t>
      </w:r>
    </w:p>
    <w:p>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atbalstot paraugpraksi infekciju profilaksē un kontrolē, palīdzēs risināt problēmu, kas skar pacientu drošību slimnīcas vidē;</w:t>
      </w:r>
    </w:p>
    <w:p>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atbalstīs ES un dalībvalstu kopīgi finansētus pasākumus, kas paredzēti infekciju profilaksei un kontrolei mazaizsargātās grupās, jo īpaši vēršoties pret rezistentiem tuberkulozes celmiem</w:t>
      </w:r>
      <w:r>
        <w:rPr>
          <w:rFonts w:ascii="Times New Roman" w:hAnsi="Times New Roman"/>
          <w:noProof/>
        </w:rPr>
        <w:t>;</w:t>
      </w:r>
    </w:p>
    <w:p>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veicinās, ka cilvēki vakcinējas, to traktējot kā sabiedrības veselības pasākumu, kas novērš infekcijas un tām sekojošu antimikrobiālo līdzekļu lietošanu;</w:t>
      </w:r>
    </w:p>
    <w:p>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joprojām veicinās tādu lopkopības praksi, ieskaitot akvakultūras sistēmas, ganāmpulku audzēšanas sistēmas un barošanas režīmus, kas balsta labu dzīvnieku veselību un labturību, mazinot antimikrobiālo līdzekļu patēriņu.</w:t>
      </w:r>
    </w:p>
    <w:p>
      <w:pPr>
        <w:keepLines/>
        <w:outlineLvl w:val="1"/>
        <w:rPr>
          <w:rFonts w:ascii="Times New Roman" w:eastAsiaTheme="majorEastAsia" w:hAnsi="Times New Roman"/>
          <w:bCs/>
          <w:i/>
          <w:noProof/>
          <w:color w:val="000000" w:themeColor="text1"/>
          <w:sz w:val="24"/>
          <w:szCs w:val="24"/>
        </w:rPr>
      </w:pPr>
    </w:p>
    <w:p>
      <w:pPr>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Atbalstīt antimikrobiālo līdzekļu piesardzīgu lietošanu</w:t>
      </w:r>
    </w:p>
    <w:p>
      <w:pPr>
        <w:rPr>
          <w:rFonts w:ascii="Times New Roman" w:hAnsi="Times New Roman"/>
          <w:noProof/>
          <w:sz w:val="24"/>
          <w:szCs w:val="24"/>
        </w:rPr>
      </w:pPr>
      <w:r>
        <w:rPr>
          <w:rFonts w:ascii="Times New Roman" w:hAnsi="Times New Roman"/>
          <w:i/>
          <w:noProof/>
          <w:sz w:val="24"/>
        </w:rPr>
        <w:t>AMR</w:t>
      </w:r>
      <w:r>
        <w:rPr>
          <w:rFonts w:ascii="Times New Roman" w:hAnsi="Times New Roman"/>
          <w:noProof/>
          <w:sz w:val="24"/>
        </w:rPr>
        <w:t xml:space="preserve"> rašanos cilvēka veselības aprūpē, kā arī lopkopības jomā var ierobežot, tikai antimikrobiālos līdzekļus izmantojot pareizi un piesardzīgi.</w:t>
      </w:r>
    </w:p>
    <w:p>
      <w:pPr>
        <w:rPr>
          <w:noProof/>
        </w:rPr>
      </w:pPr>
      <w:r>
        <w:rPr>
          <w:rFonts w:ascii="Times New Roman" w:hAnsi="Times New Roman"/>
          <w:noProof/>
          <w:sz w:val="24"/>
        </w:rPr>
        <w:t xml:space="preserve">Lai palēninātu </w:t>
      </w:r>
      <w:r>
        <w:rPr>
          <w:rFonts w:ascii="Times New Roman" w:hAnsi="Times New Roman"/>
          <w:i/>
          <w:noProof/>
          <w:sz w:val="24"/>
        </w:rPr>
        <w:t>AMR</w:t>
      </w:r>
      <w:r>
        <w:rPr>
          <w:rFonts w:ascii="Times New Roman" w:hAnsi="Times New Roman"/>
          <w:noProof/>
          <w:sz w:val="24"/>
        </w:rPr>
        <w:t xml:space="preserve"> veidošanos un saglabātu antimikrobiālo līdzekļu iedarbīgumu, ir nepieciešami starpnozariski un koordinēti pasākumi, kas veicinātu antimikrobiālo līdzekļu piesardzīgu izmantošanu cilvēkiem un dzīvniekiem. Šādi pasākumi, ko bieži vien dēvē par “antimikrobiālo līdzekļu pārvaldības pasākumiem”, dažās nozarēs jau ir ieviesti (piem., ES vadlīnijas antimikrobiālo līdzekļu piesardzīgai izmantošanai veterinārijā</w:t>
      </w:r>
      <w:r>
        <w:rPr>
          <w:rStyle w:val="FootnoteReference"/>
          <w:rFonts w:ascii="Times New Roman" w:hAnsi="Times New Roman"/>
          <w:noProof/>
          <w:sz w:val="24"/>
        </w:rPr>
        <w:footnoteReference w:id="30"/>
      </w:r>
      <w:r>
        <w:rPr>
          <w:rFonts w:ascii="Times New Roman" w:hAnsi="Times New Roman"/>
          <w:noProof/>
          <w:sz w:val="24"/>
        </w:rPr>
        <w:t>), taču nav pietiekami izstrādāti visām situācijām, kurās antimikrobiālie līdzekļi tiek izmantoti.</w:t>
      </w:r>
    </w:p>
    <w:p>
      <w:pPr>
        <w:keepNext/>
        <w:keepLines/>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Komisija:</w:t>
      </w:r>
    </w:p>
    <w:p>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strādās pie ES īstenošanas aktiem un deleģētajiem aktiem, kas izriet no jaunajām veterināro zāļu un ārstnieciskās barības regulām (kad Eiropas Parlaments un Padome būs tās pieņēmuši)</w:t>
      </w:r>
      <w:r>
        <w:rPr>
          <w:rStyle w:val="FootnoteReference"/>
          <w:rFonts w:ascii="Times New Roman" w:hAnsi="Times New Roman"/>
          <w:noProof/>
          <w:sz w:val="24"/>
        </w:rPr>
        <w:footnoteReference w:id="31"/>
      </w:r>
      <w:r>
        <w:rPr>
          <w:rFonts w:ascii="Times New Roman" w:hAnsi="Times New Roman"/>
          <w:noProof/>
          <w:sz w:val="24"/>
        </w:rPr>
        <w:t>, arī pie noteikumiem par to, ka antimikrobiālos līdzekļus rezervē lietošanai cilvēkiem, pie ārpusindikāciju ordinēšanai aizliegtu antimikrobiālo līdzekļu saraksta sastādīšanas, kā arī pie antimikrobiālo līdzekļu pārdošanas un lietošanas datu vākšanas un ziņošanas;</w:t>
      </w:r>
    </w:p>
    <w:p>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izstrādās Eiropas Savienības vadlīnijas par antimikrobiālo līdzekļu piesardzīgu izmantošanu cilvēka medicīnā; </w:t>
      </w:r>
    </w:p>
    <w:p>
      <w:pPr>
        <w:pStyle w:val="ListParagraph"/>
        <w:keepNext/>
        <w:keepLines/>
        <w:numPr>
          <w:ilvl w:val="0"/>
          <w:numId w:val="16"/>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palīdzēs dalībvalstīm īstenot ES vadlīnijas attiecībā uz antimikrobiālo līdzekļu piesardzīgu izmantošanu veterinārajā medicīnā, arī apzināt un izplatīt paraugpraksi;</w:t>
      </w:r>
    </w:p>
    <w:p>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rosinās </w:t>
      </w:r>
      <w:r>
        <w:rPr>
          <w:rFonts w:ascii="Times New Roman" w:hAnsi="Times New Roman"/>
          <w:i/>
          <w:noProof/>
          <w:sz w:val="24"/>
        </w:rPr>
        <w:t xml:space="preserve">EMA </w:t>
      </w:r>
      <w:r>
        <w:rPr>
          <w:rFonts w:ascii="Times New Roman" w:hAnsi="Times New Roman"/>
          <w:noProof/>
          <w:sz w:val="24"/>
        </w:rPr>
        <w:t>pārskatīt visu informāciju, kas pieejama par vecāku antimikrobiālo līdzekļu ieguvumiem un riskiem, un apsvērt, vai vajadzīgs jebkādi mainīt to atļauto izmantošanu dalībvalstīs.</w:t>
      </w:r>
    </w:p>
    <w:p>
      <w:pPr>
        <w:pStyle w:val="Heading2"/>
        <w:rPr>
          <w:noProof/>
        </w:rPr>
      </w:pPr>
      <w:r>
        <w:rPr>
          <w:noProof/>
        </w:rPr>
        <w:t>Sekmīgāk pievērsties vides lomai</w:t>
      </w:r>
    </w:p>
    <w:p>
      <w:pPr>
        <w:rPr>
          <w:rFonts w:ascii="Times New Roman" w:hAnsi="Times New Roman"/>
          <w:noProof/>
          <w:sz w:val="24"/>
          <w:szCs w:val="24"/>
        </w:rPr>
      </w:pPr>
      <w:r>
        <w:rPr>
          <w:rFonts w:ascii="Times New Roman" w:hAnsi="Times New Roman"/>
          <w:noProof/>
          <w:sz w:val="24"/>
        </w:rPr>
        <w:t xml:space="preserve">Tiek arvien vairāk atzīts, ka </w:t>
      </w:r>
      <w:r>
        <w:rPr>
          <w:rFonts w:ascii="Times New Roman" w:hAnsi="Times New Roman"/>
          <w:i/>
          <w:noProof/>
          <w:sz w:val="24"/>
        </w:rPr>
        <w:t>AMR</w:t>
      </w:r>
      <w:r>
        <w:rPr>
          <w:rFonts w:ascii="Times New Roman" w:hAnsi="Times New Roman"/>
          <w:noProof/>
          <w:sz w:val="24"/>
        </w:rPr>
        <w:t xml:space="preserve"> veidošanos un attīstību cilvēka un dzīvnieku organismā sekmē vide, jo īpaši augsta riska teritorijās</w:t>
      </w:r>
      <w:r>
        <w:rPr>
          <w:noProof/>
        </w:rPr>
        <w:t xml:space="preserve"> </w:t>
      </w:r>
      <w:r>
        <w:rPr>
          <w:rFonts w:ascii="Times New Roman" w:hAnsi="Times New Roman"/>
          <w:noProof/>
          <w:sz w:val="24"/>
        </w:rPr>
        <w:t>cilvēku, dzīvnieku un ražošanas atkritumu plūsmu rezultātā, taču joprojām vajadzīgi stingri pierādījumi, kas lemšanu šajā jomā varētu atbalstīt ar kvalitatīvāku informāciju. 3. iedaļa iztirzā konkrētus pasākumus zināšanu bāzes uzlabošanai. Kad būs pieejami būtiski monitoringa un pētījumu dati, būs jāizstrādā riska novērtēšanas metodes, kā izvērtēt apdraudējumus cilvēka un dzīvnieku veselībai.</w:t>
      </w:r>
    </w:p>
    <w:p>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Komisija:</w:t>
      </w:r>
    </w:p>
    <w:p>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pieņems stratēģisku ES pieeju attiecībā uz zālēm vidē</w:t>
      </w:r>
      <w:r>
        <w:rPr>
          <w:rStyle w:val="FootnoteReference"/>
          <w:rFonts w:ascii="Times New Roman" w:hAnsi="Times New Roman"/>
          <w:noProof/>
          <w:sz w:val="24"/>
        </w:rPr>
        <w:footnoteReference w:id="32"/>
      </w:r>
      <w:r>
        <w:rPr>
          <w:rFonts w:ascii="Times New Roman" w:hAnsi="Times New Roman"/>
          <w:noProof/>
          <w:sz w:val="24"/>
        </w:rPr>
        <w:t>;</w:t>
      </w:r>
    </w:p>
    <w:p>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lai uzlabotu zināšanas par antimikrobiālo līdzekļu sastopamību un izplatīšanos vidē, maksimāli izmantos līdzšinējā monitoringa datus, piem., Ūdens pamatdirektīvas “Novērojamo vielu sarakstu”</w:t>
      </w:r>
      <w:r>
        <w:rPr>
          <w:rStyle w:val="FootnoteReference"/>
          <w:rFonts w:ascii="Times New Roman" w:hAnsi="Times New Roman"/>
          <w:noProof/>
          <w:sz w:val="24"/>
        </w:rPr>
        <w:footnoteReference w:id="33"/>
      </w:r>
      <w:r>
        <w:rPr>
          <w:rFonts w:ascii="Times New Roman" w:hAnsi="Times New Roman"/>
          <w:noProof/>
          <w:sz w:val="24"/>
        </w:rPr>
        <w:t>, un attiecīgajiem monitoringa datiem piekļūs arī, izmantojot Ķīmiskā monitoringa informācijas platformu (</w:t>
      </w:r>
      <w:r>
        <w:rPr>
          <w:rFonts w:ascii="Times New Roman" w:hAnsi="Times New Roman"/>
          <w:i/>
          <w:noProof/>
          <w:sz w:val="24"/>
        </w:rPr>
        <w:t>IPCheM</w:t>
      </w:r>
      <w:r>
        <w:rPr>
          <w:rFonts w:ascii="Times New Roman" w:hAnsi="Times New Roman"/>
          <w:noProof/>
          <w:sz w:val="24"/>
        </w:rPr>
        <w:t>)</w:t>
      </w:r>
      <w:r>
        <w:rPr>
          <w:rStyle w:val="FootnoteReference"/>
          <w:rFonts w:ascii="Times New Roman" w:hAnsi="Times New Roman"/>
          <w:noProof/>
          <w:sz w:val="24"/>
        </w:rPr>
        <w:footnoteReference w:id="34"/>
      </w:r>
      <w:r>
        <w:rPr>
          <w:rFonts w:ascii="Times New Roman" w:hAnsi="Times New Roman"/>
          <w:noProof/>
          <w:sz w:val="24"/>
        </w:rPr>
        <w:t>;</w:t>
      </w:r>
    </w:p>
    <w:p>
      <w:pPr>
        <w:pStyle w:val="ListParagraph"/>
        <w:numPr>
          <w:ilvl w:val="0"/>
          <w:numId w:val="23"/>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palielinās Veselības un vides apdraudējuma zinātniskās komitejas (</w:t>
      </w:r>
      <w:r>
        <w:rPr>
          <w:rFonts w:ascii="Times New Roman" w:hAnsi="Times New Roman"/>
          <w:i/>
          <w:noProof/>
          <w:sz w:val="24"/>
        </w:rPr>
        <w:t>SCHER</w:t>
      </w:r>
      <w:r>
        <w:rPr>
          <w:rFonts w:ascii="Times New Roman" w:hAnsi="Times New Roman"/>
          <w:noProof/>
          <w:sz w:val="24"/>
        </w:rPr>
        <w:t xml:space="preserve">) lomu — komiteja sagādās speciālās zināšanas par </w:t>
      </w:r>
      <w:r>
        <w:rPr>
          <w:rFonts w:ascii="Times New Roman" w:hAnsi="Times New Roman"/>
          <w:i/>
          <w:noProof/>
          <w:sz w:val="24"/>
        </w:rPr>
        <w:t>AMR</w:t>
      </w:r>
      <w:r>
        <w:rPr>
          <w:rFonts w:ascii="Times New Roman" w:hAnsi="Times New Roman"/>
          <w:noProof/>
          <w:sz w:val="24"/>
        </w:rPr>
        <w:t xml:space="preserve"> jautājumiem, kas saistīti ar vidi. </w:t>
      </w:r>
    </w:p>
    <w:p>
      <w:pPr>
        <w:pStyle w:val="Heading2"/>
        <w:rPr>
          <w:noProof/>
        </w:rPr>
      </w:pPr>
      <w:r>
        <w:rPr>
          <w:noProof/>
        </w:rPr>
        <w:t xml:space="preserve">Spēcīgāka partnerība pret </w:t>
      </w:r>
      <w:r>
        <w:rPr>
          <w:i/>
          <w:noProof/>
        </w:rPr>
        <w:t>AMR</w:t>
      </w:r>
      <w:r>
        <w:rPr>
          <w:noProof/>
        </w:rPr>
        <w:t xml:space="preserve"> un antimikrobiālo līdzekļu labāka pieejamība</w:t>
      </w:r>
    </w:p>
    <w:p>
      <w:pPr>
        <w:rPr>
          <w:rFonts w:ascii="Times New Roman" w:hAnsi="Times New Roman"/>
          <w:noProof/>
          <w:sz w:val="24"/>
          <w:szCs w:val="24"/>
        </w:rPr>
      </w:pPr>
      <w:r>
        <w:rPr>
          <w:rFonts w:ascii="Times New Roman" w:hAnsi="Times New Roman"/>
          <w:i/>
          <w:noProof/>
          <w:sz w:val="24"/>
        </w:rPr>
        <w:t>AMR</w:t>
      </w:r>
      <w:r>
        <w:rPr>
          <w:rFonts w:ascii="Times New Roman" w:hAnsi="Times New Roman"/>
          <w:noProof/>
          <w:sz w:val="24"/>
        </w:rPr>
        <w:t xml:space="preserve"> apkarošanā panākumi nav iespējami bez tā, ka rīcībpolitikas izstrādē un īstenošanā ilgtspējīgi iesaistās ieinteresētās personas, ieskaitot nozari, pilsonisko sabiedrību, akadēmiskās aprindas un nevalstisko organizāciju ekspertus,</w:t>
      </w:r>
      <w:r>
        <w:rPr>
          <w:noProof/>
        </w:rPr>
        <w:t xml:space="preserve"> </w:t>
      </w:r>
      <w:r>
        <w:rPr>
          <w:rFonts w:ascii="Times New Roman" w:hAnsi="Times New Roman"/>
          <w:noProof/>
          <w:sz w:val="24"/>
        </w:rPr>
        <w:t xml:space="preserve">taču arī Eiropas Ekonomikas un sociālo lietu komiteju (EESK). Komisija ņem vērā tādas spēkā esošas saistības un kopīgus centienus kā farmācijas, biotehnoloģijas un diagnostikas nozares deklarācija par </w:t>
      </w:r>
      <w:r>
        <w:rPr>
          <w:rFonts w:ascii="Times New Roman" w:hAnsi="Times New Roman"/>
          <w:i/>
          <w:noProof/>
          <w:sz w:val="24"/>
        </w:rPr>
        <w:t>AMR</w:t>
      </w:r>
      <w:r>
        <w:rPr>
          <w:rFonts w:ascii="Times New Roman" w:hAnsi="Times New Roman"/>
          <w:noProof/>
          <w:sz w:val="24"/>
        </w:rPr>
        <w:t xml:space="preserve"> apkarošanu</w:t>
      </w:r>
      <w:r>
        <w:rPr>
          <w:rFonts w:ascii="Times New Roman" w:hAnsi="Times New Roman"/>
          <w:noProof/>
          <w:sz w:val="24"/>
          <w:vertAlign w:val="superscript"/>
        </w:rPr>
        <w:footnoteReference w:id="35"/>
      </w:r>
      <w:r>
        <w:rPr>
          <w:rFonts w:ascii="Times New Roman" w:hAnsi="Times New Roman"/>
          <w:noProof/>
          <w:sz w:val="24"/>
        </w:rPr>
        <w:t xml:space="preserve">. Šāda deklarācija ir ceļvedis turpmākas sadarbības centieniem starp nozari, valdībām un nevalstiskajām organizācijām globālajā cīņā pret </w:t>
      </w:r>
      <w:r>
        <w:rPr>
          <w:rFonts w:ascii="Times New Roman" w:hAnsi="Times New Roman"/>
          <w:i/>
          <w:noProof/>
          <w:sz w:val="24"/>
        </w:rPr>
        <w:t>AMR</w:t>
      </w:r>
      <w:r>
        <w:rPr>
          <w:rFonts w:ascii="Times New Roman" w:hAnsi="Times New Roman"/>
          <w:noProof/>
          <w:sz w:val="24"/>
        </w:rPr>
        <w:t xml:space="preserve">. Šī iniciatīva paredz regulāras iesaistīto personu sarunas, kas mudinās tās izstrādāt </w:t>
      </w:r>
      <w:r>
        <w:rPr>
          <w:rFonts w:ascii="Times New Roman" w:hAnsi="Times New Roman"/>
          <w:i/>
          <w:noProof/>
          <w:sz w:val="24"/>
        </w:rPr>
        <w:t>AMR</w:t>
      </w:r>
      <w:r>
        <w:rPr>
          <w:rFonts w:ascii="Times New Roman" w:hAnsi="Times New Roman"/>
          <w:noProof/>
          <w:sz w:val="24"/>
        </w:rPr>
        <w:t xml:space="preserve"> apkarošanas stratēģijas un savstarpēji tajās dalīties. Sadarbība ar nozari ir nepieciešama arī, lai sekmētu, ka antimikrobiālajiem līdzekļiem tiek izstrādātas citas daudzsološas alternatīvas un risinātu problēmas, kas saistās ar samazinātu pieejamību, tostarp ar antimikrobiālo līdzekļu atsaukšanu no tirgus, kura var izraisīt antimikrobiālo līdzekļu deficītu un nepietiekamu aizstājējterapiju izmantošanu.</w:t>
      </w:r>
    </w:p>
    <w:p>
      <w:pPr>
        <w:rPr>
          <w:rFonts w:ascii="Times New Roman" w:hAnsi="Times New Roman"/>
          <w:noProof/>
          <w:sz w:val="24"/>
          <w:szCs w:val="24"/>
        </w:rPr>
      </w:pPr>
      <w:r>
        <w:rPr>
          <w:rFonts w:ascii="Times New Roman" w:hAnsi="Times New Roman"/>
          <w:noProof/>
          <w:sz w:val="24"/>
        </w:rPr>
        <w:t>Izšķirīgi svarīgi ir arī nepieļaut, ka piegādes ķēdē nokļūst viltoti vai pakaļdarināti antimikrobiālie līdzekļi, kaitējot cilvēkiem vai dzīvniekiem.</w:t>
      </w:r>
    </w:p>
    <w:p>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Komisija:</w:t>
      </w:r>
    </w:p>
    <w:p>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iesaistīs svarīgākās ieinteresētās personas tādās nozarēs kā cilvēka veselība, dzīvnieku veselība, pārtika, ūdens un vide un atbalstīs šo personu sadarbību, lai sekmētu atbildīgu antimikrobiālo līdzekļu izmantošanu veselības aprūpes nozarē un pārtikas apritē, kā arī pienācīgu apstrādi atkritumiem;</w:t>
      </w:r>
    </w:p>
    <w:p>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sadarbosies ar ieinteresētajām personām, lai nodrošinātu cilvēkiem paredzēto un veterināro antimikrobiālo līdzekļu pieejamību un pastāvīgu piekļuvi zālēm ar stabilu reputāciju; sagādās stimulus, kas sekmētu, ka vairāk tiek izmantota diagnostika, antimikrobiālo līdzekļu alternatīvas un vakcīnas;</w:t>
      </w:r>
    </w:p>
    <w:p>
      <w:pPr>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samazinās viltotu zāļu izplatības apmēru, palīdzot dalībvalstīm un ieinteresētajām personām sekmīgi īstenot drošuma pazīmes (unikāls identifikators), kas uz cilvēkiem paredzētu zāļu iesaiņojuma parādīsies vēl pirms 2019. gada</w:t>
      </w:r>
      <w:r>
        <w:rPr>
          <w:rStyle w:val="FootnoteReference"/>
          <w:rFonts w:ascii="Times New Roman" w:hAnsi="Times New Roman"/>
          <w:noProof/>
          <w:color w:val="000000"/>
          <w:sz w:val="24"/>
        </w:rPr>
        <w:footnoteReference w:id="36"/>
      </w:r>
      <w:r>
        <w:rPr>
          <w:rFonts w:ascii="Times New Roman" w:hAnsi="Times New Roman"/>
          <w:noProof/>
          <w:color w:val="000000"/>
          <w:sz w:val="24"/>
        </w:rPr>
        <w:t>.</w:t>
      </w:r>
    </w:p>
    <w:p>
      <w:pPr>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 xml:space="preserve">pārrunās </w:t>
      </w:r>
      <w:r>
        <w:rPr>
          <w:rFonts w:ascii="Times New Roman" w:hAnsi="Times New Roman"/>
          <w:i/>
          <w:noProof/>
          <w:sz w:val="24"/>
        </w:rPr>
        <w:t>AMR</w:t>
      </w:r>
      <w:r>
        <w:rPr>
          <w:rFonts w:ascii="Times New Roman" w:hAnsi="Times New Roman"/>
          <w:noProof/>
          <w:sz w:val="24"/>
        </w:rPr>
        <w:t xml:space="preserve"> novēršanai piemērotu veterināro antimikrobiālo līdzekļu pieejamību Veterināro zāļu komitejā.</w:t>
      </w:r>
    </w:p>
    <w:bookmarkEnd w:id="0"/>
    <w:bookmarkEnd w:id="1"/>
    <w:p>
      <w:pPr>
        <w:pStyle w:val="Heading1"/>
        <w:rPr>
          <w:noProof/>
        </w:rPr>
      </w:pPr>
      <w:r>
        <w:rPr>
          <w:noProof/>
        </w:rPr>
        <w:t xml:space="preserve">Veicināt pētniecību, izstrādi un inovāciju </w:t>
      </w:r>
      <w:r>
        <w:rPr>
          <w:i/>
          <w:noProof/>
        </w:rPr>
        <w:t>AMR</w:t>
      </w:r>
      <w:r>
        <w:rPr>
          <w:noProof/>
        </w:rPr>
        <w:t xml:space="preserve"> novēršanai</w:t>
      </w:r>
    </w:p>
    <w:p>
      <w:pPr>
        <w:autoSpaceDE w:val="0"/>
        <w:autoSpaceDN w:val="0"/>
        <w:adjustRightInd w:val="0"/>
        <w:spacing w:after="0"/>
        <w:rPr>
          <w:rFonts w:ascii="Times New Roman" w:hAnsi="Times New Roman"/>
          <w:noProof/>
          <w:sz w:val="24"/>
          <w:szCs w:val="24"/>
        </w:rPr>
      </w:pPr>
      <w:r>
        <w:rPr>
          <w:rFonts w:ascii="Times New Roman" w:hAnsi="Times New Roman"/>
          <w:noProof/>
          <w:sz w:val="24"/>
        </w:rPr>
        <w:t>Pētniecība, izstrāde (</w:t>
      </w:r>
      <w:r>
        <w:rPr>
          <w:rFonts w:ascii="Times New Roman" w:hAnsi="Times New Roman"/>
          <w:i/>
          <w:noProof/>
          <w:sz w:val="24"/>
        </w:rPr>
        <w:t>R&amp;D</w:t>
      </w:r>
      <w:r>
        <w:rPr>
          <w:rFonts w:ascii="Times New Roman" w:hAnsi="Times New Roman"/>
          <w:noProof/>
          <w:sz w:val="24"/>
        </w:rPr>
        <w:t xml:space="preserve">) un inovācija var sagādāt jaunus risinājumus un instrumentus infekcijas slimību profilaksei un ārstniecībai, uzlabot diagnosticēšanu un kontrolēt </w:t>
      </w:r>
      <w:r>
        <w:rPr>
          <w:rFonts w:ascii="Times New Roman" w:hAnsi="Times New Roman"/>
          <w:i/>
          <w:noProof/>
          <w:sz w:val="24"/>
        </w:rPr>
        <w:t>AMR</w:t>
      </w:r>
      <w:r>
        <w:rPr>
          <w:rFonts w:ascii="Times New Roman" w:hAnsi="Times New Roman"/>
          <w:noProof/>
          <w:sz w:val="24"/>
        </w:rPr>
        <w:t xml:space="preserve"> izplatīšanos. Šis “Vienas veselības” rīcības plāns tiecas ne vien dot impulsu pētniecībai, bet arī jaunos veidos stimulēt inovāciju, sniegt vērtīgu ieguldījumu uz </w:t>
      </w:r>
      <w:r>
        <w:rPr>
          <w:rFonts w:ascii="Times New Roman" w:hAnsi="Times New Roman"/>
          <w:i/>
          <w:noProof/>
          <w:sz w:val="24"/>
        </w:rPr>
        <w:t xml:space="preserve">AMR </w:t>
      </w:r>
      <w:r>
        <w:rPr>
          <w:rFonts w:ascii="Times New Roman" w:hAnsi="Times New Roman"/>
          <w:noProof/>
          <w:sz w:val="24"/>
        </w:rPr>
        <w:t xml:space="preserve">apkarošanu vērstas zinātniski pamatotas rīcībpolitikas un tiesību aktu izstrādē, kā arī aizpildīt trūkstošos robus zināšanās, piemēram, par </w:t>
      </w:r>
      <w:r>
        <w:rPr>
          <w:rFonts w:ascii="Times New Roman" w:hAnsi="Times New Roman"/>
          <w:i/>
          <w:noProof/>
          <w:sz w:val="24"/>
        </w:rPr>
        <w:t>AMR</w:t>
      </w:r>
      <w:r>
        <w:rPr>
          <w:rFonts w:ascii="Times New Roman" w:hAnsi="Times New Roman"/>
          <w:noProof/>
          <w:sz w:val="24"/>
        </w:rPr>
        <w:t xml:space="preserve"> lomu vidē.</w:t>
      </w:r>
    </w:p>
    <w:p>
      <w:pPr>
        <w:autoSpaceDE w:val="0"/>
        <w:autoSpaceDN w:val="0"/>
        <w:adjustRightInd w:val="0"/>
        <w:spacing w:after="0"/>
        <w:rPr>
          <w:rFonts w:ascii="Times New Roman" w:hAnsi="Times New Roman"/>
          <w:noProof/>
          <w:sz w:val="24"/>
          <w:szCs w:val="24"/>
        </w:rPr>
      </w:pPr>
    </w:p>
    <w:p>
      <w:pPr>
        <w:autoSpaceDE w:val="0"/>
        <w:autoSpaceDN w:val="0"/>
        <w:adjustRightInd w:val="0"/>
        <w:spacing w:after="0"/>
        <w:rPr>
          <w:rFonts w:ascii="Times New Roman" w:hAnsi="Times New Roman"/>
          <w:noProof/>
          <w:sz w:val="24"/>
          <w:szCs w:val="24"/>
        </w:rPr>
      </w:pPr>
      <w:r>
        <w:rPr>
          <w:rFonts w:ascii="Times New Roman" w:hAnsi="Times New Roman"/>
          <w:noProof/>
          <w:sz w:val="24"/>
        </w:rPr>
        <w:t xml:space="preserve">Piedāvātā </w:t>
      </w:r>
      <w:r>
        <w:rPr>
          <w:rFonts w:ascii="Times New Roman" w:hAnsi="Times New Roman"/>
          <w:i/>
          <w:noProof/>
          <w:sz w:val="24"/>
        </w:rPr>
        <w:t xml:space="preserve">AMR </w:t>
      </w:r>
      <w:r>
        <w:rPr>
          <w:rFonts w:ascii="Times New Roman" w:hAnsi="Times New Roman"/>
          <w:noProof/>
          <w:sz w:val="24"/>
        </w:rPr>
        <w:t xml:space="preserve">pētniecības stratēģija aptver visu pieejas “Viena veselība” klāstu, pievēršoties gan cilvēka un dzīvnieku veselībai, gan vides lomai. Tā ņem vērā prioritātes, kas noteiktas </w:t>
      </w:r>
      <w:r>
        <w:rPr>
          <w:rFonts w:ascii="Times New Roman" w:hAnsi="Times New Roman"/>
          <w:i/>
          <w:noProof/>
          <w:sz w:val="24"/>
        </w:rPr>
        <w:t xml:space="preserve">AMR </w:t>
      </w:r>
      <w:r>
        <w:rPr>
          <w:rFonts w:ascii="Times New Roman" w:hAnsi="Times New Roman"/>
          <w:noProof/>
          <w:sz w:val="24"/>
        </w:rPr>
        <w:t xml:space="preserve">jautājumiem veltītajā PVO Globālajā rīcības plānā, </w:t>
      </w:r>
      <w:r>
        <w:rPr>
          <w:rFonts w:ascii="Times New Roman" w:hAnsi="Times New Roman"/>
          <w:i/>
          <w:noProof/>
          <w:sz w:val="24"/>
        </w:rPr>
        <w:t>JPIAMR</w:t>
      </w:r>
      <w:r>
        <w:rPr>
          <w:rFonts w:ascii="Times New Roman" w:hAnsi="Times New Roman"/>
          <w:noProof/>
          <w:sz w:val="24"/>
        </w:rPr>
        <w:t xml:space="preserve"> un nacionālajos rīcības plānos. Komisija strādās partnerībā ar dalībvalstīm un nozari, ieskaitot mazos un vidējos uzņēmumus (MVU) un Inovatīvo zāļu ierosmi (</w:t>
      </w:r>
      <w:r>
        <w:rPr>
          <w:rFonts w:ascii="Times New Roman" w:hAnsi="Times New Roman"/>
          <w:i/>
          <w:noProof/>
          <w:sz w:val="24"/>
        </w:rPr>
        <w:t>IMI</w:t>
      </w:r>
      <w:r>
        <w:rPr>
          <w:rFonts w:ascii="Times New Roman" w:hAnsi="Times New Roman"/>
          <w:noProof/>
          <w:sz w:val="24"/>
        </w:rPr>
        <w:t xml:space="preserve">), lai apkarotu </w:t>
      </w:r>
      <w:r>
        <w:rPr>
          <w:rFonts w:ascii="Times New Roman" w:hAnsi="Times New Roman"/>
          <w:i/>
          <w:noProof/>
          <w:sz w:val="24"/>
        </w:rPr>
        <w:t>AMR</w:t>
      </w:r>
      <w:r>
        <w:rPr>
          <w:rFonts w:ascii="Times New Roman" w:hAnsi="Times New Roman"/>
          <w:noProof/>
          <w:sz w:val="24"/>
        </w:rPr>
        <w:t xml:space="preserve"> attiecībā uz baktērijām, vīrusiem, sēnītēm un parazītiem. Īpaša uzmanība tiks veltīta PVO Prioritārā saraksta patogēniem, kā arī tuberkulozei, HIV/AIDS, malārijai un novārtā atstātām infekcijas slimībām. Izmantojot dažādus finansēšanas instrumentus un spēkā esošo un turpmāko pētniecības un inovācijas pamatprogrammu partnerības, Komisija galveno uzmanību pievērsīs turpmāk minētajiem pasākumiem.</w:t>
      </w:r>
    </w:p>
    <w:p>
      <w:pPr>
        <w:autoSpaceDE w:val="0"/>
        <w:autoSpaceDN w:val="0"/>
        <w:adjustRightInd w:val="0"/>
        <w:spacing w:after="0"/>
        <w:rPr>
          <w:rFonts w:ascii="Times New Roman" w:hAnsi="Times New Roman"/>
          <w:noProof/>
          <w:sz w:val="24"/>
          <w:szCs w:val="24"/>
        </w:rPr>
      </w:pPr>
    </w:p>
    <w:p>
      <w:pPr>
        <w:pStyle w:val="Heading2"/>
        <w:rPr>
          <w:noProof/>
        </w:rPr>
      </w:pPr>
      <w:r>
        <w:rPr>
          <w:noProof/>
        </w:rPr>
        <w:t>Uzlabot zināšanas par atklāšanu, iedarbīgu infekcijas slimību kontroli un uzraudzību</w:t>
      </w:r>
    </w:p>
    <w:p>
      <w:pPr>
        <w:spacing w:after="0"/>
        <w:rPr>
          <w:rFonts w:ascii="Times New Roman" w:hAnsi="Times New Roman"/>
          <w:noProof/>
          <w:sz w:val="24"/>
          <w:szCs w:val="24"/>
        </w:rPr>
      </w:pPr>
      <w:r>
        <w:rPr>
          <w:rFonts w:ascii="Times New Roman" w:hAnsi="Times New Roman"/>
          <w:noProof/>
          <w:sz w:val="24"/>
        </w:rPr>
        <w:t xml:space="preserve">Ir jāpieliek lielākas pūles, lai labāk izprastu infekcijas slimību epidemioloģiju, rašanos, izplatību un slogu, tālāk izpētītu rezistences veidošanos un izplatīšanos un uzlabotu agrīnu atklāšanu; kā arī labāk izprastu ar </w:t>
      </w:r>
      <w:r>
        <w:rPr>
          <w:rFonts w:ascii="Times New Roman" w:hAnsi="Times New Roman"/>
          <w:i/>
          <w:noProof/>
          <w:sz w:val="24"/>
        </w:rPr>
        <w:t>AMR</w:t>
      </w:r>
      <w:r>
        <w:rPr>
          <w:rFonts w:ascii="Times New Roman" w:hAnsi="Times New Roman"/>
          <w:noProof/>
          <w:sz w:val="24"/>
        </w:rPr>
        <w:t xml:space="preserve"> saistītās problēmas Eiropas veselības aprūpē, lopkopības un pārtikas ražošanas nozarē.</w:t>
      </w:r>
    </w:p>
    <w:p>
      <w:pPr>
        <w:spacing w:after="0"/>
        <w:rPr>
          <w:rFonts w:ascii="Times New Roman" w:hAnsi="Times New Roman"/>
          <w:noProof/>
          <w:sz w:val="24"/>
          <w:szCs w:val="24"/>
        </w:rPr>
      </w:pPr>
    </w:p>
    <w:p>
      <w:pPr>
        <w:spacing w:after="0"/>
        <w:rPr>
          <w:rFonts w:ascii="Times New Roman" w:hAnsi="Times New Roman"/>
          <w:noProof/>
          <w:sz w:val="24"/>
          <w:szCs w:val="24"/>
        </w:rPr>
      </w:pPr>
      <w:r>
        <w:rPr>
          <w:rFonts w:ascii="Times New Roman" w:hAnsi="Times New Roman"/>
          <w:noProof/>
          <w:sz w:val="24"/>
        </w:rPr>
        <w:t xml:space="preserve">Mūsdienu tehnoloģija paver iespēju ievākt un izmantot veselības aprūpes (slimnīcas, veselības aprūpes centri, laboratorijas utt.) un pārtikas un lauksaimniecības nozaru datus, kā arī datus no visas sabiedrības (lietu internets, sociālie tīkli utt.). Šos datus kombinējot, paveras iespēja slimību uzliesmojumus atklāt daudz agrāk, kā arī labāk saprast infekcijas slimību pārneses mehānismu. Izstrādājot šādām operācijām paredzētus IT risinājumus, paveras lielas iespējas uzlabot uzraudzību, recepšu izrakstīšanas praksi, veselības pašvadību, aprūpes risinājumus un izpratni par </w:t>
      </w:r>
      <w:r>
        <w:rPr>
          <w:rFonts w:ascii="Times New Roman" w:hAnsi="Times New Roman"/>
          <w:i/>
          <w:noProof/>
          <w:sz w:val="24"/>
        </w:rPr>
        <w:t>AMR</w:t>
      </w:r>
      <w:r>
        <w:rPr>
          <w:rFonts w:ascii="Times New Roman" w:hAnsi="Times New Roman"/>
          <w:noProof/>
          <w:sz w:val="24"/>
        </w:rPr>
        <w:t>.</w:t>
      </w:r>
    </w:p>
    <w:p>
      <w:pPr>
        <w:spacing w:after="0"/>
        <w:rPr>
          <w:rFonts w:ascii="Times New Roman" w:hAnsi="Times New Roman"/>
          <w:noProof/>
          <w:sz w:val="24"/>
          <w:szCs w:val="24"/>
        </w:rPr>
      </w:pPr>
    </w:p>
    <w:p>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Komisija:</w:t>
      </w:r>
    </w:p>
    <w:p>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atbalstīs pētījumus, kuri izstrādā un novērtē iejaukšanos, kas dažādos apstākļos, piem., slimnīcās, kopienās un lopkopībā, var kavēt </w:t>
      </w:r>
      <w:r>
        <w:rPr>
          <w:rFonts w:ascii="Times New Roman" w:hAnsi="Times New Roman"/>
          <w:i/>
          <w:noProof/>
          <w:sz w:val="24"/>
        </w:rPr>
        <w:t xml:space="preserve">AMR </w:t>
      </w:r>
      <w:r>
        <w:rPr>
          <w:rFonts w:ascii="Times New Roman" w:hAnsi="Times New Roman"/>
          <w:noProof/>
          <w:sz w:val="24"/>
        </w:rPr>
        <w:t>veidošanos un izplatīšanos;</w:t>
      </w:r>
    </w:p>
    <w:p>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atbalstīs </w:t>
      </w:r>
      <w:r>
        <w:rPr>
          <w:rFonts w:ascii="Times New Roman" w:hAnsi="Times New Roman"/>
          <w:i/>
          <w:noProof/>
          <w:sz w:val="24"/>
        </w:rPr>
        <w:t>AMR</w:t>
      </w:r>
      <w:r>
        <w:rPr>
          <w:rFonts w:ascii="Times New Roman" w:hAnsi="Times New Roman"/>
          <w:noProof/>
          <w:sz w:val="24"/>
        </w:rPr>
        <w:t xml:space="preserve"> epidemioloģijas pētījumus, jo īpaši par ceļiem, pa kuriem notiek pārnese no cilvēka uz dzīvniekiem un otrādi, un par šo ceļu ietekmi;</w:t>
      </w:r>
    </w:p>
    <w:p>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ņemot vērā IT risinājumu attīstību, atbalstīs pētījumus, kuru mērķis ir izstrādāt jaunus instrumentus, ar kuru palīdzību cilvēka un dzīvnieku organismā agrīni (reāllaikā) atklāt rezistentus patogēnus;</w:t>
      </w:r>
    </w:p>
    <w:p>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atbalstīs pētījumus, kas nodarbojas ar jauniem e-veselības risinājumiem, kuri uzlabotu zāļu parakstīšanas praksi, veselības pašvadību, aprūpes risinājumus un vairotu izpratni par </w:t>
      </w:r>
      <w:r>
        <w:rPr>
          <w:rFonts w:ascii="Times New Roman" w:hAnsi="Times New Roman"/>
          <w:i/>
          <w:noProof/>
          <w:sz w:val="24"/>
        </w:rPr>
        <w:t>AMR</w:t>
      </w:r>
      <w:r>
        <w:rPr>
          <w:rFonts w:ascii="Times New Roman" w:hAnsi="Times New Roman"/>
          <w:noProof/>
          <w:sz w:val="24"/>
        </w:rPr>
        <w:t>.</w:t>
      </w:r>
    </w:p>
    <w:p>
      <w:pPr>
        <w:pStyle w:val="Heading2"/>
        <w:rPr>
          <w:noProof/>
        </w:rPr>
      </w:pPr>
      <w:r>
        <w:rPr>
          <w:noProof/>
        </w:rPr>
        <w:t xml:space="preserve">Izstrādāt jaunas zāles un alternatīvas </w:t>
      </w:r>
    </w:p>
    <w:p>
      <w:pPr>
        <w:spacing w:after="0"/>
        <w:rPr>
          <w:rFonts w:ascii="Times New Roman" w:hAnsi="Times New Roman"/>
          <w:noProof/>
          <w:sz w:val="24"/>
          <w:szCs w:val="24"/>
        </w:rPr>
      </w:pPr>
      <w:r>
        <w:rPr>
          <w:rFonts w:ascii="Times New Roman" w:hAnsi="Times New Roman"/>
          <w:noProof/>
          <w:sz w:val="24"/>
        </w:rPr>
        <w:t xml:space="preserve">Par spīti lielajām pūlēm, kas pieliktas pēdējos gados, arī ar publiskā un privātā sektora partnerību starpniecību, apstiprināšanas procesā nav pietiekami daudz antimikrobiālo līdzekļu, lai būtu iespējams apmierināt paredzamās vajadzības. </w:t>
      </w:r>
      <w:r>
        <w:rPr>
          <w:rFonts w:ascii="Times New Roman" w:hAnsi="Times New Roman"/>
          <w:i/>
          <w:noProof/>
          <w:sz w:val="24"/>
        </w:rPr>
        <w:t xml:space="preserve">AMR </w:t>
      </w:r>
      <w:r>
        <w:rPr>
          <w:rFonts w:ascii="Times New Roman" w:hAnsi="Times New Roman"/>
          <w:noProof/>
          <w:sz w:val="24"/>
        </w:rPr>
        <w:t>izplatīšanās ir bijusi arī viens no iemesliem tam, ka līdzšinējie antimikrobiālie līdzekļi vairs nav tik iedarbīgi. Vajadzīgi jauni pētījumi jaunu zāļu, terapiju un alternatīvu ārstēšanas metožu, kā arī inovatīvu cilvēkiem un dzīvniekiem paredzētu pretinfekcijas pieeju un to līdzekļu izstrādei. Jauni pētījumi vajadzīgi arī vecu antimikrobiālo līdzekļu pārprofilēšanai, to darbības uzlabošanai un kombinētu jaunieviestas terapijas zāļu, arī multirezistentai tuberkulozei paredzētu zāļu izstrādei. Būtu plašāk jāizmanto arī digitālās tehnoloģijas biomedicīnisku produktu testēšanā un e-veselības inovēšanā, piem., inovācijas iepirkuma atbalstam</w:t>
      </w:r>
      <w:r>
        <w:rPr>
          <w:rStyle w:val="FootnoteReference"/>
          <w:rFonts w:ascii="Times New Roman" w:hAnsi="Times New Roman"/>
          <w:noProof/>
          <w:sz w:val="24"/>
        </w:rPr>
        <w:footnoteReference w:id="37"/>
      </w:r>
      <w:r>
        <w:rPr>
          <w:rFonts w:ascii="Times New Roman" w:hAnsi="Times New Roman"/>
          <w:noProof/>
          <w:sz w:val="24"/>
        </w:rPr>
        <w:t>, kā arī MVU atbalstam.</w:t>
      </w:r>
    </w:p>
    <w:p>
      <w:pPr>
        <w:spacing w:after="0"/>
        <w:rPr>
          <w:rFonts w:ascii="Times New Roman" w:hAnsi="Times New Roman"/>
          <w:noProof/>
          <w:sz w:val="24"/>
          <w:szCs w:val="24"/>
        </w:rPr>
      </w:pPr>
    </w:p>
    <w:p>
      <w:pPr>
        <w:pBdr>
          <w:top w:val="single" w:sz="4" w:space="1" w:color="auto"/>
          <w:left w:val="single" w:sz="4" w:space="1" w:color="auto"/>
          <w:bottom w:val="single" w:sz="4" w:space="1" w:color="auto"/>
          <w:right w:val="single" w:sz="4" w:space="1"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Komisija:</w:t>
      </w:r>
    </w:p>
    <w:p>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atbalstīs pētniecību, kas orientēta uz cilvēkiem un dzīvniekiem paredzētu jaunu antimikrobiālo līdzekļu un alternatīvu līdzekļu izstrādi, kā arī uz veco antimikrobiālo līdzekļu pārprofilēšanu vai uz kombinētu jaunieviestas terapijas zāļu izstrādi;</w:t>
      </w:r>
    </w:p>
    <w:p>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 xml:space="preserve">kopā ar </w:t>
      </w:r>
      <w:r>
        <w:rPr>
          <w:rFonts w:ascii="Times New Roman" w:hAnsi="Times New Roman"/>
          <w:i/>
          <w:noProof/>
          <w:sz w:val="24"/>
        </w:rPr>
        <w:t>EMA</w:t>
      </w:r>
      <w:r>
        <w:rPr>
          <w:rFonts w:ascii="Times New Roman" w:hAnsi="Times New Roman"/>
          <w:noProof/>
          <w:sz w:val="24"/>
        </w:rPr>
        <w:t xml:space="preserve"> atbalstīs MVU centienus pētniecībā un izstrādē, kas orientēti uz inovatīvu un/vai alternatīvu terapeitisku pieeju bakteriālu infekciju ārstēšanā vai profilaksē;</w:t>
      </w:r>
    </w:p>
    <w:p>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attiecīgajām ieinteresētajām personām atvieglinās apmaiņu ar antimikrobiālās pētniecības datiem</w:t>
      </w:r>
      <w:r>
        <w:rPr>
          <w:rStyle w:val="FootnoteReference"/>
          <w:rFonts w:ascii="Times New Roman" w:hAnsi="Times New Roman"/>
          <w:noProof/>
          <w:sz w:val="24"/>
        </w:rPr>
        <w:footnoteReference w:id="38"/>
      </w:r>
      <w:r>
        <w:rPr>
          <w:rFonts w:ascii="Times New Roman" w:hAnsi="Times New Roman"/>
          <w:noProof/>
          <w:sz w:val="24"/>
        </w:rPr>
        <w:t>, kas palīdzētu orientēt turpmāku antimikrobiālu zāļu atklāšanu un izstrādi;</w:t>
      </w:r>
    </w:p>
    <w:p>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atbalstīs, ka tiek izveidots Eiropas mēroga ilgtspējīgs klīniskās pētniecības tīkls, un tam būtu jāpaātrina zāļu klīniskie pētījumi, jāsamazina to izmaksas un jāuzlabo klīniskās pētniecības koordinēšana;</w:t>
      </w:r>
    </w:p>
    <w:p>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atbalstīs tādu pētniecību un inovāciju, kas sekmē digitālo tehnoloģiju izmantošanu jaunu terapiju un alternatīvu atbalstam.</w:t>
      </w:r>
    </w:p>
    <w:p>
      <w:pPr>
        <w:pStyle w:val="Heading2"/>
        <w:rPr>
          <w:noProof/>
        </w:rPr>
      </w:pPr>
      <w:r>
        <w:rPr>
          <w:noProof/>
        </w:rPr>
        <w:t>Izstrādāt jaunas profilaktiskas vakcīnas</w:t>
      </w:r>
    </w:p>
    <w:p>
      <w:pPr>
        <w:spacing w:after="0"/>
        <w:rPr>
          <w:rFonts w:ascii="Times New Roman" w:hAnsi="Times New Roman"/>
          <w:noProof/>
          <w:sz w:val="24"/>
          <w:szCs w:val="24"/>
        </w:rPr>
      </w:pPr>
      <w:r>
        <w:rPr>
          <w:rFonts w:ascii="Times New Roman" w:hAnsi="Times New Roman"/>
          <w:noProof/>
          <w:sz w:val="24"/>
        </w:rPr>
        <w:t xml:space="preserve">Vakcīnas sevi apliecinājušas kā ļoti svarīgus un rentablus līdzekļus, kas kavē infekcijas slimību iestāšanos un izplatību. Tām piemīt arī liels potenciāls mazināt ar </w:t>
      </w:r>
      <w:r>
        <w:rPr>
          <w:rFonts w:ascii="Times New Roman" w:hAnsi="Times New Roman"/>
          <w:i/>
          <w:noProof/>
          <w:sz w:val="24"/>
        </w:rPr>
        <w:t>AMR</w:t>
      </w:r>
      <w:r>
        <w:rPr>
          <w:rFonts w:ascii="Times New Roman" w:hAnsi="Times New Roman"/>
          <w:noProof/>
          <w:sz w:val="24"/>
        </w:rPr>
        <w:t xml:space="preserve"> saistītu saslimstību. Piemēram, vispārēja pneimokoku vakcīna varētu ne vien glābt daudzus no 800 000 bērniem, kas pēc aplēsēm katru gadu mirst no pneimonijas, bet pēc aplēsēm par 47 % samazināt antimikrobiālo līdzekļu izmantošanu, tādējādi kavējot </w:t>
      </w:r>
      <w:r>
        <w:rPr>
          <w:rFonts w:ascii="Times New Roman" w:hAnsi="Times New Roman"/>
          <w:i/>
          <w:noProof/>
          <w:sz w:val="24"/>
        </w:rPr>
        <w:t>AMR</w:t>
      </w:r>
      <w:r>
        <w:rPr>
          <w:rFonts w:ascii="Times New Roman" w:hAnsi="Times New Roman"/>
          <w:noProof/>
          <w:sz w:val="24"/>
        </w:rPr>
        <w:t xml:space="preserve"> veidošanos. Vakcīnām jau tagad ir nozīmīga loma lauksaimniecības un akvakultūras dzīvnieku slimību profilaksē. Vakcinēšana būtu jāveicina vēl vairāk, lai šajās nozarēs mazinātu antimikrobiālo līdzekļu izmantošanu.</w:t>
      </w:r>
    </w:p>
    <w:p>
      <w:pPr>
        <w:spacing w:after="0"/>
        <w:rPr>
          <w:rFonts w:ascii="Times New Roman" w:hAnsi="Times New Roman"/>
          <w:noProof/>
          <w:sz w:val="24"/>
          <w:szCs w:val="24"/>
        </w:rPr>
      </w:pPr>
    </w:p>
    <w:p>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Komisija:</w:t>
      </w:r>
    </w:p>
    <w:p>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joprojām atbalstīs pētniecību, kuras objekts ir jaunu cilvēkiem un dzīvniekiem paredzētu iedarbīgu profilaktisko vakcīnu izstrāde;</w:t>
      </w:r>
    </w:p>
    <w:p>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atbalstīs, ka tiks papildināta bāze zināšanām par šķēršļiem vakcinācijas plašākai izmantošanai medicīnas un veterinārijas praksē.</w:t>
      </w:r>
    </w:p>
    <w:p>
      <w:pPr>
        <w:pStyle w:val="Heading2"/>
        <w:rPr>
          <w:noProof/>
        </w:rPr>
      </w:pPr>
      <w:r>
        <w:rPr>
          <w:noProof/>
        </w:rPr>
        <w:t>Izstrādāt jaunus diagnostikas līdzekļus</w:t>
      </w:r>
    </w:p>
    <w:p>
      <w:pPr>
        <w:rPr>
          <w:rFonts w:ascii="Times New Roman" w:hAnsi="Times New Roman"/>
          <w:noProof/>
          <w:sz w:val="24"/>
          <w:szCs w:val="24"/>
        </w:rPr>
      </w:pPr>
      <w:r>
        <w:rPr>
          <w:rFonts w:ascii="Times New Roman" w:hAnsi="Times New Roman"/>
          <w:noProof/>
          <w:sz w:val="24"/>
        </w:rPr>
        <w:t xml:space="preserve">Ar jauniem līdzekļiem veiktai ātrai un uzticamai diagnostikai ir izšķirīgi svarīga nozīme bakteriālas un virālas infekcijas diferencēšanā un </w:t>
      </w:r>
      <w:r>
        <w:rPr>
          <w:rFonts w:ascii="Times New Roman" w:hAnsi="Times New Roman"/>
          <w:i/>
          <w:noProof/>
          <w:sz w:val="24"/>
        </w:rPr>
        <w:t xml:space="preserve">AMR </w:t>
      </w:r>
      <w:r>
        <w:rPr>
          <w:rFonts w:ascii="Times New Roman" w:hAnsi="Times New Roman"/>
          <w:noProof/>
          <w:sz w:val="24"/>
        </w:rPr>
        <w:t>atpazīšanā; tā paver iespēju laikus izmantot vispiemērotāko ārstēšanu. Paverot iespēju ārstēšanu pielāgot infekciozā patogēna dabai un tā rezistences modelim, diagnostikas līdzekļi palīdz mazināt nevajadzīgu antimikrobiālo līdzekļu izmantošanu cilvēkiem un dzīvniekiem.</w:t>
      </w:r>
    </w:p>
    <w:p>
      <w:pPr>
        <w:rPr>
          <w:rFonts w:ascii="Times New Roman" w:hAnsi="Times New Roman"/>
          <w:noProof/>
          <w:sz w:val="24"/>
          <w:szCs w:val="24"/>
        </w:rPr>
      </w:pPr>
      <w:r>
        <w:rPr>
          <w:rFonts w:ascii="Times New Roman" w:hAnsi="Times New Roman"/>
          <w:noProof/>
          <w:sz w:val="24"/>
        </w:rPr>
        <w:t>Šādi jauni diagnostikas līdzekļi patlaban ienāk tirgū, taču, lai būtu iespējams efektīvāk orientēt līdzšinējo antimikrobiālo līdzekļu izmantošanu cilvēka veselības un dzīvnieku veselības nozarē, vajadzīga plašāka testēšana. Jauni diagnostikas līdzekļi arī pavērs iespēju jaunas ārstēšanas klīniskajām pārbaudēm piesaistīt vispiemērotākos pacientus, tādējādi šīs pārbaudes efektivizējot.</w:t>
      </w:r>
    </w:p>
    <w:p>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Komisija:</w:t>
      </w:r>
    </w:p>
    <w:p>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atbalstīs pētniecību, kuras objekts ir jaunu diagnostikas instrumentu izstrāde, jo īpaši cilvēkiem un dzīvniekiem paredzēti testi uz vietas, kas praktizējošus ārstus varētu orientēt antimikrobiālo līdzekļu izmantošanā; </w:t>
      </w:r>
    </w:p>
    <w:p>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atbalstīs, ka cilvēka un dzīvnieku infekciju diagnosticēšanai paredzētu instrumentu</w:t>
      </w:r>
      <w:r>
        <w:rPr>
          <w:noProof/>
        </w:rPr>
        <w:t xml:space="preserve"> </w:t>
      </w:r>
      <w:r>
        <w:rPr>
          <w:rFonts w:ascii="Times New Roman" w:hAnsi="Times New Roman"/>
          <w:noProof/>
          <w:sz w:val="24"/>
        </w:rPr>
        <w:t>izstrādē izmanto IT risinājumus;</w:t>
      </w:r>
    </w:p>
    <w:p>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rosinās diagnostikas līdzekļus plašāk izmantot medicīnas un veterinārijas praksē, piem., izmantojot inovācijas iepirkumu.</w:t>
      </w:r>
    </w:p>
    <w:p>
      <w:pPr>
        <w:pStyle w:val="Heading2"/>
        <w:rPr>
          <w:noProof/>
        </w:rPr>
      </w:pPr>
      <w:r>
        <w:rPr>
          <w:noProof/>
        </w:rPr>
        <w:t xml:space="preserve">Izstrādāt jaunus ekonomiskus modeļus un stimulus </w:t>
      </w:r>
    </w:p>
    <w:p>
      <w:pPr>
        <w:rPr>
          <w:rFonts w:ascii="Times New Roman" w:hAnsi="Times New Roman"/>
          <w:noProof/>
          <w:sz w:val="24"/>
          <w:szCs w:val="24"/>
        </w:rPr>
      </w:pPr>
      <w:r>
        <w:rPr>
          <w:rFonts w:ascii="Times New Roman" w:hAnsi="Times New Roman"/>
          <w:noProof/>
          <w:sz w:val="24"/>
        </w:rPr>
        <w:t>Jaunu antibakteriālo līdzekļu vai alternatīvu terapiju izstrādei ir vajadzīgi apjomīgi un ilglaicīgi ieguldījumi. Klasiskajā uzņēmējdarbības modelī farmācijas uzņēmumi pētniecības un izstrādes ieguldījumus atgūst, pārdodot zāles lielā apmērā. Tomēr, jebkādai jaunai antimikrobiālai terapijai nonākot tirgū un tiekot tirgotai un izmantotai lielā daudzumā, var gaidīt, ka drīz vien izveidosies rezistence. Jauno antimikrobiālo līdzekļu izmantošana jāierobežo, lai līdz minimumam samazinātu rezistences veidošanās risku, tāpēc līdzšinējā uzņēmējdarbības modelī antimikrobiālie līdzekļi tirgū negūst panākumus, turklāt tas grauj centienus saglabāt iedarbīgus antimikrobiālos līdzekļus.</w:t>
      </w:r>
    </w:p>
    <w:p>
      <w:pPr>
        <w:rPr>
          <w:rFonts w:ascii="Times New Roman" w:hAnsi="Times New Roman"/>
          <w:noProof/>
          <w:sz w:val="24"/>
          <w:szCs w:val="24"/>
        </w:rPr>
      </w:pPr>
      <w:r>
        <w:rPr>
          <w:rFonts w:ascii="Times New Roman" w:hAnsi="Times New Roman"/>
          <w:noProof/>
          <w:sz w:val="24"/>
        </w:rPr>
        <w:t>Ir jāveido jauni ekonomiski modeļi, kas stimulētu jaunu antimikrobiālu līdzekļu atklāšanu un izstrādi, to tomēr apvienojot ar atbildīgu izmantošanu. Līdzīgi diagnostikas nozarē jaunu diagnostikas līdzekļu izstrāde un ieviešana prasa jaunus modeļus, kuros būtu ņemtas vērā diagnostikas līdzekļu relatīvi augstās cenas salīdzinājumā ar šobrīd zemajām antimikrobiālo līdzekļu cenām. Šādiem modeļiem būtu jāatspoguļo minēto zāļu piedāvātais ilglaicīgais ieguvums, kā arī sabiedriskā vērtība, ko dod ierobežota antimikrobiālo līdzekļu izmantošana kopā ar jauniem diagnostikas līdzekļiem. Tas atbilstu augošajai tendencei jaunas terapijas attīstīt kopā ar attiecīgu diagnostikas līdzekli.</w:t>
      </w:r>
    </w:p>
    <w:p>
      <w:pPr>
        <w:rPr>
          <w:rFonts w:ascii="Times New Roman" w:hAnsi="Times New Roman"/>
          <w:noProof/>
          <w:sz w:val="24"/>
          <w:szCs w:val="24"/>
        </w:rPr>
      </w:pPr>
      <w:r>
        <w:rPr>
          <w:rFonts w:ascii="Times New Roman" w:hAnsi="Times New Roman"/>
          <w:noProof/>
          <w:sz w:val="24"/>
        </w:rPr>
        <w:t xml:space="preserve">Ir vajadzīgas veselības aprūpes tehnoloģijas novērtēšanas metodes, ar kuru palīdzību izvērtēt šādu jaunu tehnoloģiju pievienoto vērtību, kā arī ekonomiska analīze, kas palīdzētu saprast dažādu </w:t>
      </w:r>
      <w:r>
        <w:rPr>
          <w:rFonts w:ascii="Times New Roman" w:hAnsi="Times New Roman"/>
          <w:i/>
          <w:noProof/>
          <w:sz w:val="24"/>
        </w:rPr>
        <w:t>AMR</w:t>
      </w:r>
      <w:r>
        <w:rPr>
          <w:rFonts w:ascii="Times New Roman" w:hAnsi="Times New Roman"/>
          <w:noProof/>
          <w:sz w:val="24"/>
        </w:rPr>
        <w:t xml:space="preserve"> apkarošanai paredzētu investīciju izmaksas un ieguvumus, — šie elementi veidotu pierādījumu bāzi, uz kuras pamata konkrētā veida iejaukšanās tiktu ieviesta veselības aprūpes sistēmā un pakalpojumos. Veselības aprūpes tehnoloģijas novērtēšanas organizāciju iesaistīšana ar </w:t>
      </w:r>
      <w:r>
        <w:rPr>
          <w:rFonts w:ascii="Times New Roman" w:hAnsi="Times New Roman"/>
          <w:i/>
          <w:noProof/>
          <w:sz w:val="24"/>
        </w:rPr>
        <w:t>AMR</w:t>
      </w:r>
      <w:r>
        <w:rPr>
          <w:rFonts w:ascii="Times New Roman" w:hAnsi="Times New Roman"/>
          <w:noProof/>
          <w:sz w:val="24"/>
        </w:rPr>
        <w:t xml:space="preserve"> saistītās diskusijās varētu vairot viņu informētību par rezistenci pret antimikrobiālajiem līdzekļiem procesā, kurā tiek vērtēta jauno antimikrobiālo līdzekļu un to alternatīvu, diagnostikas līdzekļu vai to kombināciju pievienotā vērtība.</w:t>
      </w:r>
    </w:p>
    <w:p>
      <w:pPr>
        <w:spacing w:after="0"/>
        <w:rPr>
          <w:rFonts w:ascii="Times New Roman" w:hAnsi="Times New Roman"/>
          <w:noProof/>
          <w:sz w:val="24"/>
          <w:szCs w:val="24"/>
        </w:rPr>
      </w:pPr>
    </w:p>
    <w:p>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Komisija:</w:t>
      </w:r>
    </w:p>
    <w:p>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palielinās pierādījumu bāzi, kas palīdzēs izprast, kādas izmaksas un ieguvumus sabiedrībai rada dažādas </w:t>
      </w:r>
      <w:r>
        <w:rPr>
          <w:rFonts w:ascii="Times New Roman" w:hAnsi="Times New Roman"/>
          <w:i/>
          <w:noProof/>
          <w:sz w:val="24"/>
        </w:rPr>
        <w:t>AMR</w:t>
      </w:r>
      <w:r>
        <w:rPr>
          <w:rFonts w:ascii="Times New Roman" w:hAnsi="Times New Roman"/>
          <w:noProof/>
          <w:sz w:val="24"/>
        </w:rPr>
        <w:t xml:space="preserve"> apkarošanas stratēģijas, ieskaitot izpratni par faktoriem, kas ietekmē, kā tiek ieviesta tāda iejaukšanās kā jauni diagnostikas līdzekļi vai profilaktiski pasākumi;</w:t>
      </w:r>
    </w:p>
    <w:p>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atbalstīs pētniecību, kuras objekts ir jaunu ekonomisku modeļu izstrāde un tādu stimulu izpēte un analīze, kas veicina jaunu terapiju, to alternatīvu, vakcīnu un diagnostikas līdzekļu izstrādi;</w:t>
      </w:r>
    </w:p>
    <w:p>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analizēs ES regulatīvos instrumentus un stimulus — jo īpaši attiecībā uz tiesību aktiem, kas reglamentē bāreņzāles un pediatriskās zāles, — lai tos izmantotu attiecībā uz jauniem antimikrobiāliem līdzekļiem un inovatīvām alternatīvām zālēm (piem., vakcīnām, antibakteriāliem līdzekļiem, pretsēnīšu līdzekļiem un pretvīrusu zālēm), kurās investējot patlaban netiek gūta pietiekama atdeve;</w:t>
      </w:r>
    </w:p>
    <w:p>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rosinās dalībvalstis pētīt rezultātus un ieteikumus, kas izstrādāti jaunās ekonomikas uzņēmējdarbības modeļiem veltītos ES pētniecības projektos;</w:t>
      </w:r>
    </w:p>
    <w:p>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izstrādās jaunas vai labākas metodoloģiskas pieejas veselības aprūpes tehnoloģiju novērtēšanā un veicinās vienprātības panākšanu attiecībā uz metodoloģijām. Tas varētu sekmēt kombinētu un līdzatkarīgu tehnoloģiju izstrādi, arī </w:t>
      </w:r>
      <w:r>
        <w:rPr>
          <w:rFonts w:ascii="Times New Roman" w:hAnsi="Times New Roman"/>
          <w:i/>
          <w:noProof/>
          <w:sz w:val="24"/>
        </w:rPr>
        <w:t>AMR</w:t>
      </w:r>
      <w:r>
        <w:rPr>
          <w:rFonts w:ascii="Times New Roman" w:hAnsi="Times New Roman"/>
          <w:noProof/>
          <w:sz w:val="24"/>
        </w:rPr>
        <w:t xml:space="preserve"> jomā.</w:t>
      </w:r>
    </w:p>
    <w:p>
      <w:pPr>
        <w:pStyle w:val="Heading2"/>
        <w:rPr>
          <w:noProof/>
        </w:rPr>
      </w:pPr>
      <w:r>
        <w:rPr>
          <w:noProof/>
        </w:rPr>
        <w:t xml:space="preserve">Aizpildīt robus zināšanās par </w:t>
      </w:r>
      <w:r>
        <w:rPr>
          <w:i/>
          <w:noProof/>
        </w:rPr>
        <w:t>AMR</w:t>
      </w:r>
      <w:r>
        <w:rPr>
          <w:noProof/>
        </w:rPr>
        <w:t xml:space="preserve"> vidē un par pārneses profilaksi</w:t>
      </w:r>
    </w:p>
    <w:p>
      <w:pPr>
        <w:keepNext/>
        <w:keepLines/>
        <w:outlineLvl w:val="0"/>
        <w:rPr>
          <w:rFonts w:ascii="Times New Roman" w:hAnsi="Times New Roman"/>
          <w:noProof/>
          <w:sz w:val="24"/>
          <w:szCs w:val="24"/>
        </w:rPr>
      </w:pPr>
      <w:r>
        <w:rPr>
          <w:rFonts w:ascii="Times New Roman" w:hAnsi="Times New Roman"/>
          <w:i/>
          <w:noProof/>
          <w:sz w:val="24"/>
        </w:rPr>
        <w:t>AMR</w:t>
      </w:r>
      <w:r>
        <w:rPr>
          <w:rFonts w:ascii="Times New Roman" w:hAnsi="Times New Roman"/>
          <w:noProof/>
          <w:sz w:val="24"/>
        </w:rPr>
        <w:t xml:space="preserve"> ir tipisks pieejas “Viena veselība” piemērs: cilvēka veselība ir saistīta ar dzīvnieku veselību un vidi. Pietiekami reaģēt šajā gadījumā iespējams tikai ar daudznozaru centieniem. Ļoti trūkst zināšanu par rezistentu organismu nokļūšanu un izplatīšanos vidē, kā arī par apdraudējumiem un riskiem, ko šie procesi rada cilvēka un dzīvnieku veselībai. Piemēram, būtu jānovērtē, kā antimikrobiālie līdzekļi nonāk vidē ar cilvēku, dzīvnieku un ražošanas atkritumu plūsmām, un jāizveido jaunas tehnoloģijas, kas dotu iespēju antimikrobiālos līdzekļus notekūdeņu attīrīšanas iekārtās, organisko atkritumu plūsmās vai vidē efektīvi un ātri noārdīt.</w:t>
      </w:r>
    </w:p>
    <w:p>
      <w:pPr>
        <w:keepNext/>
        <w:keepLines/>
        <w:outlineLvl w:val="0"/>
        <w:rPr>
          <w:rFonts w:ascii="Times New Roman" w:hAnsi="Times New Roman"/>
          <w:noProof/>
          <w:sz w:val="24"/>
          <w:szCs w:val="24"/>
        </w:rPr>
      </w:pPr>
      <w:r>
        <w:rPr>
          <w:rFonts w:ascii="Times New Roman" w:hAnsi="Times New Roman"/>
          <w:noProof/>
          <w:sz w:val="24"/>
        </w:rPr>
        <w:t xml:space="preserve">Ir jāturpina pētīt, cik dzīvotspējīgas ir monitoringa programmas un kā tās tiek īstenotas, arī jāizstrādā saskaņots vides monitorings, kas pievēršas antimikrobiālajiem līdzekļiem un pret antimikrobiālajiem līdzekļiem rezistentiem mikroorganismiem. Izmantojot saskaņotus monitoringa un pētījumu datus, būtu jāizstrādā riska novērtēšanas metodes, kā izvērtēt apdraudējumus cilvēka un dzīvnieku veselībai. Lauksaimniecības un pārtikas nozarē joprojām jāpēta saiknes starp lauksaimniecības praksi, dzīvnieku veselību un </w:t>
      </w:r>
      <w:r>
        <w:rPr>
          <w:rFonts w:ascii="Times New Roman" w:hAnsi="Times New Roman"/>
          <w:i/>
          <w:noProof/>
          <w:sz w:val="24"/>
        </w:rPr>
        <w:t>AMR</w:t>
      </w:r>
      <w:r>
        <w:rPr>
          <w:rFonts w:ascii="Times New Roman" w:hAnsi="Times New Roman"/>
          <w:noProof/>
          <w:sz w:val="24"/>
        </w:rPr>
        <w:t xml:space="preserve"> veidošanos un izplatīšanos.</w:t>
      </w:r>
    </w:p>
    <w:p>
      <w:pPr>
        <w:keepNext/>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Komisija:</w:t>
      </w:r>
    </w:p>
    <w:p>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atbalstīs pētniecību, kas aizpilda robus zināšanās par to, kā rezistenti mikroorganismi un antimikrobiāli līdzekļi nonāk vidē un izplatās;</w:t>
      </w:r>
    </w:p>
    <w:p>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ar zinātnisku aģentūru un organizāciju atbalstu pētīs riska novērtēšanas metodikas un ar to palīdzību izvērtēs riskus, ko cilvēka un dzīvnieku veselībai rada antimikrobiālo līdzekļu klātbūtne vidē;</w:t>
      </w:r>
    </w:p>
    <w:p>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atbalstīs pētniecību, kuras objekts ir jauni instrumenti, ar kuriem vidē monitorēt antimikrobiālos līdzekļus un pret antimikrobiālajiem līdzekļiem rezistentus mikroorganismus, un šādu instrumentu izstrāde;</w:t>
      </w:r>
    </w:p>
    <w:p>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atbalstīs tādu tehnoloģiju izstrādi, ar kuru palīdzību iespējams efektīvi un ātri noārdīt antimikrobiālos līdzekļus notekūdeņos un vidē, mazinot </w:t>
      </w:r>
      <w:r>
        <w:rPr>
          <w:rFonts w:ascii="Times New Roman" w:hAnsi="Times New Roman"/>
          <w:i/>
          <w:noProof/>
          <w:sz w:val="24"/>
        </w:rPr>
        <w:t>AMR</w:t>
      </w:r>
      <w:r>
        <w:rPr>
          <w:rFonts w:ascii="Times New Roman" w:hAnsi="Times New Roman"/>
          <w:noProof/>
          <w:sz w:val="24"/>
        </w:rPr>
        <w:t xml:space="preserve"> izplatīšanos. </w:t>
      </w:r>
    </w:p>
    <w:p>
      <w:pPr>
        <w:pStyle w:val="Heading1"/>
        <w:keepNext/>
        <w:ind w:left="431" w:hanging="431"/>
        <w:rPr>
          <w:noProof/>
        </w:rPr>
      </w:pPr>
      <w:r>
        <w:rPr>
          <w:noProof/>
        </w:rPr>
        <w:t>Globālās dienaskārtības veidošana</w:t>
      </w:r>
    </w:p>
    <w:p>
      <w:pPr>
        <w:keepNext/>
        <w:keepLines/>
        <w:rPr>
          <w:rFonts w:ascii="Times New Roman Bold" w:eastAsia="Times New Roman" w:hAnsi="Times New Roman Bold"/>
          <w:noProof/>
          <w:sz w:val="24"/>
          <w:szCs w:val="24"/>
        </w:rPr>
      </w:pPr>
      <w:r>
        <w:rPr>
          <w:rFonts w:ascii="Times New Roman Bold" w:hAnsi="Times New Roman Bold"/>
          <w:noProof/>
          <w:sz w:val="24"/>
        </w:rPr>
        <w:t>Eiropas Savienība un tās dalībvalstis ietilpst savstarpēji arvien vairāk savienotā pasaulē, kam raksturīga intensīva cilvēku un preču cirkulācija un tas, ka vienā reģionā īstenotas rīcībpolitikas var stipri ietekmēt citus reģionus.</w:t>
      </w:r>
    </w:p>
    <w:p>
      <w:pPr>
        <w:rPr>
          <w:rFonts w:ascii="Times New Roman Bold" w:eastAsia="Times New Roman" w:hAnsi="Times New Roman Bold"/>
          <w:noProof/>
          <w:sz w:val="24"/>
          <w:szCs w:val="24"/>
        </w:rPr>
      </w:pPr>
      <w:r>
        <w:rPr>
          <w:rFonts w:ascii="Times New Roman Bold" w:hAnsi="Times New Roman Bold"/>
          <w:i/>
          <w:noProof/>
          <w:sz w:val="24"/>
        </w:rPr>
        <w:t>AMR</w:t>
      </w:r>
      <w:r>
        <w:rPr>
          <w:rFonts w:ascii="Times New Roman Bold" w:hAnsi="Times New Roman Bold"/>
          <w:noProof/>
          <w:sz w:val="24"/>
        </w:rPr>
        <w:t xml:space="preserve"> izplatīšanās pāri robežām ir atzīta visā pasaulē un darbības jomas ir starptautiski saskaņotas un iezīmētas PVO Globālajā rīcības plāns cīņai pret rezistenci pret antimikrobiālajiem līdzekļiem, kuru pasaulē izmanto par paraugu </w:t>
      </w:r>
      <w:r>
        <w:rPr>
          <w:rFonts w:ascii="Times New Roman Bold" w:hAnsi="Times New Roman Bold"/>
          <w:i/>
          <w:noProof/>
          <w:sz w:val="24"/>
        </w:rPr>
        <w:t>AMR</w:t>
      </w:r>
      <w:r>
        <w:rPr>
          <w:rFonts w:ascii="Times New Roman Bold" w:hAnsi="Times New Roman Bold"/>
          <w:noProof/>
          <w:sz w:val="24"/>
        </w:rPr>
        <w:t xml:space="preserve"> apkarošanas pasākumiem un apstiprinājušas Pasaules Dzīvnieku veselības organizācija (</w:t>
      </w:r>
      <w:r>
        <w:rPr>
          <w:rFonts w:ascii="Times New Roman Bold" w:hAnsi="Times New Roman Bold"/>
          <w:i/>
          <w:noProof/>
          <w:sz w:val="24"/>
        </w:rPr>
        <w:t>OIE</w:t>
      </w:r>
      <w:r>
        <w:rPr>
          <w:rFonts w:ascii="Times New Roman Bold" w:hAnsi="Times New Roman Bold"/>
          <w:noProof/>
          <w:sz w:val="24"/>
        </w:rPr>
        <w:t>) un ANO Pārtikas un lauksaimniecības organizācija (</w:t>
      </w:r>
      <w:r>
        <w:rPr>
          <w:rFonts w:ascii="Times New Roman Bold" w:hAnsi="Times New Roman Bold"/>
          <w:i/>
          <w:noProof/>
          <w:sz w:val="24"/>
        </w:rPr>
        <w:t>FAO</w:t>
      </w:r>
      <w:r>
        <w:rPr>
          <w:rFonts w:ascii="Times New Roman Bold" w:hAnsi="Times New Roman Bold"/>
          <w:noProof/>
          <w:sz w:val="24"/>
        </w:rPr>
        <w:t>). ANO Ģenerālās asamblejas 2016. gada 21. septembra politiskajā deklarācijā pausta apņemšanās augstā līmenī atbalstīt PVO Globālā rīcības plāna cīņai pret rezistenci pret antimikrobiālajiem līdzekļiem starptautisko īstenošanu.</w:t>
      </w:r>
    </w:p>
    <w:p>
      <w:pPr>
        <w:rPr>
          <w:rFonts w:ascii="Times New Roman Bold" w:eastAsia="Times New Roman" w:hAnsi="Times New Roman Bold"/>
          <w:noProof/>
          <w:sz w:val="24"/>
          <w:szCs w:val="24"/>
        </w:rPr>
      </w:pPr>
      <w:r>
        <w:rPr>
          <w:rFonts w:ascii="Times New Roman Bold" w:hAnsi="Times New Roman Bold"/>
          <w:noProof/>
          <w:sz w:val="24"/>
        </w:rPr>
        <w:t>2011. gada ES rīcības plāna izvērtējums atzina ES iejaukšanās pozitīvo ietekmi globālā līmenī. Aprakstītie centieni jāturpina.</w:t>
      </w:r>
    </w:p>
    <w:p>
      <w:pPr>
        <w:pStyle w:val="Heading2"/>
        <w:rPr>
          <w:rFonts w:eastAsia="Times New Roman"/>
          <w:noProof/>
        </w:rPr>
      </w:pPr>
      <w:r>
        <w:rPr>
          <w:noProof/>
        </w:rPr>
        <w:t>Spēcīgāka ES klātbūtne pasaulē</w:t>
      </w:r>
    </w:p>
    <w:p>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 xml:space="preserve">Daudzas no ES iekšzemes </w:t>
      </w:r>
      <w:r>
        <w:rPr>
          <w:rFonts w:ascii="Times New Roman Bold" w:hAnsi="Times New Roman Bold"/>
          <w:i/>
          <w:noProof/>
          <w:sz w:val="24"/>
        </w:rPr>
        <w:t xml:space="preserve">AMR </w:t>
      </w:r>
      <w:r>
        <w:rPr>
          <w:rFonts w:ascii="Times New Roman Bold" w:hAnsi="Times New Roman Bold"/>
          <w:noProof/>
          <w:sz w:val="24"/>
        </w:rPr>
        <w:t xml:space="preserve">apkarošanas rīcībpolitikām (piem., aizliegums antimikrobiālos līdzekļus izmantot par augšanas stimulatoriem produktīvo dzīvnieku barībā) jau palīdz sasniegt starptautiskos mērķus </w:t>
      </w:r>
      <w:r>
        <w:rPr>
          <w:rFonts w:ascii="Times New Roman Bold" w:hAnsi="Times New Roman Bold"/>
          <w:i/>
          <w:noProof/>
          <w:sz w:val="24"/>
        </w:rPr>
        <w:t>AMR</w:t>
      </w:r>
      <w:r>
        <w:rPr>
          <w:rFonts w:ascii="Times New Roman Bold" w:hAnsi="Times New Roman Bold"/>
          <w:noProof/>
          <w:sz w:val="24"/>
        </w:rPr>
        <w:t xml:space="preserve"> apkarošanā. Tomēr </w:t>
      </w:r>
      <w:r>
        <w:rPr>
          <w:rFonts w:ascii="Times New Roman Bold" w:hAnsi="Times New Roman Bold"/>
          <w:i/>
          <w:noProof/>
          <w:sz w:val="24"/>
        </w:rPr>
        <w:t xml:space="preserve">AMR </w:t>
      </w:r>
      <w:r>
        <w:rPr>
          <w:rFonts w:ascii="Times New Roman Bold" w:hAnsi="Times New Roman Bold"/>
          <w:noProof/>
          <w:sz w:val="24"/>
        </w:rPr>
        <w:t>joprojām veidojas un izplatās visā pasaulē.</w:t>
      </w:r>
      <w:r>
        <w:rPr>
          <w:noProof/>
        </w:rPr>
        <w:t xml:space="preserve"> </w:t>
      </w:r>
      <w:r>
        <w:rPr>
          <w:rFonts w:ascii="Times New Roman Bold" w:hAnsi="Times New Roman Bold"/>
          <w:noProof/>
          <w:sz w:val="24"/>
        </w:rPr>
        <w:t xml:space="preserve">Tāpēc, lai panāktu pieejai “Viena veselība” atbilstošu ieguldījumu reģionālos un globālos </w:t>
      </w:r>
      <w:r>
        <w:rPr>
          <w:rFonts w:ascii="Times New Roman Bold" w:hAnsi="Times New Roman Bold"/>
          <w:i/>
          <w:noProof/>
          <w:sz w:val="24"/>
        </w:rPr>
        <w:t>AMR</w:t>
      </w:r>
      <w:r>
        <w:rPr>
          <w:rFonts w:ascii="Times New Roman Bold" w:hAnsi="Times New Roman Bold"/>
          <w:noProof/>
          <w:sz w:val="24"/>
        </w:rPr>
        <w:t xml:space="preserve"> apkarošanas pasākumos, būtu aktīvāk jāiesaista tādas starptautiskas organizācijas kā PVO, </w:t>
      </w:r>
      <w:r>
        <w:rPr>
          <w:rFonts w:ascii="Times New Roman Bold" w:hAnsi="Times New Roman Bold"/>
          <w:i/>
          <w:noProof/>
          <w:sz w:val="24"/>
        </w:rPr>
        <w:t>OIE</w:t>
      </w:r>
      <w:r>
        <w:rPr>
          <w:rFonts w:ascii="Times New Roman Bold" w:hAnsi="Times New Roman Bold"/>
          <w:noProof/>
          <w:sz w:val="24"/>
        </w:rPr>
        <w:t xml:space="preserve">, </w:t>
      </w:r>
      <w:r>
        <w:rPr>
          <w:rFonts w:ascii="Times New Roman Bold" w:hAnsi="Times New Roman Bold"/>
          <w:i/>
          <w:noProof/>
          <w:sz w:val="24"/>
        </w:rPr>
        <w:t>FAO</w:t>
      </w:r>
      <w:r>
        <w:rPr>
          <w:rFonts w:ascii="Times New Roman Bold" w:hAnsi="Times New Roman Bold"/>
          <w:noProof/>
          <w:sz w:val="24"/>
        </w:rPr>
        <w:t xml:space="preserve"> un starptautiskie forumi, kā arī aktīvāk ar tiem jāsadarbojas.</w:t>
      </w:r>
    </w:p>
    <w:p>
      <w:pPr>
        <w:autoSpaceDE w:val="0"/>
        <w:autoSpaceDN w:val="0"/>
        <w:adjustRightInd w:val="0"/>
        <w:spacing w:after="0"/>
        <w:rPr>
          <w:rFonts w:ascii="Times New Roman Bold" w:eastAsia="Times New Roman" w:hAnsi="Times New Roman Bold"/>
          <w:noProof/>
          <w:sz w:val="24"/>
          <w:szCs w:val="24"/>
        </w:rPr>
      </w:pPr>
    </w:p>
    <w:p>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Komisija:</w:t>
      </w:r>
    </w:p>
    <w:p>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joprojām aktīvi piedalīsies PVO, </w:t>
      </w:r>
      <w:r>
        <w:rPr>
          <w:rFonts w:ascii="Times New Roman" w:hAnsi="Times New Roman"/>
          <w:i/>
          <w:noProof/>
          <w:sz w:val="24"/>
        </w:rPr>
        <w:t>OIE</w:t>
      </w:r>
      <w:r>
        <w:rPr>
          <w:rFonts w:ascii="Times New Roman" w:hAnsi="Times New Roman"/>
          <w:noProof/>
          <w:sz w:val="24"/>
        </w:rPr>
        <w:t xml:space="preserve">, </w:t>
      </w:r>
      <w:r>
        <w:rPr>
          <w:rFonts w:ascii="Times New Roman" w:hAnsi="Times New Roman"/>
          <w:i/>
          <w:noProof/>
          <w:sz w:val="24"/>
        </w:rPr>
        <w:t>FAO</w:t>
      </w:r>
      <w:r>
        <w:rPr>
          <w:rFonts w:ascii="Times New Roman" w:hAnsi="Times New Roman"/>
          <w:noProof/>
          <w:sz w:val="24"/>
        </w:rPr>
        <w:t xml:space="preserve"> un </w:t>
      </w:r>
      <w:r>
        <w:rPr>
          <w:rFonts w:ascii="Times New Roman" w:hAnsi="Times New Roman"/>
          <w:i/>
          <w:noProof/>
          <w:sz w:val="24"/>
        </w:rPr>
        <w:t>Codex Alimentarius</w:t>
      </w:r>
      <w:r>
        <w:rPr>
          <w:rFonts w:ascii="Times New Roman" w:hAnsi="Times New Roman"/>
          <w:noProof/>
          <w:sz w:val="24"/>
        </w:rPr>
        <w:t xml:space="preserve"> regulatīvajā darbā, kura mērķis ir veidot ar </w:t>
      </w:r>
      <w:r>
        <w:rPr>
          <w:rFonts w:ascii="Times New Roman" w:hAnsi="Times New Roman"/>
          <w:i/>
          <w:noProof/>
          <w:sz w:val="24"/>
        </w:rPr>
        <w:t>AMR</w:t>
      </w:r>
      <w:r>
        <w:rPr>
          <w:rFonts w:ascii="Times New Roman" w:hAnsi="Times New Roman"/>
          <w:noProof/>
          <w:sz w:val="24"/>
        </w:rPr>
        <w:t xml:space="preserve"> saistītus vērienīgus starptautiskus satvarus un standartus/normas/vadlīnijas/metodes;</w:t>
      </w:r>
    </w:p>
    <w:p>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pastiprinās tehnisko sadarbību ar PVO un tās locekļiem jomās, kas svarīgas PVO Globālajā rīcības plānā cīņai pret rezistenci pret antimikrobiālajiem līdzekļiem (piem., PVO Globālās mikrobu rezistences uzraudzības sistēmas (</w:t>
      </w:r>
      <w:r>
        <w:rPr>
          <w:rFonts w:ascii="Times New Roman" w:hAnsi="Times New Roman"/>
          <w:i/>
          <w:noProof/>
          <w:sz w:val="24"/>
        </w:rPr>
        <w:t>GLASS</w:t>
      </w:r>
      <w:r>
        <w:rPr>
          <w:rFonts w:ascii="Times New Roman" w:hAnsi="Times New Roman"/>
          <w:noProof/>
          <w:sz w:val="24"/>
        </w:rPr>
        <w:t>) monitoringa sistēmu izstrādē, izpratnes veicināšanā, infekciju profilaksē un kontrolē);</w:t>
      </w:r>
    </w:p>
    <w:p>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attiecībā uz attiecīgām starptautiskām vadlīnijām/standartiem/normām, kas saistīti ar </w:t>
      </w:r>
      <w:r>
        <w:rPr>
          <w:rFonts w:ascii="Times New Roman" w:hAnsi="Times New Roman"/>
          <w:i/>
          <w:noProof/>
          <w:sz w:val="24"/>
        </w:rPr>
        <w:t>AMR</w:t>
      </w:r>
      <w:r>
        <w:rPr>
          <w:rFonts w:ascii="Times New Roman" w:hAnsi="Times New Roman"/>
          <w:noProof/>
          <w:sz w:val="24"/>
        </w:rPr>
        <w:t>, intensificēs atbalstu Starptautiskajai cilvēkiem paredzēto zāļu reģistrēšanas tehnisko prasību saskaņošanas konferencei (</w:t>
      </w:r>
      <w:r>
        <w:rPr>
          <w:rFonts w:ascii="Times New Roman" w:hAnsi="Times New Roman"/>
          <w:i/>
          <w:noProof/>
          <w:sz w:val="24"/>
        </w:rPr>
        <w:t>ICH</w:t>
      </w:r>
      <w:r>
        <w:rPr>
          <w:rFonts w:ascii="Times New Roman" w:hAnsi="Times New Roman"/>
          <w:noProof/>
          <w:sz w:val="24"/>
        </w:rPr>
        <w:t>) un Starptautiskajai veterināro zāļu reģistrēšanas tehnisko prasību saskaņošanas konferencei (</w:t>
      </w:r>
      <w:r>
        <w:rPr>
          <w:rFonts w:ascii="Times New Roman" w:hAnsi="Times New Roman"/>
          <w:i/>
          <w:noProof/>
          <w:sz w:val="24"/>
        </w:rPr>
        <w:t>VICH</w:t>
      </w:r>
      <w:r>
        <w:rPr>
          <w:rFonts w:ascii="Times New Roman" w:hAnsi="Times New Roman"/>
          <w:noProof/>
          <w:sz w:val="24"/>
        </w:rPr>
        <w:t>);</w:t>
      </w:r>
    </w:p>
    <w:p>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strādās, lai panāktu, ka uz </w:t>
      </w:r>
      <w:r>
        <w:rPr>
          <w:rFonts w:ascii="Times New Roman" w:hAnsi="Times New Roman"/>
          <w:i/>
          <w:noProof/>
          <w:sz w:val="24"/>
        </w:rPr>
        <w:t>AMR</w:t>
      </w:r>
      <w:r>
        <w:rPr>
          <w:rFonts w:ascii="Times New Roman" w:hAnsi="Times New Roman"/>
          <w:noProof/>
          <w:sz w:val="24"/>
        </w:rPr>
        <w:t xml:space="preserve"> apkarošanu nepārtraukti būtu vērsta augsta līmeņa politiskā uzmanība un griba, arī ANO forumos, G7 un G20;</w:t>
      </w:r>
    </w:p>
    <w:p>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meklēs sinerģijas ar darbu, kas jaunajā rīcībpolitiskajā jautājumā par zāļu nonākšanu vidē veikts ANO Starptautiskās ķīmisko vielu pārvaldības stratēģiskajā pieejā</w:t>
      </w:r>
      <w:r>
        <w:rPr>
          <w:rStyle w:val="FootnoteReference"/>
          <w:rFonts w:ascii="Times New Roman" w:hAnsi="Times New Roman"/>
          <w:noProof/>
          <w:sz w:val="24"/>
        </w:rPr>
        <w:footnoteReference w:id="39"/>
      </w:r>
      <w:r>
        <w:rPr>
          <w:noProof/>
        </w:rPr>
        <w:t>;</w:t>
      </w:r>
    </w:p>
    <w:p>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analizēs, vai iespējams sadarbībā ar G7 dalībvalstīm izveidot globālu </w:t>
      </w:r>
      <w:r>
        <w:rPr>
          <w:rFonts w:ascii="Times New Roman" w:hAnsi="Times New Roman"/>
          <w:i/>
          <w:noProof/>
          <w:sz w:val="24"/>
        </w:rPr>
        <w:t>AMR</w:t>
      </w:r>
      <w:r>
        <w:rPr>
          <w:rFonts w:ascii="Times New Roman" w:hAnsi="Times New Roman"/>
          <w:noProof/>
          <w:sz w:val="24"/>
        </w:rPr>
        <w:t xml:space="preserve"> klīnisko pētījumu tīklu</w:t>
      </w:r>
      <w:bookmarkStart w:id="5" w:name="_Ref484099599"/>
      <w:r>
        <w:rPr>
          <w:rStyle w:val="FootnoteReference"/>
          <w:rFonts w:ascii="Times New Roman" w:hAnsi="Times New Roman"/>
          <w:noProof/>
          <w:sz w:val="24"/>
        </w:rPr>
        <w:footnoteReference w:id="40"/>
      </w:r>
      <w:bookmarkEnd w:id="5"/>
      <w:r>
        <w:rPr>
          <w:rFonts w:ascii="Times New Roman" w:hAnsi="Times New Roman"/>
          <w:noProof/>
          <w:sz w:val="24"/>
        </w:rPr>
        <w:t>;</w:t>
      </w:r>
    </w:p>
    <w:p>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turpinās un pastiprinās sadarbību, kas notiek Transatlantiskajā mikrobu rezistences darba grupā (</w:t>
      </w:r>
      <w:r>
        <w:rPr>
          <w:rFonts w:ascii="Times New Roman" w:hAnsi="Times New Roman"/>
          <w:i/>
          <w:noProof/>
          <w:sz w:val="24"/>
        </w:rPr>
        <w:t>TAFTAR</w:t>
      </w:r>
      <w:r>
        <w:rPr>
          <w:rFonts w:ascii="Times New Roman" w:hAnsi="Times New Roman"/>
          <w:noProof/>
          <w:sz w:val="24"/>
        </w:rPr>
        <w:t>), kurā ietilpst ES, ASV, Kanāda un Norvēģija;</w:t>
      </w:r>
    </w:p>
    <w:p>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attiecībā uz jaunu daudzsološu antimikrobiālo līdzekļu izstrādes plāniem veicinās starptautiskā regulējuma konverģenci, kas aptvertu </w:t>
      </w:r>
      <w:r>
        <w:rPr>
          <w:rFonts w:ascii="Times New Roman" w:hAnsi="Times New Roman"/>
          <w:i/>
          <w:noProof/>
          <w:sz w:val="24"/>
        </w:rPr>
        <w:t>EMA</w:t>
      </w:r>
      <w:r>
        <w:rPr>
          <w:rFonts w:ascii="Times New Roman" w:hAnsi="Times New Roman"/>
          <w:noProof/>
          <w:sz w:val="24"/>
        </w:rPr>
        <w:t xml:space="preserve"> un tādas citas regulatīvas aģentūras kā ASV Pārtikas un zāļu pārvalde (</w:t>
      </w:r>
      <w:r>
        <w:rPr>
          <w:rFonts w:ascii="Times New Roman" w:hAnsi="Times New Roman"/>
          <w:i/>
          <w:noProof/>
          <w:sz w:val="24"/>
        </w:rPr>
        <w:t>FDA</w:t>
      </w:r>
      <w:r>
        <w:rPr>
          <w:rFonts w:ascii="Times New Roman" w:hAnsi="Times New Roman"/>
          <w:noProof/>
          <w:sz w:val="24"/>
        </w:rPr>
        <w:t>) un Japānas Zāļu un medicīnisko ierīču aģentūra (</w:t>
      </w:r>
      <w:r>
        <w:rPr>
          <w:rFonts w:ascii="Times New Roman" w:hAnsi="Times New Roman"/>
          <w:i/>
          <w:noProof/>
          <w:sz w:val="24"/>
        </w:rPr>
        <w:t>PMDA</w:t>
      </w:r>
      <w:r>
        <w:rPr>
          <w:rFonts w:ascii="Times New Roman" w:hAnsi="Times New Roman"/>
          <w:noProof/>
          <w:sz w:val="24"/>
        </w:rPr>
        <w:t>).</w:t>
      </w:r>
    </w:p>
    <w:p>
      <w:pPr>
        <w:pStyle w:val="Heading2"/>
        <w:rPr>
          <w:rFonts w:eastAsia="Times New Roman"/>
          <w:noProof/>
        </w:rPr>
      </w:pPr>
      <w:r>
        <w:rPr>
          <w:noProof/>
        </w:rPr>
        <w:t>Spēcīgākas divpusējas partnerības ciešākai sadarbībai</w:t>
      </w:r>
    </w:p>
    <w:p>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 xml:space="preserve">ES attiecībā uz </w:t>
      </w:r>
      <w:r>
        <w:rPr>
          <w:rFonts w:ascii="Times New Roman Bold" w:hAnsi="Times New Roman Bold"/>
          <w:i/>
          <w:noProof/>
          <w:sz w:val="24"/>
        </w:rPr>
        <w:t>AMR</w:t>
      </w:r>
      <w:r>
        <w:rPr>
          <w:rFonts w:ascii="Times New Roman Bold" w:hAnsi="Times New Roman Bold"/>
          <w:noProof/>
          <w:sz w:val="24"/>
        </w:rPr>
        <w:t xml:space="preserve"> guvusi vērtīgas speciālās zināšanas un pieredzi, taču daži tās tirdzniecības partneri šajā jomā izvēlējušies citu pieeju un izvēlējušies atšķirīgas prioritātes. Iespējami un visām pusēm izdevīgi ir ar šiem partneriem ciešāk sadarboties un veidot saites, konstruējot rīcību jautājumos, kur pastāv vienprātība, īstenojot pieredzes apmaiņu un pieeju saskaņošanu. Arī kandidātvalstis un potenciālās kandidātvalstis, kas izmanto pirmspievienošanās stratēģijas, uzņēmušās saistības pieskaņoties </w:t>
      </w:r>
      <w:r>
        <w:rPr>
          <w:rFonts w:ascii="Times New Roman Bold" w:hAnsi="Times New Roman Bold"/>
          <w:i/>
          <w:noProof/>
          <w:sz w:val="24"/>
        </w:rPr>
        <w:t>AMR</w:t>
      </w:r>
      <w:r>
        <w:rPr>
          <w:rFonts w:ascii="Times New Roman Bold" w:hAnsi="Times New Roman Bold"/>
          <w:noProof/>
          <w:sz w:val="24"/>
        </w:rPr>
        <w:t xml:space="preserve"> jautājumiem veltītajiem ES tiesību aktiem un tos īstenot; tāpat rīkojušās kaimiņvalstis, uz kurām attiecas Eiropas kaimiņattiecību politika (EKP) vai kurām ar ES ir asociācijas nolīgums. Komisija ar ES aģentūru palīdzību joprojām šīs valstis atbalstīs ar apmeklējumiem, paraugprakses apmaiņu un spēju veidošanas pasākumiem.</w:t>
      </w:r>
    </w:p>
    <w:p>
      <w:pPr>
        <w:autoSpaceDE w:val="0"/>
        <w:autoSpaceDN w:val="0"/>
        <w:adjustRightInd w:val="0"/>
        <w:spacing w:after="0"/>
        <w:rPr>
          <w:rFonts w:ascii="Times New Roman Bold" w:eastAsia="Times New Roman" w:hAnsi="Times New Roman Bold"/>
          <w:noProof/>
          <w:sz w:val="24"/>
          <w:szCs w:val="24"/>
        </w:rPr>
      </w:pPr>
    </w:p>
    <w:p>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 xml:space="preserve">Būdama viens no lielākajiem lauksaimniecības produktu tirgiem, ES var spēlēt nozīmīgu lomu savu ar </w:t>
      </w:r>
      <w:r>
        <w:rPr>
          <w:rFonts w:ascii="Times New Roman Bold" w:hAnsi="Times New Roman Bold"/>
          <w:i/>
          <w:noProof/>
          <w:sz w:val="24"/>
        </w:rPr>
        <w:t>AMR</w:t>
      </w:r>
      <w:r>
        <w:rPr>
          <w:rFonts w:ascii="Times New Roman Bold" w:hAnsi="Times New Roman Bold"/>
          <w:noProof/>
          <w:sz w:val="24"/>
        </w:rPr>
        <w:t xml:space="preserve"> saistīto standartu, pārtikas ražošanas pasākumu un dzīvnieku labturības standartu plašākā ieviešanā, piem., ar divpusēju brīvās tirdzniecības nolīgumu (BTN) starpniecību. Patlaban Komisijas prakse ir visos jaunajos BTN sistemātiski iekļaut ar </w:t>
      </w:r>
      <w:r>
        <w:rPr>
          <w:rFonts w:ascii="Times New Roman Bold" w:hAnsi="Times New Roman Bold"/>
          <w:i/>
          <w:noProof/>
          <w:sz w:val="24"/>
        </w:rPr>
        <w:t>AMR</w:t>
      </w:r>
      <w:r>
        <w:rPr>
          <w:rFonts w:ascii="Times New Roman Bold" w:hAnsi="Times New Roman Bold"/>
          <w:noProof/>
          <w:sz w:val="24"/>
        </w:rPr>
        <w:t xml:space="preserve"> saistītus noteikumus. Lai ES ražotājiem un ES tirdzniecības partneriem nodrošinātu vienlīdzīgus konkurences apstākļus, iespējams apsvērt arī papildu pasākumus, piem., gādāt, ka ES lauksaimnieku pūles negrauj ES tirdzniecības partneri, kas antimikrobiālos līdzekļus neizmanto piesardzīgi. Šajā jautājumā varētu rīkoties arī tā, ka dažāda veida piekāpšanās ES tirdzniecības partneriem tiek piešķirta, to saistot ar ES </w:t>
      </w:r>
      <w:r>
        <w:rPr>
          <w:rFonts w:ascii="Times New Roman Bold" w:hAnsi="Times New Roman Bold"/>
          <w:i/>
          <w:noProof/>
          <w:sz w:val="24"/>
        </w:rPr>
        <w:t>AMR</w:t>
      </w:r>
      <w:r>
        <w:rPr>
          <w:rFonts w:ascii="Times New Roman Bold" w:hAnsi="Times New Roman Bold"/>
          <w:noProof/>
          <w:sz w:val="24"/>
        </w:rPr>
        <w:t xml:space="preserve"> politikas mērķiem.</w:t>
      </w:r>
    </w:p>
    <w:p>
      <w:pPr>
        <w:autoSpaceDE w:val="0"/>
        <w:autoSpaceDN w:val="0"/>
        <w:adjustRightInd w:val="0"/>
        <w:spacing w:after="0"/>
        <w:rPr>
          <w:rFonts w:ascii="Times New Roman Bold" w:eastAsia="Times New Roman" w:hAnsi="Times New Roman Bold"/>
          <w:noProof/>
          <w:sz w:val="24"/>
          <w:szCs w:val="24"/>
        </w:rPr>
      </w:pPr>
    </w:p>
    <w:p>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Komisija:</w:t>
      </w:r>
    </w:p>
    <w:p>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ar </w:t>
      </w:r>
      <w:r>
        <w:rPr>
          <w:rFonts w:ascii="Times New Roman" w:hAnsi="Times New Roman"/>
          <w:i/>
          <w:noProof/>
          <w:sz w:val="24"/>
        </w:rPr>
        <w:t xml:space="preserve">AMR </w:t>
      </w:r>
      <w:r>
        <w:rPr>
          <w:rFonts w:ascii="Times New Roman" w:hAnsi="Times New Roman"/>
          <w:noProof/>
          <w:sz w:val="24"/>
        </w:rPr>
        <w:t>apkarošanu saistītos ES standartus un pasākumus aizstāvēs tirdzniecības nolīgumos un iestrādās tos tirdzniecības nolīgumu sadarbības mehānismos;</w:t>
      </w:r>
    </w:p>
    <w:p>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daloties pieredzē, reklamējot paraugpraksi un tādējādi stimulējot ārpuseiropas pasākumus, palīdzēs sasniegt mērķus, kas izvirzīti PVO Globālajā rīcības plānā cīņai pret rezistenci pret antimikrobiālajiem līdzekļiem, iesaistot svarīgākos pasaules līmeņa dalībniekus un stratēģiskas valstis (piem., Brazīliju, Ķīnu un Indiju);</w:t>
      </w:r>
    </w:p>
    <w:p>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Bold" w:hAnsi="Times New Roman Bold"/>
          <w:noProof/>
          <w:sz w:val="24"/>
        </w:rPr>
        <w:t xml:space="preserve">ES kandidātvalstis, iespējamās kandidātvalstis </w:t>
      </w:r>
      <w:r>
        <w:rPr>
          <w:rFonts w:ascii="Times New Roman" w:hAnsi="Times New Roman"/>
          <w:noProof/>
          <w:sz w:val="24"/>
        </w:rPr>
        <w:t xml:space="preserve">un </w:t>
      </w:r>
      <w:r>
        <w:rPr>
          <w:rFonts w:ascii="Times New Roman Bold" w:hAnsi="Times New Roman Bold"/>
          <w:noProof/>
          <w:sz w:val="24"/>
        </w:rPr>
        <w:t>kaimiņvalstis, uz kurām attiecas Eiropas kaimiņattiecību politika,</w:t>
      </w:r>
      <w:r>
        <w:rPr>
          <w:rFonts w:ascii="Times New Roman" w:hAnsi="Times New Roman"/>
          <w:noProof/>
          <w:sz w:val="24"/>
        </w:rPr>
        <w:t xml:space="preserve"> attiecībā uz </w:t>
      </w:r>
      <w:r>
        <w:rPr>
          <w:rFonts w:ascii="Times New Roman" w:hAnsi="Times New Roman"/>
          <w:i/>
          <w:noProof/>
          <w:sz w:val="24"/>
        </w:rPr>
        <w:t>AMR</w:t>
      </w:r>
      <w:r>
        <w:rPr>
          <w:rFonts w:ascii="Times New Roman" w:hAnsi="Times New Roman"/>
          <w:noProof/>
          <w:sz w:val="24"/>
        </w:rPr>
        <w:t xml:space="preserve"> jautājumiem veltītu ES tiesību aktu un ES standartu īstenošanu iesaistīs pieskaņošanā ES aktiem un standartiem, kā arī spēju veidošanā;</w:t>
      </w:r>
    </w:p>
    <w:p>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uzaicinās Eiropas Parlamentu, dalībvalstis un ieinteresētās personas apmainīties viedokļiem par darbībām, kas jāveic, lai nodrošinātu, ka ES ražotājiem, arī tās lauksaimniekiem, sakarā ar </w:t>
      </w:r>
      <w:r>
        <w:rPr>
          <w:rFonts w:ascii="Times New Roman" w:hAnsi="Times New Roman"/>
          <w:i/>
          <w:noProof/>
          <w:sz w:val="24"/>
        </w:rPr>
        <w:t xml:space="preserve">AMR </w:t>
      </w:r>
      <w:r>
        <w:rPr>
          <w:rFonts w:ascii="Times New Roman" w:hAnsi="Times New Roman"/>
          <w:noProof/>
          <w:sz w:val="24"/>
        </w:rPr>
        <w:t>apkarošanas centieniem nerastos neizdevīgi konkurences apstākļi.</w:t>
      </w:r>
    </w:p>
    <w:p>
      <w:pPr>
        <w:pStyle w:val="Heading2"/>
        <w:rPr>
          <w:rFonts w:ascii="Times New Roman Bold" w:eastAsia="Times New Roman" w:hAnsi="Times New Roman Bold"/>
          <w:noProof/>
        </w:rPr>
      </w:pPr>
      <w:r>
        <w:rPr>
          <w:noProof/>
        </w:rPr>
        <w:t>Sadarbība ar jaunattīstības valstīm</w:t>
      </w:r>
    </w:p>
    <w:p>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i/>
          <w:noProof/>
          <w:sz w:val="24"/>
        </w:rPr>
        <w:t xml:space="preserve">AMR </w:t>
      </w:r>
      <w:r>
        <w:rPr>
          <w:rFonts w:ascii="Times New Roman Bold" w:hAnsi="Times New Roman Bold"/>
          <w:noProof/>
          <w:sz w:val="24"/>
        </w:rPr>
        <w:t xml:space="preserve">draudi sabiedrības veselībai un ar to saistītais sociālais un ekonomiskais slogs jaunattīstības valstīs ir vēl lielāki. Tas saistās ar politiskiem, sociāliem, epidemioloģiskiem un ekonomiskiem faktoriem, kas var atšķirties no faktoriem, kas darbojas attīstītajās valstīs. ES attīstības politikai var būt nozīmīga loma izpratnes vairošanā, apmaiņā ar pieredzi un spēju veidošanas atbalstīšanā jaunattīstības valstīs, lai tās labāk spētu kontrolēt infekcijas slimības un nepieļaut </w:t>
      </w:r>
      <w:r>
        <w:rPr>
          <w:rFonts w:ascii="Times New Roman Bold" w:hAnsi="Times New Roman Bold"/>
          <w:i/>
          <w:noProof/>
          <w:sz w:val="24"/>
        </w:rPr>
        <w:t>AMR</w:t>
      </w:r>
      <w:r>
        <w:rPr>
          <w:rFonts w:ascii="Times New Roman Bold" w:hAnsi="Times New Roman Bold"/>
          <w:noProof/>
          <w:sz w:val="24"/>
        </w:rPr>
        <w:t>. Šo procesu var balstīt ar dialogu, palīdzību un sadarbību, kas, ņemot vērā partnervalstu individuālās politiskās prioritātes, stiprina veselības sistēmas un īsteno ilgtspējīgas attīstības mērķus, jo īpaši trešo mērķi — labu veselību un labklājību. Īpaša uzmanība būtu jāpievērš valstīm ar zemāku ienākumu līmeni, kur atbalsts vajadzīgs visvairāk.</w:t>
      </w:r>
    </w:p>
    <w:p>
      <w:pPr>
        <w:autoSpaceDE w:val="0"/>
        <w:autoSpaceDN w:val="0"/>
        <w:adjustRightInd w:val="0"/>
        <w:spacing w:after="0"/>
        <w:rPr>
          <w:rFonts w:ascii="Times New Roman Bold" w:eastAsia="Times New Roman" w:hAnsi="Times New Roman Bold"/>
          <w:noProof/>
          <w:sz w:val="24"/>
          <w:szCs w:val="24"/>
        </w:rPr>
      </w:pPr>
    </w:p>
    <w:p>
      <w:pPr>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Komisija:</w:t>
      </w:r>
    </w:p>
    <w:p>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ar tādu infekcijas slimību apkarošanas programmu kā Vakcīnu un vakcinācijas globālā alianse (</w:t>
      </w:r>
      <w:r>
        <w:rPr>
          <w:rFonts w:ascii="Times New Roman" w:hAnsi="Times New Roman"/>
          <w:i/>
          <w:noProof/>
          <w:sz w:val="24"/>
        </w:rPr>
        <w:t>GAVI</w:t>
      </w:r>
      <w:r>
        <w:rPr>
          <w:rFonts w:ascii="Times New Roman" w:hAnsi="Times New Roman"/>
          <w:noProof/>
          <w:sz w:val="24"/>
        </w:rPr>
        <w:t xml:space="preserve">) starpniecību joprojām palīdzēs mazināt </w:t>
      </w:r>
      <w:r>
        <w:rPr>
          <w:rFonts w:ascii="Times New Roman" w:hAnsi="Times New Roman"/>
          <w:i/>
          <w:noProof/>
          <w:sz w:val="24"/>
        </w:rPr>
        <w:t>AMR</w:t>
      </w:r>
      <w:r>
        <w:rPr>
          <w:rFonts w:ascii="Times New Roman" w:hAnsi="Times New Roman"/>
          <w:noProof/>
          <w:sz w:val="24"/>
        </w:rPr>
        <w:t xml:space="preserve"> vismazāk attīstītajās valstīs;</w:t>
      </w:r>
    </w:p>
    <w:p>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izmantojot reģionālus </w:t>
      </w:r>
      <w:r>
        <w:rPr>
          <w:rFonts w:ascii="Times New Roman" w:hAnsi="Times New Roman"/>
          <w:i/>
          <w:noProof/>
          <w:sz w:val="24"/>
        </w:rPr>
        <w:t>AMR</w:t>
      </w:r>
      <w:r>
        <w:rPr>
          <w:rFonts w:ascii="Times New Roman" w:hAnsi="Times New Roman"/>
          <w:noProof/>
          <w:sz w:val="24"/>
        </w:rPr>
        <w:t xml:space="preserve"> veltītus mācībseminārus, kas organizēti pasaules iniciatīvā “Labāka apmācība nekaitīgai pārtikai”, palīdzēs izstrādāt </w:t>
      </w:r>
      <w:r>
        <w:rPr>
          <w:rFonts w:ascii="Times New Roman" w:hAnsi="Times New Roman"/>
          <w:i/>
          <w:noProof/>
          <w:sz w:val="24"/>
        </w:rPr>
        <w:t xml:space="preserve">AMR </w:t>
      </w:r>
      <w:r>
        <w:rPr>
          <w:rFonts w:ascii="Times New Roman" w:hAnsi="Times New Roman"/>
          <w:noProof/>
          <w:sz w:val="24"/>
        </w:rPr>
        <w:t>apkarošanas stratēģijas pārtikas nekaitīguma un dzīvnieku veselības jomā;</w:t>
      </w:r>
    </w:p>
    <w:p>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attiecīgā gadījumā ar starptautiskās sadarbības un attīstības instrumentu (piem., “Globālie sabiedriskie labumi un problēmas”, Eiropas Attīstības fonda) starpniecību atbalstīs ar </w:t>
      </w:r>
      <w:r>
        <w:rPr>
          <w:rFonts w:ascii="Times New Roman" w:hAnsi="Times New Roman"/>
          <w:i/>
          <w:noProof/>
          <w:sz w:val="24"/>
        </w:rPr>
        <w:t>AMR</w:t>
      </w:r>
      <w:r>
        <w:rPr>
          <w:rFonts w:ascii="Times New Roman" w:hAnsi="Times New Roman"/>
          <w:noProof/>
          <w:sz w:val="24"/>
        </w:rPr>
        <w:t xml:space="preserve"> saistītas rīcībpolitiskas dalībvalstu iniciatīvas;</w:t>
      </w:r>
    </w:p>
    <w:p>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partnervalstīs attīstīs izturētspējīgas veselības sistēmas, piem., pastiprinot zināšanu un datu bāzi, infekciju profilaksi un kontroli, kā arī paaugstinot antimikrobiālo līdzekļu kvalitāti un vairojot to piesardzīgu izmantošanu.</w:t>
      </w:r>
    </w:p>
    <w:p>
      <w:pPr>
        <w:autoSpaceDE w:val="0"/>
        <w:autoSpaceDN w:val="0"/>
        <w:adjustRightInd w:val="0"/>
        <w:spacing w:after="0"/>
        <w:rPr>
          <w:rFonts w:ascii="Times New Roman Bold" w:eastAsia="Times New Roman" w:hAnsi="Times New Roman Bold"/>
          <w:noProof/>
          <w:sz w:val="24"/>
          <w:szCs w:val="24"/>
        </w:rPr>
      </w:pPr>
    </w:p>
    <w:p>
      <w:pPr>
        <w:pStyle w:val="Heading2"/>
        <w:rPr>
          <w:rFonts w:eastAsia="Times New Roman"/>
          <w:noProof/>
        </w:rPr>
      </w:pPr>
      <w:r>
        <w:rPr>
          <w:noProof/>
        </w:rPr>
        <w:t>Izstrādāt globālu pētniecības programmu</w:t>
      </w:r>
    </w:p>
    <w:p>
      <w:pPr>
        <w:pStyle w:val="Heading1"/>
        <w:numPr>
          <w:ilvl w:val="0"/>
          <w:numId w:val="0"/>
        </w:numPr>
        <w:spacing w:before="0"/>
        <w:rPr>
          <w:rFonts w:eastAsiaTheme="minorHAnsi"/>
          <w:b w:val="0"/>
          <w:bCs w:val="0"/>
          <w:smallCaps w:val="0"/>
          <w:noProof/>
          <w:color w:val="auto"/>
        </w:rPr>
      </w:pPr>
      <w:r>
        <w:rPr>
          <w:rFonts w:eastAsiaTheme="minorHAnsi"/>
          <w:b w:val="0"/>
          <w:smallCaps w:val="0"/>
          <w:noProof/>
          <w:color w:val="auto"/>
        </w:rPr>
        <w:t xml:space="preserve">Ir vajadzīga spēcīgāka, savstarpēji labāk savienota un globālāk orientēta </w:t>
      </w:r>
      <w:r>
        <w:rPr>
          <w:rFonts w:eastAsiaTheme="minorHAnsi"/>
          <w:b w:val="0"/>
          <w:i/>
          <w:smallCaps w:val="0"/>
          <w:noProof/>
          <w:color w:val="auto"/>
        </w:rPr>
        <w:t>AMR</w:t>
      </w:r>
      <w:r>
        <w:rPr>
          <w:rFonts w:eastAsiaTheme="minorHAnsi"/>
          <w:b w:val="0"/>
          <w:smallCaps w:val="0"/>
          <w:noProof/>
          <w:color w:val="auto"/>
        </w:rPr>
        <w:t xml:space="preserve"> pētniecības vide. Daudz var dot tālāka koordinācija starp Eiropas pētniecības programmu un analogiem pasaules veidojumiem. Dažos pēdējos gados ir sāktas daudzas starptautiskas iniciatīvas, kuru ietekmi ciešāka sadarbība varētu tikai palielināt, kā teikuši G7</w:t>
      </w:r>
      <w:r>
        <w:rPr>
          <w:rFonts w:eastAsiaTheme="minorHAnsi"/>
          <w:b w:val="0"/>
          <w:bCs w:val="0"/>
          <w:smallCaps w:val="0"/>
          <w:noProof/>
          <w:color w:val="auto"/>
          <w:vertAlign w:val="superscript"/>
        </w:rPr>
        <w:fldChar w:fldCharType="begin"/>
      </w:r>
      <w:r>
        <w:rPr>
          <w:rFonts w:eastAsiaTheme="minorHAnsi"/>
          <w:b w:val="0"/>
          <w:bCs w:val="0"/>
          <w:smallCaps w:val="0"/>
          <w:noProof/>
          <w:color w:val="auto"/>
          <w:vertAlign w:val="superscript"/>
        </w:rPr>
        <w:instrText xml:space="preserve"> NOTEREF _Ref484099599 \h  \* MERGEFORMAT </w:instrText>
      </w:r>
      <w:r>
        <w:rPr>
          <w:rFonts w:eastAsiaTheme="minorHAnsi"/>
          <w:b w:val="0"/>
          <w:bCs w:val="0"/>
          <w:smallCaps w:val="0"/>
          <w:noProof/>
          <w:color w:val="auto"/>
          <w:vertAlign w:val="superscript"/>
        </w:rPr>
      </w:r>
      <w:r>
        <w:rPr>
          <w:rFonts w:eastAsiaTheme="minorHAnsi"/>
          <w:b w:val="0"/>
          <w:bCs w:val="0"/>
          <w:smallCaps w:val="0"/>
          <w:noProof/>
          <w:color w:val="auto"/>
          <w:vertAlign w:val="superscript"/>
        </w:rPr>
        <w:fldChar w:fldCharType="separate"/>
      </w:r>
      <w:r>
        <w:rPr>
          <w:rFonts w:eastAsiaTheme="minorHAnsi"/>
          <w:b w:val="0"/>
          <w:bCs w:val="0"/>
          <w:smallCaps w:val="0"/>
          <w:noProof/>
          <w:color w:val="auto"/>
          <w:vertAlign w:val="superscript"/>
        </w:rPr>
        <w:t>39</w:t>
      </w:r>
      <w:r>
        <w:rPr>
          <w:rFonts w:eastAsiaTheme="minorHAnsi"/>
          <w:b w:val="0"/>
          <w:bCs w:val="0"/>
          <w:smallCaps w:val="0"/>
          <w:noProof/>
          <w:color w:val="auto"/>
          <w:vertAlign w:val="superscript"/>
        </w:rPr>
        <w:fldChar w:fldCharType="end"/>
      </w:r>
      <w:r>
        <w:rPr>
          <w:rFonts w:eastAsiaTheme="minorHAnsi"/>
          <w:b w:val="0"/>
          <w:smallCaps w:val="0"/>
          <w:noProof/>
          <w:color w:val="auto"/>
        </w:rPr>
        <w:t xml:space="preserve"> un G20</w:t>
      </w:r>
      <w:r>
        <w:rPr>
          <w:rStyle w:val="FootnoteReference"/>
          <w:rFonts w:eastAsiaTheme="minorHAnsi"/>
          <w:b w:val="0"/>
          <w:smallCaps w:val="0"/>
          <w:noProof/>
          <w:color w:val="auto"/>
        </w:rPr>
        <w:footnoteReference w:id="41"/>
      </w:r>
      <w:r>
        <w:rPr>
          <w:rFonts w:eastAsiaTheme="minorHAnsi"/>
          <w:b w:val="0"/>
          <w:smallCaps w:val="0"/>
          <w:noProof/>
          <w:color w:val="auto"/>
        </w:rPr>
        <w:t xml:space="preserve"> veselības ministri.</w:t>
      </w:r>
    </w:p>
    <w:p>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Komisija:</w:t>
      </w:r>
    </w:p>
    <w:p>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atbalstot starptautisku pētniecības iniciatīvu dialogu un sadarbību, uzlabos globālo pētniecības darbību koordināciju;</w:t>
      </w:r>
    </w:p>
    <w:p>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atbalstīs, ka saskaņā ar </w:t>
      </w:r>
      <w:r>
        <w:rPr>
          <w:rFonts w:ascii="Times New Roman" w:hAnsi="Times New Roman"/>
          <w:i/>
          <w:noProof/>
          <w:sz w:val="24"/>
        </w:rPr>
        <w:t>JPIAMR</w:t>
      </w:r>
      <w:r>
        <w:rPr>
          <w:rFonts w:ascii="Times New Roman" w:hAnsi="Times New Roman"/>
          <w:noProof/>
          <w:sz w:val="24"/>
        </w:rPr>
        <w:t xml:space="preserve"> tiek izveidota virtuāla pētniecības iestāde;</w:t>
      </w:r>
    </w:p>
    <w:p>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kopsakarā ar Eiropas un jaunattīstības valstu klīnisko pārbaužu partnerību (</w:t>
      </w:r>
      <w:r>
        <w:rPr>
          <w:rFonts w:ascii="Times New Roman" w:hAnsi="Times New Roman"/>
          <w:i/>
          <w:noProof/>
          <w:sz w:val="24"/>
        </w:rPr>
        <w:t>EDCTP</w:t>
      </w:r>
      <w:r>
        <w:rPr>
          <w:rFonts w:ascii="Times New Roman" w:hAnsi="Times New Roman"/>
          <w:noProof/>
          <w:sz w:val="24"/>
        </w:rPr>
        <w:t>) turpinās kopīgus pētniecības projektus ar Subsahāras Āfriku, jo īpaši attiecībā uz tuberkulozi, HIV/AIDS, malāriju un novārtā atstātām infekcijas slimībām;</w:t>
      </w:r>
    </w:p>
    <w:p>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i/>
          <w:noProof/>
          <w:sz w:val="24"/>
        </w:rPr>
        <w:t xml:space="preserve">AMR </w:t>
      </w:r>
      <w:r>
        <w:rPr>
          <w:rFonts w:ascii="Times New Roman" w:hAnsi="Times New Roman"/>
          <w:noProof/>
          <w:sz w:val="24"/>
        </w:rPr>
        <w:t xml:space="preserve">veltītu starptautisku pētniecības sadarbību dzīvnieku veselības nozarē veicinās starptautiskajā pētniecības konsorcijā </w:t>
      </w:r>
      <w:r>
        <w:rPr>
          <w:rFonts w:ascii="Times New Roman" w:hAnsi="Times New Roman"/>
          <w:i/>
          <w:noProof/>
          <w:sz w:val="24"/>
        </w:rPr>
        <w:t>STAR-IDAZ</w:t>
      </w:r>
      <w:r>
        <w:rPr>
          <w:rStyle w:val="FootnoteReference"/>
          <w:rFonts w:ascii="Times New Roman" w:hAnsi="Times New Roman"/>
          <w:noProof/>
          <w:sz w:val="24"/>
        </w:rPr>
        <w:footnoteReference w:id="42"/>
      </w:r>
      <w:r>
        <w:rPr>
          <w:noProof/>
        </w:rPr>
        <w:t>.</w:t>
      </w:r>
    </w:p>
    <w:p>
      <w:pPr>
        <w:pStyle w:val="Heading1"/>
        <w:rPr>
          <w:noProof/>
        </w:rPr>
      </w:pPr>
      <w:r>
        <w:rPr>
          <w:noProof/>
        </w:rPr>
        <w:t>Kā izvērtēt panākumus</w:t>
      </w:r>
    </w:p>
    <w:p>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Lai sasniegtu vēlamo, būs vajadzīgs ar regulāriem starplaikiem rūpīgi pārraudzīt, cik rezultatīvas ir dažas šā rīcības plāna galvenās darbības un kādi ir to rādītāji, un vajadzības gadījumā tās modificēt.</w:t>
      </w:r>
    </w:p>
    <w:p>
      <w:pPr>
        <w:pStyle w:val="LTTBody1"/>
        <w:numPr>
          <w:ilvl w:val="0"/>
          <w:numId w:val="0"/>
        </w:numPr>
        <w:jc w:val="both"/>
        <w:rPr>
          <w:rFonts w:ascii="Times New Roman" w:hAnsi="Times New Roman" w:cs="Times New Roman"/>
          <w:noProof/>
          <w:sz w:val="24"/>
          <w:szCs w:val="24"/>
        </w:rPr>
      </w:pPr>
    </w:p>
    <w:p>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 xml:space="preserve">PVO, </w:t>
      </w:r>
      <w:r>
        <w:rPr>
          <w:rFonts w:ascii="Times New Roman" w:hAnsi="Times New Roman"/>
          <w:i/>
          <w:noProof/>
          <w:sz w:val="24"/>
        </w:rPr>
        <w:t>OIE</w:t>
      </w:r>
      <w:r>
        <w:rPr>
          <w:rFonts w:ascii="Times New Roman" w:hAnsi="Times New Roman"/>
          <w:noProof/>
          <w:sz w:val="24"/>
        </w:rPr>
        <w:t xml:space="preserve">, </w:t>
      </w:r>
      <w:r>
        <w:rPr>
          <w:rFonts w:ascii="Times New Roman" w:hAnsi="Times New Roman"/>
          <w:i/>
          <w:noProof/>
          <w:sz w:val="24"/>
        </w:rPr>
        <w:t>FAO</w:t>
      </w:r>
      <w:r>
        <w:rPr>
          <w:rFonts w:ascii="Times New Roman" w:hAnsi="Times New Roman"/>
          <w:noProof/>
          <w:sz w:val="24"/>
        </w:rPr>
        <w:t xml:space="preserve"> un </w:t>
      </w:r>
      <w:r>
        <w:rPr>
          <w:rFonts w:ascii="Times New Roman" w:hAnsi="Times New Roman"/>
          <w:i/>
          <w:noProof/>
          <w:sz w:val="24"/>
        </w:rPr>
        <w:t>Codex Alimentarius</w:t>
      </w:r>
      <w:r>
        <w:rPr>
          <w:rFonts w:ascii="Times New Roman" w:hAnsi="Times New Roman"/>
          <w:noProof/>
          <w:sz w:val="24"/>
        </w:rPr>
        <w:t xml:space="preserve"> patlaban izstrādā globālās ietekmes monitoringa sistēmas un standartus.</w:t>
      </w:r>
    </w:p>
    <w:p>
      <w:pPr>
        <w:pStyle w:val="LTTBody1"/>
        <w:numPr>
          <w:ilvl w:val="0"/>
          <w:numId w:val="0"/>
        </w:numPr>
        <w:jc w:val="both"/>
        <w:rPr>
          <w:rFonts w:ascii="Times New Roman" w:hAnsi="Times New Roman" w:cs="Times New Roman"/>
          <w:noProof/>
          <w:sz w:val="24"/>
          <w:szCs w:val="24"/>
        </w:rPr>
      </w:pPr>
    </w:p>
    <w:p>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 xml:space="preserve">Eiropas Savienībā un tās dalībvalstīs ietekme tiks mērīta ES sistēmās. To iespējams darīt, uz jau ievākto datu pamata izraugoties ierobežotu skaitu galveno iznākuma rādītāju. Ar ES zinātnisko aģentūru atbalstu turpināsies tālāka šo rādītāju izstrāde (sk. 2.1. punktu) un dalībvalstīm tie dos iespēju skaidrā un vienkāršā veidā novērtēt, kādus panākumus tās guvušas, īstenojot nacionālos “Vienas veselības” </w:t>
      </w:r>
      <w:r>
        <w:rPr>
          <w:rFonts w:ascii="Times New Roman" w:hAnsi="Times New Roman"/>
          <w:i/>
          <w:noProof/>
          <w:sz w:val="24"/>
        </w:rPr>
        <w:t>AMR</w:t>
      </w:r>
      <w:r>
        <w:rPr>
          <w:rFonts w:ascii="Times New Roman" w:hAnsi="Times New Roman"/>
          <w:noProof/>
          <w:sz w:val="24"/>
        </w:rPr>
        <w:t xml:space="preserve"> apkarošanas rīcības plānus.</w:t>
      </w:r>
      <w:r>
        <w:rPr>
          <w:noProof/>
        </w:rPr>
        <w:t xml:space="preserve"> </w:t>
      </w:r>
      <w:r>
        <w:rPr>
          <w:rFonts w:ascii="Times New Roman" w:hAnsi="Times New Roman"/>
          <w:noProof/>
          <w:sz w:val="24"/>
        </w:rPr>
        <w:t xml:space="preserve">Šie rādītāji arī palīdzēs dalībvalstīm noteikt izmērāmus mērķus, proti, cilvēku un produktīvo dzīvnieku vidū mazināt galveno pret antimikrobiālajiem līdzekļiem rezistento mikroorganismu izraisītās infekcijas, panākt antimikrobiālo līdzekļu pareizāku izmantošanu medicīnā un veterinārijā, kā arī apkarot </w:t>
      </w:r>
      <w:r>
        <w:rPr>
          <w:rFonts w:ascii="Times New Roman" w:hAnsi="Times New Roman"/>
          <w:i/>
          <w:noProof/>
          <w:sz w:val="24"/>
        </w:rPr>
        <w:t>AMR</w:t>
      </w:r>
      <w:r>
        <w:rPr>
          <w:rFonts w:ascii="Times New Roman" w:hAnsi="Times New Roman"/>
          <w:noProof/>
          <w:sz w:val="24"/>
        </w:rPr>
        <w:t xml:space="preserve"> visās nozarēs.</w:t>
      </w:r>
    </w:p>
    <w:p>
      <w:pPr>
        <w:pStyle w:val="LTTBody1"/>
        <w:numPr>
          <w:ilvl w:val="0"/>
          <w:numId w:val="0"/>
        </w:numPr>
        <w:jc w:val="both"/>
        <w:rPr>
          <w:rFonts w:ascii="Times New Roman" w:hAnsi="Times New Roman" w:cs="Times New Roman"/>
          <w:noProof/>
          <w:sz w:val="24"/>
          <w:szCs w:val="24"/>
        </w:rPr>
      </w:pPr>
    </w:p>
    <w:p>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 xml:space="preserve">Šie panākumi tiks regulāri pārrunāti pieejas “Viena veselība” </w:t>
      </w:r>
      <w:r>
        <w:rPr>
          <w:rFonts w:ascii="Times New Roman" w:hAnsi="Times New Roman"/>
          <w:i/>
          <w:noProof/>
          <w:sz w:val="24"/>
        </w:rPr>
        <w:t>AMR</w:t>
      </w:r>
      <w:r>
        <w:rPr>
          <w:rFonts w:ascii="Times New Roman" w:hAnsi="Times New Roman"/>
          <w:noProof/>
          <w:sz w:val="24"/>
        </w:rPr>
        <w:t xml:space="preserve"> tīklā, palīdzot atsevišķām dalībvalstīm orientēties un noskaidrojot, vai ES līmenī nebūtu vajadzīgas jaunas darbības.</w:t>
      </w:r>
    </w:p>
    <w:p>
      <w:pPr>
        <w:pStyle w:val="Heading1"/>
        <w:keepNext/>
        <w:rPr>
          <w:noProof/>
        </w:rPr>
      </w:pPr>
      <w:r>
        <w:rPr>
          <w:noProof/>
        </w:rPr>
        <w:t>Secinājumi</w:t>
      </w:r>
    </w:p>
    <w:p>
      <w:pPr>
        <w:keepNext/>
        <w:keepLines/>
        <w:rPr>
          <w:rFonts w:ascii="Times New Roman" w:hAnsi="Times New Roman"/>
          <w:noProof/>
          <w:sz w:val="24"/>
          <w:szCs w:val="24"/>
        </w:rPr>
      </w:pPr>
      <w:r>
        <w:rPr>
          <w:rFonts w:ascii="Times New Roman" w:hAnsi="Times New Roman"/>
          <w:noProof/>
          <w:sz w:val="24"/>
        </w:rPr>
        <w:t xml:space="preserve">Šis paziņojums kalpo par satvaru turpmākai rīcībai, kas paredzēta rezistences pret antimikrobiālajiem līdzekļiem apkarošanai, un tiecas pēc iespējas labāk izmantot ES tiesisko regulējumu un rīcībpolitiskos instrumentus, galveno uzmanību pievēršot faktiskajai pievienotajai vērtībai, kādu cīņā pret </w:t>
      </w:r>
      <w:r>
        <w:rPr>
          <w:rFonts w:ascii="Times New Roman" w:hAnsi="Times New Roman"/>
          <w:i/>
          <w:noProof/>
          <w:sz w:val="24"/>
        </w:rPr>
        <w:t>AMR</w:t>
      </w:r>
      <w:r>
        <w:rPr>
          <w:rFonts w:ascii="Times New Roman" w:hAnsi="Times New Roman"/>
          <w:noProof/>
          <w:sz w:val="24"/>
        </w:rPr>
        <w:t xml:space="preserve"> var dot Eiropas Savienība.</w:t>
      </w:r>
    </w:p>
    <w:p>
      <w:pPr>
        <w:rPr>
          <w:rFonts w:ascii="Times New Roman" w:hAnsi="Times New Roman"/>
          <w:noProof/>
          <w:sz w:val="24"/>
          <w:szCs w:val="24"/>
        </w:rPr>
      </w:pPr>
      <w:r>
        <w:rPr>
          <w:rFonts w:ascii="Times New Roman" w:hAnsi="Times New Roman"/>
          <w:noProof/>
          <w:sz w:val="24"/>
        </w:rPr>
        <w:t xml:space="preserve">Lielāko daļu darbību iespējams īstenot, līdzšinējās darbības pielāgojot un pastiprinot, lai panāktu integrētāku, daudzpusīgāku un iedarbīgāku pieeju </w:t>
      </w:r>
      <w:r>
        <w:rPr>
          <w:rFonts w:ascii="Times New Roman" w:hAnsi="Times New Roman"/>
          <w:i/>
          <w:noProof/>
          <w:sz w:val="24"/>
        </w:rPr>
        <w:t>AMR</w:t>
      </w:r>
      <w:r>
        <w:rPr>
          <w:rFonts w:ascii="Times New Roman" w:hAnsi="Times New Roman"/>
          <w:noProof/>
          <w:sz w:val="24"/>
        </w:rPr>
        <w:t xml:space="preserve"> apkarošanai. Citas darbības koncentrējas uz to, kā ES reaģē uz līdz šim apzinātajām nepilnībām, kuru dēļ ir vajadzīgas jaunas darbības, jaunu zināšanu atklāšana un jaunu partnerību izveide.</w:t>
      </w:r>
    </w:p>
    <w:p>
      <w:pPr>
        <w:rPr>
          <w:rFonts w:ascii="Times New Roman" w:hAnsi="Times New Roman"/>
          <w:noProof/>
          <w:sz w:val="24"/>
          <w:szCs w:val="24"/>
        </w:rPr>
      </w:pPr>
      <w:r>
        <w:rPr>
          <w:rFonts w:ascii="Times New Roman" w:hAnsi="Times New Roman"/>
          <w:noProof/>
          <w:sz w:val="24"/>
        </w:rPr>
        <w:t xml:space="preserve">Komisija ir pārliecināta, kas šis jaunais pieejas “Viena veselība” rīcības plāns var panākt pārmaiņas un uzlabos ES darbības rezultātus </w:t>
      </w:r>
      <w:r>
        <w:rPr>
          <w:rFonts w:ascii="Times New Roman" w:hAnsi="Times New Roman"/>
          <w:i/>
          <w:noProof/>
          <w:sz w:val="24"/>
        </w:rPr>
        <w:t>AMR</w:t>
      </w:r>
      <w:r>
        <w:rPr>
          <w:rFonts w:ascii="Times New Roman" w:hAnsi="Times New Roman"/>
          <w:noProof/>
          <w:sz w:val="24"/>
        </w:rPr>
        <w:t xml:space="preserve"> apkarošanā. </w:t>
      </w:r>
    </w:p>
    <w:p>
      <w:pPr>
        <w:rPr>
          <w:rFonts w:ascii="Times New Roman" w:hAnsi="Times New Roman"/>
          <w:noProof/>
          <w:sz w:val="24"/>
          <w:szCs w:val="24"/>
        </w:rPr>
      </w:pPr>
      <w:r>
        <w:rPr>
          <w:rFonts w:ascii="Times New Roman" w:hAnsi="Times New Roman"/>
          <w:noProof/>
          <w:sz w:val="24"/>
        </w:rPr>
        <w:t xml:space="preserve">Darbības plāns pastiprinās sadarbību un uzraudzību, mazinās datu nepietiekamību un pavērs iespēju Eiropas Savienībā apmainīties ar paraugpraksi. Saskaņā ar pieeju “Viena veselība” tas radīs vairāk sinerģiju un panāks dažādu rīcībpolitiku saskaņotību. Tādējādi šis rīcības plāns atbalstīs Eiropas Savienību un tās dalībvalstis inovatīvā, rezultatīvā un ilgtspējīgā reaģēšanā uz </w:t>
      </w:r>
      <w:r>
        <w:rPr>
          <w:rFonts w:ascii="Times New Roman" w:hAnsi="Times New Roman"/>
          <w:i/>
          <w:noProof/>
          <w:sz w:val="24"/>
        </w:rPr>
        <w:t>AMR</w:t>
      </w:r>
      <w:r>
        <w:rPr>
          <w:rFonts w:ascii="Times New Roman" w:hAnsi="Times New Roman"/>
          <w:noProof/>
          <w:sz w:val="24"/>
        </w:rPr>
        <w:t xml:space="preserve">. </w:t>
      </w:r>
    </w:p>
    <w:p>
      <w:pPr>
        <w:rPr>
          <w:rFonts w:ascii="Times New Roman" w:hAnsi="Times New Roman"/>
          <w:noProof/>
          <w:sz w:val="24"/>
          <w:szCs w:val="24"/>
        </w:rPr>
      </w:pPr>
      <w:r>
        <w:rPr>
          <w:rFonts w:ascii="Times New Roman" w:hAnsi="Times New Roman"/>
          <w:noProof/>
          <w:sz w:val="24"/>
        </w:rPr>
        <w:t xml:space="preserve">Rīcības plāns arī stratēģiski pastiprinās </w:t>
      </w:r>
      <w:r>
        <w:rPr>
          <w:rFonts w:ascii="Times New Roman" w:hAnsi="Times New Roman"/>
          <w:i/>
          <w:noProof/>
          <w:sz w:val="24"/>
        </w:rPr>
        <w:t>AMR</w:t>
      </w:r>
      <w:r>
        <w:rPr>
          <w:rFonts w:ascii="Times New Roman" w:hAnsi="Times New Roman"/>
          <w:noProof/>
          <w:sz w:val="24"/>
        </w:rPr>
        <w:t xml:space="preserve"> pētniecības dienaskārtību un aktīvi veicinās globālu rīcību. </w:t>
      </w:r>
    </w:p>
    <w:p>
      <w:pPr>
        <w:rPr>
          <w:rFonts w:ascii="Times New Roman" w:hAnsi="Times New Roman"/>
          <w:noProof/>
          <w:sz w:val="24"/>
          <w:szCs w:val="24"/>
        </w:rPr>
      </w:pPr>
      <w:r>
        <w:rPr>
          <w:rFonts w:ascii="Times New Roman" w:hAnsi="Times New Roman"/>
          <w:noProof/>
          <w:sz w:val="24"/>
        </w:rPr>
        <w:t xml:space="preserve">Komisija aicina Eiropas Parlamentu un Padomi atbalstīt šo rīcības plānu “Viena veselība” un aicina dalībvalstis un visas iesaistītās puses nodrošināt, ka </w:t>
      </w:r>
      <w:r>
        <w:rPr>
          <w:rFonts w:ascii="Times New Roman" w:hAnsi="Times New Roman"/>
          <w:i/>
          <w:noProof/>
          <w:sz w:val="24"/>
        </w:rPr>
        <w:t>AMR</w:t>
      </w:r>
      <w:r>
        <w:rPr>
          <w:rFonts w:ascii="Times New Roman" w:hAnsi="Times New Roman"/>
          <w:noProof/>
          <w:sz w:val="24"/>
        </w:rPr>
        <w:t xml:space="preserve"> apkarošanas pasākumi tiek drīz īstenoti. Apturēt un mazināt tuvojošos globālos draudus var tikai neatlaidīga griba, pastāvīga apņemšanās un saskaņota rīcība.</w:t>
      </w:r>
    </w:p>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8320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line="240" w:lineRule="auto"/>
        <w:rPr>
          <w:rStyle w:val="Hyperlink"/>
          <w:color w:val="auto"/>
        </w:rPr>
      </w:pPr>
      <w:r>
        <w:rPr>
          <w:rStyle w:val="Hyperlink"/>
          <w:color w:val="auto"/>
          <w:vertAlign w:val="superscript"/>
        </w:rPr>
        <w:footnoteRef/>
      </w:r>
      <w:r>
        <w:rPr>
          <w:rStyle w:val="Hyperlink"/>
          <w:color w:val="auto"/>
        </w:rPr>
        <w:t xml:space="preserve"> </w:t>
      </w:r>
      <w:hyperlink r:id="rId1">
        <w:r>
          <w:rPr>
            <w:rStyle w:val="Hyperlink"/>
            <w:rFonts w:ascii="Times New Roman" w:hAnsi="Times New Roman"/>
            <w:color w:val="auto"/>
          </w:rPr>
          <w:t>http://www.who.int/entity/drugresistance/documents/surveillancereport/en/index.html</w:t>
        </w:r>
      </w:hyperlink>
      <w:r>
        <w:rPr>
          <w:rStyle w:val="Hyperlink"/>
          <w:color w:val="auto"/>
        </w:rPr>
        <w:t xml:space="preserve"> .</w:t>
      </w:r>
    </w:p>
  </w:footnote>
  <w:footnote w:id="3">
    <w:p>
      <w:pPr>
        <w:pStyle w:val="FootnoteText"/>
        <w:spacing w:after="0" w:line="240" w:lineRule="auto"/>
        <w:rPr>
          <w:rStyle w:val="Hyperlink"/>
          <w:rFonts w:ascii="Times New Roman" w:hAnsi="Times New Roman"/>
          <w:color w:val="auto"/>
        </w:rPr>
      </w:pPr>
      <w:r>
        <w:rPr>
          <w:rStyle w:val="Hyperlink"/>
          <w:rFonts w:ascii="Times New Roman" w:hAnsi="Times New Roman"/>
          <w:color w:val="auto"/>
          <w:vertAlign w:val="superscript"/>
        </w:rPr>
        <w:footnoteRef/>
      </w:r>
      <w:r>
        <w:rPr>
          <w:rStyle w:val="Hyperlink"/>
          <w:rFonts w:ascii="Times New Roman" w:hAnsi="Times New Roman"/>
          <w:color w:val="auto"/>
        </w:rPr>
        <w:t xml:space="preserve"> Apvienoto Nāciju Organizācija (2016. gads). Political Declaration of the high-level meeting of the General Assembly on antimicrobial resistance. New York, USA.</w:t>
      </w:r>
    </w:p>
  </w:footnote>
  <w:footnote w:id="4">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WHA 68.7</w:t>
      </w:r>
    </w:p>
    <w:p>
      <w:pPr>
        <w:pStyle w:val="FootnoteText"/>
        <w:spacing w:after="0" w:line="240" w:lineRule="auto"/>
        <w:rPr>
          <w:rFonts w:ascii="Times New Roman" w:hAnsi="Times New Roman"/>
        </w:rPr>
      </w:pPr>
      <w:r>
        <w:rPr>
          <w:rFonts w:ascii="Times New Roman" w:hAnsi="Times New Roman"/>
        </w:rPr>
        <w:t xml:space="preserve"> </w:t>
      </w:r>
      <w:hyperlink r:id="rId2">
        <w:r>
          <w:rPr>
            <w:rStyle w:val="Hyperlink"/>
            <w:rFonts w:ascii="Times New Roman" w:hAnsi="Times New Roman"/>
          </w:rPr>
          <w:t>http://www.wpro.who.int/entity/drug_resistance/resources/global_action_plan_eng.pdf</w:t>
        </w:r>
      </w:hyperlink>
      <w:r>
        <w:rPr>
          <w:rStyle w:val="Hyperlink"/>
          <w:rFonts w:ascii="Times New Roman" w:hAnsi="Times New Roman"/>
        </w:rPr>
        <w:t>.</w:t>
      </w:r>
    </w:p>
  </w:footnote>
  <w:footnote w:id="5">
    <w:p>
      <w:pPr>
        <w:pStyle w:val="FootnoteText"/>
        <w:spacing w:after="0" w:line="240" w:lineRule="auto"/>
        <w:rPr>
          <w:rStyle w:val="Hyperlink"/>
          <w:rFonts w:ascii="Times New Roman" w:hAnsi="Times New Roman"/>
          <w:color w:val="auto"/>
        </w:rPr>
      </w:pPr>
      <w:r>
        <w:rPr>
          <w:rStyle w:val="Hyperlink"/>
          <w:rFonts w:ascii="Times New Roman" w:hAnsi="Times New Roman"/>
          <w:color w:val="auto"/>
          <w:vertAlign w:val="superscript"/>
        </w:rPr>
        <w:footnoteRef/>
      </w:r>
      <w:r>
        <w:rPr>
          <w:rStyle w:val="Hyperlink"/>
          <w:rFonts w:ascii="Times New Roman" w:hAnsi="Times New Roman"/>
          <w:color w:val="auto"/>
        </w:rPr>
        <w:t xml:space="preserve"> http://ecdc.europa.eu/en/publications/Publications/0909_TER_The_Bacterial_Challenge_Time_to_React.pdf.</w:t>
      </w:r>
    </w:p>
  </w:footnote>
  <w:footnote w:id="6">
    <w:p>
      <w:pPr>
        <w:pStyle w:val="FootnoteText"/>
        <w:spacing w:after="0"/>
        <w:rPr>
          <w:rFonts w:ascii="Times New Roman" w:hAnsi="Times New Roman"/>
        </w:rPr>
      </w:pPr>
      <w:r>
        <w:rPr>
          <w:rStyle w:val="Hyperlink"/>
          <w:color w:val="auto"/>
          <w:vertAlign w:val="superscript"/>
        </w:rPr>
        <w:footnoteRef/>
      </w:r>
      <w:r>
        <w:rPr>
          <w:rStyle w:val="Hyperlink"/>
          <w:rFonts w:ascii="Times New Roman" w:hAnsi="Times New Roman"/>
          <w:color w:val="auto"/>
        </w:rPr>
        <w:t xml:space="preserve"> </w:t>
      </w:r>
      <w:hyperlink r:id="rId3">
        <w:r>
          <w:rPr>
            <w:rStyle w:val="Hyperlink"/>
            <w:rFonts w:ascii="Times New Roman" w:hAnsi="Times New Roman"/>
          </w:rPr>
          <w:t>https://amr-review.org/sites/default/files/160525_Final%20paper_with%20cover.pdf</w:t>
        </w:r>
      </w:hyperlink>
      <w:r>
        <w:rPr>
          <w:rStyle w:val="Hyperlink"/>
          <w:rFonts w:ascii="Times New Roman" w:hAnsi="Times New Roman"/>
        </w:rPr>
        <w:t>.</w:t>
      </w:r>
    </w:p>
  </w:footnote>
  <w:footnote w:id="7">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World Bank, 2016, ‘Drug-Resistant Infections:</w:t>
      </w:r>
      <w:r>
        <w:rPr>
          <w:rFonts w:ascii="Times New Roman" w:hAnsi="Times New Roman"/>
        </w:rPr>
        <w:t xml:space="preserve"> </w:t>
      </w:r>
      <w:r>
        <w:rPr>
          <w:rFonts w:ascii="Times New Roman" w:hAnsi="Times New Roman"/>
          <w:i/>
        </w:rPr>
        <w:t>A Threat to Our Economic Future’, Washington, DC.</w:t>
      </w:r>
    </w:p>
  </w:footnote>
  <w:footnote w:id="8">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4">
        <w:r>
          <w:rPr>
            <w:rStyle w:val="Hyperlink"/>
            <w:rFonts w:ascii="Times New Roman" w:hAnsi="Times New Roman"/>
          </w:rPr>
          <w:t>http://www.un.org/sustainabledevelopment/sustainable-development-goals</w:t>
        </w:r>
      </w:hyperlink>
      <w:r>
        <w:rPr>
          <w:rStyle w:val="Hyperlink"/>
          <w:rFonts w:ascii="Times New Roman" w:hAnsi="Times New Roman"/>
        </w:rPr>
        <w:t>.</w:t>
      </w:r>
    </w:p>
  </w:footnote>
  <w:footnote w:id="9">
    <w:p>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rPr>
        <w:t xml:space="preserve"> COM(2001) 333 </w:t>
      </w:r>
      <w:r>
        <w:rPr>
          <w:rFonts w:ascii="Times New Roman" w:hAnsi="Times New Roman"/>
          <w:i/>
        </w:rPr>
        <w:t>final</w:t>
      </w:r>
      <w:r>
        <w:rPr>
          <w:rFonts w:ascii="Times New Roman" w:hAnsi="Times New Roman"/>
        </w:rPr>
        <w:t>.</w:t>
      </w:r>
    </w:p>
  </w:footnote>
  <w:footnote w:id="10">
    <w:p>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rPr>
        <w:t xml:space="preserve"> COM(2011) 748.</w:t>
      </w:r>
    </w:p>
  </w:footnote>
  <w:footnote w:id="11">
    <w:p>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rPr>
        <w:t xml:space="preserve"> </w:t>
      </w:r>
      <w:hyperlink r:id="rId5">
        <w:r>
          <w:rPr>
            <w:rStyle w:val="Hyperlink"/>
            <w:rFonts w:ascii="Times New Roman" w:hAnsi="Times New Roman"/>
          </w:rPr>
          <w:t>http://www.imi.europa.eu/content/nd4bb</w:t>
        </w:r>
      </w:hyperlink>
    </w:p>
  </w:footnote>
  <w:footnote w:id="12">
    <w:p>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rPr>
        <w:t xml:space="preserve"> </w:t>
      </w:r>
      <w:hyperlink r:id="rId6" w:history="1">
        <w:r>
          <w:rPr>
            <w:rStyle w:val="Hyperlink"/>
            <w:rFonts w:ascii="Times New Roman" w:hAnsi="Times New Roman"/>
          </w:rPr>
          <w:t>http://www.imi.europa.eu</w:t>
        </w:r>
      </w:hyperlink>
    </w:p>
  </w:footnote>
  <w:footnote w:id="13">
    <w:p>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rPr>
        <w:t xml:space="preserve"> </w:t>
      </w:r>
      <w:hyperlink r:id="rId7">
        <w:r>
          <w:rPr>
            <w:rStyle w:val="Hyperlink"/>
            <w:rFonts w:ascii="Times New Roman" w:hAnsi="Times New Roman"/>
          </w:rPr>
          <w:t>http://www.jpiamr.eu</w:t>
        </w:r>
      </w:hyperlink>
    </w:p>
  </w:footnote>
  <w:footnote w:id="14">
    <w:p>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8">
        <w:r>
          <w:rPr>
            <w:rStyle w:val="FootnoteReference"/>
            <w:rFonts w:ascii="Times New Roman" w:hAnsi="Times New Roman"/>
            <w:vertAlign w:val="baseline"/>
          </w:rPr>
          <w:t>http://ecdc.europa.eu/lv/publications/Publications/antimicrobial-resistance-europe-2015.pdf</w:t>
        </w:r>
      </w:hyperlink>
      <w:r>
        <w:rPr>
          <w:rFonts w:ascii="Times New Roman" w:hAnsi="Times New Roman"/>
        </w:rPr>
        <w:t>.</w:t>
      </w:r>
    </w:p>
  </w:footnote>
  <w:footnote w:id="15">
    <w:p>
      <w:pPr>
        <w:pStyle w:val="FootnoteText"/>
        <w:spacing w:after="0" w:line="240" w:lineRule="auto"/>
        <w:rPr>
          <w:rStyle w:val="FootnoteReference"/>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Style w:val="FootnoteReference"/>
          <w:rFonts w:ascii="Times New Roman" w:hAnsi="Times New Roman"/>
          <w:vertAlign w:val="baseline"/>
        </w:rPr>
        <w:t>Terapijas, ko izmanto tad, ja visas pārējās pacienta organismā nav radījušas vajadzīgo reakciju.</w:t>
      </w:r>
    </w:p>
  </w:footnote>
  <w:footnote w:id="16">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Payne et al. Drugs for bad bugs</w:t>
      </w:r>
      <w:r>
        <w:rPr>
          <w:rFonts w:ascii="Times New Roman" w:hAnsi="Times New Roman"/>
        </w:rPr>
        <w:t xml:space="preserve">: </w:t>
      </w:r>
      <w:r>
        <w:rPr>
          <w:rFonts w:ascii="Times New Roman" w:hAnsi="Times New Roman"/>
          <w:i/>
        </w:rPr>
        <w:t>confronting the challenges of antibacterial discovery. Nature Reviews Drug Discovery 6, 29-40 (January</w:t>
      </w:r>
      <w:r>
        <w:rPr>
          <w:rFonts w:ascii="Times New Roman" w:hAnsi="Times New Roman"/>
        </w:rPr>
        <w:t xml:space="preserve"> 2007).</w:t>
      </w:r>
    </w:p>
  </w:footnote>
  <w:footnote w:id="17">
    <w:p>
      <w:pPr>
        <w:pStyle w:val="FootnoteText"/>
        <w:spacing w:after="0" w:line="240" w:lineRule="auto"/>
        <w:rPr>
          <w:rFonts w:ascii="Times New Roman" w:hAnsi="Times New Roman"/>
        </w:rPr>
      </w:pPr>
      <w:r>
        <w:rPr>
          <w:rStyle w:val="FootnoteReference"/>
          <w:rFonts w:ascii="Times New Roman" w:hAnsi="Times New Roman"/>
        </w:rPr>
        <w:footnoteRef/>
      </w:r>
      <w:hyperlink r:id="rId9">
        <w:r>
          <w:rPr>
            <w:rStyle w:val="Hyperlink"/>
            <w:rFonts w:ascii="Times New Roman" w:hAnsi="Times New Roman"/>
          </w:rPr>
          <w:t>http://www.consilium.europa.eu/en/press/press-releases/2016/06/17-epsco-conclusions-antimicrobial-resistance</w:t>
        </w:r>
      </w:hyperlink>
      <w:r>
        <w:rPr>
          <w:rStyle w:val="Hyperlink"/>
          <w:rFonts w:ascii="Times New Roman" w:hAnsi="Times New Roman"/>
        </w:rPr>
        <w:t>.</w:t>
      </w:r>
    </w:p>
  </w:footnote>
  <w:footnote w:id="18">
    <w:p>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Fonts w:ascii="Times New Roman" w:hAnsi="Times New Roman"/>
        </w:rPr>
        <w:t>SWD(2016) 347 final.</w:t>
      </w:r>
    </w:p>
  </w:footnote>
  <w:footnote w:id="19">
    <w:p>
      <w:pPr>
        <w:pStyle w:val="FootnoteText"/>
        <w:spacing w:after="0" w:line="240" w:lineRule="auto"/>
        <w:rPr>
          <w:rStyle w:val="FootnoteReference"/>
          <w:rFonts w:ascii="Times New Roman" w:hAnsi="Times New Roman"/>
        </w:rPr>
      </w:pPr>
      <w:r>
        <w:rPr>
          <w:rStyle w:val="FootnoteReference"/>
          <w:rFonts w:ascii="Times New Roman" w:hAnsi="Times New Roman"/>
        </w:rPr>
        <w:footnoteRef/>
      </w:r>
      <w:r>
        <w:rPr>
          <w:rStyle w:val="FootnoteReference"/>
        </w:rPr>
        <w:t xml:space="preserve"> </w:t>
      </w:r>
      <w:hyperlink r:id="rId10">
        <w:r>
          <w:rPr>
            <w:rStyle w:val="FootnoteReference"/>
            <w:rFonts w:ascii="Times New Roman" w:hAnsi="Times New Roman"/>
            <w:vertAlign w:val="baseline"/>
          </w:rPr>
          <w:t>http://ec.europa.eu/smart-regulation/roadmaps/docs/2016_sante_176_action_plan_against_amr_en.pdf</w:t>
        </w:r>
      </w:hyperlink>
      <w:r>
        <w:rPr>
          <w:rFonts w:ascii="Times New Roman" w:hAnsi="Times New Roman"/>
        </w:rPr>
        <w:t>.</w:t>
      </w:r>
    </w:p>
  </w:footnote>
  <w:footnote w:id="20">
    <w:p>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hyperlink r:id="rId11">
        <w:r>
          <w:rPr>
            <w:rStyle w:val="FootnoteReference"/>
            <w:rFonts w:ascii="Times New Roman" w:hAnsi="Times New Roman"/>
            <w:vertAlign w:val="baseline"/>
          </w:rPr>
          <w:t>https://ec.europa.eu/health/amr/consultations/consultation_20170123_amr-new-action-plan_en</w:t>
        </w:r>
      </w:hyperlink>
      <w:r>
        <w:rPr>
          <w:rFonts w:ascii="Times New Roman" w:hAnsi="Times New Roman"/>
        </w:rPr>
        <w:t>.</w:t>
      </w:r>
    </w:p>
  </w:footnote>
  <w:footnote w:id="21">
    <w:p>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Pasaules Veselības organizācija, 2015. </w:t>
      </w:r>
      <w:r>
        <w:rPr>
          <w:rFonts w:ascii="Times New Roman" w:hAnsi="Times New Roman"/>
          <w:i/>
        </w:rPr>
        <w:t>68</w:t>
      </w:r>
      <w:r>
        <w:rPr>
          <w:rFonts w:ascii="Times New Roman" w:hAnsi="Times New Roman"/>
          <w:i/>
          <w:vertAlign w:val="superscript"/>
        </w:rPr>
        <w:t>th</w:t>
      </w:r>
      <w:r>
        <w:rPr>
          <w:rFonts w:ascii="Times New Roman" w:hAnsi="Times New Roman"/>
          <w:i/>
        </w:rPr>
        <w:t xml:space="preserve"> World Health Assembly: WHA resolution 68.7.</w:t>
      </w:r>
      <w:r>
        <w:rPr>
          <w:rFonts w:ascii="Times New Roman" w:hAnsi="Times New Roman"/>
        </w:rPr>
        <w:t xml:space="preserve"> Geneva, Switzerland; Padomes secinājumos par nākamajiem soļiem saskaņā ar pieeju “Viena veselība”, lai apkarotu mikrobu rezistenci, apstiprināta apņemšanās, ka līdz 2017. gada vidum jābūt pieņemtiem nacionāliem </w:t>
      </w:r>
      <w:r>
        <w:rPr>
          <w:rFonts w:ascii="Times New Roman" w:hAnsi="Times New Roman"/>
          <w:i/>
        </w:rPr>
        <w:t>AMR</w:t>
      </w:r>
      <w:r>
        <w:rPr>
          <w:rFonts w:ascii="Times New Roman" w:hAnsi="Times New Roman"/>
        </w:rPr>
        <w:t xml:space="preserve"> apkarošanas rīcības plāniem.</w:t>
      </w:r>
    </w:p>
  </w:footnote>
  <w:footnote w:id="22">
    <w:p>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Eiropas Parlamenta un Padomes 2016. gada 9. marta Regula (ES) 2016/429 par pārnēsājamām dzīvnieku slimībām un ar ko groza un atceļ konkrētus aktus dzīvnieku veselības jomā (“Dzīvnieku veselības tiesību akts”) (OV L 84, 31.3.2016., 1. lpp.).</w:t>
      </w:r>
    </w:p>
  </w:footnote>
  <w:footnote w:id="23">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Komisijas 2013. gada 12. novembra Īstenošanas lēmums 2013/652/ES par uzraudzību un ziņošanu attiecībā uz zoonotisko un komensālo baktēriju rezistenci pret antimikrobiālajiem līdzekļiem (OV L 303, 14.11.2013., 26. lpp.).</w:t>
      </w:r>
    </w:p>
  </w:footnote>
  <w:footnote w:id="24">
    <w:p>
      <w:pPr>
        <w:pStyle w:val="FootnoteText"/>
        <w:spacing w:after="0" w:line="240" w:lineRule="auto"/>
      </w:pPr>
      <w:r>
        <w:rPr>
          <w:rStyle w:val="FootnoteReference"/>
          <w:rFonts w:ascii="Times New Roman" w:hAnsi="Times New Roman"/>
        </w:rPr>
        <w:footnoteRef/>
      </w:r>
      <w:r>
        <w:rPr>
          <w:rFonts w:ascii="Times New Roman" w:hAnsi="Times New Roman"/>
        </w:rPr>
        <w:t xml:space="preserve"> Komisijas 2002. gada 19. marta Lēmums 2002/253/EK, ar ko nosaka gadījumu definīcijas ziņošanai par infekcijas slimībām Kopienas tīklā saskaņā ar Eiropas Parlamenta un Padomes Lēmumu Nr. 2119/98/EK (OV L 86, 3.4.2002., 44. lpp.).</w:t>
      </w:r>
    </w:p>
  </w:footnote>
  <w:footnote w:id="25">
    <w:p>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338. Eirobarometra speciālaptauja (2010. g. aprīlis), 407. Eirobarometra speciālaptauja (2013. g. novembris) un 445. Eirobarometra speciālaptauja (2016. g. jūnijs).</w:t>
      </w:r>
    </w:p>
  </w:footnote>
  <w:footnote w:id="26">
    <w:p>
      <w:pPr>
        <w:pStyle w:val="FootnoteText"/>
        <w:spacing w:after="0" w:line="240" w:lineRule="auto"/>
        <w:rPr>
          <w:rStyle w:val="FootnoteReference"/>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Eiropas Parlamenta un Padomes 2013. gada 22. oktobra Lēmums Nr. 1082/2013/ES par nopietniem pārrobežu veselības apdraudējumiem un ar ko atceļ Lēmumu Nr. 2119/98/EK (OV L 293, 5.11.2013., 1. lpp.).</w:t>
      </w:r>
    </w:p>
  </w:footnote>
  <w:footnote w:id="27">
    <w:p>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 xml:space="preserve">JA-04-2016 - </w:t>
      </w:r>
      <w:r>
        <w:rPr>
          <w:rStyle w:val="FootnoteReference"/>
          <w:rFonts w:ascii="Times New Roman" w:hAnsi="Times New Roman"/>
          <w:i/>
          <w:vertAlign w:val="baseline"/>
        </w:rPr>
        <w:t>Antimicrobial resistance and Health Care Associated Infections</w:t>
      </w:r>
      <w:r>
        <w:rPr>
          <w:rStyle w:val="FootnoteReference"/>
          <w:rFonts w:ascii="Times New Roman" w:hAnsi="Times New Roman"/>
          <w:vertAlign w:val="baseline"/>
        </w:rPr>
        <w:t>.</w:t>
      </w:r>
    </w:p>
  </w:footnote>
  <w:footnote w:id="28">
    <w:p>
      <w:pPr>
        <w:pStyle w:val="FootnoteText"/>
        <w:spacing w:after="0" w:line="240" w:lineRule="auto"/>
        <w:rPr>
          <w:rStyle w:val="FootnoteReference"/>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Komisijas 2013. gada 12. novembra Īstenošanas lēmums 2013/652/ES par uzraudzību un ziņošanu attiecībā uz zoonotisko un komensālo baktēriju rezistenci pret antimikrobiālajiem līdzekļiem (OV L 303, 14.11.2013., 26. lpp.).</w:t>
      </w:r>
    </w:p>
  </w:footnote>
  <w:footnote w:id="29">
    <w:p>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hyperlink r:id="rId12">
        <w:r>
          <w:rPr>
            <w:rStyle w:val="Hyperlink"/>
            <w:rFonts w:ascii="Times New Roman" w:hAnsi="Times New Roman"/>
          </w:rPr>
          <w:t>http://www.gavi.org/about/value/</w:t>
        </w:r>
      </w:hyperlink>
    </w:p>
  </w:footnote>
  <w:footnote w:id="30">
    <w:p>
      <w:pPr>
        <w:pStyle w:val="FootnoteText"/>
        <w:spacing w:after="0" w:line="240" w:lineRule="auto"/>
        <w:rPr>
          <w:rStyle w:val="FootnoteReference"/>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13">
        <w:r>
          <w:rPr>
            <w:rStyle w:val="FootnoteReference"/>
            <w:rFonts w:ascii="Times New Roman" w:hAnsi="Times New Roman"/>
            <w:vertAlign w:val="baseline"/>
          </w:rPr>
          <w:t>http://eur-lex.europa.eu/legal-content/LV/TXT/PDF/?uri=CELEX:52015XC0911(01)&amp;from=LV</w:t>
        </w:r>
      </w:hyperlink>
      <w:r>
        <w:rPr>
          <w:rFonts w:ascii="Times New Roman" w:hAnsi="Times New Roman"/>
        </w:rPr>
        <w:t>.</w:t>
      </w:r>
    </w:p>
  </w:footnote>
  <w:footnote w:id="31">
    <w:p>
      <w:pPr>
        <w:pStyle w:val="FootnoteText"/>
        <w:spacing w:after="0" w:line="240" w:lineRule="auto"/>
        <w:rPr>
          <w:rStyle w:val="FootnoteReference"/>
          <w:rFonts w:ascii="Times New Roman" w:hAnsi="Times New Roman"/>
          <w:vertAlign w:val="baseline"/>
        </w:rPr>
      </w:pPr>
      <w:r>
        <w:rPr>
          <w:rStyle w:val="FootnoteReference"/>
          <w:rFonts w:ascii="Times New Roman" w:hAnsi="Times New Roman"/>
        </w:rPr>
        <w:footnoteRef/>
      </w:r>
      <w:r>
        <w:rPr>
          <w:rStyle w:val="FootnoteReference"/>
          <w:rFonts w:ascii="Times New Roman" w:hAnsi="Times New Roman"/>
          <w:vertAlign w:val="baseline"/>
        </w:rPr>
        <w:t xml:space="preserve"> COM(2014) 558 </w:t>
      </w:r>
      <w:r>
        <w:rPr>
          <w:rStyle w:val="FootnoteReference"/>
          <w:rFonts w:ascii="Times New Roman" w:hAnsi="Times New Roman"/>
          <w:i/>
          <w:vertAlign w:val="baseline"/>
        </w:rPr>
        <w:t>final</w:t>
      </w:r>
      <w:r>
        <w:rPr>
          <w:rStyle w:val="FootnoteReference"/>
          <w:rFonts w:ascii="Times New Roman" w:hAnsi="Times New Roman"/>
          <w:vertAlign w:val="baseline"/>
        </w:rPr>
        <w:t xml:space="preserve">, COM(2014) 556 </w:t>
      </w:r>
      <w:r>
        <w:rPr>
          <w:rStyle w:val="FootnoteReference"/>
          <w:rFonts w:ascii="Times New Roman" w:hAnsi="Times New Roman"/>
          <w:i/>
          <w:vertAlign w:val="baseline"/>
        </w:rPr>
        <w:t>final</w:t>
      </w:r>
      <w:r>
        <w:rPr>
          <w:rStyle w:val="FootnoteReference"/>
          <w:rFonts w:ascii="Times New Roman" w:hAnsi="Times New Roman"/>
          <w:vertAlign w:val="baseline"/>
        </w:rPr>
        <w:t>.</w:t>
      </w:r>
    </w:p>
  </w:footnote>
  <w:footnote w:id="32">
    <w:p>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Fonts w:ascii="Times New Roman" w:hAnsi="Times New Roman"/>
          <w:vertAlign w:val="baseline"/>
        </w:rPr>
        <w:t xml:space="preserve"> Eiropas Parlamenta un Padomes 2013. gada 12. augusta Direktīva 2013/39/ES, ar ko groza Direktīvu 2000/60/EK un Direktīvu 2008/105/EK attiecībā uz prioritārajām vielām ūdens resursu politikas jomā (OV L 226, 24.8.2013., 1. lpp.).</w:t>
      </w:r>
    </w:p>
  </w:footnote>
  <w:footnote w:id="33">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Eiropas Parlamenta un Padomes 2000. gada 23. oktobra Direktīva 2000/60/EK, ar ko izveido sistēmu Kopienas rīcībai ūdens resursu politikas jomā (OV L 327, 22.12.2000., 1. lpp.).</w:t>
      </w:r>
    </w:p>
  </w:footnote>
  <w:footnote w:id="34">
    <w:p>
      <w:pPr>
        <w:pStyle w:val="FootnoteText"/>
        <w:spacing w:after="0" w:line="240" w:lineRule="auto"/>
        <w:rPr>
          <w:rStyle w:val="FootnoteReference"/>
        </w:rPr>
      </w:pPr>
      <w:r>
        <w:rPr>
          <w:rStyle w:val="FootnoteReference"/>
          <w:rFonts w:ascii="Times New Roman" w:hAnsi="Times New Roman"/>
        </w:rPr>
        <w:footnoteRef/>
      </w:r>
      <w:r>
        <w:rPr>
          <w:rFonts w:ascii="Times New Roman" w:hAnsi="Times New Roman"/>
        </w:rPr>
        <w:t xml:space="preserve"> </w:t>
      </w:r>
      <w:hyperlink r:id="rId14">
        <w:r>
          <w:rPr>
            <w:rStyle w:val="FootnoteReference"/>
            <w:rFonts w:ascii="Times New Roman" w:hAnsi="Times New Roman"/>
            <w:vertAlign w:val="baseline"/>
          </w:rPr>
          <w:t>https://ipchem.jrc.ec.europa.eu/RDSIdiscovery/ipchem/index.html</w:t>
        </w:r>
      </w:hyperlink>
      <w:r>
        <w:rPr>
          <w:rFonts w:ascii="Times New Roman" w:hAnsi="Times New Roman"/>
        </w:rPr>
        <w:t>.</w:t>
      </w:r>
      <w:r>
        <w:rPr>
          <w:rStyle w:val="FootnoteReference"/>
          <w:rFonts w:ascii="Times New Roman" w:hAnsi="Times New Roman"/>
          <w:vertAlign w:val="baseline"/>
        </w:rPr>
        <w:t xml:space="preserve"> </w:t>
      </w:r>
    </w:p>
  </w:footnote>
  <w:footnote w:id="35">
    <w:p>
      <w:pPr>
        <w:pStyle w:val="FootnoteText"/>
        <w:spacing w:after="0" w:line="240" w:lineRule="auto"/>
        <w:rPr>
          <w:rStyle w:val="FootnoteReference"/>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15">
        <w:r>
          <w:rPr>
            <w:rStyle w:val="FootnoteReference"/>
            <w:rFonts w:ascii="Times New Roman" w:hAnsi="Times New Roman"/>
            <w:vertAlign w:val="baseline"/>
          </w:rPr>
          <w:t>http://www.ifpma.org/partners-2/declaration-by-the-pharmaceutical-biotechnology-and-diagnostics-industries-on-combating-antimicrobial-resistance-amr/</w:t>
        </w:r>
      </w:hyperlink>
      <w:r>
        <w:rPr>
          <w:rFonts w:ascii="Times New Roman" w:hAnsi="Times New Roman"/>
        </w:rPr>
        <w:t>.</w:t>
      </w:r>
      <w:r>
        <w:rPr>
          <w:rStyle w:val="FootnoteReference"/>
          <w:rFonts w:ascii="Times New Roman" w:hAnsi="Times New Roman"/>
          <w:vertAlign w:val="baseline"/>
        </w:rPr>
        <w:t xml:space="preserve"> </w:t>
      </w:r>
    </w:p>
  </w:footnote>
  <w:footnote w:id="36">
    <w:p>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Fonts w:ascii="Times New Roman" w:hAnsi="Times New Roman"/>
          <w:vertAlign w:val="baseline"/>
        </w:rPr>
        <w:t xml:space="preserve"> Komisijas 2015. gada 2. oktobra Deleģētā regula (ES) 2016/161, ar ko papildina Eiropas Parlamenta un Padomes Direktīvu 2001/83/EK, noteicot detalizētus noteikumus par drošuma pazīmēm uz cilvēkiem paredzētu zāļu iesaiņojuma (OV L 32, 9.2.2016., 1. lpp.).</w:t>
      </w:r>
    </w:p>
  </w:footnote>
  <w:footnote w:id="37">
    <w:p>
      <w:pPr>
        <w:pStyle w:val="FootnoteText"/>
        <w:spacing w:after="0" w:line="240" w:lineRule="auto"/>
        <w:rPr>
          <w:rStyle w:val="FootnoteReference"/>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https://ec.europa.eu/digital-single-market/en/innovation-procurement</w:t>
      </w:r>
      <w:r>
        <w:rPr>
          <w:rFonts w:ascii="Times New Roman" w:hAnsi="Times New Roman"/>
        </w:rPr>
        <w:t>.</w:t>
      </w:r>
    </w:p>
  </w:footnote>
  <w:footnote w:id="38">
    <w:p>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Piem., akadēmisko aprindu un nozares pētnieki, regulējošās iestādes u. tml.</w:t>
      </w:r>
    </w:p>
  </w:footnote>
  <w:footnote w:id="39">
    <w:p>
      <w:pPr>
        <w:pStyle w:val="FootnoteText"/>
        <w:spacing w:after="0" w:line="240" w:lineRule="auto"/>
        <w:rPr>
          <w:rFonts w:ascii="Times New Roman" w:hAnsi="Times New Roman"/>
        </w:rPr>
      </w:pPr>
      <w:r>
        <w:rPr>
          <w:rStyle w:val="FootnoteReference"/>
          <w:rFonts w:ascii="Times New Roman" w:hAnsi="Times New Roman"/>
        </w:rPr>
        <w:footnoteRef/>
      </w:r>
      <w:hyperlink r:id="rId16">
        <w:r>
          <w:rPr>
            <w:rStyle w:val="Hyperlink"/>
            <w:rFonts w:ascii="Times New Roman" w:hAnsi="Times New Roman"/>
          </w:rPr>
          <w:t>http://www.saicm.org/EmergingPolicyIssues/Pharmaceuticalnbsp;Pollutants/tabid/5477/language/en-US/Default.aspx</w:t>
        </w:r>
      </w:hyperlink>
      <w:r>
        <w:rPr>
          <w:rStyle w:val="Hyperlink"/>
          <w:rFonts w:ascii="Times New Roman" w:hAnsi="Times New Roman"/>
        </w:rPr>
        <w:t>.</w:t>
      </w:r>
    </w:p>
  </w:footnote>
  <w:footnote w:id="40">
    <w:p>
      <w:pPr>
        <w:pStyle w:val="FootnoteText"/>
      </w:pPr>
      <w:r>
        <w:rPr>
          <w:rStyle w:val="FootnoteReference"/>
        </w:rPr>
        <w:footnoteRef/>
      </w:r>
      <w:r>
        <w:t xml:space="preserve"> </w:t>
      </w:r>
      <w:hyperlink r:id="rId17">
        <w:r>
          <w:rPr>
            <w:rStyle w:val="Hyperlink"/>
            <w:rFonts w:ascii="Times New Roman" w:hAnsi="Times New Roman"/>
          </w:rPr>
          <w:t>http://www.mhlw.go.jp/seisakunitsuite/bunya/hokabunya/kokusai/g7kobe/KobeCommunique_en.pdf</w:t>
        </w:r>
      </w:hyperlink>
      <w:r>
        <w:rPr>
          <w:rStyle w:val="Hyperlink"/>
          <w:rFonts w:ascii="Times New Roman" w:hAnsi="Times New Roman"/>
        </w:rPr>
        <w:t>.</w:t>
      </w:r>
    </w:p>
  </w:footnote>
  <w:footnote w:id="41">
    <w:p>
      <w:pPr>
        <w:pStyle w:val="FootnoteText"/>
        <w:spacing w:after="0"/>
        <w:jc w:val="lef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8">
        <w:r>
          <w:rPr>
            <w:rStyle w:val="Hyperlink"/>
            <w:rFonts w:ascii="Times New Roman" w:hAnsi="Times New Roman"/>
          </w:rPr>
          <w:t>https://www.bundesgesundheitsministerium.de/fileadmin/Dateien/3_Downloads/G/G20-Gesundheitsministertreffen/G20_Health_Ministers_Declaration_engl.pdf</w:t>
        </w:r>
      </w:hyperlink>
    </w:p>
  </w:footnote>
  <w:footnote w:id="42">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9">
        <w:r>
          <w:rPr>
            <w:rStyle w:val="Hyperlink"/>
            <w:rFonts w:ascii="Times New Roman" w:hAnsi="Times New Roman"/>
          </w:rPr>
          <w:t>http://www.star-idaz.net/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0EC"/>
    <w:multiLevelType w:val="hybridMultilevel"/>
    <w:tmpl w:val="7566389C"/>
    <w:lvl w:ilvl="0" w:tplc="08090001">
      <w:start w:val="1"/>
      <w:numFmt w:val="bullet"/>
      <w:lvlText w:val=""/>
      <w:lvlJc w:val="left"/>
      <w:pPr>
        <w:ind w:left="720" w:hanging="360"/>
      </w:pPr>
      <w:rPr>
        <w:rFonts w:ascii="Symbol" w:hAnsi="Symbol" w:hint="default"/>
      </w:rPr>
    </w:lvl>
    <w:lvl w:ilvl="1" w:tplc="440C054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76811"/>
    <w:multiLevelType w:val="hybridMultilevel"/>
    <w:tmpl w:val="3C10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F4E95"/>
    <w:multiLevelType w:val="hybridMultilevel"/>
    <w:tmpl w:val="0054EB9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A4D97"/>
    <w:multiLevelType w:val="hybridMultilevel"/>
    <w:tmpl w:val="AB8ED5F6"/>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233E1"/>
    <w:multiLevelType w:val="multilevel"/>
    <w:tmpl w:val="D1A64C34"/>
    <w:lvl w:ilvl="0">
      <w:start w:val="1"/>
      <w:numFmt w:val="decimal"/>
      <w:pStyle w:val="Heading1"/>
      <w:lvlText w:val="%1"/>
      <w:lvlJc w:val="left"/>
      <w:pPr>
        <w:ind w:left="432" w:hanging="432"/>
      </w:pPr>
    </w:lvl>
    <w:lvl w:ilvl="1">
      <w:start w:val="1"/>
      <w:numFmt w:val="decimal"/>
      <w:pStyle w:val="Heading2"/>
      <w:lvlText w:val="%1.%2"/>
      <w:lvlJc w:val="left"/>
      <w:pPr>
        <w:ind w:left="355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CB6656E"/>
    <w:multiLevelType w:val="hybridMultilevel"/>
    <w:tmpl w:val="C74892E2"/>
    <w:lvl w:ilvl="0" w:tplc="EFE24CC0">
      <w:start w:val="1"/>
      <w:numFmt w:val="decimal"/>
      <w:lvlText w:val="%1."/>
      <w:lvlJc w:val="left"/>
      <w:pPr>
        <w:ind w:left="720" w:hanging="360"/>
      </w:pPr>
      <w:rPr>
        <w:rFonts w:eastAsiaTheme="majorEastAsia"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C93A45"/>
    <w:multiLevelType w:val="hybridMultilevel"/>
    <w:tmpl w:val="57827EA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2602B8"/>
    <w:multiLevelType w:val="hybridMultilevel"/>
    <w:tmpl w:val="85F6C004"/>
    <w:lvl w:ilvl="0" w:tplc="440C0548">
      <w:numFmt w:val="bullet"/>
      <w:lvlText w:val="-"/>
      <w:lvlJc w:val="left"/>
      <w:pPr>
        <w:ind w:left="780" w:hanging="360"/>
      </w:pPr>
      <w:rPr>
        <w:rFonts w:ascii="Times New Roman" w:eastAsiaTheme="minorHAns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21D041C"/>
    <w:multiLevelType w:val="hybridMultilevel"/>
    <w:tmpl w:val="E5208D4C"/>
    <w:lvl w:ilvl="0" w:tplc="B8B21A10">
      <w:start w:val="1"/>
      <w:numFmt w:val="bullet"/>
      <w:pStyle w:val="Tir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pStyle w:val="NumPar3"/>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B00C70"/>
    <w:multiLevelType w:val="hybridMultilevel"/>
    <w:tmpl w:val="8F6CC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4A34A0"/>
    <w:multiLevelType w:val="hybridMultilevel"/>
    <w:tmpl w:val="56A0C5F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D3986"/>
    <w:multiLevelType w:val="hybridMultilevel"/>
    <w:tmpl w:val="F600E060"/>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E87202"/>
    <w:multiLevelType w:val="hybridMultilevel"/>
    <w:tmpl w:val="0CBE235E"/>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F025B6"/>
    <w:multiLevelType w:val="hybridMultilevel"/>
    <w:tmpl w:val="F334DC0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02FF5"/>
    <w:multiLevelType w:val="hybridMultilevel"/>
    <w:tmpl w:val="2CEA5C3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076C74"/>
    <w:multiLevelType w:val="multilevel"/>
    <w:tmpl w:val="EC783D4E"/>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327E3B2B"/>
    <w:multiLevelType w:val="hybridMultilevel"/>
    <w:tmpl w:val="0470A862"/>
    <w:lvl w:ilvl="0" w:tplc="3154E738">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47E038C"/>
    <w:multiLevelType w:val="hybridMultilevel"/>
    <w:tmpl w:val="D3AE6278"/>
    <w:lvl w:ilvl="0" w:tplc="ED846C16">
      <w:start w:val="1"/>
      <w:numFmt w:val="bullet"/>
      <w:pStyle w:val="LTTBody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3B7B0ED7"/>
    <w:multiLevelType w:val="hybridMultilevel"/>
    <w:tmpl w:val="E28C9E9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B4C0D"/>
    <w:multiLevelType w:val="hybridMultilevel"/>
    <w:tmpl w:val="84F2A0EE"/>
    <w:lvl w:ilvl="0" w:tplc="440C0548">
      <w:numFmt w:val="bullet"/>
      <w:lvlText w:val="-"/>
      <w:lvlJc w:val="left"/>
      <w:pPr>
        <w:ind w:left="780" w:hanging="360"/>
      </w:pPr>
      <w:rPr>
        <w:rFonts w:ascii="Times New Roman" w:eastAsiaTheme="minorHAns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1692AC0"/>
    <w:multiLevelType w:val="hybridMultilevel"/>
    <w:tmpl w:val="6F9896B6"/>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723C5E"/>
    <w:multiLevelType w:val="hybridMultilevel"/>
    <w:tmpl w:val="204EB4E2"/>
    <w:lvl w:ilvl="0" w:tplc="440C0548">
      <w:numFmt w:val="bullet"/>
      <w:lvlText w:val="-"/>
      <w:lvlJc w:val="left"/>
      <w:pPr>
        <w:ind w:left="-60" w:hanging="360"/>
      </w:pPr>
      <w:rPr>
        <w:rFonts w:ascii="Times New Roman" w:eastAsiaTheme="minorHAnsi" w:hAnsi="Times New Roman" w:cs="Times New Roman" w:hint="default"/>
      </w:rPr>
    </w:lvl>
    <w:lvl w:ilvl="1" w:tplc="08090003">
      <w:start w:val="1"/>
      <w:numFmt w:val="bullet"/>
      <w:lvlText w:val="o"/>
      <w:lvlJc w:val="left"/>
      <w:pPr>
        <w:ind w:left="660" w:hanging="360"/>
      </w:pPr>
      <w:rPr>
        <w:rFonts w:ascii="Courier New" w:hAnsi="Courier New" w:cs="Courier New" w:hint="default"/>
      </w:rPr>
    </w:lvl>
    <w:lvl w:ilvl="2" w:tplc="08090005">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22">
    <w:nsid w:val="453C5E4C"/>
    <w:multiLevelType w:val="hybridMultilevel"/>
    <w:tmpl w:val="B0DC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A51C67"/>
    <w:multiLevelType w:val="hybridMultilevel"/>
    <w:tmpl w:val="A81CE4B8"/>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17756F"/>
    <w:multiLevelType w:val="hybridMultilevel"/>
    <w:tmpl w:val="58228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46DD8"/>
    <w:multiLevelType w:val="hybridMultilevel"/>
    <w:tmpl w:val="A6EA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36D15"/>
    <w:multiLevelType w:val="hybridMultilevel"/>
    <w:tmpl w:val="5C187480"/>
    <w:lvl w:ilvl="0" w:tplc="082CCF3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6C2527"/>
    <w:multiLevelType w:val="hybridMultilevel"/>
    <w:tmpl w:val="1264DDA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nsid w:val="56553CBB"/>
    <w:multiLevelType w:val="hybridMultilevel"/>
    <w:tmpl w:val="117E6048"/>
    <w:lvl w:ilvl="0" w:tplc="DE4CC03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7D4723"/>
    <w:multiLevelType w:val="hybridMultilevel"/>
    <w:tmpl w:val="8C80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01256"/>
    <w:multiLevelType w:val="hybridMultilevel"/>
    <w:tmpl w:val="39FA8A0E"/>
    <w:lvl w:ilvl="0" w:tplc="440C0548">
      <w:numFmt w:val="bullet"/>
      <w:lvlText w:val="-"/>
      <w:lvlJc w:val="left"/>
      <w:pPr>
        <w:ind w:left="607" w:hanging="360"/>
      </w:pPr>
      <w:rPr>
        <w:rFonts w:ascii="Times New Roman" w:eastAsiaTheme="minorHAnsi" w:hAnsi="Times New Roman" w:cs="Times New Roman"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32">
    <w:nsid w:val="5C1D07E8"/>
    <w:multiLevelType w:val="hybridMultilevel"/>
    <w:tmpl w:val="C7EE6A62"/>
    <w:lvl w:ilvl="0" w:tplc="440C054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5A7B50"/>
    <w:multiLevelType w:val="hybridMultilevel"/>
    <w:tmpl w:val="18D27AA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3D3EDA"/>
    <w:multiLevelType w:val="hybridMultilevel"/>
    <w:tmpl w:val="E9B44F26"/>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7F2DCD"/>
    <w:multiLevelType w:val="hybridMultilevel"/>
    <w:tmpl w:val="8C6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B25D3C"/>
    <w:multiLevelType w:val="hybridMultilevel"/>
    <w:tmpl w:val="FC8E5DD6"/>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0E21136"/>
    <w:multiLevelType w:val="multilevel"/>
    <w:tmpl w:val="0FFC8E26"/>
    <w:lvl w:ilvl="0">
      <w:start w:val="1"/>
      <w:numFmt w:val="decimal"/>
      <w:lvlText w:val="%1."/>
      <w:lvlJc w:val="left"/>
      <w:pPr>
        <w:ind w:left="432" w:hanging="432"/>
      </w:pPr>
    </w:lvl>
    <w:lvl w:ilvl="1">
      <w:start w:val="1"/>
      <w:numFmt w:val="decimal"/>
      <w:lvlText w:val="2.%2"/>
      <w:lvlJc w:val="left"/>
      <w:pPr>
        <w:ind w:left="327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7E043CA"/>
    <w:multiLevelType w:val="hybridMultilevel"/>
    <w:tmpl w:val="C42ED072"/>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CA79EA"/>
    <w:multiLevelType w:val="hybridMultilevel"/>
    <w:tmpl w:val="D5141A0A"/>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F24DC4"/>
    <w:multiLevelType w:val="multilevel"/>
    <w:tmpl w:val="9418E486"/>
    <w:lvl w:ilvl="0">
      <w:start w:val="1"/>
      <w:numFmt w:val="decimal"/>
      <w:lvlText w:val="1.%1"/>
      <w:lvlJc w:val="left"/>
      <w:pPr>
        <w:ind w:left="432" w:hanging="432"/>
      </w:pPr>
      <w:rPr>
        <w:rFonts w:hint="default"/>
      </w:rPr>
    </w:lvl>
    <w:lvl w:ilvl="1">
      <w:start w:val="1"/>
      <w:numFmt w:val="decimal"/>
      <w:lvlText w:val="2.%2"/>
      <w:lvlJc w:val="left"/>
      <w:pPr>
        <w:ind w:left="327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59E0CA5"/>
    <w:multiLevelType w:val="hybridMultilevel"/>
    <w:tmpl w:val="6E7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EC4DD9"/>
    <w:multiLevelType w:val="hybridMultilevel"/>
    <w:tmpl w:val="A61E772E"/>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7"/>
  </w:num>
  <w:num w:numId="4">
    <w:abstractNumId w:val="28"/>
  </w:num>
  <w:num w:numId="5">
    <w:abstractNumId w:val="17"/>
  </w:num>
  <w:num w:numId="6">
    <w:abstractNumId w:val="40"/>
  </w:num>
  <w:num w:numId="7">
    <w:abstractNumId w:val="30"/>
  </w:num>
  <w:num w:numId="8">
    <w:abstractNumId w:val="25"/>
  </w:num>
  <w:num w:numId="9">
    <w:abstractNumId w:val="0"/>
  </w:num>
  <w:num w:numId="10">
    <w:abstractNumId w:val="26"/>
  </w:num>
  <w:num w:numId="11">
    <w:abstractNumId w:val="1"/>
  </w:num>
  <w:num w:numId="12">
    <w:abstractNumId w:val="35"/>
  </w:num>
  <w:num w:numId="13">
    <w:abstractNumId w:val="29"/>
  </w:num>
  <w:num w:numId="14">
    <w:abstractNumId w:val="3"/>
  </w:num>
  <w:num w:numId="15">
    <w:abstractNumId w:val="41"/>
  </w:num>
  <w:num w:numId="16">
    <w:abstractNumId w:val="7"/>
  </w:num>
  <w:num w:numId="17">
    <w:abstractNumId w:val="6"/>
  </w:num>
  <w:num w:numId="18">
    <w:abstractNumId w:val="9"/>
  </w:num>
  <w:num w:numId="19">
    <w:abstractNumId w:val="19"/>
  </w:num>
  <w:num w:numId="20">
    <w:abstractNumId w:val="21"/>
  </w:num>
  <w:num w:numId="21">
    <w:abstractNumId w:val="31"/>
  </w:num>
  <w:num w:numId="22">
    <w:abstractNumId w:val="13"/>
  </w:num>
  <w:num w:numId="23">
    <w:abstractNumId w:val="32"/>
  </w:num>
  <w:num w:numId="24">
    <w:abstractNumId w:val="2"/>
  </w:num>
  <w:num w:numId="25">
    <w:abstractNumId w:val="23"/>
  </w:num>
  <w:num w:numId="26">
    <w:abstractNumId w:val="27"/>
  </w:num>
  <w:num w:numId="27">
    <w:abstractNumId w:val="10"/>
  </w:num>
  <w:num w:numId="28">
    <w:abstractNumId w:val="22"/>
  </w:num>
  <w:num w:numId="29">
    <w:abstractNumId w:val="24"/>
  </w:num>
  <w:num w:numId="30">
    <w:abstractNumId w:val="7"/>
  </w:num>
  <w:num w:numId="31">
    <w:abstractNumId w:val="38"/>
  </w:num>
  <w:num w:numId="32">
    <w:abstractNumId w:val="34"/>
  </w:num>
  <w:num w:numId="33">
    <w:abstractNumId w:val="18"/>
  </w:num>
  <w:num w:numId="34">
    <w:abstractNumId w:val="39"/>
  </w:num>
  <w:num w:numId="35">
    <w:abstractNumId w:val="42"/>
  </w:num>
  <w:num w:numId="36">
    <w:abstractNumId w:val="36"/>
  </w:num>
  <w:num w:numId="37">
    <w:abstractNumId w:val="20"/>
  </w:num>
  <w:num w:numId="38">
    <w:abstractNumId w:val="11"/>
  </w:num>
  <w:num w:numId="39">
    <w:abstractNumId w:val="14"/>
  </w:num>
  <w:num w:numId="40">
    <w:abstractNumId w:val="33"/>
  </w:num>
  <w:num w:numId="41">
    <w:abstractNumId w:val="12"/>
  </w:num>
  <w:num w:numId="42">
    <w:abstractNumId w:val="16"/>
  </w:num>
  <w:num w:numId="43">
    <w:abstractNumId w:val="5"/>
  </w:num>
  <w:num w:numId="44">
    <w:abstractNumId w:val="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15F0EDF9C5F24833812EB1A895F87B09"/>
    <w:docVar w:name="LW_CROSSREFERENCE" w:val="{SWD(2017) 240 final}"/>
    <w:docVar w:name="LW_DocType" w:val="NORMAL"/>
    <w:docVar w:name="LW_EMISSION" w:val="29.6.2017"/>
    <w:docVar w:name="LW_EMISSION_ISODATE" w:val="2017-06-29"/>
    <w:docVar w:name="LW_EMISSION_LOCATION" w:val="BRX"/>
    <w:docVar w:name="LW_EMISSION_PREFIX" w:val="Briselē, "/>
    <w:docVar w:name="LW_EMISSION_SUFFIX" w:val="."/>
    <w:docVar w:name="LW_ID_DOCTYPE_NONLW" w:val="CP-011"/>
    <w:docVar w:name="LW_LANGUE" w:val="LV"/>
    <w:docVar w:name="LW_MARKING" w:val="&lt;UNUSED&g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7) 339"/>
    <w:docVar w:name="LW_REF.INTERNE" w:val="&lt;UNUSED&gt;"/>
    <w:docVar w:name="LW_SOUS.TITRE.OBJ" w:val="Commission's One-Health strategy in the fight against AMR"/>
    <w:docVar w:name="LW_SOUS.TITRE.OBJ.CP" w:val="&lt;UNUSED&gt;"/>
    <w:docVar w:name="LW_SUPERTITRE" w:val="&lt;UNUSED&gt;"/>
    <w:docVar w:name="LW_TITRE.OBJ.CP" w:val="Eiropas &quot;Viena vesel\u299?ba&quot; r\u299?c\u299?bas pl\u257?ns pret antimikrobi\u257?lajiem l\u299?dzek\u316?iem izveidoju\u353?\u257?s rezistences (AMR) apkaro\u353?anai "/>
    <w:docVar w:name="LW_TYPE.DOC.CP" w:val="KOMISIJAS PAZI\u325?OJUMS PADOMEI UN EIROPAS PARLAMENTAM"/>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Calibri" w:hAnsi="Calibri" w:cs="Times New Roman"/>
    </w:rPr>
  </w:style>
  <w:style w:type="paragraph" w:styleId="Heading1">
    <w:name w:val="heading 1"/>
    <w:basedOn w:val="Normal"/>
    <w:next w:val="Normal"/>
    <w:link w:val="Heading1Char"/>
    <w:uiPriority w:val="9"/>
    <w:qFormat/>
    <w:pPr>
      <w:keepLines/>
      <w:numPr>
        <w:numId w:val="44"/>
      </w:numPr>
      <w:spacing w:before="480"/>
      <w:outlineLvl w:val="0"/>
    </w:pPr>
    <w:rPr>
      <w:rFonts w:ascii="Times New Roman" w:eastAsiaTheme="majorEastAsia" w:hAnsi="Times New Roman"/>
      <w:b/>
      <w:bCs/>
      <w:smallCaps/>
      <w:color w:val="000000" w:themeColor="text1"/>
      <w:sz w:val="24"/>
      <w:szCs w:val="24"/>
    </w:rPr>
  </w:style>
  <w:style w:type="paragraph" w:styleId="Heading2">
    <w:name w:val="heading 2"/>
    <w:basedOn w:val="Normal"/>
    <w:next w:val="Normal"/>
    <w:link w:val="Heading2Char"/>
    <w:autoRedefine/>
    <w:uiPriority w:val="9"/>
    <w:qFormat/>
    <w:pPr>
      <w:keepNext/>
      <w:keepLines/>
      <w:numPr>
        <w:ilvl w:val="1"/>
        <w:numId w:val="44"/>
      </w:numPr>
      <w:ind w:left="576"/>
      <w:outlineLvl w:val="1"/>
    </w:pPr>
    <w:rPr>
      <w:rFonts w:ascii="Times New Roman" w:eastAsiaTheme="majorEastAsia" w:hAnsi="Times New Roman"/>
      <w:b/>
      <w:bCs/>
      <w:color w:val="000000" w:themeColor="text1"/>
      <w:sz w:val="24"/>
      <w:szCs w:val="24"/>
    </w:rPr>
  </w:style>
  <w:style w:type="paragraph" w:styleId="Heading3">
    <w:name w:val="heading 3"/>
    <w:basedOn w:val="Normal"/>
    <w:next w:val="Normal"/>
    <w:link w:val="Heading3Char"/>
    <w:uiPriority w:val="9"/>
    <w:unhideWhenUsed/>
    <w:qFormat/>
    <w:pPr>
      <w:keepNext/>
      <w:keepLines/>
      <w:numPr>
        <w:ilvl w:val="2"/>
        <w:numId w:val="44"/>
      </w:numPr>
      <w:spacing w:before="200"/>
      <w:outlineLvl w:val="2"/>
    </w:pPr>
    <w:rPr>
      <w:rFonts w:asciiTheme="minorHAnsi" w:eastAsiaTheme="majorEastAsia" w:hAnsiTheme="minorHAnsi" w:cstheme="majorBidi"/>
      <w:bCs/>
      <w:i/>
      <w:u w:val="single"/>
    </w:rPr>
  </w:style>
  <w:style w:type="paragraph" w:styleId="Heading4">
    <w:name w:val="heading 4"/>
    <w:basedOn w:val="Normal"/>
    <w:next w:val="Normal"/>
    <w:link w:val="Heading4Char"/>
    <w:uiPriority w:val="9"/>
    <w:qFormat/>
    <w:pPr>
      <w:keepNext/>
      <w:numPr>
        <w:ilvl w:val="3"/>
        <w:numId w:val="44"/>
      </w:numPr>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color w:val="000000" w:themeColor="text1"/>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Pr>
      <w:rFonts w:eastAsiaTheme="majorEastAsia" w:cstheme="majorBidi"/>
      <w:bCs/>
      <w:i/>
      <w:u w:val="single"/>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
    <w:basedOn w:val="Normal"/>
    <w:link w:val="ListParagraphChar"/>
    <w:uiPriority w:val="34"/>
    <w:qFormat/>
    <w:pPr>
      <w:ind w:left="720"/>
    </w:pPr>
  </w:style>
  <w:style w:type="paragraph" w:styleId="TOCHeading">
    <w:name w:val="TOC Heading"/>
    <w:basedOn w:val="Heading1"/>
    <w:next w:val="Normal"/>
    <w:uiPriority w:val="39"/>
    <w:qFormat/>
    <w:pPr>
      <w:spacing w:line="276" w:lineRule="auto"/>
      <w:outlineLvl w:val="9"/>
    </w:pPr>
  </w:style>
  <w:style w:type="paragraph" w:styleId="TOC1">
    <w:name w:val="toc 1"/>
    <w:basedOn w:val="Normal"/>
    <w:next w:val="Normal"/>
    <w:uiPriority w:val="39"/>
    <w:qFormat/>
    <w:pPr>
      <w:spacing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2">
    <w:name w:val="toc 2"/>
    <w:basedOn w:val="Normal"/>
    <w:next w:val="Normal"/>
    <w:uiPriority w:val="39"/>
    <w:qFormat/>
    <w:pPr>
      <w:spacing w:after="100"/>
      <w:ind w:left="220"/>
    </w:p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ft"/>
    <w:basedOn w:val="Normal"/>
    <w:link w:val="FootnoteTextChar"/>
    <w:uiPriority w:val="99"/>
    <w:qFormat/>
    <w:pPr>
      <w:spacing w:after="200" w:line="276" w:lineRule="auto"/>
    </w:pPr>
    <w:rPr>
      <w:rFonts w:eastAsia="Calibri"/>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 Char,ft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stylish"/>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cstheme="minorBidi"/>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rPr>
  </w:style>
  <w:style w:type="paragraph" w:styleId="Revision">
    <w:name w:val="Revision"/>
    <w:uiPriority w:val="99"/>
    <w:pPr>
      <w:spacing w:after="0" w:line="240" w:lineRule="auto"/>
    </w:pPr>
    <w:rPr>
      <w:rFonts w:ascii="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rPr>
  </w:style>
  <w:style w:type="character" w:styleId="FollowedHyperlink">
    <w:name w:val="FollowedHyperlink"/>
    <w:basedOn w:val="DefaultParagraphFont"/>
    <w:uiPriority w:val="99"/>
    <w:rPr>
      <w:color w:val="800080"/>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ascii="Times New Roman" w:hAnsi="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ind w:left="-850" w:right="-850"/>
      <w:jc w:val="left"/>
    </w:pPr>
    <w:rPr>
      <w:rFonts w:ascii="Times New Roman" w:eastAsia="Times New Roman" w:hAnsi="Times New Roman"/>
      <w:smallCaps/>
      <w:sz w:val="24"/>
      <w:szCs w:val="28"/>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8"/>
    </w:rPr>
  </w:style>
  <w:style w:type="paragraph" w:customStyle="1" w:styleId="HeaderCoverPage">
    <w:name w:val="Header Cover Page"/>
    <w:basedOn w:val="Normal"/>
    <w:link w:val="HeaderCoverPageChar"/>
    <w:pPr>
      <w:widowControl w:val="0"/>
      <w:tabs>
        <w:tab w:val="center" w:pos="4535"/>
        <w:tab w:val="right" w:pos="9071"/>
      </w:tabs>
      <w:spacing w:after="120"/>
    </w:pPr>
    <w:rPr>
      <w:rFonts w:ascii="Times New Roman" w:eastAsia="Times New Roman" w:hAnsi="Times New Roman"/>
      <w:smallCaps/>
      <w:sz w:val="24"/>
      <w:szCs w:val="28"/>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8"/>
    </w:rPr>
  </w:style>
  <w:style w:type="character" w:customStyle="1" w:styleId="tgc">
    <w:name w:val="_tgc"/>
    <w:basedOn w:val="DefaultParagraphFont"/>
  </w:style>
  <w:style w:type="paragraph" w:customStyle="1" w:styleId="Point0number">
    <w:name w:val="Point 0 (number)"/>
    <w:basedOn w:val="Normal"/>
    <w:pPr>
      <w:numPr>
        <w:numId w:val="1"/>
      </w:numPr>
      <w:spacing w:before="120" w:after="120"/>
    </w:pPr>
    <w:rPr>
      <w:rFonts w:ascii="Times New Roman" w:eastAsia="Times New Roman" w:hAnsi="Times New Roman"/>
      <w:sz w:val="24"/>
      <w:szCs w:val="24"/>
    </w:rPr>
  </w:style>
  <w:style w:type="paragraph" w:customStyle="1" w:styleId="Point1number">
    <w:name w:val="Point 1 (number)"/>
    <w:basedOn w:val="Normal"/>
    <w:pPr>
      <w:numPr>
        <w:ilvl w:val="2"/>
        <w:numId w:val="1"/>
      </w:numPr>
      <w:spacing w:before="120" w:after="120"/>
    </w:pPr>
    <w:rPr>
      <w:rFonts w:ascii="Times New Roman" w:eastAsia="Times New Roman" w:hAnsi="Times New Roman"/>
      <w:sz w:val="24"/>
      <w:szCs w:val="24"/>
    </w:rPr>
  </w:style>
  <w:style w:type="paragraph" w:customStyle="1" w:styleId="Point2number">
    <w:name w:val="Point 2 (number)"/>
    <w:basedOn w:val="Normal"/>
    <w:pPr>
      <w:numPr>
        <w:ilvl w:val="4"/>
        <w:numId w:val="1"/>
      </w:numPr>
      <w:spacing w:before="120" w:after="120"/>
    </w:pPr>
    <w:rPr>
      <w:rFonts w:ascii="Times New Roman" w:eastAsia="Times New Roman" w:hAnsi="Times New Roman"/>
      <w:sz w:val="24"/>
      <w:szCs w:val="24"/>
    </w:rPr>
  </w:style>
  <w:style w:type="paragraph" w:customStyle="1" w:styleId="Point3number">
    <w:name w:val="Point 3 (number)"/>
    <w:basedOn w:val="Normal"/>
    <w:pPr>
      <w:numPr>
        <w:ilvl w:val="6"/>
        <w:numId w:val="1"/>
      </w:numPr>
      <w:spacing w:before="120" w:after="120"/>
    </w:pPr>
    <w:rPr>
      <w:rFonts w:ascii="Times New Roman" w:eastAsia="Times New Roman" w:hAnsi="Times New Roman"/>
      <w:sz w:val="24"/>
      <w:szCs w:val="24"/>
    </w:rPr>
  </w:style>
  <w:style w:type="paragraph" w:customStyle="1" w:styleId="Point0letter">
    <w:name w:val="Point 0 (letter)"/>
    <w:basedOn w:val="Normal"/>
    <w:pPr>
      <w:numPr>
        <w:ilvl w:val="1"/>
        <w:numId w:val="1"/>
      </w:numPr>
      <w:spacing w:before="120" w:after="120"/>
    </w:pPr>
    <w:rPr>
      <w:rFonts w:ascii="Times New Roman" w:eastAsia="Times New Roman" w:hAnsi="Times New Roman"/>
      <w:sz w:val="24"/>
      <w:szCs w:val="24"/>
    </w:rPr>
  </w:style>
  <w:style w:type="paragraph" w:customStyle="1" w:styleId="Point1letter">
    <w:name w:val="Point 1 (letter)"/>
    <w:basedOn w:val="Normal"/>
    <w:pPr>
      <w:numPr>
        <w:ilvl w:val="3"/>
        <w:numId w:val="1"/>
      </w:numPr>
      <w:spacing w:before="120" w:after="120"/>
    </w:pPr>
    <w:rPr>
      <w:rFonts w:ascii="Times New Roman" w:eastAsia="Times New Roman" w:hAnsi="Times New Roman"/>
      <w:sz w:val="24"/>
      <w:szCs w:val="24"/>
    </w:rPr>
  </w:style>
  <w:style w:type="paragraph" w:customStyle="1" w:styleId="Point2letter">
    <w:name w:val="Point 2 (letter)"/>
    <w:basedOn w:val="Normal"/>
    <w:pPr>
      <w:numPr>
        <w:ilvl w:val="5"/>
        <w:numId w:val="1"/>
      </w:numPr>
      <w:spacing w:before="120" w:after="120"/>
    </w:pPr>
    <w:rPr>
      <w:rFonts w:ascii="Times New Roman" w:eastAsia="Times New Roman" w:hAnsi="Times New Roman"/>
      <w:sz w:val="24"/>
      <w:szCs w:val="24"/>
    </w:rPr>
  </w:style>
  <w:style w:type="paragraph" w:customStyle="1" w:styleId="Point3letter">
    <w:name w:val="Point 3 (letter)"/>
    <w:basedOn w:val="Normal"/>
    <w:pPr>
      <w:numPr>
        <w:ilvl w:val="7"/>
        <w:numId w:val="1"/>
      </w:numPr>
      <w:spacing w:before="120" w:after="120"/>
    </w:pPr>
    <w:rPr>
      <w:rFonts w:ascii="Times New Roman" w:eastAsia="Times New Roman" w:hAnsi="Times New Roman"/>
      <w:sz w:val="24"/>
      <w:szCs w:val="24"/>
    </w:rPr>
  </w:style>
  <w:style w:type="paragraph" w:customStyle="1" w:styleId="Point4letter">
    <w:name w:val="Point 4 (letter)"/>
    <w:basedOn w:val="Normal"/>
    <w:pPr>
      <w:numPr>
        <w:ilvl w:val="8"/>
        <w:numId w:val="1"/>
      </w:numPr>
      <w:spacing w:before="120" w:after="120"/>
    </w:pPr>
    <w:rPr>
      <w:rFonts w:ascii="Times New Roman" w:eastAsia="Times New Roman" w:hAnsi="Times New Roman"/>
      <w:sz w:val="24"/>
      <w:szCs w:val="24"/>
    </w:rPr>
  </w:style>
  <w:style w:type="paragraph" w:customStyle="1" w:styleId="Bullet0">
    <w:name w:val="Bullet 0"/>
    <w:basedOn w:val="Normal"/>
    <w:pPr>
      <w:spacing w:before="120" w:after="120"/>
    </w:pPr>
    <w:rPr>
      <w:rFonts w:ascii="Times New Roman" w:eastAsia="Times New Roman" w:hAnsi="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rPr>
      <w:rFonts w:ascii="Calibri" w:hAnsi="Calibri" w:cs="Times New Roma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Calibri" w:hAnsi="Calibri" w:cs="Times New Roman"/>
      <w:i/>
      <w:iCs/>
      <w:color w:val="000000" w:themeColor="text1"/>
    </w:rPr>
  </w:style>
  <w:style w:type="paragraph" w:customStyle="1" w:styleId="Tiret1">
    <w:name w:val="Tiret 1"/>
    <w:basedOn w:val="Normal"/>
    <w:next w:val="Normal"/>
    <w:pPr>
      <w:numPr>
        <w:numId w:val="2"/>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40"/>
      <w:ind w:right="57"/>
    </w:pPr>
    <w:rPr>
      <w:rFonts w:ascii="Verdana" w:eastAsia="Times New Roman" w:hAnsi="Verdana"/>
      <w:spacing w:val="-2"/>
      <w:sz w:val="20"/>
      <w:szCs w:val="24"/>
    </w:rPr>
  </w:style>
  <w:style w:type="paragraph" w:customStyle="1" w:styleId="NumPar3">
    <w:name w:val="NumPar 3"/>
    <w:basedOn w:val="Heading3"/>
    <w:next w:val="Normal"/>
    <w:pPr>
      <w:keepNext w:val="0"/>
      <w:keepLines w:val="0"/>
      <w:numPr>
        <w:numId w:val="2"/>
      </w:numPr>
      <w:tabs>
        <w:tab w:val="clear" w:pos="2160"/>
      </w:tabs>
      <w:spacing w:before="0"/>
      <w:outlineLvl w:val="9"/>
    </w:pPr>
    <w:rPr>
      <w:rFonts w:ascii="Times New Roman" w:eastAsia="Times New Roman" w:hAnsi="Times New Roman" w:cs="Times New Roman"/>
      <w:b/>
      <w:bCs w:val="0"/>
      <w:sz w:val="24"/>
      <w:szCs w:val="2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customStyle="1" w:styleId="prdnormal">
    <w:name w:val="prdnormal"/>
  </w:style>
  <w:style w:type="paragraph" w:customStyle="1" w:styleId="ZDGName">
    <w:name w:val="Z_DGName"/>
    <w:basedOn w:val="Normal"/>
    <w:pPr>
      <w:widowControl w:val="0"/>
      <w:autoSpaceDE w:val="0"/>
      <w:autoSpaceDN w:val="0"/>
      <w:ind w:right="85"/>
    </w:pPr>
    <w:rPr>
      <w:rFonts w:ascii="Arial" w:eastAsia="Times New Roman" w:hAnsi="Arial" w:cs="Arial"/>
      <w:sz w:val="16"/>
      <w:szCs w:val="16"/>
    </w:rPr>
  </w:style>
  <w:style w:type="paragraph" w:customStyle="1" w:styleId="Style1">
    <w:name w:val="Style1"/>
    <w:basedOn w:val="Normal"/>
    <w:pPr>
      <w:spacing w:after="200" w:line="276" w:lineRule="auto"/>
      <w:ind w:left="360" w:hanging="360"/>
    </w:pPr>
    <w:rPr>
      <w:rFonts w:eastAsia="Calibri"/>
    </w:rPr>
  </w:style>
  <w:style w:type="paragraph" w:styleId="TOC3">
    <w:name w:val="toc 3"/>
    <w:basedOn w:val="Normal"/>
    <w:next w:val="Normal"/>
    <w:autoRedefine/>
    <w:uiPriority w:val="39"/>
    <w:unhideWhenUsed/>
    <w:qFormat/>
    <w:pPr>
      <w:spacing w:after="100"/>
      <w:ind w:left="440"/>
    </w:pPr>
  </w:style>
  <w:style w:type="paragraph" w:styleId="ListNumber">
    <w:name w:val="List Number"/>
    <w:basedOn w:val="Normal"/>
    <w:rPr>
      <w:rFonts w:ascii="Times New Roman" w:eastAsia="Times New Roman" w:hAnsi="Times New Roman"/>
      <w:sz w:val="24"/>
      <w:szCs w:val="20"/>
    </w:rPr>
  </w:style>
  <w:style w:type="character" w:styleId="BookTitle">
    <w:name w:val="Book Title"/>
    <w:basedOn w:val="DefaultParagraphFont"/>
    <w:uiPriority w:val="33"/>
    <w:qFormat/>
    <w:rPr>
      <w:b/>
      <w:bCs/>
      <w:smallCaps/>
      <w:spacing w:val="5"/>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
    <w:link w:val="ListParagraph"/>
    <w:uiPriority w:val="34"/>
    <w:locked/>
    <w:rPr>
      <w:rFonts w:ascii="Calibri" w:hAnsi="Calibri" w:cs="Times New Roman"/>
    </w:rPr>
  </w:style>
  <w:style w:type="paragraph" w:styleId="ListBullet">
    <w:name w:val="List Bullet"/>
    <w:basedOn w:val="Normal"/>
    <w:pPr>
      <w:numPr>
        <w:numId w:val="4"/>
      </w:numPr>
    </w:pPr>
    <w:rPr>
      <w:rFonts w:ascii="Times New Roman" w:eastAsia="Times New Roman" w:hAnsi="Times New Roman"/>
      <w:sz w:val="24"/>
      <w:szCs w:val="20"/>
    </w:rPr>
  </w:style>
  <w:style w:type="paragraph" w:customStyle="1" w:styleId="LTTBody1">
    <w:name w:val="LTT Body 1"/>
    <w:basedOn w:val="Normal"/>
    <w:qFormat/>
    <w:pPr>
      <w:numPr>
        <w:numId w:val="5"/>
      </w:numPr>
      <w:spacing w:after="0"/>
      <w:jc w:val="left"/>
    </w:pPr>
    <w:rPr>
      <w:rFonts w:eastAsia="Times New Roman" w:cs="Calibri"/>
      <w:sz w:val="28"/>
      <w:szCs w:val="28"/>
    </w:rPr>
  </w:style>
  <w:style w:type="paragraph" w:customStyle="1" w:styleId="Briefingheading2">
    <w:name w:val="Briefing heading 2"/>
    <w:basedOn w:val="Normal"/>
    <w:pPr>
      <w:keepNext/>
      <w:spacing w:before="240" w:after="120"/>
    </w:pPr>
    <w:rPr>
      <w:rFonts w:ascii="Arial" w:hAnsi="Arial" w:cs="Arial"/>
      <w:b/>
      <w:bCs/>
      <w:sz w:val="24"/>
      <w:szCs w:val="24"/>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uiPriority w:val="99"/>
    <w:locked/>
    <w:rPr>
      <w:rFonts w:cs="Times New Roman"/>
      <w:sz w:val="20"/>
      <w:szCs w:val="20"/>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at21">
    <w:name w:val="a__t21"/>
    <w:basedOn w:val="DefaultParagraphFont"/>
    <w:rPr>
      <w:i/>
      <w:iCs/>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rPr>
      <w:rFonts w:ascii="Arial" w:hAnsi="Arial" w:cs="Arial"/>
    </w:rPr>
  </w:style>
  <w:style w:type="character" w:customStyle="1" w:styleId="st1">
    <w:name w:val="st1"/>
    <w:basedOn w:val="DefaultParagraphFont"/>
  </w:style>
  <w:style w:type="character" w:customStyle="1" w:styleId="mixed-citation">
    <w:name w:val="mixed-citation"/>
    <w:basedOn w:val="DefaultParagraphFont"/>
  </w:style>
  <w:style w:type="character" w:customStyle="1" w:styleId="ref-title">
    <w:name w:val="ref-title"/>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nowrap">
    <w:name w:val="nowrap"/>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Calibri" w:hAnsi="Calibri" w:cs="Times New Roman"/>
    </w:rPr>
  </w:style>
  <w:style w:type="paragraph" w:styleId="Heading1">
    <w:name w:val="heading 1"/>
    <w:basedOn w:val="Normal"/>
    <w:next w:val="Normal"/>
    <w:link w:val="Heading1Char"/>
    <w:uiPriority w:val="9"/>
    <w:qFormat/>
    <w:pPr>
      <w:keepLines/>
      <w:numPr>
        <w:numId w:val="44"/>
      </w:numPr>
      <w:spacing w:before="480"/>
      <w:outlineLvl w:val="0"/>
    </w:pPr>
    <w:rPr>
      <w:rFonts w:ascii="Times New Roman" w:eastAsiaTheme="majorEastAsia" w:hAnsi="Times New Roman"/>
      <w:b/>
      <w:bCs/>
      <w:smallCaps/>
      <w:color w:val="000000" w:themeColor="text1"/>
      <w:sz w:val="24"/>
      <w:szCs w:val="24"/>
    </w:rPr>
  </w:style>
  <w:style w:type="paragraph" w:styleId="Heading2">
    <w:name w:val="heading 2"/>
    <w:basedOn w:val="Normal"/>
    <w:next w:val="Normal"/>
    <w:link w:val="Heading2Char"/>
    <w:autoRedefine/>
    <w:uiPriority w:val="9"/>
    <w:qFormat/>
    <w:pPr>
      <w:keepNext/>
      <w:keepLines/>
      <w:numPr>
        <w:ilvl w:val="1"/>
        <w:numId w:val="44"/>
      </w:numPr>
      <w:ind w:left="576"/>
      <w:outlineLvl w:val="1"/>
    </w:pPr>
    <w:rPr>
      <w:rFonts w:ascii="Times New Roman" w:eastAsiaTheme="majorEastAsia" w:hAnsi="Times New Roman"/>
      <w:b/>
      <w:bCs/>
      <w:color w:val="000000" w:themeColor="text1"/>
      <w:sz w:val="24"/>
      <w:szCs w:val="24"/>
    </w:rPr>
  </w:style>
  <w:style w:type="paragraph" w:styleId="Heading3">
    <w:name w:val="heading 3"/>
    <w:basedOn w:val="Normal"/>
    <w:next w:val="Normal"/>
    <w:link w:val="Heading3Char"/>
    <w:uiPriority w:val="9"/>
    <w:unhideWhenUsed/>
    <w:qFormat/>
    <w:pPr>
      <w:keepNext/>
      <w:keepLines/>
      <w:numPr>
        <w:ilvl w:val="2"/>
        <w:numId w:val="44"/>
      </w:numPr>
      <w:spacing w:before="200"/>
      <w:outlineLvl w:val="2"/>
    </w:pPr>
    <w:rPr>
      <w:rFonts w:asciiTheme="minorHAnsi" w:eastAsiaTheme="majorEastAsia" w:hAnsiTheme="minorHAnsi" w:cstheme="majorBidi"/>
      <w:bCs/>
      <w:i/>
      <w:u w:val="single"/>
    </w:rPr>
  </w:style>
  <w:style w:type="paragraph" w:styleId="Heading4">
    <w:name w:val="heading 4"/>
    <w:basedOn w:val="Normal"/>
    <w:next w:val="Normal"/>
    <w:link w:val="Heading4Char"/>
    <w:uiPriority w:val="9"/>
    <w:qFormat/>
    <w:pPr>
      <w:keepNext/>
      <w:numPr>
        <w:ilvl w:val="3"/>
        <w:numId w:val="44"/>
      </w:numPr>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color w:val="000000" w:themeColor="text1"/>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Pr>
      <w:rFonts w:eastAsiaTheme="majorEastAsia" w:cstheme="majorBidi"/>
      <w:bCs/>
      <w:i/>
      <w:u w:val="single"/>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
    <w:basedOn w:val="Normal"/>
    <w:link w:val="ListParagraphChar"/>
    <w:uiPriority w:val="34"/>
    <w:qFormat/>
    <w:pPr>
      <w:ind w:left="720"/>
    </w:pPr>
  </w:style>
  <w:style w:type="paragraph" w:styleId="TOCHeading">
    <w:name w:val="TOC Heading"/>
    <w:basedOn w:val="Heading1"/>
    <w:next w:val="Normal"/>
    <w:uiPriority w:val="39"/>
    <w:qFormat/>
    <w:pPr>
      <w:spacing w:line="276" w:lineRule="auto"/>
      <w:outlineLvl w:val="9"/>
    </w:pPr>
  </w:style>
  <w:style w:type="paragraph" w:styleId="TOC1">
    <w:name w:val="toc 1"/>
    <w:basedOn w:val="Normal"/>
    <w:next w:val="Normal"/>
    <w:uiPriority w:val="39"/>
    <w:qFormat/>
    <w:pPr>
      <w:spacing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2">
    <w:name w:val="toc 2"/>
    <w:basedOn w:val="Normal"/>
    <w:next w:val="Normal"/>
    <w:uiPriority w:val="39"/>
    <w:qFormat/>
    <w:pPr>
      <w:spacing w:after="100"/>
      <w:ind w:left="220"/>
    </w:p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ft"/>
    <w:basedOn w:val="Normal"/>
    <w:link w:val="FootnoteTextChar"/>
    <w:uiPriority w:val="99"/>
    <w:qFormat/>
    <w:pPr>
      <w:spacing w:after="200" w:line="276" w:lineRule="auto"/>
    </w:pPr>
    <w:rPr>
      <w:rFonts w:eastAsia="Calibri"/>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 Char,ft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stylish"/>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cstheme="minorBidi"/>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rPr>
  </w:style>
  <w:style w:type="paragraph" w:styleId="Revision">
    <w:name w:val="Revision"/>
    <w:uiPriority w:val="99"/>
    <w:pPr>
      <w:spacing w:after="0" w:line="240" w:lineRule="auto"/>
    </w:pPr>
    <w:rPr>
      <w:rFonts w:ascii="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rPr>
  </w:style>
  <w:style w:type="character" w:styleId="FollowedHyperlink">
    <w:name w:val="FollowedHyperlink"/>
    <w:basedOn w:val="DefaultParagraphFont"/>
    <w:uiPriority w:val="99"/>
    <w:rPr>
      <w:color w:val="800080"/>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ascii="Times New Roman" w:hAnsi="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ind w:left="-850" w:right="-850"/>
      <w:jc w:val="left"/>
    </w:pPr>
    <w:rPr>
      <w:rFonts w:ascii="Times New Roman" w:eastAsia="Times New Roman" w:hAnsi="Times New Roman"/>
      <w:smallCaps/>
      <w:sz w:val="24"/>
      <w:szCs w:val="28"/>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8"/>
    </w:rPr>
  </w:style>
  <w:style w:type="paragraph" w:customStyle="1" w:styleId="HeaderCoverPage">
    <w:name w:val="Header Cover Page"/>
    <w:basedOn w:val="Normal"/>
    <w:link w:val="HeaderCoverPageChar"/>
    <w:pPr>
      <w:widowControl w:val="0"/>
      <w:tabs>
        <w:tab w:val="center" w:pos="4535"/>
        <w:tab w:val="right" w:pos="9071"/>
      </w:tabs>
      <w:spacing w:after="120"/>
    </w:pPr>
    <w:rPr>
      <w:rFonts w:ascii="Times New Roman" w:eastAsia="Times New Roman" w:hAnsi="Times New Roman"/>
      <w:smallCaps/>
      <w:sz w:val="24"/>
      <w:szCs w:val="28"/>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8"/>
    </w:rPr>
  </w:style>
  <w:style w:type="character" w:customStyle="1" w:styleId="tgc">
    <w:name w:val="_tgc"/>
    <w:basedOn w:val="DefaultParagraphFont"/>
  </w:style>
  <w:style w:type="paragraph" w:customStyle="1" w:styleId="Point0number">
    <w:name w:val="Point 0 (number)"/>
    <w:basedOn w:val="Normal"/>
    <w:pPr>
      <w:numPr>
        <w:numId w:val="1"/>
      </w:numPr>
      <w:spacing w:before="120" w:after="120"/>
    </w:pPr>
    <w:rPr>
      <w:rFonts w:ascii="Times New Roman" w:eastAsia="Times New Roman" w:hAnsi="Times New Roman"/>
      <w:sz w:val="24"/>
      <w:szCs w:val="24"/>
    </w:rPr>
  </w:style>
  <w:style w:type="paragraph" w:customStyle="1" w:styleId="Point1number">
    <w:name w:val="Point 1 (number)"/>
    <w:basedOn w:val="Normal"/>
    <w:pPr>
      <w:numPr>
        <w:ilvl w:val="2"/>
        <w:numId w:val="1"/>
      </w:numPr>
      <w:spacing w:before="120" w:after="120"/>
    </w:pPr>
    <w:rPr>
      <w:rFonts w:ascii="Times New Roman" w:eastAsia="Times New Roman" w:hAnsi="Times New Roman"/>
      <w:sz w:val="24"/>
      <w:szCs w:val="24"/>
    </w:rPr>
  </w:style>
  <w:style w:type="paragraph" w:customStyle="1" w:styleId="Point2number">
    <w:name w:val="Point 2 (number)"/>
    <w:basedOn w:val="Normal"/>
    <w:pPr>
      <w:numPr>
        <w:ilvl w:val="4"/>
        <w:numId w:val="1"/>
      </w:numPr>
      <w:spacing w:before="120" w:after="120"/>
    </w:pPr>
    <w:rPr>
      <w:rFonts w:ascii="Times New Roman" w:eastAsia="Times New Roman" w:hAnsi="Times New Roman"/>
      <w:sz w:val="24"/>
      <w:szCs w:val="24"/>
    </w:rPr>
  </w:style>
  <w:style w:type="paragraph" w:customStyle="1" w:styleId="Point3number">
    <w:name w:val="Point 3 (number)"/>
    <w:basedOn w:val="Normal"/>
    <w:pPr>
      <w:numPr>
        <w:ilvl w:val="6"/>
        <w:numId w:val="1"/>
      </w:numPr>
      <w:spacing w:before="120" w:after="120"/>
    </w:pPr>
    <w:rPr>
      <w:rFonts w:ascii="Times New Roman" w:eastAsia="Times New Roman" w:hAnsi="Times New Roman"/>
      <w:sz w:val="24"/>
      <w:szCs w:val="24"/>
    </w:rPr>
  </w:style>
  <w:style w:type="paragraph" w:customStyle="1" w:styleId="Point0letter">
    <w:name w:val="Point 0 (letter)"/>
    <w:basedOn w:val="Normal"/>
    <w:pPr>
      <w:numPr>
        <w:ilvl w:val="1"/>
        <w:numId w:val="1"/>
      </w:numPr>
      <w:spacing w:before="120" w:after="120"/>
    </w:pPr>
    <w:rPr>
      <w:rFonts w:ascii="Times New Roman" w:eastAsia="Times New Roman" w:hAnsi="Times New Roman"/>
      <w:sz w:val="24"/>
      <w:szCs w:val="24"/>
    </w:rPr>
  </w:style>
  <w:style w:type="paragraph" w:customStyle="1" w:styleId="Point1letter">
    <w:name w:val="Point 1 (letter)"/>
    <w:basedOn w:val="Normal"/>
    <w:pPr>
      <w:numPr>
        <w:ilvl w:val="3"/>
        <w:numId w:val="1"/>
      </w:numPr>
      <w:spacing w:before="120" w:after="120"/>
    </w:pPr>
    <w:rPr>
      <w:rFonts w:ascii="Times New Roman" w:eastAsia="Times New Roman" w:hAnsi="Times New Roman"/>
      <w:sz w:val="24"/>
      <w:szCs w:val="24"/>
    </w:rPr>
  </w:style>
  <w:style w:type="paragraph" w:customStyle="1" w:styleId="Point2letter">
    <w:name w:val="Point 2 (letter)"/>
    <w:basedOn w:val="Normal"/>
    <w:pPr>
      <w:numPr>
        <w:ilvl w:val="5"/>
        <w:numId w:val="1"/>
      </w:numPr>
      <w:spacing w:before="120" w:after="120"/>
    </w:pPr>
    <w:rPr>
      <w:rFonts w:ascii="Times New Roman" w:eastAsia="Times New Roman" w:hAnsi="Times New Roman"/>
      <w:sz w:val="24"/>
      <w:szCs w:val="24"/>
    </w:rPr>
  </w:style>
  <w:style w:type="paragraph" w:customStyle="1" w:styleId="Point3letter">
    <w:name w:val="Point 3 (letter)"/>
    <w:basedOn w:val="Normal"/>
    <w:pPr>
      <w:numPr>
        <w:ilvl w:val="7"/>
        <w:numId w:val="1"/>
      </w:numPr>
      <w:spacing w:before="120" w:after="120"/>
    </w:pPr>
    <w:rPr>
      <w:rFonts w:ascii="Times New Roman" w:eastAsia="Times New Roman" w:hAnsi="Times New Roman"/>
      <w:sz w:val="24"/>
      <w:szCs w:val="24"/>
    </w:rPr>
  </w:style>
  <w:style w:type="paragraph" w:customStyle="1" w:styleId="Point4letter">
    <w:name w:val="Point 4 (letter)"/>
    <w:basedOn w:val="Normal"/>
    <w:pPr>
      <w:numPr>
        <w:ilvl w:val="8"/>
        <w:numId w:val="1"/>
      </w:numPr>
      <w:spacing w:before="120" w:after="120"/>
    </w:pPr>
    <w:rPr>
      <w:rFonts w:ascii="Times New Roman" w:eastAsia="Times New Roman" w:hAnsi="Times New Roman"/>
      <w:sz w:val="24"/>
      <w:szCs w:val="24"/>
    </w:rPr>
  </w:style>
  <w:style w:type="paragraph" w:customStyle="1" w:styleId="Bullet0">
    <w:name w:val="Bullet 0"/>
    <w:basedOn w:val="Normal"/>
    <w:pPr>
      <w:spacing w:before="120" w:after="120"/>
    </w:pPr>
    <w:rPr>
      <w:rFonts w:ascii="Times New Roman" w:eastAsia="Times New Roman" w:hAnsi="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rPr>
      <w:rFonts w:ascii="Calibri" w:hAnsi="Calibri" w:cs="Times New Roma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Calibri" w:hAnsi="Calibri" w:cs="Times New Roman"/>
      <w:i/>
      <w:iCs/>
      <w:color w:val="000000" w:themeColor="text1"/>
    </w:rPr>
  </w:style>
  <w:style w:type="paragraph" w:customStyle="1" w:styleId="Tiret1">
    <w:name w:val="Tiret 1"/>
    <w:basedOn w:val="Normal"/>
    <w:next w:val="Normal"/>
    <w:pPr>
      <w:numPr>
        <w:numId w:val="2"/>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40"/>
      <w:ind w:right="57"/>
    </w:pPr>
    <w:rPr>
      <w:rFonts w:ascii="Verdana" w:eastAsia="Times New Roman" w:hAnsi="Verdana"/>
      <w:spacing w:val="-2"/>
      <w:sz w:val="20"/>
      <w:szCs w:val="24"/>
    </w:rPr>
  </w:style>
  <w:style w:type="paragraph" w:customStyle="1" w:styleId="NumPar3">
    <w:name w:val="NumPar 3"/>
    <w:basedOn w:val="Heading3"/>
    <w:next w:val="Normal"/>
    <w:pPr>
      <w:keepNext w:val="0"/>
      <w:keepLines w:val="0"/>
      <w:numPr>
        <w:numId w:val="2"/>
      </w:numPr>
      <w:tabs>
        <w:tab w:val="clear" w:pos="2160"/>
      </w:tabs>
      <w:spacing w:before="0"/>
      <w:outlineLvl w:val="9"/>
    </w:pPr>
    <w:rPr>
      <w:rFonts w:ascii="Times New Roman" w:eastAsia="Times New Roman" w:hAnsi="Times New Roman" w:cs="Times New Roman"/>
      <w:b/>
      <w:bCs w:val="0"/>
      <w:sz w:val="24"/>
      <w:szCs w:val="2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customStyle="1" w:styleId="prdnormal">
    <w:name w:val="prdnormal"/>
  </w:style>
  <w:style w:type="paragraph" w:customStyle="1" w:styleId="ZDGName">
    <w:name w:val="Z_DGName"/>
    <w:basedOn w:val="Normal"/>
    <w:pPr>
      <w:widowControl w:val="0"/>
      <w:autoSpaceDE w:val="0"/>
      <w:autoSpaceDN w:val="0"/>
      <w:ind w:right="85"/>
    </w:pPr>
    <w:rPr>
      <w:rFonts w:ascii="Arial" w:eastAsia="Times New Roman" w:hAnsi="Arial" w:cs="Arial"/>
      <w:sz w:val="16"/>
      <w:szCs w:val="16"/>
    </w:rPr>
  </w:style>
  <w:style w:type="paragraph" w:customStyle="1" w:styleId="Style1">
    <w:name w:val="Style1"/>
    <w:basedOn w:val="Normal"/>
    <w:pPr>
      <w:spacing w:after="200" w:line="276" w:lineRule="auto"/>
      <w:ind w:left="360" w:hanging="360"/>
    </w:pPr>
    <w:rPr>
      <w:rFonts w:eastAsia="Calibri"/>
    </w:rPr>
  </w:style>
  <w:style w:type="paragraph" w:styleId="TOC3">
    <w:name w:val="toc 3"/>
    <w:basedOn w:val="Normal"/>
    <w:next w:val="Normal"/>
    <w:autoRedefine/>
    <w:uiPriority w:val="39"/>
    <w:unhideWhenUsed/>
    <w:qFormat/>
    <w:pPr>
      <w:spacing w:after="100"/>
      <w:ind w:left="440"/>
    </w:pPr>
  </w:style>
  <w:style w:type="paragraph" w:styleId="ListNumber">
    <w:name w:val="List Number"/>
    <w:basedOn w:val="Normal"/>
    <w:rPr>
      <w:rFonts w:ascii="Times New Roman" w:eastAsia="Times New Roman" w:hAnsi="Times New Roman"/>
      <w:sz w:val="24"/>
      <w:szCs w:val="20"/>
    </w:rPr>
  </w:style>
  <w:style w:type="character" w:styleId="BookTitle">
    <w:name w:val="Book Title"/>
    <w:basedOn w:val="DefaultParagraphFont"/>
    <w:uiPriority w:val="33"/>
    <w:qFormat/>
    <w:rPr>
      <w:b/>
      <w:bCs/>
      <w:smallCaps/>
      <w:spacing w:val="5"/>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
    <w:link w:val="ListParagraph"/>
    <w:uiPriority w:val="34"/>
    <w:locked/>
    <w:rPr>
      <w:rFonts w:ascii="Calibri" w:hAnsi="Calibri" w:cs="Times New Roman"/>
    </w:rPr>
  </w:style>
  <w:style w:type="paragraph" w:styleId="ListBullet">
    <w:name w:val="List Bullet"/>
    <w:basedOn w:val="Normal"/>
    <w:pPr>
      <w:numPr>
        <w:numId w:val="4"/>
      </w:numPr>
    </w:pPr>
    <w:rPr>
      <w:rFonts w:ascii="Times New Roman" w:eastAsia="Times New Roman" w:hAnsi="Times New Roman"/>
      <w:sz w:val="24"/>
      <w:szCs w:val="20"/>
    </w:rPr>
  </w:style>
  <w:style w:type="paragraph" w:customStyle="1" w:styleId="LTTBody1">
    <w:name w:val="LTT Body 1"/>
    <w:basedOn w:val="Normal"/>
    <w:qFormat/>
    <w:pPr>
      <w:numPr>
        <w:numId w:val="5"/>
      </w:numPr>
      <w:spacing w:after="0"/>
      <w:jc w:val="left"/>
    </w:pPr>
    <w:rPr>
      <w:rFonts w:eastAsia="Times New Roman" w:cs="Calibri"/>
      <w:sz w:val="28"/>
      <w:szCs w:val="28"/>
    </w:rPr>
  </w:style>
  <w:style w:type="paragraph" w:customStyle="1" w:styleId="Briefingheading2">
    <w:name w:val="Briefing heading 2"/>
    <w:basedOn w:val="Normal"/>
    <w:pPr>
      <w:keepNext/>
      <w:spacing w:before="240" w:after="120"/>
    </w:pPr>
    <w:rPr>
      <w:rFonts w:ascii="Arial" w:hAnsi="Arial" w:cs="Arial"/>
      <w:b/>
      <w:bCs/>
      <w:sz w:val="24"/>
      <w:szCs w:val="24"/>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uiPriority w:val="99"/>
    <w:locked/>
    <w:rPr>
      <w:rFonts w:cs="Times New Roman"/>
      <w:sz w:val="20"/>
      <w:szCs w:val="20"/>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at21">
    <w:name w:val="a__t21"/>
    <w:basedOn w:val="DefaultParagraphFont"/>
    <w:rPr>
      <w:i/>
      <w:iCs/>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rPr>
      <w:rFonts w:ascii="Arial" w:hAnsi="Arial" w:cs="Arial"/>
    </w:rPr>
  </w:style>
  <w:style w:type="character" w:customStyle="1" w:styleId="st1">
    <w:name w:val="st1"/>
    <w:basedOn w:val="DefaultParagraphFont"/>
  </w:style>
  <w:style w:type="character" w:customStyle="1" w:styleId="mixed-citation">
    <w:name w:val="mixed-citation"/>
    <w:basedOn w:val="DefaultParagraphFont"/>
  </w:style>
  <w:style w:type="character" w:customStyle="1" w:styleId="ref-title">
    <w:name w:val="ref-title"/>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nowrap">
    <w:name w:val="nowra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261">
      <w:bodyDiv w:val="1"/>
      <w:marLeft w:val="0"/>
      <w:marRight w:val="0"/>
      <w:marTop w:val="0"/>
      <w:marBottom w:val="0"/>
      <w:divBdr>
        <w:top w:val="none" w:sz="0" w:space="0" w:color="auto"/>
        <w:left w:val="none" w:sz="0" w:space="0" w:color="auto"/>
        <w:bottom w:val="none" w:sz="0" w:space="0" w:color="auto"/>
        <w:right w:val="none" w:sz="0" w:space="0" w:color="auto"/>
      </w:divBdr>
    </w:div>
    <w:div w:id="652683024">
      <w:bodyDiv w:val="1"/>
      <w:marLeft w:val="0"/>
      <w:marRight w:val="0"/>
      <w:marTop w:val="0"/>
      <w:marBottom w:val="0"/>
      <w:divBdr>
        <w:top w:val="none" w:sz="0" w:space="0" w:color="auto"/>
        <w:left w:val="none" w:sz="0" w:space="0" w:color="auto"/>
        <w:bottom w:val="none" w:sz="0" w:space="0" w:color="auto"/>
        <w:right w:val="none" w:sz="0" w:space="0" w:color="auto"/>
      </w:divBdr>
    </w:div>
    <w:div w:id="1183785663">
      <w:bodyDiv w:val="1"/>
      <w:marLeft w:val="0"/>
      <w:marRight w:val="0"/>
      <w:marTop w:val="0"/>
      <w:marBottom w:val="0"/>
      <w:divBdr>
        <w:top w:val="none" w:sz="0" w:space="0" w:color="auto"/>
        <w:left w:val="none" w:sz="0" w:space="0" w:color="auto"/>
        <w:bottom w:val="none" w:sz="0" w:space="0" w:color="auto"/>
        <w:right w:val="none" w:sz="0" w:space="0" w:color="auto"/>
      </w:divBdr>
    </w:div>
    <w:div w:id="1258756071">
      <w:bodyDiv w:val="1"/>
      <w:marLeft w:val="0"/>
      <w:marRight w:val="0"/>
      <w:marTop w:val="0"/>
      <w:marBottom w:val="0"/>
      <w:divBdr>
        <w:top w:val="none" w:sz="0" w:space="0" w:color="auto"/>
        <w:left w:val="none" w:sz="0" w:space="0" w:color="auto"/>
        <w:bottom w:val="none" w:sz="0" w:space="0" w:color="auto"/>
        <w:right w:val="none" w:sz="0" w:space="0" w:color="auto"/>
      </w:divBdr>
    </w:div>
    <w:div w:id="1485778139">
      <w:bodyDiv w:val="1"/>
      <w:marLeft w:val="0"/>
      <w:marRight w:val="0"/>
      <w:marTop w:val="0"/>
      <w:marBottom w:val="0"/>
      <w:divBdr>
        <w:top w:val="none" w:sz="0" w:space="0" w:color="auto"/>
        <w:left w:val="none" w:sz="0" w:space="0" w:color="auto"/>
        <w:bottom w:val="none" w:sz="0" w:space="0" w:color="auto"/>
        <w:right w:val="none" w:sz="0" w:space="0" w:color="auto"/>
      </w:divBdr>
    </w:div>
    <w:div w:id="1750080816">
      <w:bodyDiv w:val="1"/>
      <w:marLeft w:val="0"/>
      <w:marRight w:val="0"/>
      <w:marTop w:val="0"/>
      <w:marBottom w:val="0"/>
      <w:divBdr>
        <w:top w:val="none" w:sz="0" w:space="0" w:color="auto"/>
        <w:left w:val="none" w:sz="0" w:space="0" w:color="auto"/>
        <w:bottom w:val="none" w:sz="0" w:space="0" w:color="auto"/>
        <w:right w:val="none" w:sz="0" w:space="0" w:color="auto"/>
      </w:divBdr>
    </w:div>
    <w:div w:id="19103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dc.europa.eu/lv/publications/Publications/antimicrobial-resistance-europe-2015.pdf" TargetMode="External"/><Relationship Id="rId13" Type="http://schemas.openxmlformats.org/officeDocument/2006/relationships/hyperlink" Target="http://eur-lex.europa.eu/legal-content/LV/TXT/PDF/?uri=CELEX:52015XC0911(01)&amp;from=LV" TargetMode="External"/><Relationship Id="rId18" Type="http://schemas.openxmlformats.org/officeDocument/2006/relationships/hyperlink" Target="https://www.bundesgesundheitsministerium.de/fileadmin/Dateien/3_Downloads/G/G20-Gesundheitsministertreffen/G20_Health_Ministers_Declaration_engl.pdf" TargetMode="External"/><Relationship Id="rId3" Type="http://schemas.openxmlformats.org/officeDocument/2006/relationships/hyperlink" Target="https://amr-review.org/sites/default/files/160525_Final%20paper_with%20cover.pdf" TargetMode="External"/><Relationship Id="rId7" Type="http://schemas.openxmlformats.org/officeDocument/2006/relationships/hyperlink" Target="http://www.jpiamr.eu/" TargetMode="External"/><Relationship Id="rId12" Type="http://schemas.openxmlformats.org/officeDocument/2006/relationships/hyperlink" Target="http://www.gavi.org/about/value/" TargetMode="External"/><Relationship Id="rId17" Type="http://schemas.openxmlformats.org/officeDocument/2006/relationships/hyperlink" Target="http://www.mhlw.go.jp/seisakunitsuite/bunya/hokabunya/kokusai/g7kobe/KobeCommunique_en.pdf" TargetMode="External"/><Relationship Id="rId2" Type="http://schemas.openxmlformats.org/officeDocument/2006/relationships/hyperlink" Target="http://www.wpro.who.int/entity/drug_resistance/resources/global_action_plan_eng.pdf" TargetMode="External"/><Relationship Id="rId16" Type="http://schemas.openxmlformats.org/officeDocument/2006/relationships/hyperlink" Target="http://www.saicm.org/EmergingPolicyIssues/Pharmaceuticalnbsp;Pollutants/tabid/5477/language/en-US/Default.aspx" TargetMode="External"/><Relationship Id="rId1" Type="http://schemas.openxmlformats.org/officeDocument/2006/relationships/hyperlink" Target="http://www.who.int/entity/drugresistance/documents/surveillancereport/en/index.html" TargetMode="External"/><Relationship Id="rId6" Type="http://schemas.openxmlformats.org/officeDocument/2006/relationships/hyperlink" Target="http://www.imi.europa.eu/" TargetMode="External"/><Relationship Id="rId11" Type="http://schemas.openxmlformats.org/officeDocument/2006/relationships/hyperlink" Target="https://ec.europa.eu/health/amr/consultations/consultation_20170123_amr-new-action-plan_en" TargetMode="External"/><Relationship Id="rId5" Type="http://schemas.openxmlformats.org/officeDocument/2006/relationships/hyperlink" Target="http://www.imi.europa.eu/content/nd4bb" TargetMode="External"/><Relationship Id="rId15" Type="http://schemas.openxmlformats.org/officeDocument/2006/relationships/hyperlink" Target="http://www.ifpma.org/partners-2/declaration-by-the-pharmaceutical-biotechnology-and-diagnostics-industries-on-combating-antimicrobial-resistance-amr/" TargetMode="External"/><Relationship Id="rId10" Type="http://schemas.openxmlformats.org/officeDocument/2006/relationships/hyperlink" Target="http://ec.europa.eu/smart-regulation/roadmaps/docs/2016_sante_176_action_plan_against_amr_en.pdf" TargetMode="External"/><Relationship Id="rId19" Type="http://schemas.openxmlformats.org/officeDocument/2006/relationships/hyperlink" Target="http://www.star-idaz.net/" TargetMode="External"/><Relationship Id="rId4" Type="http://schemas.openxmlformats.org/officeDocument/2006/relationships/hyperlink" Target="http://www.un.org/sustainabledevelopment/sustainable-development-goals" TargetMode="External"/><Relationship Id="rId9" Type="http://schemas.openxmlformats.org/officeDocument/2006/relationships/hyperlink" Target="http://www.consilium.europa.eu/en/press/press-releases/2016/06/17-epsco-conclusions-antimicrobial-resistance" TargetMode="External"/><Relationship Id="rId14" Type="http://schemas.openxmlformats.org/officeDocument/2006/relationships/hyperlink" Target="https://ipchem.jrc.ec.europa.eu/RDSIdiscovery/ipche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2AE4-FF40-4442-BAFC-685D9EC4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6290</Words>
  <Characters>43597</Characters>
  <Application>Microsoft Office Word</Application>
  <DocSecurity>0</DocSecurity>
  <Lines>703</Lines>
  <Paragraphs>223</Paragraphs>
  <ScaleCrop>false</ScaleCrop>
  <HeadingPairs>
    <vt:vector size="2" baseType="variant">
      <vt:variant>
        <vt:lpstr>Title</vt:lpstr>
      </vt:variant>
      <vt:variant>
        <vt:i4>1</vt:i4>
      </vt:variant>
    </vt:vector>
  </HeadingPairs>
  <TitlesOfParts>
    <vt:vector size="1" baseType="lpstr">
      <vt:lpstr>SANTE/176/2016-EN Rev, 2</vt:lpstr>
    </vt:vector>
  </TitlesOfParts>
  <Manager/>
  <Company/>
  <LinksUpToDate>false</LinksUpToDate>
  <CharactersWithSpaces>49664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SANTE/176/2016-EN Rev, 2</dc:title>
  <dc:subject>communication from the commission to the council and the european parliament</dc:subject>
  <dc:creator/>
  <cp:keywords>176</cp:keywords>
  <dc:description>Outlook 20.6.2017</dc:description>
  <cp:lastModifiedBy>DIGIT/A3</cp:lastModifiedBy>
  <cp:revision>23</cp:revision>
  <cp:lastPrinted>2017-06-02T07:43:00Z</cp:lastPrinted>
  <dcterms:created xsi:type="dcterms:W3CDTF">2017-06-20T13:25:00Z</dcterms:created>
  <dcterms:modified xsi:type="dcterms:W3CDTF">2017-06-28T05:51:00Z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