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FB4A7A3F135472FB036FDF810BCA9DE" style="width:450.7pt;height:463.8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26"/>
        </w:sectPr>
      </w:pPr>
    </w:p>
    <w:p>
      <w:pPr>
        <w:spacing w:after="0"/>
        <w:rPr>
          <w:noProof/>
          <w:sz w:val="2"/>
        </w:rPr>
      </w:pPr>
      <w:bookmarkStart w:id="1" w:name="_GoBack"/>
      <w:bookmarkEnd w:id="1"/>
    </w:p>
    <w:tbl>
      <w:tblPr>
        <w:tblW w:w="10188"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after="0"/>
              <w:jc w:val="center"/>
              <w:rPr>
                <w:rFonts w:ascii="Tahoma" w:hAnsi="Tahoma" w:cs="Tahoma"/>
                <w:b/>
                <w:noProof/>
              </w:rPr>
            </w:pPr>
            <w:r>
              <w:rPr>
                <w:noProof/>
              </w:rPr>
              <w:br w:type="page"/>
            </w:r>
            <w:r>
              <w:rPr>
                <w:noProof/>
              </w:rPr>
              <w:br w:type="page"/>
            </w:r>
            <w:r>
              <w:rPr>
                <w:noProof/>
              </w:rPr>
              <w:br w:type="page"/>
            </w:r>
            <w:r>
              <w:rPr>
                <w:noProof/>
              </w:rPr>
              <w:br w:type="page"/>
            </w:r>
            <w:r>
              <w:rPr>
                <w:noProof/>
              </w:rPr>
              <w:br w:type="page"/>
            </w:r>
            <w:r>
              <w:rPr>
                <w:noProof/>
              </w:rPr>
              <w:br w:type="page"/>
            </w:r>
            <w:r>
              <w:rPr>
                <w:noProof/>
              </w:rPr>
              <w:br w:type="page"/>
            </w:r>
            <w:r>
              <w:rPr>
                <w:noProof/>
              </w:rPr>
              <w:br w:type="page"/>
            </w:r>
            <w:r>
              <w:rPr>
                <w:noProof/>
              </w:rPr>
              <w:br w:type="page"/>
            </w:r>
            <w:r>
              <w:rPr>
                <w:rFonts w:ascii="Tahoma" w:hAnsi="Tahoma"/>
                <w:b/>
                <w:noProof/>
              </w:rPr>
              <w:t>Fișă rezumat</w:t>
            </w:r>
          </w:p>
        </w:tc>
      </w:tr>
      <w:tr>
        <w:tc>
          <w:tcPr>
            <w:tcW w:w="10188" w:type="dxa"/>
            <w:tcBorders>
              <w:top w:val="single" w:sz="4" w:space="0" w:color="auto"/>
              <w:left w:val="single" w:sz="4" w:space="0" w:color="auto"/>
              <w:bottom w:val="single" w:sz="4" w:space="0" w:color="auto"/>
              <w:right w:val="single" w:sz="4" w:space="0" w:color="auto"/>
            </w:tcBorders>
            <w:shd w:val="clear" w:color="auto" w:fill="4F81BD"/>
          </w:tcPr>
          <w:p>
            <w:pPr>
              <w:spacing w:after="0"/>
              <w:rPr>
                <w:rFonts w:ascii="Tahoma" w:hAnsi="Tahoma" w:cs="Tahoma"/>
                <w:noProof/>
                <w:sz w:val="20"/>
              </w:rPr>
            </w:pPr>
            <w:r>
              <w:rPr>
                <w:rFonts w:ascii="Tahoma" w:hAnsi="Tahoma"/>
                <w:noProof/>
                <w:color w:val="FFFFFF"/>
                <w:sz w:val="20"/>
              </w:rPr>
              <w:t>Evaluarea impactului unor posibile modificări ale Regulamentului (UE) nr. 648/2012 al Parlamentului European și al Consiliului din 4 iulie 2012 privind instrumentele financiare derivate extrabursiere, contrapărțile centrale și registrele centrale de tranzacții.</w:t>
            </w:r>
          </w:p>
        </w:tc>
      </w:tr>
      <w:tr>
        <w:tc>
          <w:tcPr>
            <w:tcW w:w="10188" w:type="dxa"/>
            <w:tcBorders>
              <w:bottom w:val="single" w:sz="4" w:space="0" w:color="auto"/>
            </w:tcBorders>
            <w:shd w:val="clear" w:color="auto" w:fill="CCCCCC"/>
          </w:tcPr>
          <w:p>
            <w:pPr>
              <w:spacing w:after="0"/>
              <w:jc w:val="center"/>
              <w:rPr>
                <w:rFonts w:ascii="Tahoma" w:hAnsi="Tahoma" w:cs="Tahoma"/>
                <w:b/>
                <w:noProof/>
              </w:rPr>
            </w:pPr>
            <w:r>
              <w:rPr>
                <w:rFonts w:ascii="Tahoma" w:hAnsi="Tahoma"/>
                <w:b/>
                <w:noProof/>
              </w:rPr>
              <w:t>A. Necesitatea de a acționa</w:t>
            </w:r>
          </w:p>
        </w:tc>
      </w:tr>
      <w:tr>
        <w:tc>
          <w:tcPr>
            <w:tcW w:w="10188" w:type="dxa"/>
            <w:tcBorders>
              <w:bottom w:val="single" w:sz="4" w:space="0" w:color="auto"/>
            </w:tcBorders>
            <w:shd w:val="clear" w:color="auto" w:fill="E0E0E0"/>
          </w:tcPr>
          <w:p>
            <w:pPr>
              <w:spacing w:after="0"/>
              <w:rPr>
                <w:rFonts w:ascii="Tahoma" w:hAnsi="Tahoma" w:cs="Tahoma"/>
                <w:noProof/>
                <w:sz w:val="20"/>
              </w:rPr>
            </w:pPr>
            <w:r>
              <w:rPr>
                <w:rFonts w:ascii="Tahoma" w:hAnsi="Tahoma"/>
                <w:b/>
                <w:noProof/>
                <w:sz w:val="20"/>
              </w:rPr>
              <w:t xml:space="preserve">De ce? Care este problema abordată? </w:t>
            </w:r>
          </w:p>
        </w:tc>
      </w:tr>
      <w:tr>
        <w:tc>
          <w:tcPr>
            <w:tcW w:w="10188" w:type="dxa"/>
            <w:tcBorders>
              <w:bottom w:val="single" w:sz="4" w:space="0" w:color="auto"/>
            </w:tcBorders>
            <w:shd w:val="clear" w:color="auto" w:fill="auto"/>
          </w:tcPr>
          <w:p>
            <w:pPr>
              <w:spacing w:after="0"/>
              <w:rPr>
                <w:rFonts w:ascii="Arial" w:hAnsi="Arial" w:cs="Arial"/>
                <w:noProof/>
                <w:sz w:val="20"/>
              </w:rPr>
            </w:pPr>
            <w:r>
              <w:rPr>
                <w:rFonts w:ascii="Arial" w:hAnsi="Arial"/>
                <w:noProof/>
                <w:sz w:val="20"/>
              </w:rPr>
              <w:t xml:space="preserve">În conformitate cu acordul G20 de la Pittsburgh din 2009 în vederea reducerii riscurilor sistemice legate de utilizarea pe scară largă a instrumentelor financiare derivate, UE a adoptat, în 2012, Regulamentul privind infrastructura pieței europene (EMIR). Un pilon de bază al EMIR este cerința, care a intrat în vigoare în decembrie 2015, ca toate contractele cu instrumente financiare derivate extrabursiere standardizate să fie compensate prin intermediul unei contrapărți centrale (CPC). Compensarea obligatorie pentru anumite clase de active, precum și intensificarea utilizării voluntare a compensării centrale, în condițiile conștientizării crescânde a beneficiilor acesteia în rândul participanților la piață, au dus la o creștere rapidă a volumului activității CPC de la adoptarea EMIR, atât în UE, cât și la nivel mondial. Având în vedere concentrarea tot mai mare a riscului de credit la nivelul acestor infrastructuri, mecanismele de supraveghere aplicabile CPC din UE și din țările terțe incluse în EMIR ar putea fi transformate pentru a deveni mai eficace. </w:t>
            </w:r>
          </w:p>
          <w:p>
            <w:pPr>
              <w:spacing w:after="0"/>
              <w:rPr>
                <w:rFonts w:ascii="Arial" w:hAnsi="Arial" w:cs="Arial"/>
                <w:noProof/>
                <w:sz w:val="20"/>
              </w:rPr>
            </w:pPr>
            <w:r>
              <w:rPr>
                <w:rFonts w:ascii="Arial" w:hAnsi="Arial"/>
                <w:noProof/>
                <w:sz w:val="20"/>
              </w:rPr>
              <w:t xml:space="preserve">Mecanismele actuale prevăzute în EMIR pentru supravegherea CPC din UE, care implică colegii coordonate de autoritatea din statul membru de origine, dau naștere anumitor preocupări: (i) având în vedere importanța unui număr limitat de CPC pentru sistemul financiar al UE în ansamblul său, dependența majoritară de autoritatea de supraveghere din statul membru de origine ridică semne de întrebare; (ii) practicile de supraveghere divergente de la nivelul UE ar putea crea riscuri de arbitraj de reglementare și de supraveghere pentru CPC și, indirect, pentru membrii compensatori și clienții acestora; (iii) rolul de emitenți de monedă al băncilor centrale nu este reflectat în mod adecvat în colegiile pentru CPC. </w:t>
            </w:r>
          </w:p>
          <w:p>
            <w:pPr>
              <w:spacing w:after="120"/>
              <w:rPr>
                <w:rFonts w:ascii="Arial" w:hAnsi="Arial" w:cs="Arial"/>
                <w:noProof/>
                <w:sz w:val="20"/>
              </w:rPr>
            </w:pPr>
            <w:r>
              <w:rPr>
                <w:rFonts w:ascii="Arial" w:hAnsi="Arial"/>
                <w:noProof/>
                <w:sz w:val="20"/>
              </w:rPr>
              <w:t>Există, de asemenea, preocupări în ceea ce privește mecanismele de supraveghere pentru CPC din țări terțe care desfășoară activități în UE: (i) punerea în aplicare a normelor EMIR cu privire la echivalență și recunoaștere a relevat unele deficiențe, în special în ceea ce privește supravegherea permanentă a CPC recunoscute din țări terțe, (ii) există un potențial considerabil de apariție a unor neconcordanțe între obiectivele de supraveghere și obiectivele băncilor centrale în cadrul colegiilor, în contextul CPC din țări terțe în cazul cărora sunt implicate autorități din afara UE; (iii) eventualele modificări ale normelor privind CPC și/sau ale cadrului de reglementare dintr-o țară terță ar putea crea condiții de concurență inegale între CPC din UE și cele din țări terțe, precum și oportunități de arbitraj de reglementare sau de supraveghere, întrucât în prezent nu există niciun mecanism care să asigure informarea automată a UE cu privire la astfel de modificări.</w:t>
            </w:r>
            <w:r>
              <w:rPr>
                <w:noProof/>
              </w:rPr>
              <w:t xml:space="preserve"> </w:t>
            </w:r>
            <w:r>
              <w:rPr>
                <w:rFonts w:ascii="Arial" w:hAnsi="Arial"/>
                <w:noProof/>
                <w:sz w:val="20"/>
              </w:rPr>
              <w:t>Un volum substanțial de tranzacții cu instrumente financiare derivate exprimate în euro și de alte tranzacții supuse obligației de compensare în temeiul normelor UE este în prezent compensat de CPC din Regatul Unit; acest lucru amplifică preocupările indicate, având în vedere proporția tranzacțiilor care vor fi compensate prin CPC din afara jurisdicției UE după ieșirea din UE a Regatului Unit.</w:t>
            </w:r>
          </w:p>
        </w:tc>
      </w:tr>
      <w:tr>
        <w:tc>
          <w:tcPr>
            <w:tcW w:w="10188" w:type="dxa"/>
            <w:tcBorders>
              <w:bottom w:val="single" w:sz="4" w:space="0" w:color="auto"/>
            </w:tcBorders>
            <w:shd w:val="clear" w:color="auto" w:fill="E6E6E6"/>
          </w:tcPr>
          <w:p>
            <w:pPr>
              <w:spacing w:after="0"/>
              <w:rPr>
                <w:rFonts w:ascii="Tahoma" w:hAnsi="Tahoma" w:cs="Tahoma"/>
                <w:noProof/>
                <w:sz w:val="20"/>
              </w:rPr>
            </w:pPr>
            <w:r>
              <w:rPr>
                <w:rFonts w:ascii="Tahoma" w:hAnsi="Tahoma"/>
                <w:b/>
                <w:noProof/>
                <w:sz w:val="20"/>
              </w:rPr>
              <w:t xml:space="preserve">Ce se așteaptă de la această inițiativă? </w:t>
            </w:r>
          </w:p>
        </w:tc>
      </w:tr>
      <w:tr>
        <w:tc>
          <w:tcPr>
            <w:tcW w:w="10188" w:type="dxa"/>
            <w:tcBorders>
              <w:bottom w:val="single" w:sz="4" w:space="0" w:color="auto"/>
            </w:tcBorders>
            <w:shd w:val="clear" w:color="auto" w:fill="auto"/>
          </w:tcPr>
          <w:p>
            <w:pPr>
              <w:spacing w:after="0"/>
              <w:rPr>
                <w:rFonts w:ascii="Arial" w:hAnsi="Arial" w:cs="Arial"/>
                <w:noProof/>
                <w:sz w:val="20"/>
              </w:rPr>
            </w:pPr>
            <w:r>
              <w:rPr>
                <w:rFonts w:ascii="Arial" w:hAnsi="Arial"/>
                <w:noProof/>
                <w:sz w:val="20"/>
              </w:rPr>
              <w:t>Se preconizează că inițiativa va crește consecvența mecanismelor de supraveghere pentru CPC stabilite în UE, asigurând inclusiv recunoașterea adecvată a rolului specific jucat de banca centrală emitentă (</w:t>
            </w:r>
            <w:r>
              <w:rPr>
                <w:rFonts w:ascii="Arial" w:hAnsi="Arial"/>
                <w:i/>
                <w:noProof/>
                <w:sz w:val="20"/>
              </w:rPr>
              <w:t>Central Bank of Issue</w:t>
            </w:r>
            <w:r>
              <w:rPr>
                <w:rFonts w:ascii="Arial" w:hAnsi="Arial"/>
                <w:noProof/>
                <w:sz w:val="20"/>
              </w:rPr>
              <w:t xml:space="preserve"> - CBI), și că va consolida capacitatea UE de a monitoriza, de a identifica și de a atenua riscurile pe care le prezintă CPC din țări terțe. </w:t>
            </w:r>
          </w:p>
        </w:tc>
      </w:tr>
      <w:tr>
        <w:tc>
          <w:tcPr>
            <w:tcW w:w="10188" w:type="dxa"/>
            <w:tcBorders>
              <w:bottom w:val="single" w:sz="4" w:space="0" w:color="auto"/>
            </w:tcBorders>
            <w:shd w:val="clear" w:color="auto" w:fill="E6E6E6"/>
          </w:tcPr>
          <w:p>
            <w:pPr>
              <w:spacing w:after="0"/>
              <w:rPr>
                <w:rFonts w:ascii="Tahoma" w:hAnsi="Tahoma" w:cs="Tahoma"/>
                <w:noProof/>
                <w:sz w:val="20"/>
              </w:rPr>
            </w:pPr>
            <w:r>
              <w:rPr>
                <w:rFonts w:ascii="Tahoma" w:hAnsi="Tahoma"/>
                <w:b/>
                <w:noProof/>
                <w:sz w:val="20"/>
              </w:rPr>
              <w:t>Care este valoarea adăugată a acțiunii la nivelul UE?</w:t>
            </w:r>
            <w:r>
              <w:rPr>
                <w:rFonts w:ascii="Tahoma" w:hAnsi="Tahoma"/>
                <w:noProof/>
                <w:sz w:val="20"/>
              </w:rPr>
              <w:t xml:space="preserve"> </w:t>
            </w:r>
          </w:p>
        </w:tc>
      </w:tr>
      <w:tr>
        <w:tc>
          <w:tcPr>
            <w:tcW w:w="10188" w:type="dxa"/>
            <w:tcBorders>
              <w:bottom w:val="single" w:sz="4" w:space="0" w:color="auto"/>
            </w:tcBorders>
            <w:shd w:val="clear" w:color="auto" w:fill="auto"/>
          </w:tcPr>
          <w:p>
            <w:pPr>
              <w:spacing w:after="0"/>
              <w:rPr>
                <w:rFonts w:ascii="Arial" w:hAnsi="Arial" w:cs="Arial"/>
                <w:noProof/>
                <w:sz w:val="20"/>
              </w:rPr>
            </w:pPr>
            <w:r>
              <w:rPr>
                <w:rFonts w:ascii="Arial" w:hAnsi="Arial"/>
                <w:noProof/>
                <w:sz w:val="20"/>
              </w:rPr>
              <w:t>EMIR reglementează cadrul de supraveghere pentru CPC stabilite în UE și regimul aplicabil CPC din țări terțe care asigură servicii de compensare în UE. Sporirea consecvenței în materie de supraveghere la nivelul UE va contribui la abordarea: (i) riscurilor sistemice pe care le prezintă CPC cu un nivel ridicat de integrare și interconectare, care desfășoară activități transfrontaliere depășind sfera de competență a autorităților naționale de supraveghere; și a (ii) riscurilor generate de practicile de supraveghere divergente, pe care statele membre nu le pot contracara singure. În același timp, intensitatea supravegherii exercitate de UE asupra CPC de importanță sistemică din țări terțe poate răspunde mai bine amenințărilor la adresa stabilității financiare a UE în ansamblu.</w:t>
            </w:r>
          </w:p>
        </w:tc>
      </w:tr>
      <w:tr>
        <w:tc>
          <w:tcPr>
            <w:tcW w:w="10188" w:type="dxa"/>
            <w:tcBorders>
              <w:bottom w:val="single" w:sz="4" w:space="0" w:color="auto"/>
            </w:tcBorders>
            <w:shd w:val="clear" w:color="auto" w:fill="CCCCCC"/>
          </w:tcPr>
          <w:p>
            <w:pPr>
              <w:spacing w:after="0"/>
              <w:jc w:val="center"/>
              <w:rPr>
                <w:rFonts w:ascii="Tahoma" w:hAnsi="Tahoma" w:cs="Tahoma"/>
                <w:b/>
                <w:noProof/>
              </w:rPr>
            </w:pPr>
            <w:r>
              <w:rPr>
                <w:rFonts w:ascii="Tahoma" w:hAnsi="Tahoma"/>
                <w:b/>
                <w:noProof/>
              </w:rPr>
              <w:t>B. Soluții</w:t>
            </w:r>
          </w:p>
        </w:tc>
      </w:tr>
      <w:tr>
        <w:tc>
          <w:tcPr>
            <w:tcW w:w="10188" w:type="dxa"/>
            <w:tcBorders>
              <w:bottom w:val="single" w:sz="4" w:space="0" w:color="auto"/>
            </w:tcBorders>
            <w:shd w:val="clear" w:color="auto" w:fill="E6E6E6"/>
          </w:tcPr>
          <w:p>
            <w:pPr>
              <w:spacing w:after="0"/>
              <w:rPr>
                <w:rFonts w:ascii="Tahoma" w:hAnsi="Tahoma" w:cs="Tahoma"/>
                <w:noProof/>
                <w:sz w:val="20"/>
              </w:rPr>
            </w:pPr>
            <w:r>
              <w:rPr>
                <w:rFonts w:ascii="Tahoma" w:hAnsi="Tahoma"/>
                <w:b/>
                <w:noProof/>
                <w:sz w:val="20"/>
              </w:rPr>
              <w:t>Ce opțiuni de politică legislative și nelegislative au fost luate în considerare?</w:t>
            </w:r>
            <w:r>
              <w:rPr>
                <w:rFonts w:ascii="Tahoma" w:hAnsi="Tahoma"/>
                <w:noProof/>
                <w:sz w:val="20"/>
              </w:rPr>
              <w:t xml:space="preserve"> </w:t>
            </w:r>
            <w:r>
              <w:rPr>
                <w:rFonts w:ascii="Tahoma" w:hAnsi="Tahoma"/>
                <w:b/>
                <w:noProof/>
                <w:sz w:val="20"/>
              </w:rPr>
              <w:t xml:space="preserve">Există sau nu o opțiune preferată? De ce? </w:t>
            </w:r>
          </w:p>
        </w:tc>
      </w:tr>
      <w:tr>
        <w:tc>
          <w:tcPr>
            <w:tcW w:w="10188" w:type="dxa"/>
            <w:tcBorders>
              <w:bottom w:val="single" w:sz="4" w:space="0" w:color="auto"/>
            </w:tcBorders>
            <w:shd w:val="clear" w:color="auto" w:fill="auto"/>
          </w:tcPr>
          <w:p>
            <w:pPr>
              <w:spacing w:after="0"/>
              <w:rPr>
                <w:rFonts w:ascii="Arial" w:hAnsi="Arial" w:cs="Arial"/>
                <w:noProof/>
                <w:sz w:val="20"/>
              </w:rPr>
            </w:pPr>
            <w:r>
              <w:rPr>
                <w:rFonts w:ascii="Arial" w:hAnsi="Arial"/>
                <w:noProof/>
                <w:sz w:val="20"/>
              </w:rPr>
              <w:t>În ceea ce privește consecvența mecanismelor de supraveghere pentru CPC stabilite în UE, au fost luate în considerare trei opțiuni: (1) menținerea situației actuale (cu alte cuvinte, nicio măsură de politică); (2) instituirea unui mecanism de supraveghere la nivelul UE; și (3) crearea unui autorități de supraveghere unice la nivelul UE. Opțiunea preferată este opțiunea 2, care ar menține în mare măsură competențele de supraveghere existente ale autorităților naționale de supraveghere, având în vedere responsabilitățile fiscal-bugetare ale acestora, și ar crea, în același timp, un mecanism de supraveghere la nivelul UE care să se ocupe de domeniile de interes comun într-un mod mai centralizat și să permită o mai mare implicare a băncilor centrale emitente în procesul de supraveghere. Aceasta este și opțiunea cea mai adecvată pentru realizarea obiectivului de a spori consecvența mecanismelor de supraveghere pentru CPC din UE, evitând, în același timp, dezavantajele opțiunii 3.</w:t>
            </w:r>
          </w:p>
          <w:p>
            <w:pPr>
              <w:spacing w:after="0"/>
              <w:rPr>
                <w:rFonts w:ascii="Arial" w:hAnsi="Arial" w:cs="Arial"/>
                <w:noProof/>
                <w:sz w:val="20"/>
              </w:rPr>
            </w:pPr>
            <w:r>
              <w:rPr>
                <w:rFonts w:ascii="Arial" w:hAnsi="Arial"/>
                <w:noProof/>
                <w:sz w:val="20"/>
              </w:rPr>
              <w:t>În ceea ce privește atenuarea riscurilor pe care le prezintă CPC din țări terțe, au fost luate în considerare trei opțiuni. Opțiunea 1 constă în menținerea situației actuale (cu alte cuvinte, nicio măsură de politică). Conform opțiunii 2, CPC din țări terțe ar fi obligate să se stabilească și să fie autorizate în UE pentru a furniza servicii pentru contrapărți sau locuri de tranzacționare din UE sau pentru a furniza servicii de compensare în monede din UE.</w:t>
            </w:r>
            <w:r>
              <w:rPr>
                <w:noProof/>
              </w:rPr>
              <w:t xml:space="preserve"> </w:t>
            </w:r>
            <w:r>
              <w:rPr>
                <w:rFonts w:ascii="Arial" w:hAnsi="Arial"/>
                <w:noProof/>
                <w:sz w:val="20"/>
              </w:rPr>
              <w:t xml:space="preserve">Conform opțiunii 3, gradul și intensitatea supravegherii exercitate de UE ar urma să fie proporționale și să depindă de riscurile pe care le prezintă CPC din țări terțe pentru UE. Ar putea fi stabilite diferite criterii sau praguri: (i) CPC cu un impact scăzut ar putea face obiectul unei puneri în aplicare consolidate a regimului de echivalență și recunoaștere prevăzut de EMIR, iar (ii) CPC cu un impact mediu și ridicat ar putea face obiectul unui set variabil de cerințe de supraveghere suplimentare. Evaluarea impactului conduce la concluzia că opțiunea 3 este cea mai adecvată pentru a atinge obiectivul de a consolida capacitatea UE de a monitoriza, identifica și atenua riscurile pe care le prezintă CPC din țări terțe. </w:t>
            </w:r>
          </w:p>
        </w:tc>
      </w:tr>
      <w:tr>
        <w:tc>
          <w:tcPr>
            <w:tcW w:w="10188" w:type="dxa"/>
            <w:shd w:val="clear" w:color="auto" w:fill="CCCCCC"/>
          </w:tcPr>
          <w:p>
            <w:pPr>
              <w:spacing w:after="0"/>
              <w:rPr>
                <w:rFonts w:ascii="Tahoma" w:hAnsi="Tahoma" w:cs="Tahoma"/>
                <w:noProof/>
                <w:sz w:val="20"/>
              </w:rPr>
            </w:pPr>
            <w:r>
              <w:rPr>
                <w:rFonts w:ascii="Tahoma" w:hAnsi="Tahoma"/>
                <w:b/>
                <w:noProof/>
                <w:sz w:val="20"/>
              </w:rPr>
              <w:t xml:space="preserve">Cine sunt susținătorii fiecărei opțiuni? </w:t>
            </w:r>
          </w:p>
        </w:tc>
      </w:tr>
      <w:tr>
        <w:tc>
          <w:tcPr>
            <w:tcW w:w="10188" w:type="dxa"/>
            <w:shd w:val="clear" w:color="auto" w:fill="auto"/>
          </w:tcPr>
          <w:p>
            <w:pPr>
              <w:spacing w:after="0"/>
              <w:rPr>
                <w:rFonts w:ascii="Arial" w:hAnsi="Arial" w:cs="Arial"/>
                <w:noProof/>
                <w:sz w:val="20"/>
                <w:highlight w:val="yellow"/>
              </w:rPr>
            </w:pPr>
            <w:r>
              <w:rPr>
                <w:rFonts w:ascii="Arial" w:hAnsi="Arial"/>
                <w:noProof/>
                <w:sz w:val="20"/>
              </w:rPr>
              <w:t xml:space="preserve">Opiniile părților interesate au fost obținute prin intermediul a trei consultări publice organizate de Comisie: consultarea din 2015 cu privire la reexaminarea EMIR, consultarea din 2017 privind evaluarea la jumătatea perioadei a uniunii piețelor de capital (UPC) și consultarea din 2017 privind operațiunile autorităților europene de supraveghere. În ceea ce privește supravegherea CPC stabilite în UE, respondenții, în mare parte întreprinderi, au subliniat necesitatea de a consolida convergența practicilor de supraveghere la nivelul UE pentru a reflecta natura sistemică a CPC, asigurând, în același timp, un rol adecvat pentru autoritățile naționale și băncile centrale emitente. În ceea ce privește supravegherea CPC din țări terțe, ESMA și autoritățile publice au sprijinit consolidarea procesului de recunoaștere existent, în timp ce o serie de părți interesate, inclusiv reprezentanți ai sectorului, au avertizat cu privire la riscul de fragmentare a pieței. </w:t>
            </w:r>
          </w:p>
        </w:tc>
      </w:tr>
      <w:tr>
        <w:tc>
          <w:tcPr>
            <w:tcW w:w="10188" w:type="dxa"/>
            <w:tcBorders>
              <w:bottom w:val="single" w:sz="4" w:space="0" w:color="auto"/>
            </w:tcBorders>
            <w:shd w:val="clear" w:color="auto" w:fill="CCCCCC"/>
          </w:tcPr>
          <w:p>
            <w:pPr>
              <w:spacing w:after="0"/>
              <w:jc w:val="center"/>
              <w:rPr>
                <w:rFonts w:ascii="Tahoma" w:hAnsi="Tahoma" w:cs="Tahoma"/>
                <w:b/>
                <w:noProof/>
              </w:rPr>
            </w:pPr>
            <w:r>
              <w:rPr>
                <w:rFonts w:ascii="Tahoma" w:hAnsi="Tahoma"/>
                <w:b/>
                <w:noProof/>
              </w:rPr>
              <w:t>C. Impactul opțiunii preferate</w:t>
            </w:r>
          </w:p>
        </w:tc>
      </w:tr>
      <w:tr>
        <w:tc>
          <w:tcPr>
            <w:tcW w:w="10188" w:type="dxa"/>
            <w:tcBorders>
              <w:bottom w:val="single" w:sz="4" w:space="0" w:color="auto"/>
            </w:tcBorders>
            <w:shd w:val="clear" w:color="auto" w:fill="E6E6E6"/>
          </w:tcPr>
          <w:p>
            <w:pPr>
              <w:spacing w:after="0"/>
              <w:rPr>
                <w:rFonts w:ascii="Tahoma" w:hAnsi="Tahoma" w:cs="Tahoma"/>
                <w:noProof/>
                <w:sz w:val="20"/>
              </w:rPr>
            </w:pPr>
            <w:r>
              <w:rPr>
                <w:rFonts w:ascii="Tahoma" w:hAnsi="Tahoma"/>
                <w:b/>
                <w:noProof/>
                <w:sz w:val="20"/>
              </w:rPr>
              <w:t>Care sunt avantajele opțiunii preferate (dacă există; în caz contrar, avantajele opțiunilor principale)?</w:t>
            </w:r>
          </w:p>
        </w:tc>
      </w:tr>
      <w:tr>
        <w:tc>
          <w:tcPr>
            <w:tcW w:w="10188" w:type="dxa"/>
            <w:tcBorders>
              <w:bottom w:val="single" w:sz="4" w:space="0" w:color="auto"/>
            </w:tcBorders>
            <w:shd w:val="clear" w:color="auto" w:fill="auto"/>
          </w:tcPr>
          <w:p>
            <w:pPr>
              <w:spacing w:after="0"/>
              <w:rPr>
                <w:rFonts w:ascii="Arial" w:hAnsi="Arial" w:cs="Arial"/>
                <w:noProof/>
                <w:sz w:val="20"/>
              </w:rPr>
            </w:pPr>
            <w:r>
              <w:rPr>
                <w:rFonts w:ascii="Arial" w:hAnsi="Arial"/>
                <w:noProof/>
                <w:sz w:val="20"/>
              </w:rPr>
              <w:t>În ceea ce privește consecvența mecanismelor de supraveghere pentru CPC stabilite în UE, opțiunea preferată ar permite îmbunătățirea acesteia, garantând, în același timp, menținerea alinierii domeniilor specifice de responsabilitate în materie de supraveghere și a domeniilor corespunzătoare de responsabilitate fiscal-bugetară la nivel național. De asemenea, această opțiune ar asigura implicarea corespunzătoare a băncilor centrale emitente, în limita responsabilităților lor, și ar asigura mai multă claritate și previzibilitate pentru CPC și participanții la piață în ceea ce privește modul în care CPC sunt supravegheate în cadrul UE. Prin raționalizarea principalelor elemente ale supravegherii CPC, opțiunea preferată ar trebui să diminueze costurile, atât pentru autoritățile de supraveghere, cât și pentru CPC.</w:t>
            </w:r>
          </w:p>
          <w:p>
            <w:pPr>
              <w:spacing w:after="0"/>
              <w:rPr>
                <w:rFonts w:ascii="Arial" w:hAnsi="Arial" w:cs="Arial"/>
                <w:noProof/>
                <w:sz w:val="20"/>
              </w:rPr>
            </w:pPr>
            <w:r>
              <w:rPr>
                <w:rFonts w:ascii="Arial" w:hAnsi="Arial"/>
                <w:noProof/>
                <w:sz w:val="20"/>
              </w:rPr>
              <w:t xml:space="preserve">În ceea ce privește atenuarea riscurilor pe care le prezintă CPC din țări terțe, opțiunea preferată ar permite autorităților UE să monitorizeze și să atenueze mai bine aceste riscuri și să îmbunătățească stabilitatea generală a sistemului financiar al UE. </w:t>
            </w:r>
          </w:p>
          <w:p>
            <w:pPr>
              <w:spacing w:after="0"/>
              <w:rPr>
                <w:rFonts w:ascii="Arial" w:hAnsi="Arial" w:cs="Arial"/>
                <w:noProof/>
                <w:sz w:val="20"/>
              </w:rPr>
            </w:pPr>
            <w:r>
              <w:rPr>
                <w:rFonts w:ascii="Arial" w:hAnsi="Arial"/>
                <w:noProof/>
                <w:sz w:val="20"/>
              </w:rPr>
              <w:t>Ambele opțiuni preferate vor contribui la reducerea probabilității deja scăzute (dar cu un impact extrem de ridicat) ca o CPC să intre în dificultate majoră, prin îmbunătățirea capacității autorităților publice relevante din UE de a preveni acumularea riscurilor sistemice în cadrul CPC din UE și de a atenua transmiterea dificultăților financiare dăunătoare prin intermediul CPC din țări terțe.</w:t>
            </w:r>
          </w:p>
        </w:tc>
      </w:tr>
      <w:tr>
        <w:tc>
          <w:tcPr>
            <w:tcW w:w="10188" w:type="dxa"/>
            <w:tcBorders>
              <w:bottom w:val="single" w:sz="4" w:space="0" w:color="auto"/>
            </w:tcBorders>
            <w:shd w:val="clear" w:color="auto" w:fill="E6E6E6"/>
          </w:tcPr>
          <w:p>
            <w:pPr>
              <w:spacing w:after="0"/>
              <w:rPr>
                <w:rFonts w:ascii="Tahoma" w:hAnsi="Tahoma" w:cs="Tahoma"/>
                <w:noProof/>
                <w:sz w:val="20"/>
              </w:rPr>
            </w:pPr>
            <w:r>
              <w:rPr>
                <w:rFonts w:ascii="Tahoma" w:hAnsi="Tahoma"/>
                <w:b/>
                <w:noProof/>
                <w:sz w:val="20"/>
              </w:rPr>
              <w:t>Care sunt costurile opțiunii preferate (dacă există; în caz contrar, costurile opțiunilor principale)?</w:t>
            </w:r>
          </w:p>
        </w:tc>
      </w:tr>
      <w:tr>
        <w:tc>
          <w:tcPr>
            <w:tcW w:w="10188" w:type="dxa"/>
            <w:tcBorders>
              <w:bottom w:val="single" w:sz="4" w:space="0" w:color="auto"/>
            </w:tcBorders>
            <w:shd w:val="clear" w:color="auto" w:fill="auto"/>
          </w:tcPr>
          <w:p>
            <w:pPr>
              <w:spacing w:after="0"/>
              <w:rPr>
                <w:rFonts w:ascii="Arial" w:hAnsi="Arial" w:cs="Arial"/>
                <w:noProof/>
                <w:sz w:val="20"/>
              </w:rPr>
            </w:pPr>
            <w:r>
              <w:rPr>
                <w:rFonts w:ascii="Arial" w:hAnsi="Arial"/>
                <w:noProof/>
                <w:sz w:val="20"/>
              </w:rPr>
              <w:t xml:space="preserve">În ceea ce privește consecvența mecanismelor de supraveghere pentru CPC stabilite în UE, opțiunea preferată, care presupune instituirea unui nou mecanism european de supraveghere a CPC, nu ar avea niciun impact asupra bugetului UE, deoarece toate costurile suplimentare ar fi acoperite prin taxe de supraveghere percepute de la CPC din UE. Cuantumul acestor taxe ar urma totuși să fie proporțional cu activitatea CPC și nu ar reprezenta decât o parte neglijabilă din cifra lor de afaceri. Prin urmare, nu se preconizează că opțiunea preferată va avea un impact semnificativ asupra costului compensării, nici pentru membrii compensatori sau clienții acestora și nici pentru clienții indirecți. </w:t>
            </w:r>
          </w:p>
          <w:p>
            <w:pPr>
              <w:spacing w:after="0"/>
              <w:rPr>
                <w:rFonts w:ascii="Arial" w:hAnsi="Arial" w:cs="Arial"/>
                <w:noProof/>
                <w:sz w:val="20"/>
              </w:rPr>
            </w:pPr>
            <w:r>
              <w:rPr>
                <w:rFonts w:ascii="Arial" w:hAnsi="Arial"/>
                <w:noProof/>
                <w:sz w:val="20"/>
              </w:rPr>
              <w:t xml:space="preserve">În mod similar, modificările avute în vedere pentru a atenua riscurile generate de CPC din țări terțe nu ar urma să aibă sub nicio formă vreun impact asupra bugetului UE, deoarece finanțarea oricăror resurse suplimentare pentru mecanismul european ar urma să fie asigurată tot prin perceperea de taxe de supraveghere de la CPC din țări terțe. În afară de costurile legate de supraveghere, cea mai mare parte a costurilor pe care le-ar suporta contrapărțile compensatoare (membrii compensatori și clienții acestora) ar fi legate de introducerea unei politici de localizare pentru CPC de nivel 2, care ar urma să fie declanșată pe baza unor criterii obiective. </w:t>
            </w:r>
          </w:p>
        </w:tc>
      </w:tr>
      <w:tr>
        <w:tc>
          <w:tcPr>
            <w:tcW w:w="10188" w:type="dxa"/>
            <w:tcBorders>
              <w:bottom w:val="single" w:sz="4" w:space="0" w:color="auto"/>
            </w:tcBorders>
            <w:shd w:val="clear" w:color="auto" w:fill="E6E6E6"/>
          </w:tcPr>
          <w:p>
            <w:pPr>
              <w:spacing w:after="0"/>
              <w:rPr>
                <w:rFonts w:ascii="Tahoma" w:hAnsi="Tahoma" w:cs="Tahoma"/>
                <w:noProof/>
                <w:sz w:val="20"/>
              </w:rPr>
            </w:pPr>
            <w:r>
              <w:rPr>
                <w:rFonts w:ascii="Tahoma" w:hAnsi="Tahoma"/>
                <w:b/>
                <w:noProof/>
                <w:sz w:val="20"/>
              </w:rPr>
              <w:t xml:space="preserve">Care va fi impactul asupra societăților, IMM-urilor și microîntreprinderilor? </w:t>
            </w:r>
          </w:p>
        </w:tc>
      </w:tr>
      <w:tr>
        <w:tc>
          <w:tcPr>
            <w:tcW w:w="10188" w:type="dxa"/>
            <w:tcBorders>
              <w:bottom w:val="single" w:sz="4" w:space="0" w:color="auto"/>
            </w:tcBorders>
            <w:shd w:val="clear" w:color="auto" w:fill="auto"/>
          </w:tcPr>
          <w:p>
            <w:pPr>
              <w:spacing w:after="0"/>
              <w:rPr>
                <w:rFonts w:ascii="Arial" w:hAnsi="Arial" w:cs="Arial"/>
                <w:i/>
                <w:noProof/>
                <w:sz w:val="20"/>
              </w:rPr>
            </w:pPr>
            <w:r>
              <w:rPr>
                <w:rFonts w:ascii="Arial" w:hAnsi="Arial"/>
                <w:noProof/>
                <w:sz w:val="20"/>
              </w:rPr>
              <w:t>Costurile aferente supravegherii consolidate a CPC din UE și din țări terțe s-ar putea repercuta asupra clienților finali ai CPC, inclusiv asupra întreprinderilor, IMM-urilor și microîntreprinderilor. Este improbabil ca eventuala creștere a costurilor de compensare nete să fie semnificativă, mai ales în comparație cu beneficiile aferente propunerii. Întreprinderile, IMM-urile și microîntreprinderile vor beneficia de pe urma stabilității mai mari care rezultă din îmbunătățirea capacității autorităților UE de a preveni acumularea riscurilor sistemice în cadrul CPC din UE și de a atenua transmiterea dificultăților financiare prin intermediul CPC din țări terțe. Clarificarea mecanismelor de supraveghere care au ca obiect CPC din UE, ca și a celor care au ca obiect CPC din țări terțe, în combinație cu recenta inițiativă REFIT lansată de Comisie cu privire la EMIR, care are ca obiect reducerea costurilor disproporționate pentru contrapărțile mai mici, ar trebui să contribuie la promovarea în continuare a utilizării compensării centrale și la facilitarea accesului IMM-urilor la instrumente financiare, fie pentru a-și acoperi riscurile, fie pentru a investi.</w:t>
            </w:r>
          </w:p>
        </w:tc>
      </w:tr>
      <w:tr>
        <w:tc>
          <w:tcPr>
            <w:tcW w:w="10188" w:type="dxa"/>
            <w:tcBorders>
              <w:bottom w:val="single" w:sz="4" w:space="0" w:color="auto"/>
            </w:tcBorders>
            <w:shd w:val="clear" w:color="auto" w:fill="E6E6E6"/>
          </w:tcPr>
          <w:p>
            <w:pPr>
              <w:spacing w:after="0"/>
              <w:rPr>
                <w:rFonts w:ascii="Tahoma" w:hAnsi="Tahoma" w:cs="Tahoma"/>
                <w:b/>
                <w:i/>
                <w:noProof/>
                <w:sz w:val="20"/>
              </w:rPr>
            </w:pPr>
            <w:r>
              <w:rPr>
                <w:rFonts w:ascii="Tahoma" w:hAnsi="Tahoma"/>
                <w:b/>
                <w:noProof/>
                <w:sz w:val="20"/>
              </w:rPr>
              <w:t>Va exista un impact semnificativ asupra bugetelor și a administrațiilor naționale?</w:t>
            </w:r>
          </w:p>
        </w:tc>
      </w:tr>
      <w:tr>
        <w:tc>
          <w:tcPr>
            <w:tcW w:w="10188" w:type="dxa"/>
            <w:shd w:val="clear" w:color="auto" w:fill="auto"/>
          </w:tcPr>
          <w:p>
            <w:pPr>
              <w:spacing w:after="0"/>
              <w:rPr>
                <w:rFonts w:ascii="Arial" w:hAnsi="Arial" w:cs="Arial"/>
                <w:noProof/>
                <w:sz w:val="20"/>
              </w:rPr>
            </w:pPr>
            <w:r>
              <w:rPr>
                <w:rFonts w:ascii="Arial" w:hAnsi="Arial"/>
                <w:noProof/>
                <w:sz w:val="20"/>
              </w:rPr>
              <w:t>Nu. Modificările avute în vedere nu ar trebui să genereze costuri relevante pentru bugetele și administrațiile naționale.</w:t>
            </w:r>
          </w:p>
        </w:tc>
      </w:tr>
      <w:tr>
        <w:tc>
          <w:tcPr>
            <w:tcW w:w="10188" w:type="dxa"/>
            <w:tcBorders>
              <w:bottom w:val="single" w:sz="4" w:space="0" w:color="auto"/>
            </w:tcBorders>
            <w:shd w:val="clear" w:color="auto" w:fill="E6E6E6"/>
          </w:tcPr>
          <w:p>
            <w:pPr>
              <w:spacing w:after="0"/>
              <w:rPr>
                <w:rFonts w:ascii="Tahoma" w:hAnsi="Tahoma" w:cs="Tahoma"/>
                <w:noProof/>
                <w:sz w:val="20"/>
              </w:rPr>
            </w:pPr>
            <w:r>
              <w:rPr>
                <w:rFonts w:ascii="Tahoma" w:hAnsi="Tahoma"/>
                <w:b/>
                <w:noProof/>
                <w:sz w:val="20"/>
              </w:rPr>
              <w:t>Vor exista și alte impacturi semnificative?</w:t>
            </w:r>
            <w:r>
              <w:rPr>
                <w:rFonts w:ascii="Tahoma" w:hAnsi="Tahoma"/>
                <w:noProof/>
                <w:sz w:val="20"/>
              </w:rPr>
              <w:t xml:space="preserve"> </w:t>
            </w:r>
          </w:p>
        </w:tc>
      </w:tr>
      <w:tr>
        <w:tc>
          <w:tcPr>
            <w:tcW w:w="10188" w:type="dxa"/>
            <w:tcBorders>
              <w:bottom w:val="single" w:sz="4" w:space="0" w:color="auto"/>
            </w:tcBorders>
            <w:shd w:val="clear" w:color="auto" w:fill="auto"/>
          </w:tcPr>
          <w:p>
            <w:pPr>
              <w:spacing w:after="0"/>
              <w:rPr>
                <w:rFonts w:ascii="Arial" w:hAnsi="Arial" w:cs="Arial"/>
                <w:noProof/>
                <w:sz w:val="20"/>
              </w:rPr>
            </w:pPr>
            <w:r>
              <w:rPr>
                <w:rFonts w:ascii="Arial" w:hAnsi="Arial"/>
                <w:noProof/>
                <w:sz w:val="20"/>
              </w:rPr>
              <w:t xml:space="preserve">Nu. </w:t>
            </w:r>
          </w:p>
        </w:tc>
      </w:tr>
      <w:tr>
        <w:tc>
          <w:tcPr>
            <w:tcW w:w="10188" w:type="dxa"/>
            <w:tcBorders>
              <w:bottom w:val="single" w:sz="4" w:space="0" w:color="auto"/>
            </w:tcBorders>
            <w:shd w:val="clear" w:color="auto" w:fill="C0C0C0"/>
          </w:tcPr>
          <w:p>
            <w:pPr>
              <w:spacing w:after="0"/>
              <w:jc w:val="center"/>
              <w:rPr>
                <w:rFonts w:ascii="Tahoma" w:hAnsi="Tahoma" w:cs="Tahoma"/>
                <w:b/>
                <w:noProof/>
              </w:rPr>
            </w:pPr>
            <w:r>
              <w:rPr>
                <w:rFonts w:ascii="Tahoma" w:hAnsi="Tahoma"/>
                <w:b/>
                <w:noProof/>
              </w:rPr>
              <w:t>D. Măsuri ulterioare</w:t>
            </w:r>
          </w:p>
        </w:tc>
      </w:tr>
      <w:tr>
        <w:tc>
          <w:tcPr>
            <w:tcW w:w="10188" w:type="dxa"/>
            <w:tcBorders>
              <w:bottom w:val="single" w:sz="4" w:space="0" w:color="auto"/>
            </w:tcBorders>
            <w:shd w:val="clear" w:color="auto" w:fill="E6E6E6"/>
          </w:tcPr>
          <w:p>
            <w:pPr>
              <w:spacing w:after="0"/>
              <w:rPr>
                <w:rFonts w:ascii="Tahoma" w:hAnsi="Tahoma" w:cs="Tahoma"/>
                <w:noProof/>
                <w:sz w:val="20"/>
              </w:rPr>
            </w:pPr>
            <w:r>
              <w:rPr>
                <w:rFonts w:ascii="Tahoma" w:hAnsi="Tahoma"/>
                <w:b/>
                <w:noProof/>
                <w:sz w:val="20"/>
              </w:rPr>
              <w:t xml:space="preserve">Când va fi reexaminată politica? </w:t>
            </w:r>
          </w:p>
        </w:tc>
      </w:tr>
      <w:tr>
        <w:tc>
          <w:tcPr>
            <w:tcW w:w="10188" w:type="dxa"/>
            <w:tcBorders>
              <w:bottom w:val="single" w:sz="4" w:space="0" w:color="auto"/>
            </w:tcBorders>
            <w:shd w:val="clear" w:color="auto" w:fill="auto"/>
          </w:tcPr>
          <w:p>
            <w:pPr>
              <w:spacing w:after="0"/>
              <w:rPr>
                <w:rFonts w:ascii="Arial" w:hAnsi="Arial" w:cs="Arial"/>
                <w:b/>
                <w:noProof/>
                <w:sz w:val="20"/>
              </w:rPr>
            </w:pPr>
            <w:r>
              <w:rPr>
                <w:rFonts w:ascii="Arial" w:hAnsi="Arial"/>
                <w:noProof/>
                <w:sz w:val="20"/>
              </w:rPr>
              <w:t xml:space="preserve">Ar trebui realizată o evaluare a EMIR în ansamblul său, cu accent în special pe eficiența și eficacitatea cu care mecanismele de supraveghere propuse contribuie la îndeplinirea obiectivelor inițiale ale EMIR. Această evaluare ar trebui să se efectueze după cel puțin cinci ani de la punerea în aplicare a acestor modificări. </w:t>
            </w:r>
          </w:p>
        </w:tc>
      </w:tr>
    </w:tbl>
    <w:p>
      <w:pPr>
        <w:rPr>
          <w:noProof/>
        </w:rPr>
      </w:pPr>
      <w:bookmarkStart w:id="2" w:name="_Toc425860951"/>
      <w:bookmarkStart w:id="3" w:name="_Toc425861051"/>
      <w:bookmarkStart w:id="4" w:name="_Toc425861121"/>
      <w:bookmarkStart w:id="5" w:name="_Toc425869896"/>
      <w:bookmarkStart w:id="6" w:name="_Toc425860952"/>
      <w:bookmarkStart w:id="7" w:name="_Toc425861052"/>
      <w:bookmarkStart w:id="8" w:name="_Toc425861122"/>
      <w:bookmarkStart w:id="9" w:name="_Toc425869897"/>
      <w:bookmarkStart w:id="10" w:name="_Toc401848614"/>
      <w:bookmarkStart w:id="11" w:name="_Toc402183499"/>
      <w:bookmarkStart w:id="12" w:name="_Toc411439303"/>
      <w:bookmarkStart w:id="13" w:name="_Toc412736413"/>
      <w:bookmarkStart w:id="14" w:name="_Toc413053046"/>
      <w:bookmarkStart w:id="15" w:name="_Toc413138174"/>
      <w:bookmarkStart w:id="16" w:name="_Toc413139238"/>
      <w:bookmarkStart w:id="17" w:name="_Toc413139459"/>
      <w:bookmarkStart w:id="18" w:name="_Toc413139764"/>
      <w:bookmarkStart w:id="19" w:name="_Toc414268562"/>
      <w:bookmarkStart w:id="20" w:name="_Toc414453413"/>
      <w:bookmarkStart w:id="21" w:name="_Toc414466884"/>
      <w:bookmarkStart w:id="22" w:name="_Toc415131680"/>
      <w:bookmarkStart w:id="23" w:name="_Toc415654190"/>
      <w:bookmarkStart w:id="24" w:name="_Toc416265125"/>
      <w:bookmarkStart w:id="25" w:name="_Toc416265394"/>
      <w:bookmarkStart w:id="26" w:name="_Toc401848620"/>
      <w:bookmarkStart w:id="27" w:name="_Toc402183505"/>
      <w:bookmarkStart w:id="28" w:name="_Toc411439309"/>
      <w:bookmarkStart w:id="29" w:name="_Toc412736419"/>
      <w:bookmarkStart w:id="30" w:name="_Toc413053052"/>
      <w:bookmarkStart w:id="31" w:name="_Toc413138180"/>
      <w:bookmarkStart w:id="32" w:name="_Toc413139244"/>
      <w:bookmarkStart w:id="33" w:name="_Toc413139465"/>
      <w:bookmarkStart w:id="34" w:name="_Toc413139770"/>
      <w:bookmarkStart w:id="35" w:name="_Toc414268568"/>
      <w:bookmarkStart w:id="36" w:name="_Toc414453419"/>
      <w:bookmarkStart w:id="37" w:name="_Toc414466890"/>
      <w:bookmarkStart w:id="38" w:name="_Toc415131686"/>
      <w:bookmarkStart w:id="39" w:name="_Toc415654196"/>
      <w:bookmarkStart w:id="40" w:name="_Toc416265131"/>
      <w:bookmarkStart w:id="41" w:name="_Toc416265400"/>
      <w:bookmarkStart w:id="42" w:name="_Toc425860962"/>
      <w:bookmarkStart w:id="43" w:name="_Toc425861062"/>
      <w:bookmarkStart w:id="44" w:name="_Toc425861132"/>
      <w:bookmarkStart w:id="45" w:name="_Toc425869907"/>
      <w:bookmarkStart w:id="46" w:name="_Toc425860966"/>
      <w:bookmarkStart w:id="47" w:name="_Toc425861066"/>
      <w:bookmarkStart w:id="48" w:name="_Toc425861136"/>
      <w:bookmarkStart w:id="49" w:name="_Toc425869911"/>
      <w:bookmarkStart w:id="50" w:name="_Toc365634732"/>
      <w:bookmarkStart w:id="51" w:name="_Toc365637929"/>
      <w:bookmarkStart w:id="52" w:name="_Toc365638021"/>
      <w:bookmarkStart w:id="53" w:name="_Toc365638124"/>
      <w:bookmarkStart w:id="54" w:name="_Toc365638215"/>
      <w:bookmarkStart w:id="55" w:name="_Toc365638306"/>
      <w:bookmarkStart w:id="56" w:name="_Toc365634733"/>
      <w:bookmarkStart w:id="57" w:name="_Toc365637930"/>
      <w:bookmarkStart w:id="58" w:name="_Toc365638022"/>
      <w:bookmarkStart w:id="59" w:name="_Toc365638125"/>
      <w:bookmarkStart w:id="60" w:name="_Toc365638216"/>
      <w:bookmarkStart w:id="61" w:name="_Toc365638307"/>
      <w:bookmarkStart w:id="62" w:name="_Toc365634734"/>
      <w:bookmarkStart w:id="63" w:name="_Toc365637931"/>
      <w:bookmarkStart w:id="64" w:name="_Toc365638023"/>
      <w:bookmarkStart w:id="65" w:name="_Toc365638126"/>
      <w:bookmarkStart w:id="66" w:name="_Toc365638217"/>
      <w:bookmarkStart w:id="67" w:name="_Toc365638308"/>
      <w:bookmarkStart w:id="68" w:name="_Toc365634738"/>
      <w:bookmarkStart w:id="69" w:name="_Toc365637935"/>
      <w:bookmarkStart w:id="70" w:name="_Toc365638027"/>
      <w:bookmarkStart w:id="71" w:name="_Toc365638130"/>
      <w:bookmarkStart w:id="72" w:name="_Toc365638221"/>
      <w:bookmarkStart w:id="73" w:name="_Toc365638312"/>
      <w:bookmarkStart w:id="74" w:name="_Toc365634740"/>
      <w:bookmarkStart w:id="75" w:name="_Toc365637937"/>
      <w:bookmarkStart w:id="76" w:name="_Toc365638029"/>
      <w:bookmarkStart w:id="77" w:name="_Toc365638132"/>
      <w:bookmarkStart w:id="78" w:name="_Toc365638223"/>
      <w:bookmarkStart w:id="79" w:name="_Toc365638314"/>
      <w:bookmarkStart w:id="80" w:name="_Toc365634741"/>
      <w:bookmarkStart w:id="81" w:name="_Toc365637938"/>
      <w:bookmarkStart w:id="82" w:name="_Toc365638030"/>
      <w:bookmarkStart w:id="83" w:name="_Toc365638133"/>
      <w:bookmarkStart w:id="84" w:name="_Toc365638224"/>
      <w:bookmarkStart w:id="85" w:name="_Toc365638315"/>
      <w:bookmarkStart w:id="86" w:name="_Toc365634742"/>
      <w:bookmarkStart w:id="87" w:name="_Toc365637939"/>
      <w:bookmarkStart w:id="88" w:name="_Toc365638031"/>
      <w:bookmarkStart w:id="89" w:name="_Toc365638134"/>
      <w:bookmarkStart w:id="90" w:name="_Toc365638225"/>
      <w:bookmarkStart w:id="91" w:name="_Toc365638316"/>
      <w:bookmarkStart w:id="92" w:name="_Toc365634748"/>
      <w:bookmarkStart w:id="93" w:name="_Toc365637945"/>
      <w:bookmarkStart w:id="94" w:name="_Toc365638037"/>
      <w:bookmarkStart w:id="95" w:name="_Toc365638140"/>
      <w:bookmarkStart w:id="96" w:name="_Toc365638231"/>
      <w:bookmarkStart w:id="97" w:name="_Toc365638322"/>
      <w:bookmarkStart w:id="98" w:name="_Toc365634749"/>
      <w:bookmarkStart w:id="99" w:name="_Toc365637946"/>
      <w:bookmarkStart w:id="100" w:name="_Toc365638038"/>
      <w:bookmarkStart w:id="101" w:name="_Toc365638141"/>
      <w:bookmarkStart w:id="102" w:name="_Toc365638232"/>
      <w:bookmarkStart w:id="103" w:name="_Toc365638323"/>
      <w:bookmarkStart w:id="104" w:name="_Toc365634754"/>
      <w:bookmarkStart w:id="105" w:name="_Toc365637951"/>
      <w:bookmarkStart w:id="106" w:name="_Toc365638043"/>
      <w:bookmarkStart w:id="107" w:name="_Toc365638146"/>
      <w:bookmarkStart w:id="108" w:name="_Toc365638237"/>
      <w:bookmarkStart w:id="109" w:name="_Toc365638328"/>
      <w:bookmarkStart w:id="110" w:name="_Toc365634757"/>
      <w:bookmarkStart w:id="111" w:name="_Toc365637954"/>
      <w:bookmarkStart w:id="112" w:name="_Toc365638046"/>
      <w:bookmarkStart w:id="113" w:name="_Toc365638149"/>
      <w:bookmarkStart w:id="114" w:name="_Toc365638240"/>
      <w:bookmarkStart w:id="115" w:name="_Toc365638331"/>
      <w:bookmarkStart w:id="116" w:name="_Toc365629685"/>
      <w:bookmarkStart w:id="117" w:name="_Toc365634758"/>
      <w:bookmarkStart w:id="118" w:name="_Toc365637955"/>
      <w:bookmarkStart w:id="119" w:name="_Toc365638047"/>
      <w:bookmarkStart w:id="120" w:name="_Toc365638150"/>
      <w:bookmarkStart w:id="121" w:name="_Toc365638241"/>
      <w:bookmarkStart w:id="122" w:name="_Toc365638332"/>
      <w:bookmarkStart w:id="123" w:name="_Toc365629688"/>
      <w:bookmarkStart w:id="124" w:name="_Toc365634761"/>
      <w:bookmarkStart w:id="125" w:name="_Toc365637958"/>
      <w:bookmarkStart w:id="126" w:name="_Toc365638050"/>
      <w:bookmarkStart w:id="127" w:name="_Toc365638153"/>
      <w:bookmarkStart w:id="128" w:name="_Toc365638244"/>
      <w:bookmarkStart w:id="129" w:name="_Toc365638335"/>
      <w:bookmarkStart w:id="130" w:name="_Toc365629689"/>
      <w:bookmarkStart w:id="131" w:name="_Toc365634762"/>
      <w:bookmarkStart w:id="132" w:name="_Toc365637959"/>
      <w:bookmarkStart w:id="133" w:name="_Toc365638051"/>
      <w:bookmarkStart w:id="134" w:name="_Toc365638154"/>
      <w:bookmarkStart w:id="135" w:name="_Toc365638245"/>
      <w:bookmarkStart w:id="136" w:name="_Toc365638336"/>
      <w:bookmarkStart w:id="137" w:name="_Toc365629690"/>
      <w:bookmarkStart w:id="138" w:name="_Toc365634763"/>
      <w:bookmarkStart w:id="139" w:name="_Toc365637960"/>
      <w:bookmarkStart w:id="140" w:name="_Toc365638052"/>
      <w:bookmarkStart w:id="141" w:name="_Toc365638155"/>
      <w:bookmarkStart w:id="142" w:name="_Toc365638246"/>
      <w:bookmarkStart w:id="143" w:name="_Toc365638337"/>
      <w:bookmarkStart w:id="144" w:name="_Toc365629691"/>
      <w:bookmarkStart w:id="145" w:name="_Toc365634764"/>
      <w:bookmarkStart w:id="146" w:name="_Toc365637961"/>
      <w:bookmarkStart w:id="147" w:name="_Toc365638053"/>
      <w:bookmarkStart w:id="148" w:name="_Toc365638156"/>
      <w:bookmarkStart w:id="149" w:name="_Toc365638247"/>
      <w:bookmarkStart w:id="150" w:name="_Toc365638338"/>
      <w:bookmarkStart w:id="151" w:name="_Toc365629692"/>
      <w:bookmarkStart w:id="152" w:name="_Toc365634765"/>
      <w:bookmarkStart w:id="153" w:name="_Toc365637962"/>
      <w:bookmarkStart w:id="154" w:name="_Toc365638054"/>
      <w:bookmarkStart w:id="155" w:name="_Toc365638157"/>
      <w:bookmarkStart w:id="156" w:name="_Toc365638248"/>
      <w:bookmarkStart w:id="157" w:name="_Toc365638339"/>
      <w:bookmarkStart w:id="158" w:name="_Toc365629698"/>
      <w:bookmarkStart w:id="159" w:name="_Toc365634771"/>
      <w:bookmarkStart w:id="160" w:name="_Toc365637968"/>
      <w:bookmarkStart w:id="161" w:name="_Toc365638060"/>
      <w:bookmarkStart w:id="162" w:name="_Toc365638163"/>
      <w:bookmarkStart w:id="163" w:name="_Toc365638254"/>
      <w:bookmarkStart w:id="164" w:name="_Toc365638345"/>
      <w:bookmarkStart w:id="165" w:name="_Toc365629699"/>
      <w:bookmarkStart w:id="166" w:name="_Toc365634772"/>
      <w:bookmarkStart w:id="167" w:name="_Toc365637969"/>
      <w:bookmarkStart w:id="168" w:name="_Toc365638061"/>
      <w:bookmarkStart w:id="169" w:name="_Toc365638164"/>
      <w:bookmarkStart w:id="170" w:name="_Toc365638255"/>
      <w:bookmarkStart w:id="171" w:name="_Toc365638346"/>
      <w:bookmarkStart w:id="172" w:name="_Toc365629709"/>
      <w:bookmarkStart w:id="173" w:name="_Toc365634782"/>
      <w:bookmarkStart w:id="174" w:name="_Toc365637979"/>
      <w:bookmarkStart w:id="175" w:name="_Toc365638071"/>
      <w:bookmarkStart w:id="176" w:name="_Toc365638174"/>
      <w:bookmarkStart w:id="177" w:name="_Toc365638265"/>
      <w:bookmarkStart w:id="178" w:name="_Toc365638356"/>
      <w:bookmarkStart w:id="179" w:name="_Toc393878190"/>
      <w:bookmarkStart w:id="180" w:name="_Toc396322098"/>
      <w:bookmarkStart w:id="181" w:name="_Toc396322309"/>
      <w:bookmarkStart w:id="182" w:name="_Toc396409130"/>
      <w:bookmarkStart w:id="183" w:name="_Toc396409355"/>
      <w:bookmarkStart w:id="184" w:name="_Toc396484040"/>
      <w:bookmarkStart w:id="185" w:name="_Toc400121137"/>
      <w:bookmarkStart w:id="186" w:name="_Toc401848630"/>
      <w:bookmarkStart w:id="187" w:name="_Toc402183516"/>
      <w:bookmarkStart w:id="188" w:name="_Toc411439316"/>
      <w:bookmarkStart w:id="189" w:name="_Toc412736426"/>
      <w:bookmarkStart w:id="190" w:name="_Toc413053059"/>
      <w:bookmarkStart w:id="191" w:name="_Toc413138187"/>
      <w:bookmarkStart w:id="192" w:name="_Toc413139251"/>
      <w:bookmarkStart w:id="193" w:name="_Toc413139472"/>
      <w:bookmarkStart w:id="194" w:name="_Toc413139777"/>
      <w:bookmarkStart w:id="195" w:name="_Toc414268575"/>
      <w:bookmarkStart w:id="196" w:name="_Toc414453426"/>
      <w:bookmarkStart w:id="197" w:name="_Toc414466897"/>
      <w:bookmarkStart w:id="198" w:name="_Toc415131693"/>
      <w:bookmarkStart w:id="199" w:name="_Toc415654203"/>
      <w:bookmarkStart w:id="200" w:name="_Toc416265138"/>
      <w:bookmarkStart w:id="201" w:name="_Toc416265407"/>
      <w:bookmarkStart w:id="202" w:name="_Toc393878202"/>
      <w:bookmarkStart w:id="203" w:name="_Toc396322109"/>
      <w:bookmarkStart w:id="204" w:name="_Toc396322320"/>
      <w:bookmarkStart w:id="205" w:name="_Toc396409141"/>
      <w:bookmarkStart w:id="206" w:name="_Toc396409366"/>
      <w:bookmarkStart w:id="207" w:name="_Toc396484051"/>
      <w:bookmarkStart w:id="208" w:name="_Toc400121148"/>
      <w:bookmarkStart w:id="209" w:name="_Toc401848641"/>
      <w:bookmarkStart w:id="210" w:name="_Toc402183527"/>
      <w:bookmarkStart w:id="211" w:name="_Toc411439326"/>
      <w:bookmarkStart w:id="212" w:name="_Toc412736436"/>
      <w:bookmarkStart w:id="213" w:name="_Toc413053069"/>
      <w:bookmarkStart w:id="214" w:name="_Toc413138197"/>
      <w:bookmarkStart w:id="215" w:name="_Toc413139261"/>
      <w:bookmarkStart w:id="216" w:name="_Toc413139482"/>
      <w:bookmarkStart w:id="217" w:name="_Toc413139787"/>
      <w:bookmarkStart w:id="218" w:name="_Toc414268589"/>
      <w:bookmarkStart w:id="219" w:name="_Toc414453440"/>
      <w:bookmarkStart w:id="220" w:name="_Toc414466911"/>
      <w:bookmarkStart w:id="221" w:name="_Toc415131707"/>
      <w:bookmarkStart w:id="222" w:name="_Toc415654217"/>
      <w:bookmarkStart w:id="223" w:name="_Toc416265152"/>
      <w:bookmarkStart w:id="224" w:name="_Toc416265421"/>
      <w:bookmarkStart w:id="225" w:name="_Toc425860981"/>
      <w:bookmarkStart w:id="226" w:name="_Toc425861081"/>
      <w:bookmarkStart w:id="227" w:name="_Toc425861151"/>
      <w:bookmarkStart w:id="228" w:name="_Toc425869926"/>
      <w:bookmarkStart w:id="229" w:name="_Toc425860984"/>
      <w:bookmarkStart w:id="230" w:name="_Toc425861084"/>
      <w:bookmarkStart w:id="231" w:name="_Toc425861154"/>
      <w:bookmarkStart w:id="232" w:name="_Toc42586992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sectPr>
      <w:headerReference w:type="even" r:id="rId16"/>
      <w:headerReference w:type="default" r:id="rId17"/>
      <w:footerReference w:type="even" r:id="rId18"/>
      <w:footerReference w:type="default" r:id="rId19"/>
      <w:headerReference w:type="first" r:id="rId20"/>
      <w:footerReference w:type="first" r:id="rId21"/>
      <w:pgSz w:w="11906" w:h="16838"/>
      <w:pgMar w:top="1020" w:right="1701" w:bottom="1020" w:left="1587" w:header="601" w:footer="1077" w:gutter="0"/>
      <w:pgNumType w:start="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4</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43318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2D72132"/>
    <w:multiLevelType w:val="hybridMultilevel"/>
    <w:tmpl w:val="FD0417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449094C"/>
    <w:multiLevelType w:val="hybridMultilevel"/>
    <w:tmpl w:val="C7A69FBA"/>
    <w:lvl w:ilvl="0" w:tplc="BE2E7CB2">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1648C0"/>
    <w:multiLevelType w:val="hybridMultilevel"/>
    <w:tmpl w:val="727A40EE"/>
    <w:lvl w:ilvl="0" w:tplc="492A33A0">
      <w:start w:val="1"/>
      <w:numFmt w:val="decimal"/>
      <w:lvlText w:val="%1."/>
      <w:lvlJc w:val="left"/>
      <w:pPr>
        <w:ind w:left="360" w:hanging="360"/>
      </w:pPr>
    </w:lvl>
    <w:lvl w:ilvl="1" w:tplc="38FA3DF4">
      <w:start w:val="1"/>
      <w:numFmt w:val="decimal"/>
      <w:lvlText w:val="%2)"/>
      <w:lvlJc w:val="left"/>
      <w:pPr>
        <w:ind w:left="1080" w:hanging="360"/>
      </w:pPr>
      <w:rPr>
        <w:rFonts w:hint="default"/>
      </w:rPr>
    </w:lvl>
    <w:lvl w:ilvl="2" w:tplc="078A8612">
      <w:start w:val="1"/>
      <w:numFmt w:val="lowerRoman"/>
      <w:lvlText w:val="(%3)"/>
      <w:lvlJc w:val="left"/>
      <w:pPr>
        <w:ind w:left="2340" w:hanging="72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55841EF"/>
    <w:multiLevelType w:val="hybridMultilevel"/>
    <w:tmpl w:val="57F0039E"/>
    <w:lvl w:ilvl="0" w:tplc="7D4099A8">
      <w:start w:val="1"/>
      <w:numFmt w:val="lowerRoman"/>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nsid w:val="05900B49"/>
    <w:multiLevelType w:val="hybridMultilevel"/>
    <w:tmpl w:val="540A6EAA"/>
    <w:lvl w:ilvl="0" w:tplc="BE2E7CB2">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67C7126"/>
    <w:multiLevelType w:val="hybridMultilevel"/>
    <w:tmpl w:val="24145E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BA01F5C"/>
    <w:multiLevelType w:val="hybridMultilevel"/>
    <w:tmpl w:val="9042D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D580DF7"/>
    <w:multiLevelType w:val="hybridMultilevel"/>
    <w:tmpl w:val="BD4CC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0B10491"/>
    <w:multiLevelType w:val="multilevel"/>
    <w:tmpl w:val="0809001F"/>
    <w:name w:val="0,109167"/>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129041EA"/>
    <w:multiLevelType w:val="hybridMultilevel"/>
    <w:tmpl w:val="2656171A"/>
    <w:lvl w:ilvl="0" w:tplc="AEF68F90">
      <w:start w:val="1"/>
      <w:numFmt w:val="bullet"/>
      <w:pStyle w:val="Bullet"/>
      <w:lvlText w:val=""/>
      <w:lvlJc w:val="left"/>
      <w:pPr>
        <w:tabs>
          <w:tab w:val="num" w:pos="1134"/>
        </w:tabs>
        <w:ind w:left="1134" w:hanging="283"/>
      </w:pPr>
      <w:rPr>
        <w:rFonts w:ascii="Symbol" w:hAnsi="Symbol" w:hint="default"/>
        <w:sz w:val="22"/>
      </w:rPr>
    </w:lvl>
    <w:lvl w:ilvl="1" w:tplc="04090003">
      <w:start w:val="1"/>
      <w:numFmt w:val="bullet"/>
      <w:pStyle w:val="IndentedHeading2"/>
      <w:lvlText w:val="o"/>
      <w:lvlJc w:val="left"/>
      <w:pPr>
        <w:tabs>
          <w:tab w:val="num" w:pos="2007"/>
        </w:tabs>
        <w:ind w:left="2007" w:hanging="360"/>
      </w:pPr>
      <w:rPr>
        <w:rFonts w:ascii="Courier New" w:hAnsi="Courier New" w:cs="Times New Roman" w:hint="default"/>
      </w:rPr>
    </w:lvl>
    <w:lvl w:ilvl="2" w:tplc="04090005">
      <w:start w:val="1"/>
      <w:numFmt w:val="bullet"/>
      <w:pStyle w:val="IndentedHeading3"/>
      <w:lvlText w:val=""/>
      <w:lvlJc w:val="left"/>
      <w:pPr>
        <w:tabs>
          <w:tab w:val="num" w:pos="2727"/>
        </w:tabs>
        <w:ind w:left="2727" w:hanging="360"/>
      </w:pPr>
      <w:rPr>
        <w:rFonts w:ascii="Wingdings" w:hAnsi="Wingdings" w:hint="default"/>
      </w:rPr>
    </w:lvl>
    <w:lvl w:ilvl="3" w:tplc="04090001">
      <w:start w:val="1"/>
      <w:numFmt w:val="bullet"/>
      <w:pStyle w:val="IndentedHeading4"/>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cs="Times New Roman"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cs="Times New Roman"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12">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C547533"/>
    <w:multiLevelType w:val="hybridMultilevel"/>
    <w:tmpl w:val="F0521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F3197E"/>
    <w:multiLevelType w:val="hybridMultilevel"/>
    <w:tmpl w:val="6B5870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F734306"/>
    <w:multiLevelType w:val="multilevel"/>
    <w:tmpl w:val="20D27972"/>
    <w:lvl w:ilvl="0">
      <w:start w:val="1"/>
      <w:numFmt w:val="decimal"/>
      <w:pStyle w:val="Heading1"/>
      <w:lvlText w:val="%1."/>
      <w:lvlJc w:val="left"/>
      <w:pPr>
        <w:tabs>
          <w:tab w:val="num" w:pos="480"/>
        </w:tabs>
        <w:ind w:left="480" w:hanging="480"/>
      </w:pPr>
      <w:rPr>
        <w:rFonts w:ascii="Times New Roman Bold" w:hAnsi="Times New Roman Bold" w:hint="default"/>
        <w:b/>
        <w:i w:val="0"/>
        <w:sz w:val="24"/>
      </w:rPr>
    </w:lvl>
    <w:lvl w:ilvl="1">
      <w:start w:val="1"/>
      <w:numFmt w:val="decimal"/>
      <w:pStyle w:val="Heading2"/>
      <w:lvlText w:val="%1.%2."/>
      <w:lvlJc w:val="left"/>
      <w:pPr>
        <w:tabs>
          <w:tab w:val="num" w:pos="1200"/>
        </w:tabs>
        <w:ind w:left="120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numFmt w:val="none"/>
      <w:pStyle w:val="Heading3"/>
      <w:lvlText w:val=""/>
      <w:lvlJc w:val="left"/>
      <w:pPr>
        <w:tabs>
          <w:tab w:val="num" w:pos="360"/>
        </w:tabs>
        <w:ind w:left="0" w:firstLine="0"/>
      </w:pPr>
      <w:rPr>
        <w:rFonts w:hint="default"/>
      </w:rPr>
    </w:lvl>
    <w:lvl w:ilvl="3">
      <w:numFmt w:val="none"/>
      <w:pStyle w:val="Heading4"/>
      <w:lvlText w:val="%4"/>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1FC46615"/>
    <w:multiLevelType w:val="hybridMultilevel"/>
    <w:tmpl w:val="47865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0A50438"/>
    <w:multiLevelType w:val="multilevel"/>
    <w:tmpl w:val="601C6DB4"/>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0F50111"/>
    <w:multiLevelType w:val="hybridMultilevel"/>
    <w:tmpl w:val="7A06CBF2"/>
    <w:lvl w:ilvl="0" w:tplc="0809000F">
      <w:start w:val="1"/>
      <w:numFmt w:val="decimal"/>
      <w:lvlText w:val="%1."/>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19">
    <w:nsid w:val="21FA2835"/>
    <w:multiLevelType w:val="hybridMultilevel"/>
    <w:tmpl w:val="6CEAAE8C"/>
    <w:lvl w:ilvl="0" w:tplc="08090001">
      <w:start w:val="1"/>
      <w:numFmt w:val="bullet"/>
      <w:lvlText w:val=""/>
      <w:lvlJc w:val="left"/>
      <w:rPr>
        <w:rFonts w:ascii="Symbol" w:hAnsi="Symbol" w:hint="default"/>
      </w:rPr>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0">
    <w:nsid w:val="22DD3599"/>
    <w:multiLevelType w:val="multilevel"/>
    <w:tmpl w:val="4EAA5BA6"/>
    <w:lvl w:ilvl="0">
      <w:numFmt w:val="decimal"/>
      <w:pStyle w:val="ListNumber"/>
      <w:lvlText w:val=""/>
      <w:lvlJc w:val="left"/>
    </w:lvl>
    <w:lvl w:ilvl="1">
      <w:numFmt w:val="decimal"/>
      <w:pStyle w:val="ListNumberLevel2"/>
      <w:lvlText w:val=""/>
      <w:lvlJc w:val="left"/>
    </w:lvl>
    <w:lvl w:ilvl="2">
      <w:numFmt w:val="decimal"/>
      <w:pStyle w:val="ListNumberLevel3"/>
      <w:lvlText w:val=""/>
      <w:lvlJc w:val="left"/>
    </w:lvl>
    <w:lvl w:ilvl="3">
      <w:numFmt w:val="decimal"/>
      <w:pStyle w:val="ListNumberLevel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70D6688"/>
    <w:multiLevelType w:val="hybridMultilevel"/>
    <w:tmpl w:val="5F3E5A70"/>
    <w:lvl w:ilvl="0" w:tplc="08090001">
      <w:start w:val="1"/>
      <w:numFmt w:val="bullet"/>
      <w:lvlText w:val=""/>
      <w:lvlJc w:val="left"/>
      <w:rPr>
        <w:rFonts w:ascii="Symbol" w:hAnsi="Symbol" w:hint="default"/>
      </w:rPr>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2">
    <w:nsid w:val="282C4A6E"/>
    <w:multiLevelType w:val="hybridMultilevel"/>
    <w:tmpl w:val="31BEC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AF76E7A"/>
    <w:multiLevelType w:val="singleLevel"/>
    <w:tmpl w:val="C74C5A32"/>
    <w:lvl w:ilvl="0">
      <w:numFmt w:val="decimal"/>
      <w:pStyle w:val="Bullet1"/>
      <w:lvlText w:val=""/>
      <w:lvlJc w:val="left"/>
    </w:lvl>
  </w:abstractNum>
  <w:abstractNum w:abstractNumId="24">
    <w:nsid w:val="2B75631B"/>
    <w:multiLevelType w:val="singleLevel"/>
    <w:tmpl w:val="A4DC141A"/>
    <w:lvl w:ilvl="0">
      <w:numFmt w:val="decimal"/>
      <w:pStyle w:val="ListBullet1"/>
      <w:lvlText w:val=""/>
      <w:lvlJc w:val="left"/>
    </w:lvl>
  </w:abstractNum>
  <w:abstractNum w:abstractNumId="25">
    <w:nsid w:val="2CAB4527"/>
    <w:multiLevelType w:val="multilevel"/>
    <w:tmpl w:val="26C24C12"/>
    <w:lvl w:ilvl="0">
      <w:numFmt w:val="decimal"/>
      <w:pStyle w:val="ListNumber3"/>
      <w:lvlText w:val=""/>
      <w:lvlJc w:val="left"/>
    </w:lvl>
    <w:lvl w:ilvl="1">
      <w:numFmt w:val="decimal"/>
      <w:pStyle w:val="ListNumber3Level2"/>
      <w:lvlText w:val=""/>
      <w:lvlJc w:val="left"/>
    </w:lvl>
    <w:lvl w:ilvl="2">
      <w:numFmt w:val="decimal"/>
      <w:pStyle w:val="ListNumber3Level3"/>
      <w:lvlText w:val=""/>
      <w:lvlJc w:val="left"/>
    </w:lvl>
    <w:lvl w:ilvl="3">
      <w:numFmt w:val="decimal"/>
      <w:pStyle w:val="ListNumber3Level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D293CE3"/>
    <w:multiLevelType w:val="multilevel"/>
    <w:tmpl w:val="8D7C4D2A"/>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3"/>
        </w:tabs>
        <w:ind w:left="953" w:hanging="477"/>
      </w:pPr>
      <w:rPr>
        <w:rFonts w:hint="default"/>
      </w:rPr>
    </w:lvl>
    <w:lvl w:ilvl="2">
      <w:start w:val="1"/>
      <w:numFmt w:val="lowerRoman"/>
      <w:pStyle w:val="LegalNumPar3"/>
      <w:lvlText w:val="%3."/>
      <w:lvlJc w:val="left"/>
      <w:pPr>
        <w:tabs>
          <w:tab w:val="num" w:pos="1429"/>
        </w:tabs>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2ED84BD9"/>
    <w:multiLevelType w:val="hybridMultilevel"/>
    <w:tmpl w:val="0C9CF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F7567BD"/>
    <w:multiLevelType w:val="hybridMultilevel"/>
    <w:tmpl w:val="F236C958"/>
    <w:lvl w:ilvl="0" w:tplc="BE2E7CB2">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09F7BBE"/>
    <w:multiLevelType w:val="hybridMultilevel"/>
    <w:tmpl w:val="027A660A"/>
    <w:lvl w:ilvl="0" w:tplc="217E480C">
      <w:start w:val="1"/>
      <w:numFmt w:val="bullet"/>
      <w:lvlText w:val="•"/>
      <w:lvlJc w:val="left"/>
      <w:pPr>
        <w:tabs>
          <w:tab w:val="num" w:pos="720"/>
        </w:tabs>
        <w:ind w:left="720" w:hanging="360"/>
      </w:pPr>
      <w:rPr>
        <w:rFonts w:ascii="Times New Roman" w:hAnsi="Times New Roman" w:hint="default"/>
      </w:rPr>
    </w:lvl>
    <w:lvl w:ilvl="1" w:tplc="61124670" w:tentative="1">
      <w:start w:val="1"/>
      <w:numFmt w:val="bullet"/>
      <w:lvlText w:val="•"/>
      <w:lvlJc w:val="left"/>
      <w:pPr>
        <w:tabs>
          <w:tab w:val="num" w:pos="1440"/>
        </w:tabs>
        <w:ind w:left="1440" w:hanging="360"/>
      </w:pPr>
      <w:rPr>
        <w:rFonts w:ascii="Times New Roman" w:hAnsi="Times New Roman" w:hint="default"/>
      </w:rPr>
    </w:lvl>
    <w:lvl w:ilvl="2" w:tplc="AE66FFA4" w:tentative="1">
      <w:start w:val="1"/>
      <w:numFmt w:val="bullet"/>
      <w:lvlText w:val="•"/>
      <w:lvlJc w:val="left"/>
      <w:pPr>
        <w:tabs>
          <w:tab w:val="num" w:pos="2160"/>
        </w:tabs>
        <w:ind w:left="2160" w:hanging="360"/>
      </w:pPr>
      <w:rPr>
        <w:rFonts w:ascii="Times New Roman" w:hAnsi="Times New Roman" w:hint="default"/>
      </w:rPr>
    </w:lvl>
    <w:lvl w:ilvl="3" w:tplc="0382E67C" w:tentative="1">
      <w:start w:val="1"/>
      <w:numFmt w:val="bullet"/>
      <w:lvlText w:val="•"/>
      <w:lvlJc w:val="left"/>
      <w:pPr>
        <w:tabs>
          <w:tab w:val="num" w:pos="2880"/>
        </w:tabs>
        <w:ind w:left="2880" w:hanging="360"/>
      </w:pPr>
      <w:rPr>
        <w:rFonts w:ascii="Times New Roman" w:hAnsi="Times New Roman" w:hint="default"/>
      </w:rPr>
    </w:lvl>
    <w:lvl w:ilvl="4" w:tplc="CBBEDCD2" w:tentative="1">
      <w:start w:val="1"/>
      <w:numFmt w:val="bullet"/>
      <w:lvlText w:val="•"/>
      <w:lvlJc w:val="left"/>
      <w:pPr>
        <w:tabs>
          <w:tab w:val="num" w:pos="3600"/>
        </w:tabs>
        <w:ind w:left="3600" w:hanging="360"/>
      </w:pPr>
      <w:rPr>
        <w:rFonts w:ascii="Times New Roman" w:hAnsi="Times New Roman" w:hint="default"/>
      </w:rPr>
    </w:lvl>
    <w:lvl w:ilvl="5" w:tplc="1BE2FBEA" w:tentative="1">
      <w:start w:val="1"/>
      <w:numFmt w:val="bullet"/>
      <w:lvlText w:val="•"/>
      <w:lvlJc w:val="left"/>
      <w:pPr>
        <w:tabs>
          <w:tab w:val="num" w:pos="4320"/>
        </w:tabs>
        <w:ind w:left="4320" w:hanging="360"/>
      </w:pPr>
      <w:rPr>
        <w:rFonts w:ascii="Times New Roman" w:hAnsi="Times New Roman" w:hint="default"/>
      </w:rPr>
    </w:lvl>
    <w:lvl w:ilvl="6" w:tplc="EDBE42C0" w:tentative="1">
      <w:start w:val="1"/>
      <w:numFmt w:val="bullet"/>
      <w:lvlText w:val="•"/>
      <w:lvlJc w:val="left"/>
      <w:pPr>
        <w:tabs>
          <w:tab w:val="num" w:pos="5040"/>
        </w:tabs>
        <w:ind w:left="5040" w:hanging="360"/>
      </w:pPr>
      <w:rPr>
        <w:rFonts w:ascii="Times New Roman" w:hAnsi="Times New Roman" w:hint="default"/>
      </w:rPr>
    </w:lvl>
    <w:lvl w:ilvl="7" w:tplc="0DDE61CE" w:tentative="1">
      <w:start w:val="1"/>
      <w:numFmt w:val="bullet"/>
      <w:lvlText w:val="•"/>
      <w:lvlJc w:val="left"/>
      <w:pPr>
        <w:tabs>
          <w:tab w:val="num" w:pos="5760"/>
        </w:tabs>
        <w:ind w:left="5760" w:hanging="360"/>
      </w:pPr>
      <w:rPr>
        <w:rFonts w:ascii="Times New Roman" w:hAnsi="Times New Roman" w:hint="default"/>
      </w:rPr>
    </w:lvl>
    <w:lvl w:ilvl="8" w:tplc="A7A4B364" w:tentative="1">
      <w:start w:val="1"/>
      <w:numFmt w:val="bullet"/>
      <w:lvlText w:val="•"/>
      <w:lvlJc w:val="left"/>
      <w:pPr>
        <w:tabs>
          <w:tab w:val="num" w:pos="6480"/>
        </w:tabs>
        <w:ind w:left="6480" w:hanging="360"/>
      </w:pPr>
      <w:rPr>
        <w:rFonts w:ascii="Times New Roman" w:hAnsi="Times New Roman" w:hint="default"/>
      </w:rPr>
    </w:lvl>
  </w:abstractNum>
  <w:abstractNum w:abstractNumId="30">
    <w:nsid w:val="32897D54"/>
    <w:multiLevelType w:val="hybridMultilevel"/>
    <w:tmpl w:val="BB5C5C7E"/>
    <w:lvl w:ilvl="0" w:tplc="0809000F">
      <w:numFmt w:val="decimal"/>
      <w:lvlText w:val=""/>
      <w:lvlJc w:val="left"/>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4293F3F"/>
    <w:multiLevelType w:val="singleLevel"/>
    <w:tmpl w:val="B074E4EC"/>
    <w:lvl w:ilvl="0">
      <w:numFmt w:val="decimal"/>
      <w:pStyle w:val="ListDash"/>
      <w:lvlText w:val=""/>
      <w:lvlJc w:val="left"/>
    </w:lvl>
  </w:abstractNum>
  <w:abstractNum w:abstractNumId="32">
    <w:nsid w:val="343E59FC"/>
    <w:multiLevelType w:val="hybridMultilevel"/>
    <w:tmpl w:val="CFFC80F8"/>
    <w:lvl w:ilvl="0" w:tplc="BE44C856">
      <w:start w:val="1"/>
      <w:numFmt w:val="lowerRoman"/>
      <w:lvlText w:val="(%1)"/>
      <w:lvlJc w:val="left"/>
      <w:pPr>
        <w:ind w:left="1353" w:hanging="360"/>
      </w:pPr>
      <w:rPr>
        <w:rFonts w:cs="Times New Roman"/>
      </w:rPr>
    </w:lvl>
    <w:lvl w:ilvl="1" w:tplc="08090019">
      <w:start w:val="1"/>
      <w:numFmt w:val="lowerLetter"/>
      <w:lvlText w:val="%2."/>
      <w:lvlJc w:val="left"/>
      <w:pPr>
        <w:ind w:left="1931" w:hanging="360"/>
      </w:pPr>
      <w:rPr>
        <w:rFonts w:cs="Times New Roman"/>
      </w:rPr>
    </w:lvl>
    <w:lvl w:ilvl="2" w:tplc="0809001B">
      <w:start w:val="1"/>
      <w:numFmt w:val="lowerRoman"/>
      <w:lvlText w:val="%3."/>
      <w:lvlJc w:val="right"/>
      <w:pPr>
        <w:ind w:left="2651" w:hanging="180"/>
      </w:pPr>
      <w:rPr>
        <w:rFonts w:cs="Times New Roman"/>
      </w:rPr>
    </w:lvl>
    <w:lvl w:ilvl="3" w:tplc="0809000F">
      <w:start w:val="1"/>
      <w:numFmt w:val="decimal"/>
      <w:lvlText w:val="%4."/>
      <w:lvlJc w:val="left"/>
      <w:pPr>
        <w:ind w:left="3371" w:hanging="360"/>
      </w:pPr>
      <w:rPr>
        <w:rFonts w:cs="Times New Roman"/>
      </w:rPr>
    </w:lvl>
    <w:lvl w:ilvl="4" w:tplc="08090019">
      <w:start w:val="1"/>
      <w:numFmt w:val="lowerLetter"/>
      <w:lvlText w:val="%5."/>
      <w:lvlJc w:val="left"/>
      <w:pPr>
        <w:ind w:left="4091" w:hanging="360"/>
      </w:pPr>
      <w:rPr>
        <w:rFonts w:cs="Times New Roman"/>
      </w:rPr>
    </w:lvl>
    <w:lvl w:ilvl="5" w:tplc="0809001B">
      <w:start w:val="1"/>
      <w:numFmt w:val="lowerRoman"/>
      <w:lvlText w:val="%6."/>
      <w:lvlJc w:val="right"/>
      <w:pPr>
        <w:ind w:left="4811" w:hanging="180"/>
      </w:pPr>
      <w:rPr>
        <w:rFonts w:cs="Times New Roman"/>
      </w:rPr>
    </w:lvl>
    <w:lvl w:ilvl="6" w:tplc="0809000F">
      <w:start w:val="1"/>
      <w:numFmt w:val="decimal"/>
      <w:lvlText w:val="%7."/>
      <w:lvlJc w:val="left"/>
      <w:pPr>
        <w:ind w:left="5531" w:hanging="360"/>
      </w:pPr>
      <w:rPr>
        <w:rFonts w:cs="Times New Roman"/>
      </w:rPr>
    </w:lvl>
    <w:lvl w:ilvl="7" w:tplc="08090019">
      <w:start w:val="1"/>
      <w:numFmt w:val="lowerLetter"/>
      <w:lvlText w:val="%8."/>
      <w:lvlJc w:val="left"/>
      <w:pPr>
        <w:ind w:left="6251" w:hanging="360"/>
      </w:pPr>
      <w:rPr>
        <w:rFonts w:cs="Times New Roman"/>
      </w:rPr>
    </w:lvl>
    <w:lvl w:ilvl="8" w:tplc="0809001B">
      <w:start w:val="1"/>
      <w:numFmt w:val="lowerRoman"/>
      <w:lvlText w:val="%9."/>
      <w:lvlJc w:val="right"/>
      <w:pPr>
        <w:ind w:left="6971" w:hanging="180"/>
      </w:pPr>
      <w:rPr>
        <w:rFonts w:cs="Times New Roman"/>
      </w:rPr>
    </w:lvl>
  </w:abstractNum>
  <w:abstractNum w:abstractNumId="33">
    <w:nsid w:val="358B6119"/>
    <w:multiLevelType w:val="multilevel"/>
    <w:tmpl w:val="A8BA546C"/>
    <w:lvl w:ilvl="0">
      <w:numFmt w:val="decimal"/>
      <w:pStyle w:val="ListNumber1"/>
      <w:lvlText w:val=""/>
      <w:lvlJc w:val="left"/>
    </w:lvl>
    <w:lvl w:ilvl="1">
      <w:numFmt w:val="decimal"/>
      <w:pStyle w:val="ListNumber1Level2"/>
      <w:lvlText w:val=""/>
      <w:lvlJc w:val="left"/>
    </w:lvl>
    <w:lvl w:ilvl="2">
      <w:numFmt w:val="decimal"/>
      <w:pStyle w:val="ListNumber1Level3"/>
      <w:lvlText w:val=""/>
      <w:lvlJc w:val="left"/>
    </w:lvl>
    <w:lvl w:ilvl="3">
      <w:numFmt w:val="decimal"/>
      <w:pStyle w:val="ListNumber1Level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98C6F57"/>
    <w:multiLevelType w:val="multilevel"/>
    <w:tmpl w:val="9822F168"/>
    <w:lvl w:ilvl="0">
      <w:start w:val="1"/>
      <w:numFmt w:val="decimal"/>
      <w:lvlText w:val="%1."/>
      <w:lvlJc w:val="left"/>
      <w:pPr>
        <w:tabs>
          <w:tab w:val="num" w:pos="851"/>
        </w:tabs>
        <w:ind w:left="851" w:hanging="851"/>
      </w:pPr>
      <w:rPr>
        <w:rFonts w:ascii="Times New Roman Bold" w:hAnsi="Times New Roman Bold" w:cs="Courier" w:hint="default"/>
        <w:b/>
        <w:bCs w:val="0"/>
        <w:i w:val="0"/>
        <w:caps w:val="0"/>
        <w:strike w:val="0"/>
        <w:dstrike w:val="0"/>
        <w:vanish w:val="0"/>
        <w:webHidden w:val="0"/>
        <w:color w:val="000000"/>
        <w:spacing w:val="0"/>
        <w:kern w:val="0"/>
        <w:position w:val="0"/>
        <w:sz w:val="24"/>
        <w:szCs w:val="24"/>
        <w:u w:val="none"/>
        <w:effect w:val="none"/>
        <w:vertAlign w:val="baseline"/>
        <w:specVanish w:val="0"/>
      </w:rPr>
    </w:lvl>
    <w:lvl w:ilvl="1">
      <w:start w:val="1"/>
      <w:numFmt w:val="decimal"/>
      <w:lvlText w:val="%1.%2"/>
      <w:lvlJc w:val="left"/>
      <w:pPr>
        <w:tabs>
          <w:tab w:val="num" w:pos="851"/>
        </w:tabs>
        <w:ind w:left="851" w:hanging="851"/>
      </w:pPr>
      <w:rPr>
        <w:rFonts w:ascii="Times New Roman Bold" w:hAnsi="Times New Roman Bold" w:cs="Courier" w:hint="default"/>
        <w:b/>
        <w:i w:val="0"/>
        <w:color w:val="auto"/>
        <w:sz w:val="24"/>
      </w:rPr>
    </w:lvl>
    <w:lvl w:ilvl="2">
      <w:start w:val="1"/>
      <w:numFmt w:val="decimal"/>
      <w:lvlText w:val="%1.%2.%3"/>
      <w:lvlJc w:val="left"/>
      <w:pPr>
        <w:tabs>
          <w:tab w:val="num" w:pos="851"/>
        </w:tabs>
        <w:ind w:left="851" w:hanging="851"/>
      </w:pPr>
      <w:rPr>
        <w:rFonts w:ascii="Times New Roman Bold" w:hAnsi="Times New Roman Bold" w:cs="Courier" w:hint="default"/>
        <w:b/>
        <w:i/>
        <w:sz w:val="24"/>
      </w:rPr>
    </w:lvl>
    <w:lvl w:ilvl="3">
      <w:start w:val="1"/>
      <w:numFmt w:val="decimal"/>
      <w:lvlText w:val="%1.%2.%3.%4"/>
      <w:lvlJc w:val="left"/>
      <w:pPr>
        <w:tabs>
          <w:tab w:val="num" w:pos="851"/>
        </w:tabs>
        <w:ind w:left="851" w:hanging="851"/>
      </w:pPr>
      <w:rPr>
        <w:rFonts w:ascii="Courier" w:hAnsi="Courier" w:cs="Courier" w:hint="default"/>
        <w:b w:val="0"/>
        <w:i/>
        <w:sz w:val="24"/>
      </w:rPr>
    </w:lvl>
    <w:lvl w:ilvl="4">
      <w:start w:val="1"/>
      <w:numFmt w:val="decimal"/>
      <w:lvlText w:val="%1.%2.%3.%4.%5"/>
      <w:lvlJc w:val="left"/>
      <w:pPr>
        <w:tabs>
          <w:tab w:val="num" w:pos="1008"/>
        </w:tabs>
        <w:ind w:left="1008" w:hanging="1008"/>
      </w:pPr>
      <w:rPr>
        <w:rFonts w:cs="Courier"/>
      </w:rPr>
    </w:lvl>
    <w:lvl w:ilvl="5">
      <w:start w:val="1"/>
      <w:numFmt w:val="decimal"/>
      <w:lvlText w:val="%1.%2.%3.%4.%5.%6"/>
      <w:lvlJc w:val="left"/>
      <w:pPr>
        <w:tabs>
          <w:tab w:val="num" w:pos="1152"/>
        </w:tabs>
        <w:ind w:left="1152" w:hanging="1152"/>
      </w:pPr>
      <w:rPr>
        <w:rFonts w:cs="Courier"/>
      </w:rPr>
    </w:lvl>
    <w:lvl w:ilvl="6">
      <w:start w:val="1"/>
      <w:numFmt w:val="decimal"/>
      <w:lvlText w:val="%1.%2.%3.%4.%5.%6.%7"/>
      <w:lvlJc w:val="left"/>
      <w:pPr>
        <w:tabs>
          <w:tab w:val="num" w:pos="1296"/>
        </w:tabs>
        <w:ind w:left="1296" w:hanging="1296"/>
      </w:pPr>
      <w:rPr>
        <w:rFonts w:cs="Courier"/>
      </w:rPr>
    </w:lvl>
    <w:lvl w:ilvl="7">
      <w:start w:val="1"/>
      <w:numFmt w:val="decimal"/>
      <w:lvlText w:val="%1.%2.%3.%4.%5.%6.%7.%8"/>
      <w:lvlJc w:val="left"/>
      <w:pPr>
        <w:tabs>
          <w:tab w:val="num" w:pos="1440"/>
        </w:tabs>
        <w:ind w:left="1440" w:hanging="1440"/>
      </w:pPr>
      <w:rPr>
        <w:rFonts w:cs="Courier"/>
      </w:rPr>
    </w:lvl>
    <w:lvl w:ilvl="8">
      <w:start w:val="1"/>
      <w:numFmt w:val="decimal"/>
      <w:lvlText w:val="%1.%2.%3.%4.%5.%6.%7.%8.%9"/>
      <w:lvlJc w:val="left"/>
      <w:pPr>
        <w:tabs>
          <w:tab w:val="num" w:pos="1584"/>
        </w:tabs>
        <w:ind w:left="1584" w:hanging="1584"/>
      </w:pPr>
      <w:rPr>
        <w:rFonts w:cs="Courier"/>
      </w:rPr>
    </w:lvl>
  </w:abstractNum>
  <w:abstractNum w:abstractNumId="35">
    <w:nsid w:val="3AFB6DC8"/>
    <w:multiLevelType w:val="singleLevel"/>
    <w:tmpl w:val="D97CFDF8"/>
    <w:lvl w:ilvl="0">
      <w:numFmt w:val="decimal"/>
      <w:pStyle w:val="ListBullet2"/>
      <w:lvlText w:val=""/>
      <w:lvlJc w:val="left"/>
    </w:lvl>
  </w:abstractNum>
  <w:abstractNum w:abstractNumId="36">
    <w:nsid w:val="3B4F780D"/>
    <w:multiLevelType w:val="multilevel"/>
    <w:tmpl w:val="B10E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3CF00E18"/>
    <w:multiLevelType w:val="singleLevel"/>
    <w:tmpl w:val="4E1A982C"/>
    <w:lvl w:ilvl="0">
      <w:numFmt w:val="decimal"/>
      <w:pStyle w:val="ListBullet"/>
      <w:lvlText w:val=""/>
      <w:lvlJc w:val="left"/>
    </w:lvl>
  </w:abstractNum>
  <w:abstractNum w:abstractNumId="38">
    <w:nsid w:val="46113D4F"/>
    <w:multiLevelType w:val="singleLevel"/>
    <w:tmpl w:val="A3323CB8"/>
    <w:lvl w:ilvl="0">
      <w:numFmt w:val="decimal"/>
      <w:pStyle w:val="ListDash3"/>
      <w:lvlText w:val=""/>
      <w:lvlJc w:val="left"/>
    </w:lvl>
  </w:abstractNum>
  <w:abstractNum w:abstractNumId="39">
    <w:nsid w:val="46CC47E1"/>
    <w:multiLevelType w:val="hybridMultilevel"/>
    <w:tmpl w:val="A01C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96207CF"/>
    <w:multiLevelType w:val="multilevel"/>
    <w:tmpl w:val="601C6DB4"/>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ABD76B2"/>
    <w:multiLevelType w:val="multilevel"/>
    <w:tmpl w:val="601C6DB4"/>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4593082"/>
    <w:multiLevelType w:val="singleLevel"/>
    <w:tmpl w:val="EDE069AC"/>
    <w:name w:val="Bullet 1"/>
    <w:lvl w:ilvl="0">
      <w:numFmt w:val="decimal"/>
      <w:pStyle w:val="Bullet0"/>
      <w:lvlText w:val=""/>
      <w:lvlJc w:val="left"/>
    </w:lvl>
  </w:abstractNum>
  <w:abstractNum w:abstractNumId="43">
    <w:nsid w:val="54D10AB0"/>
    <w:multiLevelType w:val="singleLevel"/>
    <w:tmpl w:val="5B50620E"/>
    <w:lvl w:ilvl="0">
      <w:numFmt w:val="decimal"/>
      <w:pStyle w:val="ListDash4"/>
      <w:lvlText w:val=""/>
      <w:lvlJc w:val="left"/>
    </w:lvl>
  </w:abstractNum>
  <w:abstractNum w:abstractNumId="44">
    <w:nsid w:val="55BF3D2E"/>
    <w:multiLevelType w:val="hybridMultilevel"/>
    <w:tmpl w:val="8A66D5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576B6C27"/>
    <w:multiLevelType w:val="hybridMultilevel"/>
    <w:tmpl w:val="D68EA4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594B6127"/>
    <w:multiLevelType w:val="hybridMultilevel"/>
    <w:tmpl w:val="DD442056"/>
    <w:lvl w:ilvl="0" w:tplc="0809000F">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47">
    <w:nsid w:val="5B2C6F90"/>
    <w:multiLevelType w:val="hybridMultilevel"/>
    <w:tmpl w:val="591ACF9E"/>
    <w:lvl w:ilvl="0" w:tplc="BE2E7CB2">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E0D6286"/>
    <w:multiLevelType w:val="singleLevel"/>
    <w:tmpl w:val="B0567122"/>
    <w:lvl w:ilvl="0">
      <w:numFmt w:val="decimal"/>
      <w:pStyle w:val="ListDash2"/>
      <w:lvlText w:val=""/>
      <w:lvlJc w:val="left"/>
    </w:lvl>
  </w:abstractNum>
  <w:abstractNum w:abstractNumId="49">
    <w:nsid w:val="6057433F"/>
    <w:multiLevelType w:val="singleLevel"/>
    <w:tmpl w:val="3D5ECD48"/>
    <w:lvl w:ilvl="0">
      <w:numFmt w:val="decimal"/>
      <w:pStyle w:val="ListDash1"/>
      <w:lvlText w:val=""/>
      <w:lvlJc w:val="left"/>
    </w:lvl>
  </w:abstractNum>
  <w:abstractNum w:abstractNumId="50">
    <w:nsid w:val="620F2440"/>
    <w:multiLevelType w:val="singleLevel"/>
    <w:tmpl w:val="6860A420"/>
    <w:lvl w:ilvl="0">
      <w:numFmt w:val="decimal"/>
      <w:pStyle w:val="ListBullet3"/>
      <w:lvlText w:val=""/>
      <w:lvlJc w:val="left"/>
    </w:lvl>
  </w:abstractNum>
  <w:abstractNum w:abstractNumId="51">
    <w:nsid w:val="64987A49"/>
    <w:multiLevelType w:val="hybridMultilevel"/>
    <w:tmpl w:val="1E286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DF118C0"/>
    <w:multiLevelType w:val="singleLevel"/>
    <w:tmpl w:val="B90C8B88"/>
    <w:lvl w:ilvl="0">
      <w:numFmt w:val="decimal"/>
      <w:pStyle w:val="ListBullet4"/>
      <w:lvlText w:val=""/>
      <w:lvlJc w:val="left"/>
    </w:lvl>
  </w:abstractNum>
  <w:abstractNum w:abstractNumId="53">
    <w:nsid w:val="706B072C"/>
    <w:multiLevelType w:val="hybridMultilevel"/>
    <w:tmpl w:val="B7BC1D9E"/>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54">
    <w:nsid w:val="712144E3"/>
    <w:multiLevelType w:val="hybridMultilevel"/>
    <w:tmpl w:val="0FDE0F4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5">
    <w:nsid w:val="722304D7"/>
    <w:multiLevelType w:val="multilevel"/>
    <w:tmpl w:val="9DE2758E"/>
    <w:lvl w:ilvl="0">
      <w:numFmt w:val="decimal"/>
      <w:pStyle w:val="ListNumber4"/>
      <w:lvlText w:val=""/>
      <w:lvlJc w:val="left"/>
    </w:lvl>
    <w:lvl w:ilvl="1">
      <w:numFmt w:val="decimal"/>
      <w:pStyle w:val="ListNumber4Level2"/>
      <w:lvlText w:val=""/>
      <w:lvlJc w:val="left"/>
    </w:lvl>
    <w:lvl w:ilvl="2">
      <w:numFmt w:val="decimal"/>
      <w:pStyle w:val="ListNumber4Level3"/>
      <w:lvlText w:val=""/>
      <w:lvlJc w:val="left"/>
    </w:lvl>
    <w:lvl w:ilvl="3">
      <w:numFmt w:val="decimal"/>
      <w:pStyle w:val="ListNumber4Level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3362880"/>
    <w:multiLevelType w:val="hybridMultilevel"/>
    <w:tmpl w:val="D0D07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76783A2A"/>
    <w:multiLevelType w:val="hybridMultilevel"/>
    <w:tmpl w:val="3B44074E"/>
    <w:lvl w:ilvl="0" w:tplc="08090019">
      <w:start w:val="1"/>
      <w:numFmt w:val="lowerLetter"/>
      <w:lvlText w:val="%1."/>
      <w:lvlJc w:val="left"/>
      <w:pPr>
        <w:ind w:left="786" w:hanging="360"/>
      </w:p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58">
    <w:nsid w:val="76C40A01"/>
    <w:multiLevelType w:val="hybridMultilevel"/>
    <w:tmpl w:val="0CAC6F2C"/>
    <w:lvl w:ilvl="0" w:tplc="0809000F">
      <w:numFmt w:val="decimal"/>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59">
    <w:nsid w:val="7CB20CD3"/>
    <w:multiLevelType w:val="hybridMultilevel"/>
    <w:tmpl w:val="851878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5"/>
  </w:num>
  <w:num w:numId="4">
    <w:abstractNumId w:val="37"/>
  </w:num>
  <w:num w:numId="5">
    <w:abstractNumId w:val="24"/>
  </w:num>
  <w:num w:numId="6">
    <w:abstractNumId w:val="35"/>
  </w:num>
  <w:num w:numId="7">
    <w:abstractNumId w:val="50"/>
  </w:num>
  <w:num w:numId="8">
    <w:abstractNumId w:val="52"/>
  </w:num>
  <w:num w:numId="9">
    <w:abstractNumId w:val="31"/>
  </w:num>
  <w:num w:numId="10">
    <w:abstractNumId w:val="49"/>
  </w:num>
  <w:num w:numId="11">
    <w:abstractNumId w:val="48"/>
  </w:num>
  <w:num w:numId="12">
    <w:abstractNumId w:val="38"/>
  </w:num>
  <w:num w:numId="13">
    <w:abstractNumId w:val="43"/>
  </w:num>
  <w:num w:numId="14">
    <w:abstractNumId w:val="20"/>
  </w:num>
  <w:num w:numId="15">
    <w:abstractNumId w:val="33"/>
  </w:num>
  <w:num w:numId="16">
    <w:abstractNumId w:val="12"/>
  </w:num>
  <w:num w:numId="17">
    <w:abstractNumId w:val="25"/>
  </w:num>
  <w:num w:numId="18">
    <w:abstractNumId w:val="55"/>
  </w:num>
  <w:num w:numId="19">
    <w:abstractNumId w:val="23"/>
  </w:num>
  <w:num w:numId="20">
    <w:abstractNumId w:val="10"/>
  </w:num>
  <w:num w:numId="21">
    <w:abstractNumId w:val="42"/>
  </w:num>
  <w:num w:numId="22">
    <w:abstractNumId w:val="58"/>
  </w:num>
  <w:num w:numId="23">
    <w:abstractNumId w:val="17"/>
  </w:num>
  <w:num w:numId="24">
    <w:abstractNumId w:val="17"/>
  </w:num>
  <w:num w:numId="25">
    <w:abstractNumId w:val="41"/>
  </w:num>
  <w:num w:numId="26">
    <w:abstractNumId w:val="15"/>
  </w:num>
  <w:num w:numId="27">
    <w:abstractNumId w:val="53"/>
  </w:num>
  <w:num w:numId="28">
    <w:abstractNumId w:val="18"/>
  </w:num>
  <w:num w:numId="29">
    <w:abstractNumId w:val="4"/>
  </w:num>
  <w:num w:numId="30">
    <w:abstractNumId w:val="40"/>
  </w:num>
  <w:num w:numId="31">
    <w:abstractNumId w:val="2"/>
  </w:num>
  <w:num w:numId="32">
    <w:abstractNumId w:val="9"/>
  </w:num>
  <w:num w:numId="33">
    <w:abstractNumId w:val="21"/>
  </w:num>
  <w:num w:numId="34">
    <w:abstractNumId w:val="19"/>
  </w:num>
  <w:num w:numId="35">
    <w:abstractNumId w:val="59"/>
  </w:num>
  <w:num w:numId="36">
    <w:abstractNumId w:val="29"/>
  </w:num>
  <w:num w:numId="37">
    <w:abstractNumId w:val="15"/>
  </w:num>
  <w:num w:numId="38">
    <w:abstractNumId w:val="8"/>
  </w:num>
  <w:num w:numId="39">
    <w:abstractNumId w:val="27"/>
  </w:num>
  <w:num w:numId="40">
    <w:abstractNumId w:val="13"/>
  </w:num>
  <w:num w:numId="41">
    <w:abstractNumId w:val="7"/>
  </w:num>
  <w:num w:numId="42">
    <w:abstractNumId w:val="11"/>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0"/>
  </w:num>
  <w:num w:numId="48">
    <w:abstractNumId w:val="15"/>
  </w:num>
  <w:num w:numId="49">
    <w:abstractNumId w:val="28"/>
  </w:num>
  <w:num w:numId="50">
    <w:abstractNumId w:val="47"/>
  </w:num>
  <w:num w:numId="51">
    <w:abstractNumId w:val="3"/>
  </w:num>
  <w:num w:numId="52">
    <w:abstractNumId w:val="46"/>
  </w:num>
  <w:num w:numId="53">
    <w:abstractNumId w:val="54"/>
  </w:num>
  <w:num w:numId="54">
    <w:abstractNumId w:val="6"/>
  </w:num>
  <w:num w:numId="55">
    <w:abstractNumId w:val="15"/>
  </w:num>
  <w:num w:numId="56">
    <w:abstractNumId w:val="16"/>
  </w:num>
  <w:num w:numId="57">
    <w:abstractNumId w:val="11"/>
  </w:num>
  <w:num w:numId="58">
    <w:abstractNumId w:val="51"/>
  </w:num>
  <w:num w:numId="59">
    <w:abstractNumId w:val="57"/>
  </w:num>
  <w:num w:numId="60">
    <w:abstractNumId w:val="56"/>
  </w:num>
  <w:num w:numId="61">
    <w:abstractNumId w:val="36"/>
  </w:num>
  <w:num w:numId="62">
    <w:abstractNumId w:val="44"/>
  </w:num>
  <w:num w:numId="63">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64">
    <w:abstractNumId w:val="15"/>
  </w:num>
  <w:num w:numId="65">
    <w:abstractNumId w:val="15"/>
    <w:lvlOverride w:ilvl="0">
      <w:startOverride w:val="8"/>
    </w:lvlOverride>
    <w:lvlOverride w:ilvl="1">
      <w:startOverride w:val="1"/>
    </w:lvlOverride>
    <w:lvlOverride w:ilvl="2"/>
    <w:lvlOverride w:ilvl="3"/>
    <w:lvlOverride w:ilvl="4"/>
    <w:lvlOverride w:ilvl="5"/>
    <w:lvlOverride w:ilvl="6"/>
    <w:lvlOverride w:ilvl="7"/>
    <w:lvlOverride w:ilvl="8"/>
  </w:num>
  <w:num w:numId="66">
    <w:abstractNumId w:val="15"/>
  </w:num>
  <w:num w:numId="67">
    <w:abstractNumId w:val="4"/>
  </w:num>
  <w:num w:numId="68">
    <w:abstractNumId w:val="4"/>
  </w:num>
  <w:num w:numId="69">
    <w:abstractNumId w:val="4"/>
  </w:num>
  <w:num w:numId="70">
    <w:abstractNumId w:val="15"/>
  </w:num>
  <w:num w:numId="71">
    <w:abstractNumId w:val="4"/>
  </w:num>
  <w:num w:numId="72">
    <w:abstractNumId w:val="15"/>
  </w:num>
  <w:num w:numId="73">
    <w:abstractNumId w:val="15"/>
  </w:num>
  <w:num w:numId="74">
    <w:abstractNumId w:val="15"/>
  </w:num>
  <w:num w:numId="75">
    <w:abstractNumId w:val="15"/>
  </w:num>
  <w:num w:numId="76">
    <w:abstractNumId w:val="15"/>
  </w:num>
  <w:num w:numId="77">
    <w:abstractNumId w:val="15"/>
  </w:num>
  <w:num w:numId="78">
    <w:abstractNumId w:val="15"/>
  </w:num>
  <w:num w:numId="79">
    <w:abstractNumId w:val="15"/>
  </w:num>
  <w:num w:numId="80">
    <w:abstractNumId w:val="15"/>
  </w:num>
  <w:num w:numId="81">
    <w:abstractNumId w:val="4"/>
  </w:num>
  <w:num w:numId="82">
    <w:abstractNumId w:val="15"/>
  </w:num>
  <w:num w:numId="83">
    <w:abstractNumId w:val="26"/>
  </w:num>
  <w:num w:numId="84">
    <w:abstractNumId w:val="26"/>
  </w:num>
  <w:num w:numId="85">
    <w:abstractNumId w:val="26"/>
  </w:num>
  <w:num w:numId="86">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87">
    <w:abstractNumId w:val="20"/>
  </w:num>
  <w:num w:numId="88">
    <w:abstractNumId w:val="20"/>
  </w:num>
  <w:num w:numId="89">
    <w:abstractNumId w:val="14"/>
  </w:num>
  <w:num w:numId="90">
    <w:abstractNumId w:val="39"/>
  </w:num>
  <w:num w:numId="91">
    <w:abstractNumId w:val="2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VERPAGE_EXISTS" w:val="True"/>
    <w:docVar w:name="DocStatus" w:val="Green"/>
    <w:docVar w:name="LW_ACCOMPAGNANT.CP" w:val="care înso\u355?e\u351?te documentul"/>
    <w:docVar w:name="LW_CONFIDENCE" w:val=" "/>
    <w:docVar w:name="LW_CONST_RESTREINT_UE" w:val="RESTREINT UE"/>
    <w:docVar w:name="LW_CORRIGENDUM" w:val="&lt;UNUSED&gt;"/>
    <w:docVar w:name="LW_COVERPAGE_GUID" w:val="1FB4A7A3F135472FB036FDF810BCA9DE"/>
    <w:docVar w:name="LW_CROSSREFERENCE" w:val="{COM(2017) 331 final}_x000b_{SWD(2017) 246 final}"/>
    <w:docVar w:name="LW_DocType" w:val="REP"/>
    <w:docVar w:name="LW_EMISSION" w:val="13.6.2017"/>
    <w:docVar w:name="LW_EMISSION_ISODATE" w:val="2017-06-13"/>
    <w:docVar w:name="LW_EMISSION_LOCATION" w:val="STR"/>
    <w:docVar w:name="LW_EMISSION_PREFIX" w:val="Strasbourg, "/>
    <w:docVar w:name="LW_EMISSION_SUFFIX" w:val=" "/>
    <w:docVar w:name="LW_ID_DOCTYPE_NONLW" w:val="CP-027"/>
    <w:docVar w:name="LW_LANGUE" w:val="RO"/>
    <w:docVar w:name="LW_MARKING" w:val="&lt;UNUSED&gt;"/>
    <w:docVar w:name="LW_NOM.INST" w:val="COMISIA EUROPEAN\u258?"/>
    <w:docVar w:name="LW_NOM.INST_JOINTDOC" w:val="&lt;EMPTY&gt;"/>
    <w:docVar w:name="LW_OBJETACTEPRINCIPAL.CP" w:val="de modificare a Regulamentului (UE) nr. 1095/2010 de instituire a Autorit\u259?\u539?ii europene de supraveghere (Autoritatea european\u259? pentru valori mobiliare \u537?i pie\u539?e) \u537?i a Regulamentului (UE) nr. 648/2012 în ceea ce prive\u537?te procedurile \u537?i autorit\u259?\u539?ile implicate în autorizarea contrap\u259?r\u539?ilor centrale \u537?i cerin\u539?ele pentru recunoa\u537?terea contrap\u259?r\u539?ilor centrale din \u539?\u259?ri ter\u539?e_x000b_"/>
    <w:docVar w:name="LW_PART_NBR" w:val="1"/>
    <w:docVar w:name="LW_PART_NBR_TOTAL" w:val="1"/>
    <w:docVar w:name="LW_REF.INST.NEW" w:val="SWD"/>
    <w:docVar w:name="LW_REF.INST.NEW_ADOPTED" w:val="final"/>
    <w:docVar w:name="LW_REF.INST.NEW_TEXT" w:val="(2017) 247"/>
    <w:docVar w:name="LW_REF.INTERNE" w:val="&lt;UNUSED&gt;"/>
    <w:docVar w:name="LW_SUPERTITRE" w:val="&lt;UNUSED&gt;"/>
    <w:docVar w:name="LW_TITRE.OBJ.CP" w:val="&lt;UNUSED&gt;"/>
    <w:docVar w:name="LW_TYPE.DOC.CP" w:val="DOCUMENT DE LUCRU AL SERVICIILOR COMISIEI_x000b__x000b_REZUMATUL EVALU\u258?RII IMPACTULUI_x000b_"/>
    <w:docVar w:name="LW_TYPEACTEPRINCIPAL.CP" w:val="Propunere de Regulament al Parlamentului European \u537?i al Consiliulu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ro-RO"/>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footnote text" w:uiPriority="99" w:qFormat="1"/>
    <w:lsdException w:name="annotation text" w:uiPriority="99"/>
    <w:lsdException w:name="footer" w:uiPriority="99"/>
    <w:lsdException w:name="caption" w:semiHidden="0" w:unhideWhenUsed="0" w:qFormat="1"/>
    <w:lsdException w:name="footnote reference" w:uiPriority="99"/>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after="240"/>
      <w:jc w:val="both"/>
    </w:pPr>
    <w:rPr>
      <w:sz w:val="24"/>
    </w:rPr>
  </w:style>
  <w:style w:type="paragraph" w:styleId="Heading1">
    <w:name w:val="heading 1"/>
    <w:basedOn w:val="Normal"/>
    <w:next w:val="Text1"/>
    <w:link w:val="Heading1Char"/>
    <w:qFormat/>
    <w:pPr>
      <w:keepNext/>
      <w:numPr>
        <w:numId w:val="64"/>
      </w:numPr>
      <w:spacing w:before="240"/>
      <w:outlineLvl w:val="0"/>
    </w:pPr>
    <w:rPr>
      <w:b/>
      <w:smallCaps/>
    </w:rPr>
  </w:style>
  <w:style w:type="paragraph" w:styleId="Heading2">
    <w:name w:val="heading 2"/>
    <w:basedOn w:val="Normal"/>
    <w:next w:val="Text2"/>
    <w:link w:val="Heading2Char"/>
    <w:qFormat/>
    <w:pPr>
      <w:keepNext/>
      <w:numPr>
        <w:ilvl w:val="1"/>
        <w:numId w:val="64"/>
      </w:numPr>
      <w:spacing w:line="276" w:lineRule="auto"/>
      <w:outlineLvl w:val="1"/>
    </w:pPr>
    <w:rPr>
      <w:b/>
      <w:bCs/>
    </w:rPr>
  </w:style>
  <w:style w:type="paragraph" w:styleId="Heading3">
    <w:name w:val="heading 3"/>
    <w:basedOn w:val="Normal"/>
    <w:next w:val="Text3"/>
    <w:qFormat/>
    <w:pPr>
      <w:keepNext/>
      <w:numPr>
        <w:ilvl w:val="2"/>
        <w:numId w:val="64"/>
      </w:numPr>
      <w:outlineLvl w:val="2"/>
    </w:pPr>
    <w:rPr>
      <w:i/>
    </w:rPr>
  </w:style>
  <w:style w:type="paragraph" w:styleId="Heading4">
    <w:name w:val="heading 4"/>
    <w:basedOn w:val="Normal"/>
    <w:next w:val="Text4"/>
    <w:qFormat/>
    <w:pPr>
      <w:keepNext/>
      <w:numPr>
        <w:ilvl w:val="3"/>
        <w:numId w:val="64"/>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 Char,Footnote,Fußnote,FSR footnote,lábléc,fn,Texto nota pie Car,notefranz,Footnote Text Char Char Char Char Char Char Char Char Char Char Char Char Char Char Char Char Char,Footnote Text Char1,Char"/>
    <w:basedOn w:val="Normal"/>
    <w:link w:val="FootnoteTextChar"/>
    <w:uiPriority w:val="99"/>
    <w:qFormat/>
    <w:pPr>
      <w:tabs>
        <w:tab w:val="left" w:pos="284"/>
      </w:tabs>
      <w:spacing w:after="0"/>
      <w:ind w:left="284" w:hanging="284"/>
    </w:pPr>
    <w:rPr>
      <w:sz w:val="20"/>
    </w:rPr>
  </w:style>
  <w:style w:type="paragraph" w:styleId="Header">
    <w:name w:val="header"/>
    <w:basedOn w:val="Normal"/>
    <w:link w:val="HeaderChar"/>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customStyle="1" w:styleId="TOCHeading1">
    <w:name w:val="TOC Heading1"/>
    <w:basedOn w:val="Normal"/>
    <w:next w:val="Normal"/>
    <w:qFormat/>
    <w:pPr>
      <w:keepNext/>
      <w:spacing w:before="240"/>
      <w:jc w:val="center"/>
    </w:pPr>
    <w:rPr>
      <w:b/>
    </w:rPr>
  </w:style>
  <w:style w:type="paragraph" w:customStyle="1" w:styleId="Contact">
    <w:name w:val="Contact"/>
    <w:basedOn w:val="Normal"/>
    <w:next w:val="Normal"/>
    <w:uiPriority w:val="99"/>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Pr>
      <w:rFonts w:ascii="Arial" w:hAnsi="Arial"/>
      <w:sz w:val="16"/>
      <w:lang w:eastAsia="ro-RO"/>
    </w:rPr>
  </w:style>
  <w:style w:type="paragraph" w:customStyle="1" w:styleId="ZCom">
    <w:name w:val="Z_Com"/>
    <w:basedOn w:val="Normal"/>
    <w:next w:val="ZDGName"/>
    <w:uiPriority w:val="99"/>
    <w:pPr>
      <w:widowControl w:val="0"/>
      <w:autoSpaceDE w:val="0"/>
      <w:autoSpaceDN w:val="0"/>
      <w:spacing w:after="0"/>
      <w:ind w:right="85"/>
    </w:pPr>
    <w:rPr>
      <w:rFonts w:ascii="Arial"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rPr>
  </w:style>
  <w:style w:type="character" w:customStyle="1" w:styleId="HeaderChar">
    <w:name w:val="Header Char"/>
    <w:link w:val="Header"/>
    <w:rPr>
      <w:sz w:val="24"/>
      <w:lang w:eastAsia="ro-RO"/>
    </w:rPr>
  </w:style>
  <w:style w:type="paragraph" w:customStyle="1" w:styleId="Bullet1">
    <w:name w:val="Bullet 1"/>
    <w:basedOn w:val="Normal"/>
    <w:pPr>
      <w:numPr>
        <w:numId w:val="19"/>
      </w:numPr>
      <w:spacing w:before="120" w:after="120"/>
    </w:pPr>
    <w:rPr>
      <w:szCs w:val="24"/>
    </w:rPr>
  </w:style>
  <w:style w:type="paragraph" w:customStyle="1" w:styleId="Confidentialit">
    <w:name w:val="Confidentialité"/>
    <w:basedOn w:val="Normal"/>
    <w:next w:val="TypedudocumentPagedecouverture"/>
    <w:pPr>
      <w:spacing w:before="240"/>
      <w:ind w:left="5103"/>
    </w:pPr>
    <w:rPr>
      <w:i/>
      <w:sz w:val="32"/>
      <w:szCs w:val="24"/>
    </w:rPr>
  </w:style>
  <w:style w:type="paragraph" w:customStyle="1" w:styleId="Emission">
    <w:name w:val="Emission"/>
    <w:basedOn w:val="Normal"/>
    <w:next w:val="Normal"/>
    <w:pPr>
      <w:spacing w:after="0"/>
      <w:ind w:left="5103"/>
      <w:jc w:val="left"/>
    </w:pPr>
    <w:rPr>
      <w:szCs w:val="24"/>
    </w:rPr>
  </w:style>
  <w:style w:type="paragraph" w:customStyle="1" w:styleId="Nomdelinstitution">
    <w:name w:val="Nom de l'institution"/>
    <w:basedOn w:val="Normal"/>
    <w:next w:val="Emission"/>
    <w:pPr>
      <w:spacing w:after="0"/>
      <w:jc w:val="left"/>
    </w:pPr>
    <w:rPr>
      <w:rFonts w:ascii="Arial" w:hAnsi="Arial" w:cs="Arial"/>
      <w:szCs w:val="24"/>
    </w:rPr>
  </w:style>
  <w:style w:type="paragraph" w:customStyle="1" w:styleId="Pagedecouverture">
    <w:name w:val="Page de couverture"/>
    <w:basedOn w:val="Normal"/>
    <w:next w:val="Normal"/>
    <w:pPr>
      <w:spacing w:before="120" w:after="120"/>
    </w:pPr>
    <w:rPr>
      <w:szCs w:val="24"/>
    </w:rPr>
  </w:style>
  <w:style w:type="paragraph" w:customStyle="1" w:styleId="TypedudocumentPagedecouverture">
    <w:name w:val="Type du document (Page de couverture)"/>
    <w:basedOn w:val="Normal"/>
    <w:next w:val="Normal"/>
    <w:pPr>
      <w:spacing w:before="360" w:after="0"/>
      <w:jc w:val="center"/>
    </w:pPr>
    <w:rPr>
      <w:b/>
      <w:szCs w:val="24"/>
    </w:rPr>
  </w:style>
  <w:style w:type="paragraph" w:customStyle="1" w:styleId="Prliminairetype">
    <w:name w:val="Préliminaire type"/>
    <w:basedOn w:val="Normal"/>
    <w:next w:val="Normal"/>
    <w:pPr>
      <w:spacing w:before="360" w:after="0"/>
      <w:jc w:val="center"/>
    </w:pPr>
    <w:rPr>
      <w:b/>
      <w:szCs w:val="24"/>
    </w:rPr>
  </w:style>
  <w:style w:type="paragraph" w:customStyle="1" w:styleId="Rfrenceinstitutionelle">
    <w:name w:val="Référence institutionelle"/>
    <w:basedOn w:val="Normal"/>
    <w:next w:val="Normal"/>
    <w:pPr>
      <w:ind w:left="5103"/>
      <w:jc w:val="left"/>
    </w:pPr>
    <w:rPr>
      <w:szCs w:val="24"/>
    </w:rPr>
  </w:style>
  <w:style w:type="character" w:styleId="Hyperlink">
    <w:name w:val="Hyperlink"/>
    <w:uiPriority w:val="99"/>
    <w:rPr>
      <w:rFonts w:cs="Times New Roman"/>
      <w:color w:val="0000FF"/>
      <w:u w:val="single"/>
      <w:shd w:val="clear" w:color="auto" w:fill="auto"/>
    </w:rPr>
  </w:style>
  <w:style w:type="numbering" w:styleId="111111">
    <w:name w:val="Outline List 2"/>
    <w:basedOn w:val="NoList"/>
    <w:pPr>
      <w:numPr>
        <w:numId w:val="20"/>
      </w:numPr>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after="0"/>
    </w:pPr>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lang w:eastAsia="ro-RO"/>
    </w:rPr>
  </w:style>
  <w:style w:type="character" w:customStyle="1" w:styleId="Marker">
    <w:name w:val="Marker"/>
    <w:rPr>
      <w:color w:val="0000FF"/>
      <w:shd w:val="clear" w:color="auto" w:fill="auto"/>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link w:val="FooterCoverPage"/>
    <w:rPr>
      <w:sz w:val="24"/>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rPr>
      <w:sz w:val="24"/>
    </w:rPr>
  </w:style>
  <w:style w:type="character" w:styleId="FootnoteReference">
    <w:name w:val="footnote reference"/>
    <w:aliases w:val="Footnote Reference Number,Footnote Reference_LVL6,Footnote Reference_LVL61,Footnote Reference_LVL62,Footnote Reference_LVL63,Footnote Reference_LVL64,normal,Fußnotenzeichen3,Normal1,fr,SUPERS,EN Footnote Reference,number,ftref"/>
    <w:uiPriority w:val="99"/>
    <w:unhideWhenUsed/>
    <w:rPr>
      <w:vertAlign w:val="superscript"/>
    </w:rPr>
  </w:style>
  <w:style w:type="paragraph" w:customStyle="1" w:styleId="Bullet0">
    <w:name w:val="Bullet 0"/>
    <w:basedOn w:val="Normal"/>
    <w:pPr>
      <w:numPr>
        <w:numId w:val="21"/>
      </w:numPr>
      <w:spacing w:before="120" w:after="120"/>
    </w:pPr>
    <w:rPr>
      <w:szCs w:val="24"/>
    </w:rPr>
  </w:style>
  <w:style w:type="character" w:customStyle="1" w:styleId="FootnoteTextChar">
    <w:name w:val="Footnote Text Char"/>
    <w:aliases w:val="Footnote Text Char Char Char,Footnote Char,Fußnote Char,FSR footnote Char,lábléc Char,fn Char,Texto nota pie Car Char,notefranz Char,Footnote Text Char1 Char,Char Char1"/>
    <w:link w:val="FootnoteText"/>
    <w:uiPriority w:val="99"/>
    <w:rPr>
      <w:lang w:eastAsia="ro-RO"/>
    </w:rPr>
  </w:style>
  <w:style w:type="character" w:styleId="FollowedHyperlink">
    <w:name w:val="FollowedHyperlink"/>
    <w:uiPriority w:val="99"/>
    <w:semiHidden/>
    <w:unhideWhenUsed/>
    <w:rPr>
      <w:color w:val="800080"/>
      <w:u w:val="single"/>
    </w:rPr>
  </w:style>
  <w:style w:type="character" w:styleId="CommentReference">
    <w:name w:val="annotation reference"/>
    <w:uiPriority w:val="99"/>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link w:val="CommentText"/>
    <w:uiPriority w:val="99"/>
    <w:rPr>
      <w:lang w:eastAsia="ro-RO"/>
    </w:rPr>
  </w:style>
  <w:style w:type="character" w:customStyle="1" w:styleId="CommentSubjectChar">
    <w:name w:val="Comment Subject Char"/>
    <w:link w:val="CommentSubject"/>
    <w:uiPriority w:val="99"/>
    <w:semiHidden/>
    <w:rPr>
      <w:b/>
      <w:bCs/>
      <w:lang w:eastAsia="ro-RO"/>
    </w:rPr>
  </w:style>
  <w:style w:type="paragraph" w:customStyle="1" w:styleId="CM1">
    <w:name w:val="CM1"/>
    <w:basedOn w:val="Normal"/>
    <w:next w:val="Normal"/>
    <w:uiPriority w:val="99"/>
    <w:pPr>
      <w:autoSpaceDE w:val="0"/>
      <w:autoSpaceDN w:val="0"/>
      <w:adjustRightInd w:val="0"/>
      <w:spacing w:after="0"/>
      <w:jc w:val="left"/>
    </w:pPr>
    <w:rPr>
      <w:rFonts w:ascii="EUAlbertina" w:hAnsi="EUAlbertina"/>
      <w:szCs w:val="24"/>
    </w:rPr>
  </w:style>
  <w:style w:type="paragraph" w:customStyle="1" w:styleId="CM3">
    <w:name w:val="CM3"/>
    <w:basedOn w:val="Normal"/>
    <w:next w:val="Normal"/>
    <w:uiPriority w:val="99"/>
    <w:pPr>
      <w:autoSpaceDE w:val="0"/>
      <w:autoSpaceDN w:val="0"/>
      <w:adjustRightInd w:val="0"/>
      <w:spacing w:after="0"/>
      <w:jc w:val="left"/>
    </w:pPr>
    <w:rPr>
      <w:rFonts w:ascii="EUAlbertina" w:hAnsi="EUAlbertina"/>
      <w:szCs w:val="24"/>
    </w:rPr>
  </w:style>
  <w:style w:type="character" w:customStyle="1" w:styleId="Heading1Char">
    <w:name w:val="Heading 1 Char"/>
    <w:link w:val="Heading1"/>
    <w:rPr>
      <w:b/>
      <w:smallCaps/>
      <w:sz w:val="24"/>
      <w:lang w:val="ro-RO"/>
    </w:rPr>
  </w:style>
  <w:style w:type="paragraph" w:customStyle="1" w:styleId="ColorfulList-Accent11">
    <w:name w:val="Colorful List - Accent 11"/>
    <w:basedOn w:val="CommentText"/>
    <w:qFormat/>
    <w:pPr>
      <w:spacing w:before="120" w:after="120"/>
    </w:pPr>
    <w:rPr>
      <w:sz w:val="24"/>
      <w:szCs w:val="24"/>
    </w:rPr>
  </w:style>
  <w:style w:type="character" w:customStyle="1" w:styleId="Heading2Char">
    <w:name w:val="Heading 2 Char"/>
    <w:link w:val="Heading2"/>
    <w:rPr>
      <w:b/>
      <w:bCs/>
      <w:sz w:val="24"/>
      <w:lang w:val="ro-RO" w:eastAsia="ro-RO"/>
    </w:rPr>
  </w:style>
  <w:style w:type="character" w:customStyle="1" w:styleId="BookTitle1">
    <w:name w:val="Book Title1"/>
    <w:uiPriority w:val="33"/>
    <w:qFormat/>
    <w:rPr>
      <w:b/>
      <w:bCs/>
      <w:smallCaps/>
      <w:spacing w:val="5"/>
    </w:rPr>
  </w:style>
  <w:style w:type="character" w:styleId="EndnoteReference">
    <w:name w:val="endnote reference"/>
    <w:uiPriority w:val="99"/>
    <w:semiHidden/>
    <w:unhideWhenUsed/>
    <w:rPr>
      <w:vertAlign w:val="superscript"/>
    </w:rPr>
  </w:style>
  <w:style w:type="paragraph" w:customStyle="1" w:styleId="Default">
    <w:name w:val="Default"/>
    <w:pPr>
      <w:autoSpaceDE w:val="0"/>
      <w:autoSpaceDN w:val="0"/>
      <w:adjustRightInd w:val="0"/>
    </w:pPr>
    <w:rPr>
      <w:color w:val="000000"/>
      <w:sz w:val="24"/>
      <w:szCs w:val="24"/>
    </w:rPr>
  </w:style>
  <w:style w:type="paragraph" w:styleId="NormalWeb">
    <w:name w:val="Normal (Web)"/>
    <w:basedOn w:val="Normal"/>
    <w:uiPriority w:val="99"/>
    <w:semiHidden/>
    <w:unhideWhenUsed/>
    <w:rPr>
      <w:szCs w:val="24"/>
    </w:rPr>
  </w:style>
  <w:style w:type="paragraph" w:styleId="ListParagraph">
    <w:name w:val="List Paragraph"/>
    <w:basedOn w:val="Normal"/>
    <w:uiPriority w:val="34"/>
    <w:qFormat/>
    <w:pPr>
      <w:ind w:left="720"/>
    </w:pPr>
  </w:style>
  <w:style w:type="character" w:styleId="Strong">
    <w:name w:val="Strong"/>
    <w:uiPriority w:val="22"/>
    <w:qFormat/>
    <w:rPr>
      <w:b/>
      <w:bCs/>
    </w:rPr>
  </w:style>
  <w:style w:type="character" w:styleId="Emphasis">
    <w:name w:val="Emphasis"/>
    <w:uiPriority w:val="20"/>
    <w:qFormat/>
    <w:rPr>
      <w:rFonts w:ascii="Times New Roman" w:hAnsi="Times New Roman" w:cs="Times New Roman" w:hint="default"/>
      <w:i w:val="0"/>
      <w:iCs w:val="0"/>
    </w:rPr>
  </w:style>
  <w:style w:type="character" w:customStyle="1" w:styleId="FootnoteTextChar2">
    <w:name w:val="Footnote Text Char2"/>
    <w:aliases w:val="Footnote Text Char Char Char1,Footnote Char1,Fußnote Char1,FSR footnote Char1,lábléc Char1,fn Char1,Texto nota pie Car Char1,notefranz Char1,Footnote Text Char1 Char1,Char Char"/>
    <w:uiPriority w:val="99"/>
    <w:semiHidden/>
    <w:locked/>
    <w:rPr>
      <w:sz w:val="18"/>
    </w:rPr>
  </w:style>
  <w:style w:type="paragraph" w:customStyle="1" w:styleId="IndentedHeading4">
    <w:name w:val="Indented Heading 4"/>
    <w:basedOn w:val="Heading4"/>
    <w:next w:val="Normal"/>
    <w:pPr>
      <w:numPr>
        <w:numId w:val="42"/>
      </w:numPr>
      <w:tabs>
        <w:tab w:val="clear" w:pos="3447"/>
        <w:tab w:val="num" w:pos="360"/>
        <w:tab w:val="num" w:pos="851"/>
      </w:tabs>
      <w:spacing w:before="120" w:after="120" w:line="300" w:lineRule="exact"/>
      <w:ind w:left="851" w:hanging="851"/>
    </w:pPr>
    <w:rPr>
      <w:rFonts w:eastAsia="MS Mincho" w:cs="Arial"/>
      <w:i/>
      <w:iCs/>
      <w:szCs w:val="16"/>
    </w:rPr>
  </w:style>
  <w:style w:type="paragraph" w:customStyle="1" w:styleId="IndentedHeading2">
    <w:name w:val="Indented Heading 2"/>
    <w:basedOn w:val="Heading2"/>
    <w:next w:val="Normal"/>
    <w:pPr>
      <w:numPr>
        <w:numId w:val="42"/>
      </w:numPr>
      <w:tabs>
        <w:tab w:val="clear" w:pos="2007"/>
        <w:tab w:val="num" w:pos="360"/>
        <w:tab w:val="num" w:pos="851"/>
      </w:tabs>
      <w:spacing w:before="360" w:after="120" w:line="300" w:lineRule="exact"/>
      <w:ind w:left="851" w:hanging="851"/>
    </w:pPr>
    <w:rPr>
      <w:rFonts w:eastAsia="MS Mincho" w:cs="Arial"/>
      <w:iCs/>
      <w:szCs w:val="28"/>
    </w:rPr>
  </w:style>
  <w:style w:type="paragraph" w:customStyle="1" w:styleId="IndentedHeading3">
    <w:name w:val="Indented Heading 3"/>
    <w:basedOn w:val="Heading3"/>
    <w:next w:val="Normal"/>
    <w:pPr>
      <w:numPr>
        <w:numId w:val="42"/>
      </w:numPr>
      <w:tabs>
        <w:tab w:val="clear" w:pos="2727"/>
        <w:tab w:val="num" w:pos="360"/>
        <w:tab w:val="num" w:pos="851"/>
      </w:tabs>
      <w:spacing w:before="240" w:after="120" w:line="300" w:lineRule="exact"/>
      <w:ind w:left="851" w:hanging="851"/>
    </w:pPr>
    <w:rPr>
      <w:rFonts w:eastAsia="MS Mincho" w:cs="Arial"/>
      <w:b/>
      <w:bCs/>
      <w:iCs/>
      <w:szCs w:val="26"/>
    </w:rPr>
  </w:style>
  <w:style w:type="character" w:customStyle="1" w:styleId="BulletChar">
    <w:name w:val="Bullet Char"/>
    <w:link w:val="Bullet"/>
    <w:locked/>
    <w:rPr>
      <w:sz w:val="24"/>
    </w:rPr>
  </w:style>
  <w:style w:type="paragraph" w:customStyle="1" w:styleId="Bullet">
    <w:name w:val="Bullet"/>
    <w:basedOn w:val="Normal"/>
    <w:link w:val="BulletChar"/>
    <w:pPr>
      <w:numPr>
        <w:numId w:val="42"/>
      </w:numPr>
      <w:spacing w:after="120" w:line="300" w:lineRule="exact"/>
    </w:pPr>
  </w:style>
  <w:style w:type="paragraph" w:styleId="Revision">
    <w:name w:val="Revision"/>
    <w:hidden/>
    <w:uiPriority w:val="99"/>
    <w:semiHidden/>
    <w:rPr>
      <w:sz w:val="24"/>
    </w:rPr>
  </w:style>
  <w:style w:type="character" w:customStyle="1" w:styleId="FootnoteCharacters">
    <w:name w:val="Footnote Characters"/>
    <w:rPr>
      <w:vertAlign w:val="superscript"/>
    </w:rPr>
  </w:style>
  <w:style w:type="paragraph" w:customStyle="1" w:styleId="TOCHeading10">
    <w:name w:val="TOC Heading1"/>
    <w:basedOn w:val="Normal"/>
    <w:next w:val="Normal"/>
    <w:qFormat/>
    <w:pPr>
      <w:keepNext/>
      <w:spacing w:before="240"/>
      <w:jc w:val="center"/>
    </w:pPr>
    <w:rPr>
      <w:b/>
    </w:rPr>
  </w:style>
  <w:style w:type="character" w:customStyle="1" w:styleId="BookTitle10">
    <w:name w:val="Book Title1"/>
    <w:uiPriority w:val="33"/>
    <w:qFormat/>
    <w:rPr>
      <w:b/>
      <w:bCs/>
      <w:smallCaps/>
      <w:spacing w:val="5"/>
    </w:rPr>
  </w:style>
  <w:style w:type="character" w:customStyle="1" w:styleId="affairetitle">
    <w:name w:val="affaire_title"/>
    <w:basedOn w:val="DefaultParagraphFont"/>
  </w:style>
  <w:style w:type="paragraph" w:customStyle="1" w:styleId="LegalNumPar">
    <w:name w:val="LegalNumPar"/>
    <w:basedOn w:val="Normal"/>
    <w:pPr>
      <w:numPr>
        <w:numId w:val="85"/>
      </w:numPr>
    </w:pPr>
  </w:style>
  <w:style w:type="paragraph" w:customStyle="1" w:styleId="LegalNumPar2">
    <w:name w:val="LegalNumPar2"/>
    <w:basedOn w:val="Normal"/>
    <w:pPr>
      <w:numPr>
        <w:ilvl w:val="1"/>
        <w:numId w:val="85"/>
      </w:numPr>
    </w:pPr>
  </w:style>
  <w:style w:type="paragraph" w:customStyle="1" w:styleId="LegalNumPar3">
    <w:name w:val="LegalNumPar3"/>
    <w:basedOn w:val="Normal"/>
    <w:pPr>
      <w:numPr>
        <w:ilvl w:val="2"/>
        <w:numId w:val="85"/>
      </w:numPr>
    </w:pPr>
  </w:style>
  <w:style w:type="character" w:styleId="LineNumber">
    <w:name w:val="line number"/>
    <w:basedOn w:val="DefaultParagraphFon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ro-RO"/>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footnote text" w:uiPriority="99" w:qFormat="1"/>
    <w:lsdException w:name="annotation text" w:uiPriority="99"/>
    <w:lsdException w:name="footer" w:uiPriority="99"/>
    <w:lsdException w:name="caption" w:semiHidden="0" w:unhideWhenUsed="0" w:qFormat="1"/>
    <w:lsdException w:name="footnote reference" w:uiPriority="99"/>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after="240"/>
      <w:jc w:val="both"/>
    </w:pPr>
    <w:rPr>
      <w:sz w:val="24"/>
    </w:rPr>
  </w:style>
  <w:style w:type="paragraph" w:styleId="Heading1">
    <w:name w:val="heading 1"/>
    <w:basedOn w:val="Normal"/>
    <w:next w:val="Text1"/>
    <w:link w:val="Heading1Char"/>
    <w:qFormat/>
    <w:pPr>
      <w:keepNext/>
      <w:numPr>
        <w:numId w:val="64"/>
      </w:numPr>
      <w:spacing w:before="240"/>
      <w:outlineLvl w:val="0"/>
    </w:pPr>
    <w:rPr>
      <w:b/>
      <w:smallCaps/>
    </w:rPr>
  </w:style>
  <w:style w:type="paragraph" w:styleId="Heading2">
    <w:name w:val="heading 2"/>
    <w:basedOn w:val="Normal"/>
    <w:next w:val="Text2"/>
    <w:link w:val="Heading2Char"/>
    <w:qFormat/>
    <w:pPr>
      <w:keepNext/>
      <w:numPr>
        <w:ilvl w:val="1"/>
        <w:numId w:val="64"/>
      </w:numPr>
      <w:spacing w:line="276" w:lineRule="auto"/>
      <w:outlineLvl w:val="1"/>
    </w:pPr>
    <w:rPr>
      <w:b/>
      <w:bCs/>
    </w:rPr>
  </w:style>
  <w:style w:type="paragraph" w:styleId="Heading3">
    <w:name w:val="heading 3"/>
    <w:basedOn w:val="Normal"/>
    <w:next w:val="Text3"/>
    <w:qFormat/>
    <w:pPr>
      <w:keepNext/>
      <w:numPr>
        <w:ilvl w:val="2"/>
        <w:numId w:val="64"/>
      </w:numPr>
      <w:outlineLvl w:val="2"/>
    </w:pPr>
    <w:rPr>
      <w:i/>
    </w:rPr>
  </w:style>
  <w:style w:type="paragraph" w:styleId="Heading4">
    <w:name w:val="heading 4"/>
    <w:basedOn w:val="Normal"/>
    <w:next w:val="Text4"/>
    <w:qFormat/>
    <w:pPr>
      <w:keepNext/>
      <w:numPr>
        <w:ilvl w:val="3"/>
        <w:numId w:val="64"/>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 Char,Footnote,Fußnote,FSR footnote,lábléc,fn,Texto nota pie Car,notefranz,Footnote Text Char Char Char Char Char Char Char Char Char Char Char Char Char Char Char Char Char,Footnote Text Char1,Char"/>
    <w:basedOn w:val="Normal"/>
    <w:link w:val="FootnoteTextChar"/>
    <w:uiPriority w:val="99"/>
    <w:qFormat/>
    <w:pPr>
      <w:tabs>
        <w:tab w:val="left" w:pos="284"/>
      </w:tabs>
      <w:spacing w:after="0"/>
      <w:ind w:left="284" w:hanging="284"/>
    </w:pPr>
    <w:rPr>
      <w:sz w:val="20"/>
    </w:rPr>
  </w:style>
  <w:style w:type="paragraph" w:styleId="Header">
    <w:name w:val="header"/>
    <w:basedOn w:val="Normal"/>
    <w:link w:val="HeaderChar"/>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customStyle="1" w:styleId="TOCHeading1">
    <w:name w:val="TOC Heading1"/>
    <w:basedOn w:val="Normal"/>
    <w:next w:val="Normal"/>
    <w:qFormat/>
    <w:pPr>
      <w:keepNext/>
      <w:spacing w:before="240"/>
      <w:jc w:val="center"/>
    </w:pPr>
    <w:rPr>
      <w:b/>
    </w:rPr>
  </w:style>
  <w:style w:type="paragraph" w:customStyle="1" w:styleId="Contact">
    <w:name w:val="Contact"/>
    <w:basedOn w:val="Normal"/>
    <w:next w:val="Normal"/>
    <w:uiPriority w:val="99"/>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Pr>
      <w:rFonts w:ascii="Arial" w:hAnsi="Arial"/>
      <w:sz w:val="16"/>
      <w:lang w:eastAsia="ro-RO"/>
    </w:rPr>
  </w:style>
  <w:style w:type="paragraph" w:customStyle="1" w:styleId="ZCom">
    <w:name w:val="Z_Com"/>
    <w:basedOn w:val="Normal"/>
    <w:next w:val="ZDGName"/>
    <w:uiPriority w:val="99"/>
    <w:pPr>
      <w:widowControl w:val="0"/>
      <w:autoSpaceDE w:val="0"/>
      <w:autoSpaceDN w:val="0"/>
      <w:spacing w:after="0"/>
      <w:ind w:right="85"/>
    </w:pPr>
    <w:rPr>
      <w:rFonts w:ascii="Arial"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rPr>
  </w:style>
  <w:style w:type="character" w:customStyle="1" w:styleId="HeaderChar">
    <w:name w:val="Header Char"/>
    <w:link w:val="Header"/>
    <w:rPr>
      <w:sz w:val="24"/>
      <w:lang w:eastAsia="ro-RO"/>
    </w:rPr>
  </w:style>
  <w:style w:type="paragraph" w:customStyle="1" w:styleId="Bullet1">
    <w:name w:val="Bullet 1"/>
    <w:basedOn w:val="Normal"/>
    <w:pPr>
      <w:numPr>
        <w:numId w:val="19"/>
      </w:numPr>
      <w:spacing w:before="120" w:after="120"/>
    </w:pPr>
    <w:rPr>
      <w:szCs w:val="24"/>
    </w:rPr>
  </w:style>
  <w:style w:type="paragraph" w:customStyle="1" w:styleId="Confidentialit">
    <w:name w:val="Confidentialité"/>
    <w:basedOn w:val="Normal"/>
    <w:next w:val="TypedudocumentPagedecouverture"/>
    <w:pPr>
      <w:spacing w:before="240"/>
      <w:ind w:left="5103"/>
    </w:pPr>
    <w:rPr>
      <w:i/>
      <w:sz w:val="32"/>
      <w:szCs w:val="24"/>
    </w:rPr>
  </w:style>
  <w:style w:type="paragraph" w:customStyle="1" w:styleId="Emission">
    <w:name w:val="Emission"/>
    <w:basedOn w:val="Normal"/>
    <w:next w:val="Normal"/>
    <w:pPr>
      <w:spacing w:after="0"/>
      <w:ind w:left="5103"/>
      <w:jc w:val="left"/>
    </w:pPr>
    <w:rPr>
      <w:szCs w:val="24"/>
    </w:rPr>
  </w:style>
  <w:style w:type="paragraph" w:customStyle="1" w:styleId="Nomdelinstitution">
    <w:name w:val="Nom de l'institution"/>
    <w:basedOn w:val="Normal"/>
    <w:next w:val="Emission"/>
    <w:pPr>
      <w:spacing w:after="0"/>
      <w:jc w:val="left"/>
    </w:pPr>
    <w:rPr>
      <w:rFonts w:ascii="Arial" w:hAnsi="Arial" w:cs="Arial"/>
      <w:szCs w:val="24"/>
    </w:rPr>
  </w:style>
  <w:style w:type="paragraph" w:customStyle="1" w:styleId="Pagedecouverture">
    <w:name w:val="Page de couverture"/>
    <w:basedOn w:val="Normal"/>
    <w:next w:val="Normal"/>
    <w:pPr>
      <w:spacing w:before="120" w:after="120"/>
    </w:pPr>
    <w:rPr>
      <w:szCs w:val="24"/>
    </w:rPr>
  </w:style>
  <w:style w:type="paragraph" w:customStyle="1" w:styleId="TypedudocumentPagedecouverture">
    <w:name w:val="Type du document (Page de couverture)"/>
    <w:basedOn w:val="Normal"/>
    <w:next w:val="Normal"/>
    <w:pPr>
      <w:spacing w:before="360" w:after="0"/>
      <w:jc w:val="center"/>
    </w:pPr>
    <w:rPr>
      <w:b/>
      <w:szCs w:val="24"/>
    </w:rPr>
  </w:style>
  <w:style w:type="paragraph" w:customStyle="1" w:styleId="Prliminairetype">
    <w:name w:val="Préliminaire type"/>
    <w:basedOn w:val="Normal"/>
    <w:next w:val="Normal"/>
    <w:pPr>
      <w:spacing w:before="360" w:after="0"/>
      <w:jc w:val="center"/>
    </w:pPr>
    <w:rPr>
      <w:b/>
      <w:szCs w:val="24"/>
    </w:rPr>
  </w:style>
  <w:style w:type="paragraph" w:customStyle="1" w:styleId="Rfrenceinstitutionelle">
    <w:name w:val="Référence institutionelle"/>
    <w:basedOn w:val="Normal"/>
    <w:next w:val="Normal"/>
    <w:pPr>
      <w:ind w:left="5103"/>
      <w:jc w:val="left"/>
    </w:pPr>
    <w:rPr>
      <w:szCs w:val="24"/>
    </w:rPr>
  </w:style>
  <w:style w:type="character" w:styleId="Hyperlink">
    <w:name w:val="Hyperlink"/>
    <w:uiPriority w:val="99"/>
    <w:rPr>
      <w:rFonts w:cs="Times New Roman"/>
      <w:color w:val="0000FF"/>
      <w:u w:val="single"/>
      <w:shd w:val="clear" w:color="auto" w:fill="auto"/>
    </w:rPr>
  </w:style>
  <w:style w:type="numbering" w:styleId="111111">
    <w:name w:val="Outline List 2"/>
    <w:basedOn w:val="NoList"/>
    <w:pPr>
      <w:numPr>
        <w:numId w:val="20"/>
      </w:numPr>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after="0"/>
    </w:pPr>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lang w:eastAsia="ro-RO"/>
    </w:rPr>
  </w:style>
  <w:style w:type="character" w:customStyle="1" w:styleId="Marker">
    <w:name w:val="Marker"/>
    <w:rPr>
      <w:color w:val="0000FF"/>
      <w:shd w:val="clear" w:color="auto" w:fill="auto"/>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link w:val="FooterCoverPage"/>
    <w:rPr>
      <w:sz w:val="24"/>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rPr>
      <w:sz w:val="24"/>
    </w:rPr>
  </w:style>
  <w:style w:type="character" w:styleId="FootnoteReference">
    <w:name w:val="footnote reference"/>
    <w:aliases w:val="Footnote Reference Number,Footnote Reference_LVL6,Footnote Reference_LVL61,Footnote Reference_LVL62,Footnote Reference_LVL63,Footnote Reference_LVL64,normal,Fußnotenzeichen3,Normal1,fr,SUPERS,EN Footnote Reference,number,ftref"/>
    <w:uiPriority w:val="99"/>
    <w:unhideWhenUsed/>
    <w:rPr>
      <w:vertAlign w:val="superscript"/>
    </w:rPr>
  </w:style>
  <w:style w:type="paragraph" w:customStyle="1" w:styleId="Bullet0">
    <w:name w:val="Bullet 0"/>
    <w:basedOn w:val="Normal"/>
    <w:pPr>
      <w:numPr>
        <w:numId w:val="21"/>
      </w:numPr>
      <w:spacing w:before="120" w:after="120"/>
    </w:pPr>
    <w:rPr>
      <w:szCs w:val="24"/>
    </w:rPr>
  </w:style>
  <w:style w:type="character" w:customStyle="1" w:styleId="FootnoteTextChar">
    <w:name w:val="Footnote Text Char"/>
    <w:aliases w:val="Footnote Text Char Char Char,Footnote Char,Fußnote Char,FSR footnote Char,lábléc Char,fn Char,Texto nota pie Car Char,notefranz Char,Footnote Text Char1 Char,Char Char1"/>
    <w:link w:val="FootnoteText"/>
    <w:uiPriority w:val="99"/>
    <w:rPr>
      <w:lang w:eastAsia="ro-RO"/>
    </w:rPr>
  </w:style>
  <w:style w:type="character" w:styleId="FollowedHyperlink">
    <w:name w:val="FollowedHyperlink"/>
    <w:uiPriority w:val="99"/>
    <w:semiHidden/>
    <w:unhideWhenUsed/>
    <w:rPr>
      <w:color w:val="800080"/>
      <w:u w:val="single"/>
    </w:rPr>
  </w:style>
  <w:style w:type="character" w:styleId="CommentReference">
    <w:name w:val="annotation reference"/>
    <w:uiPriority w:val="99"/>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link w:val="CommentText"/>
    <w:uiPriority w:val="99"/>
    <w:rPr>
      <w:lang w:eastAsia="ro-RO"/>
    </w:rPr>
  </w:style>
  <w:style w:type="character" w:customStyle="1" w:styleId="CommentSubjectChar">
    <w:name w:val="Comment Subject Char"/>
    <w:link w:val="CommentSubject"/>
    <w:uiPriority w:val="99"/>
    <w:semiHidden/>
    <w:rPr>
      <w:b/>
      <w:bCs/>
      <w:lang w:eastAsia="ro-RO"/>
    </w:rPr>
  </w:style>
  <w:style w:type="paragraph" w:customStyle="1" w:styleId="CM1">
    <w:name w:val="CM1"/>
    <w:basedOn w:val="Normal"/>
    <w:next w:val="Normal"/>
    <w:uiPriority w:val="99"/>
    <w:pPr>
      <w:autoSpaceDE w:val="0"/>
      <w:autoSpaceDN w:val="0"/>
      <w:adjustRightInd w:val="0"/>
      <w:spacing w:after="0"/>
      <w:jc w:val="left"/>
    </w:pPr>
    <w:rPr>
      <w:rFonts w:ascii="EUAlbertina" w:hAnsi="EUAlbertina"/>
      <w:szCs w:val="24"/>
    </w:rPr>
  </w:style>
  <w:style w:type="paragraph" w:customStyle="1" w:styleId="CM3">
    <w:name w:val="CM3"/>
    <w:basedOn w:val="Normal"/>
    <w:next w:val="Normal"/>
    <w:uiPriority w:val="99"/>
    <w:pPr>
      <w:autoSpaceDE w:val="0"/>
      <w:autoSpaceDN w:val="0"/>
      <w:adjustRightInd w:val="0"/>
      <w:spacing w:after="0"/>
      <w:jc w:val="left"/>
    </w:pPr>
    <w:rPr>
      <w:rFonts w:ascii="EUAlbertina" w:hAnsi="EUAlbertina"/>
      <w:szCs w:val="24"/>
    </w:rPr>
  </w:style>
  <w:style w:type="character" w:customStyle="1" w:styleId="Heading1Char">
    <w:name w:val="Heading 1 Char"/>
    <w:link w:val="Heading1"/>
    <w:rPr>
      <w:b/>
      <w:smallCaps/>
      <w:sz w:val="24"/>
      <w:lang w:val="ro-RO"/>
    </w:rPr>
  </w:style>
  <w:style w:type="paragraph" w:customStyle="1" w:styleId="ColorfulList-Accent11">
    <w:name w:val="Colorful List - Accent 11"/>
    <w:basedOn w:val="CommentText"/>
    <w:qFormat/>
    <w:pPr>
      <w:spacing w:before="120" w:after="120"/>
    </w:pPr>
    <w:rPr>
      <w:sz w:val="24"/>
      <w:szCs w:val="24"/>
    </w:rPr>
  </w:style>
  <w:style w:type="character" w:customStyle="1" w:styleId="Heading2Char">
    <w:name w:val="Heading 2 Char"/>
    <w:link w:val="Heading2"/>
    <w:rPr>
      <w:b/>
      <w:bCs/>
      <w:sz w:val="24"/>
      <w:lang w:val="ro-RO" w:eastAsia="ro-RO"/>
    </w:rPr>
  </w:style>
  <w:style w:type="character" w:customStyle="1" w:styleId="BookTitle1">
    <w:name w:val="Book Title1"/>
    <w:uiPriority w:val="33"/>
    <w:qFormat/>
    <w:rPr>
      <w:b/>
      <w:bCs/>
      <w:smallCaps/>
      <w:spacing w:val="5"/>
    </w:rPr>
  </w:style>
  <w:style w:type="character" w:styleId="EndnoteReference">
    <w:name w:val="endnote reference"/>
    <w:uiPriority w:val="99"/>
    <w:semiHidden/>
    <w:unhideWhenUsed/>
    <w:rPr>
      <w:vertAlign w:val="superscript"/>
    </w:rPr>
  </w:style>
  <w:style w:type="paragraph" w:customStyle="1" w:styleId="Default">
    <w:name w:val="Default"/>
    <w:pPr>
      <w:autoSpaceDE w:val="0"/>
      <w:autoSpaceDN w:val="0"/>
      <w:adjustRightInd w:val="0"/>
    </w:pPr>
    <w:rPr>
      <w:color w:val="000000"/>
      <w:sz w:val="24"/>
      <w:szCs w:val="24"/>
    </w:rPr>
  </w:style>
  <w:style w:type="paragraph" w:styleId="NormalWeb">
    <w:name w:val="Normal (Web)"/>
    <w:basedOn w:val="Normal"/>
    <w:uiPriority w:val="99"/>
    <w:semiHidden/>
    <w:unhideWhenUsed/>
    <w:rPr>
      <w:szCs w:val="24"/>
    </w:rPr>
  </w:style>
  <w:style w:type="paragraph" w:styleId="ListParagraph">
    <w:name w:val="List Paragraph"/>
    <w:basedOn w:val="Normal"/>
    <w:uiPriority w:val="34"/>
    <w:qFormat/>
    <w:pPr>
      <w:ind w:left="720"/>
    </w:pPr>
  </w:style>
  <w:style w:type="character" w:styleId="Strong">
    <w:name w:val="Strong"/>
    <w:uiPriority w:val="22"/>
    <w:qFormat/>
    <w:rPr>
      <w:b/>
      <w:bCs/>
    </w:rPr>
  </w:style>
  <w:style w:type="character" w:styleId="Emphasis">
    <w:name w:val="Emphasis"/>
    <w:uiPriority w:val="20"/>
    <w:qFormat/>
    <w:rPr>
      <w:rFonts w:ascii="Times New Roman" w:hAnsi="Times New Roman" w:cs="Times New Roman" w:hint="default"/>
      <w:i w:val="0"/>
      <w:iCs w:val="0"/>
    </w:rPr>
  </w:style>
  <w:style w:type="character" w:customStyle="1" w:styleId="FootnoteTextChar2">
    <w:name w:val="Footnote Text Char2"/>
    <w:aliases w:val="Footnote Text Char Char Char1,Footnote Char1,Fußnote Char1,FSR footnote Char1,lábléc Char1,fn Char1,Texto nota pie Car Char1,notefranz Char1,Footnote Text Char1 Char1,Char Char"/>
    <w:uiPriority w:val="99"/>
    <w:semiHidden/>
    <w:locked/>
    <w:rPr>
      <w:sz w:val="18"/>
    </w:rPr>
  </w:style>
  <w:style w:type="paragraph" w:customStyle="1" w:styleId="IndentedHeading4">
    <w:name w:val="Indented Heading 4"/>
    <w:basedOn w:val="Heading4"/>
    <w:next w:val="Normal"/>
    <w:pPr>
      <w:numPr>
        <w:numId w:val="42"/>
      </w:numPr>
      <w:tabs>
        <w:tab w:val="clear" w:pos="3447"/>
        <w:tab w:val="num" w:pos="360"/>
        <w:tab w:val="num" w:pos="851"/>
      </w:tabs>
      <w:spacing w:before="120" w:after="120" w:line="300" w:lineRule="exact"/>
      <w:ind w:left="851" w:hanging="851"/>
    </w:pPr>
    <w:rPr>
      <w:rFonts w:eastAsia="MS Mincho" w:cs="Arial"/>
      <w:i/>
      <w:iCs/>
      <w:szCs w:val="16"/>
    </w:rPr>
  </w:style>
  <w:style w:type="paragraph" w:customStyle="1" w:styleId="IndentedHeading2">
    <w:name w:val="Indented Heading 2"/>
    <w:basedOn w:val="Heading2"/>
    <w:next w:val="Normal"/>
    <w:pPr>
      <w:numPr>
        <w:numId w:val="42"/>
      </w:numPr>
      <w:tabs>
        <w:tab w:val="clear" w:pos="2007"/>
        <w:tab w:val="num" w:pos="360"/>
        <w:tab w:val="num" w:pos="851"/>
      </w:tabs>
      <w:spacing w:before="360" w:after="120" w:line="300" w:lineRule="exact"/>
      <w:ind w:left="851" w:hanging="851"/>
    </w:pPr>
    <w:rPr>
      <w:rFonts w:eastAsia="MS Mincho" w:cs="Arial"/>
      <w:iCs/>
      <w:szCs w:val="28"/>
    </w:rPr>
  </w:style>
  <w:style w:type="paragraph" w:customStyle="1" w:styleId="IndentedHeading3">
    <w:name w:val="Indented Heading 3"/>
    <w:basedOn w:val="Heading3"/>
    <w:next w:val="Normal"/>
    <w:pPr>
      <w:numPr>
        <w:numId w:val="42"/>
      </w:numPr>
      <w:tabs>
        <w:tab w:val="clear" w:pos="2727"/>
        <w:tab w:val="num" w:pos="360"/>
        <w:tab w:val="num" w:pos="851"/>
      </w:tabs>
      <w:spacing w:before="240" w:after="120" w:line="300" w:lineRule="exact"/>
      <w:ind w:left="851" w:hanging="851"/>
    </w:pPr>
    <w:rPr>
      <w:rFonts w:eastAsia="MS Mincho" w:cs="Arial"/>
      <w:b/>
      <w:bCs/>
      <w:iCs/>
      <w:szCs w:val="26"/>
    </w:rPr>
  </w:style>
  <w:style w:type="character" w:customStyle="1" w:styleId="BulletChar">
    <w:name w:val="Bullet Char"/>
    <w:link w:val="Bullet"/>
    <w:locked/>
    <w:rPr>
      <w:sz w:val="24"/>
    </w:rPr>
  </w:style>
  <w:style w:type="paragraph" w:customStyle="1" w:styleId="Bullet">
    <w:name w:val="Bullet"/>
    <w:basedOn w:val="Normal"/>
    <w:link w:val="BulletChar"/>
    <w:pPr>
      <w:numPr>
        <w:numId w:val="42"/>
      </w:numPr>
      <w:spacing w:after="120" w:line="300" w:lineRule="exact"/>
    </w:pPr>
  </w:style>
  <w:style w:type="paragraph" w:styleId="Revision">
    <w:name w:val="Revision"/>
    <w:hidden/>
    <w:uiPriority w:val="99"/>
    <w:semiHidden/>
    <w:rPr>
      <w:sz w:val="24"/>
    </w:rPr>
  </w:style>
  <w:style w:type="character" w:customStyle="1" w:styleId="FootnoteCharacters">
    <w:name w:val="Footnote Characters"/>
    <w:rPr>
      <w:vertAlign w:val="superscript"/>
    </w:rPr>
  </w:style>
  <w:style w:type="paragraph" w:customStyle="1" w:styleId="TOCHeading10">
    <w:name w:val="TOC Heading1"/>
    <w:basedOn w:val="Normal"/>
    <w:next w:val="Normal"/>
    <w:qFormat/>
    <w:pPr>
      <w:keepNext/>
      <w:spacing w:before="240"/>
      <w:jc w:val="center"/>
    </w:pPr>
    <w:rPr>
      <w:b/>
    </w:rPr>
  </w:style>
  <w:style w:type="character" w:customStyle="1" w:styleId="BookTitle10">
    <w:name w:val="Book Title1"/>
    <w:uiPriority w:val="33"/>
    <w:qFormat/>
    <w:rPr>
      <w:b/>
      <w:bCs/>
      <w:smallCaps/>
      <w:spacing w:val="5"/>
    </w:rPr>
  </w:style>
  <w:style w:type="character" w:customStyle="1" w:styleId="affairetitle">
    <w:name w:val="affaire_title"/>
    <w:basedOn w:val="DefaultParagraphFont"/>
  </w:style>
  <w:style w:type="paragraph" w:customStyle="1" w:styleId="LegalNumPar">
    <w:name w:val="LegalNumPar"/>
    <w:basedOn w:val="Normal"/>
    <w:pPr>
      <w:numPr>
        <w:numId w:val="85"/>
      </w:numPr>
    </w:pPr>
  </w:style>
  <w:style w:type="paragraph" w:customStyle="1" w:styleId="LegalNumPar2">
    <w:name w:val="LegalNumPar2"/>
    <w:basedOn w:val="Normal"/>
    <w:pPr>
      <w:numPr>
        <w:ilvl w:val="1"/>
        <w:numId w:val="85"/>
      </w:numPr>
    </w:pPr>
  </w:style>
  <w:style w:type="paragraph" w:customStyle="1" w:styleId="LegalNumPar3">
    <w:name w:val="LegalNumPar3"/>
    <w:basedOn w:val="Normal"/>
    <w:pPr>
      <w:numPr>
        <w:ilvl w:val="2"/>
        <w:numId w:val="85"/>
      </w:numPr>
    </w:pPr>
  </w:style>
  <w:style w:type="character" w:styleId="LineNumber">
    <w:name w:val="lin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210">
      <w:bodyDiv w:val="1"/>
      <w:marLeft w:val="0"/>
      <w:marRight w:val="0"/>
      <w:marTop w:val="0"/>
      <w:marBottom w:val="0"/>
      <w:divBdr>
        <w:top w:val="none" w:sz="0" w:space="0" w:color="auto"/>
        <w:left w:val="none" w:sz="0" w:space="0" w:color="auto"/>
        <w:bottom w:val="none" w:sz="0" w:space="0" w:color="auto"/>
        <w:right w:val="none" w:sz="0" w:space="0" w:color="auto"/>
      </w:divBdr>
    </w:div>
    <w:div w:id="92017296">
      <w:bodyDiv w:val="1"/>
      <w:marLeft w:val="0"/>
      <w:marRight w:val="0"/>
      <w:marTop w:val="0"/>
      <w:marBottom w:val="0"/>
      <w:divBdr>
        <w:top w:val="none" w:sz="0" w:space="0" w:color="auto"/>
        <w:left w:val="none" w:sz="0" w:space="0" w:color="auto"/>
        <w:bottom w:val="none" w:sz="0" w:space="0" w:color="auto"/>
        <w:right w:val="none" w:sz="0" w:space="0" w:color="auto"/>
      </w:divBdr>
    </w:div>
    <w:div w:id="443888823">
      <w:bodyDiv w:val="1"/>
      <w:marLeft w:val="0"/>
      <w:marRight w:val="0"/>
      <w:marTop w:val="0"/>
      <w:marBottom w:val="0"/>
      <w:divBdr>
        <w:top w:val="none" w:sz="0" w:space="0" w:color="auto"/>
        <w:left w:val="none" w:sz="0" w:space="0" w:color="auto"/>
        <w:bottom w:val="none" w:sz="0" w:space="0" w:color="auto"/>
        <w:right w:val="none" w:sz="0" w:space="0" w:color="auto"/>
      </w:divBdr>
    </w:div>
    <w:div w:id="637304363">
      <w:bodyDiv w:val="1"/>
      <w:marLeft w:val="0"/>
      <w:marRight w:val="0"/>
      <w:marTop w:val="0"/>
      <w:marBottom w:val="0"/>
      <w:divBdr>
        <w:top w:val="none" w:sz="0" w:space="0" w:color="auto"/>
        <w:left w:val="none" w:sz="0" w:space="0" w:color="auto"/>
        <w:bottom w:val="none" w:sz="0" w:space="0" w:color="auto"/>
        <w:right w:val="none" w:sz="0" w:space="0" w:color="auto"/>
      </w:divBdr>
    </w:div>
    <w:div w:id="654577874">
      <w:bodyDiv w:val="1"/>
      <w:marLeft w:val="0"/>
      <w:marRight w:val="0"/>
      <w:marTop w:val="0"/>
      <w:marBottom w:val="0"/>
      <w:divBdr>
        <w:top w:val="none" w:sz="0" w:space="0" w:color="auto"/>
        <w:left w:val="none" w:sz="0" w:space="0" w:color="auto"/>
        <w:bottom w:val="none" w:sz="0" w:space="0" w:color="auto"/>
        <w:right w:val="none" w:sz="0" w:space="0" w:color="auto"/>
      </w:divBdr>
    </w:div>
    <w:div w:id="655300944">
      <w:bodyDiv w:val="1"/>
      <w:marLeft w:val="0"/>
      <w:marRight w:val="0"/>
      <w:marTop w:val="0"/>
      <w:marBottom w:val="0"/>
      <w:divBdr>
        <w:top w:val="none" w:sz="0" w:space="0" w:color="auto"/>
        <w:left w:val="none" w:sz="0" w:space="0" w:color="auto"/>
        <w:bottom w:val="none" w:sz="0" w:space="0" w:color="auto"/>
        <w:right w:val="none" w:sz="0" w:space="0" w:color="auto"/>
      </w:divBdr>
    </w:div>
    <w:div w:id="677191716">
      <w:bodyDiv w:val="1"/>
      <w:marLeft w:val="1134"/>
      <w:marRight w:val="1134"/>
      <w:marTop w:val="0"/>
      <w:marBottom w:val="0"/>
      <w:divBdr>
        <w:top w:val="none" w:sz="0" w:space="0" w:color="auto"/>
        <w:left w:val="none" w:sz="0" w:space="0" w:color="auto"/>
        <w:bottom w:val="none" w:sz="0" w:space="0" w:color="auto"/>
        <w:right w:val="none" w:sz="0" w:space="0" w:color="auto"/>
      </w:divBdr>
      <w:divsChild>
        <w:div w:id="1068573432">
          <w:marLeft w:val="0"/>
          <w:marRight w:val="0"/>
          <w:marTop w:val="0"/>
          <w:marBottom w:val="0"/>
          <w:divBdr>
            <w:top w:val="none" w:sz="0" w:space="0" w:color="auto"/>
            <w:left w:val="none" w:sz="0" w:space="0" w:color="auto"/>
            <w:bottom w:val="none" w:sz="0" w:space="0" w:color="auto"/>
            <w:right w:val="none" w:sz="0" w:space="0" w:color="auto"/>
          </w:divBdr>
          <w:divsChild>
            <w:div w:id="1836610406">
              <w:marLeft w:val="2700"/>
              <w:marRight w:val="2250"/>
              <w:marTop w:val="600"/>
              <w:marBottom w:val="0"/>
              <w:divBdr>
                <w:top w:val="none" w:sz="0" w:space="0" w:color="auto"/>
                <w:left w:val="none" w:sz="0" w:space="0" w:color="auto"/>
                <w:bottom w:val="none" w:sz="0" w:space="0" w:color="auto"/>
                <w:right w:val="none" w:sz="0" w:space="0" w:color="auto"/>
              </w:divBdr>
              <w:divsChild>
                <w:div w:id="13066227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18041160">
      <w:bodyDiv w:val="1"/>
      <w:marLeft w:val="0"/>
      <w:marRight w:val="0"/>
      <w:marTop w:val="0"/>
      <w:marBottom w:val="0"/>
      <w:divBdr>
        <w:top w:val="none" w:sz="0" w:space="0" w:color="auto"/>
        <w:left w:val="none" w:sz="0" w:space="0" w:color="auto"/>
        <w:bottom w:val="none" w:sz="0" w:space="0" w:color="auto"/>
        <w:right w:val="none" w:sz="0" w:space="0" w:color="auto"/>
      </w:divBdr>
      <w:divsChild>
        <w:div w:id="1256597685">
          <w:marLeft w:val="547"/>
          <w:marRight w:val="0"/>
          <w:marTop w:val="86"/>
          <w:marBottom w:val="0"/>
          <w:divBdr>
            <w:top w:val="none" w:sz="0" w:space="0" w:color="auto"/>
            <w:left w:val="none" w:sz="0" w:space="0" w:color="auto"/>
            <w:bottom w:val="none" w:sz="0" w:space="0" w:color="auto"/>
            <w:right w:val="none" w:sz="0" w:space="0" w:color="auto"/>
          </w:divBdr>
        </w:div>
        <w:div w:id="2089227261">
          <w:marLeft w:val="547"/>
          <w:marRight w:val="0"/>
          <w:marTop w:val="86"/>
          <w:marBottom w:val="0"/>
          <w:divBdr>
            <w:top w:val="none" w:sz="0" w:space="0" w:color="auto"/>
            <w:left w:val="none" w:sz="0" w:space="0" w:color="auto"/>
            <w:bottom w:val="none" w:sz="0" w:space="0" w:color="auto"/>
            <w:right w:val="none" w:sz="0" w:space="0" w:color="auto"/>
          </w:divBdr>
        </w:div>
      </w:divsChild>
    </w:div>
    <w:div w:id="1018773427">
      <w:bodyDiv w:val="1"/>
      <w:marLeft w:val="0"/>
      <w:marRight w:val="0"/>
      <w:marTop w:val="0"/>
      <w:marBottom w:val="0"/>
      <w:divBdr>
        <w:top w:val="none" w:sz="0" w:space="0" w:color="auto"/>
        <w:left w:val="none" w:sz="0" w:space="0" w:color="auto"/>
        <w:bottom w:val="none" w:sz="0" w:space="0" w:color="auto"/>
        <w:right w:val="none" w:sz="0" w:space="0" w:color="auto"/>
      </w:divBdr>
    </w:div>
    <w:div w:id="1031877622">
      <w:bodyDiv w:val="1"/>
      <w:marLeft w:val="0"/>
      <w:marRight w:val="0"/>
      <w:marTop w:val="0"/>
      <w:marBottom w:val="0"/>
      <w:divBdr>
        <w:top w:val="none" w:sz="0" w:space="0" w:color="auto"/>
        <w:left w:val="none" w:sz="0" w:space="0" w:color="auto"/>
        <w:bottom w:val="none" w:sz="0" w:space="0" w:color="auto"/>
        <w:right w:val="none" w:sz="0" w:space="0" w:color="auto"/>
      </w:divBdr>
    </w:div>
    <w:div w:id="1033119742">
      <w:bodyDiv w:val="1"/>
      <w:marLeft w:val="0"/>
      <w:marRight w:val="0"/>
      <w:marTop w:val="0"/>
      <w:marBottom w:val="0"/>
      <w:divBdr>
        <w:top w:val="none" w:sz="0" w:space="0" w:color="auto"/>
        <w:left w:val="none" w:sz="0" w:space="0" w:color="auto"/>
        <w:bottom w:val="none" w:sz="0" w:space="0" w:color="auto"/>
        <w:right w:val="none" w:sz="0" w:space="0" w:color="auto"/>
      </w:divBdr>
    </w:div>
    <w:div w:id="1064329025">
      <w:bodyDiv w:val="1"/>
      <w:marLeft w:val="0"/>
      <w:marRight w:val="0"/>
      <w:marTop w:val="0"/>
      <w:marBottom w:val="0"/>
      <w:divBdr>
        <w:top w:val="none" w:sz="0" w:space="0" w:color="auto"/>
        <w:left w:val="none" w:sz="0" w:space="0" w:color="auto"/>
        <w:bottom w:val="none" w:sz="0" w:space="0" w:color="auto"/>
        <w:right w:val="none" w:sz="0" w:space="0" w:color="auto"/>
      </w:divBdr>
    </w:div>
    <w:div w:id="1076123918">
      <w:bodyDiv w:val="1"/>
      <w:marLeft w:val="0"/>
      <w:marRight w:val="0"/>
      <w:marTop w:val="0"/>
      <w:marBottom w:val="0"/>
      <w:divBdr>
        <w:top w:val="none" w:sz="0" w:space="0" w:color="auto"/>
        <w:left w:val="none" w:sz="0" w:space="0" w:color="auto"/>
        <w:bottom w:val="none" w:sz="0" w:space="0" w:color="auto"/>
        <w:right w:val="none" w:sz="0" w:space="0" w:color="auto"/>
      </w:divBdr>
    </w:div>
    <w:div w:id="1113131218">
      <w:bodyDiv w:val="1"/>
      <w:marLeft w:val="1134"/>
      <w:marRight w:val="1134"/>
      <w:marTop w:val="0"/>
      <w:marBottom w:val="0"/>
      <w:divBdr>
        <w:top w:val="none" w:sz="0" w:space="0" w:color="auto"/>
        <w:left w:val="none" w:sz="0" w:space="0" w:color="auto"/>
        <w:bottom w:val="none" w:sz="0" w:space="0" w:color="auto"/>
        <w:right w:val="none" w:sz="0" w:space="0" w:color="auto"/>
      </w:divBdr>
      <w:divsChild>
        <w:div w:id="1920677383">
          <w:marLeft w:val="0"/>
          <w:marRight w:val="0"/>
          <w:marTop w:val="0"/>
          <w:marBottom w:val="0"/>
          <w:divBdr>
            <w:top w:val="none" w:sz="0" w:space="0" w:color="auto"/>
            <w:left w:val="none" w:sz="0" w:space="0" w:color="auto"/>
            <w:bottom w:val="none" w:sz="0" w:space="0" w:color="auto"/>
            <w:right w:val="none" w:sz="0" w:space="0" w:color="auto"/>
          </w:divBdr>
          <w:divsChild>
            <w:div w:id="540290721">
              <w:marLeft w:val="2700"/>
              <w:marRight w:val="2250"/>
              <w:marTop w:val="600"/>
              <w:marBottom w:val="0"/>
              <w:divBdr>
                <w:top w:val="none" w:sz="0" w:space="0" w:color="auto"/>
                <w:left w:val="none" w:sz="0" w:space="0" w:color="auto"/>
                <w:bottom w:val="none" w:sz="0" w:space="0" w:color="auto"/>
                <w:right w:val="none" w:sz="0" w:space="0" w:color="auto"/>
              </w:divBdr>
              <w:divsChild>
                <w:div w:id="426774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39616526">
      <w:bodyDiv w:val="1"/>
      <w:marLeft w:val="0"/>
      <w:marRight w:val="0"/>
      <w:marTop w:val="0"/>
      <w:marBottom w:val="0"/>
      <w:divBdr>
        <w:top w:val="none" w:sz="0" w:space="0" w:color="auto"/>
        <w:left w:val="none" w:sz="0" w:space="0" w:color="auto"/>
        <w:bottom w:val="none" w:sz="0" w:space="0" w:color="auto"/>
        <w:right w:val="none" w:sz="0" w:space="0" w:color="auto"/>
      </w:divBdr>
    </w:div>
    <w:div w:id="1164583892">
      <w:bodyDiv w:val="1"/>
      <w:marLeft w:val="0"/>
      <w:marRight w:val="0"/>
      <w:marTop w:val="0"/>
      <w:marBottom w:val="0"/>
      <w:divBdr>
        <w:top w:val="none" w:sz="0" w:space="0" w:color="auto"/>
        <w:left w:val="none" w:sz="0" w:space="0" w:color="auto"/>
        <w:bottom w:val="none" w:sz="0" w:space="0" w:color="auto"/>
        <w:right w:val="none" w:sz="0" w:space="0" w:color="auto"/>
      </w:divBdr>
    </w:div>
    <w:div w:id="1211460841">
      <w:bodyDiv w:val="1"/>
      <w:marLeft w:val="0"/>
      <w:marRight w:val="0"/>
      <w:marTop w:val="0"/>
      <w:marBottom w:val="0"/>
      <w:divBdr>
        <w:top w:val="none" w:sz="0" w:space="0" w:color="auto"/>
        <w:left w:val="none" w:sz="0" w:space="0" w:color="auto"/>
        <w:bottom w:val="none" w:sz="0" w:space="0" w:color="auto"/>
        <w:right w:val="none" w:sz="0" w:space="0" w:color="auto"/>
      </w:divBdr>
    </w:div>
    <w:div w:id="1246572626">
      <w:bodyDiv w:val="1"/>
      <w:marLeft w:val="0"/>
      <w:marRight w:val="0"/>
      <w:marTop w:val="0"/>
      <w:marBottom w:val="0"/>
      <w:divBdr>
        <w:top w:val="none" w:sz="0" w:space="0" w:color="auto"/>
        <w:left w:val="none" w:sz="0" w:space="0" w:color="auto"/>
        <w:bottom w:val="none" w:sz="0" w:space="0" w:color="auto"/>
        <w:right w:val="none" w:sz="0" w:space="0" w:color="auto"/>
      </w:divBdr>
    </w:div>
    <w:div w:id="1267814202">
      <w:bodyDiv w:val="1"/>
      <w:marLeft w:val="1134"/>
      <w:marRight w:val="1134"/>
      <w:marTop w:val="0"/>
      <w:marBottom w:val="0"/>
      <w:divBdr>
        <w:top w:val="none" w:sz="0" w:space="0" w:color="auto"/>
        <w:left w:val="none" w:sz="0" w:space="0" w:color="auto"/>
        <w:bottom w:val="none" w:sz="0" w:space="0" w:color="auto"/>
        <w:right w:val="none" w:sz="0" w:space="0" w:color="auto"/>
      </w:divBdr>
      <w:divsChild>
        <w:div w:id="1020820287">
          <w:marLeft w:val="0"/>
          <w:marRight w:val="0"/>
          <w:marTop w:val="0"/>
          <w:marBottom w:val="0"/>
          <w:divBdr>
            <w:top w:val="none" w:sz="0" w:space="0" w:color="auto"/>
            <w:left w:val="none" w:sz="0" w:space="0" w:color="auto"/>
            <w:bottom w:val="none" w:sz="0" w:space="0" w:color="auto"/>
            <w:right w:val="none" w:sz="0" w:space="0" w:color="auto"/>
          </w:divBdr>
          <w:divsChild>
            <w:div w:id="625355831">
              <w:marLeft w:val="2700"/>
              <w:marRight w:val="2250"/>
              <w:marTop w:val="600"/>
              <w:marBottom w:val="0"/>
              <w:divBdr>
                <w:top w:val="none" w:sz="0" w:space="0" w:color="auto"/>
                <w:left w:val="none" w:sz="0" w:space="0" w:color="auto"/>
                <w:bottom w:val="none" w:sz="0" w:space="0" w:color="auto"/>
                <w:right w:val="none" w:sz="0" w:space="0" w:color="auto"/>
              </w:divBdr>
              <w:divsChild>
                <w:div w:id="8786654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271282363">
      <w:bodyDiv w:val="1"/>
      <w:marLeft w:val="0"/>
      <w:marRight w:val="0"/>
      <w:marTop w:val="0"/>
      <w:marBottom w:val="0"/>
      <w:divBdr>
        <w:top w:val="none" w:sz="0" w:space="0" w:color="auto"/>
        <w:left w:val="none" w:sz="0" w:space="0" w:color="auto"/>
        <w:bottom w:val="none" w:sz="0" w:space="0" w:color="auto"/>
        <w:right w:val="none" w:sz="0" w:space="0" w:color="auto"/>
      </w:divBdr>
    </w:div>
    <w:div w:id="1296989924">
      <w:bodyDiv w:val="1"/>
      <w:marLeft w:val="0"/>
      <w:marRight w:val="0"/>
      <w:marTop w:val="0"/>
      <w:marBottom w:val="0"/>
      <w:divBdr>
        <w:top w:val="none" w:sz="0" w:space="0" w:color="auto"/>
        <w:left w:val="none" w:sz="0" w:space="0" w:color="auto"/>
        <w:bottom w:val="none" w:sz="0" w:space="0" w:color="auto"/>
        <w:right w:val="none" w:sz="0" w:space="0" w:color="auto"/>
      </w:divBdr>
    </w:div>
    <w:div w:id="1537155038">
      <w:bodyDiv w:val="1"/>
      <w:marLeft w:val="0"/>
      <w:marRight w:val="0"/>
      <w:marTop w:val="0"/>
      <w:marBottom w:val="0"/>
      <w:divBdr>
        <w:top w:val="none" w:sz="0" w:space="0" w:color="auto"/>
        <w:left w:val="none" w:sz="0" w:space="0" w:color="auto"/>
        <w:bottom w:val="none" w:sz="0" w:space="0" w:color="auto"/>
        <w:right w:val="none" w:sz="0" w:space="0" w:color="auto"/>
      </w:divBdr>
    </w:div>
    <w:div w:id="1686244330">
      <w:bodyDiv w:val="1"/>
      <w:marLeft w:val="0"/>
      <w:marRight w:val="0"/>
      <w:marTop w:val="0"/>
      <w:marBottom w:val="0"/>
      <w:divBdr>
        <w:top w:val="none" w:sz="0" w:space="0" w:color="auto"/>
        <w:left w:val="none" w:sz="0" w:space="0" w:color="auto"/>
        <w:bottom w:val="none" w:sz="0" w:space="0" w:color="auto"/>
        <w:right w:val="none" w:sz="0" w:space="0" w:color="auto"/>
      </w:divBdr>
    </w:div>
    <w:div w:id="1709528369">
      <w:bodyDiv w:val="1"/>
      <w:marLeft w:val="0"/>
      <w:marRight w:val="0"/>
      <w:marTop w:val="0"/>
      <w:marBottom w:val="0"/>
      <w:divBdr>
        <w:top w:val="none" w:sz="0" w:space="0" w:color="auto"/>
        <w:left w:val="none" w:sz="0" w:space="0" w:color="auto"/>
        <w:bottom w:val="none" w:sz="0" w:space="0" w:color="auto"/>
        <w:right w:val="none" w:sz="0" w:space="0" w:color="auto"/>
      </w:divBdr>
    </w:div>
    <w:div w:id="1767261610">
      <w:bodyDiv w:val="1"/>
      <w:marLeft w:val="0"/>
      <w:marRight w:val="0"/>
      <w:marTop w:val="0"/>
      <w:marBottom w:val="0"/>
      <w:divBdr>
        <w:top w:val="none" w:sz="0" w:space="0" w:color="auto"/>
        <w:left w:val="none" w:sz="0" w:space="0" w:color="auto"/>
        <w:bottom w:val="none" w:sz="0" w:space="0" w:color="auto"/>
        <w:right w:val="none" w:sz="0" w:space="0" w:color="auto"/>
      </w:divBdr>
    </w:div>
    <w:div w:id="1801410804">
      <w:bodyDiv w:val="1"/>
      <w:marLeft w:val="0"/>
      <w:marRight w:val="0"/>
      <w:marTop w:val="0"/>
      <w:marBottom w:val="0"/>
      <w:divBdr>
        <w:top w:val="none" w:sz="0" w:space="0" w:color="auto"/>
        <w:left w:val="none" w:sz="0" w:space="0" w:color="auto"/>
        <w:bottom w:val="none" w:sz="0" w:space="0" w:color="auto"/>
        <w:right w:val="none" w:sz="0" w:space="0" w:color="auto"/>
      </w:divBdr>
    </w:div>
    <w:div w:id="1856915198">
      <w:bodyDiv w:val="1"/>
      <w:marLeft w:val="0"/>
      <w:marRight w:val="0"/>
      <w:marTop w:val="0"/>
      <w:marBottom w:val="0"/>
      <w:divBdr>
        <w:top w:val="none" w:sz="0" w:space="0" w:color="auto"/>
        <w:left w:val="none" w:sz="0" w:space="0" w:color="auto"/>
        <w:bottom w:val="none" w:sz="0" w:space="0" w:color="auto"/>
        <w:right w:val="none" w:sz="0" w:space="0" w:color="auto"/>
      </w:divBdr>
    </w:div>
    <w:div w:id="1923754512">
      <w:bodyDiv w:val="1"/>
      <w:marLeft w:val="0"/>
      <w:marRight w:val="0"/>
      <w:marTop w:val="0"/>
      <w:marBottom w:val="0"/>
      <w:divBdr>
        <w:top w:val="none" w:sz="0" w:space="0" w:color="auto"/>
        <w:left w:val="none" w:sz="0" w:space="0" w:color="auto"/>
        <w:bottom w:val="none" w:sz="0" w:space="0" w:color="auto"/>
        <w:right w:val="none" w:sz="0" w:space="0" w:color="auto"/>
      </w:divBdr>
    </w:div>
    <w:div w:id="1971323417">
      <w:bodyDiv w:val="1"/>
      <w:marLeft w:val="0"/>
      <w:marRight w:val="0"/>
      <w:marTop w:val="0"/>
      <w:marBottom w:val="0"/>
      <w:divBdr>
        <w:top w:val="none" w:sz="0" w:space="0" w:color="auto"/>
        <w:left w:val="none" w:sz="0" w:space="0" w:color="auto"/>
        <w:bottom w:val="none" w:sz="0" w:space="0" w:color="auto"/>
        <w:right w:val="none" w:sz="0" w:space="0" w:color="auto"/>
      </w:divBdr>
    </w:div>
    <w:div w:id="1979067369">
      <w:bodyDiv w:val="1"/>
      <w:marLeft w:val="0"/>
      <w:marRight w:val="0"/>
      <w:marTop w:val="0"/>
      <w:marBottom w:val="0"/>
      <w:divBdr>
        <w:top w:val="none" w:sz="0" w:space="0" w:color="auto"/>
        <w:left w:val="none" w:sz="0" w:space="0" w:color="auto"/>
        <w:bottom w:val="none" w:sz="0" w:space="0" w:color="auto"/>
        <w:right w:val="none" w:sz="0" w:space="0" w:color="auto"/>
      </w:divBdr>
    </w:div>
    <w:div w:id="2087993385">
      <w:bodyDiv w:val="1"/>
      <w:marLeft w:val="0"/>
      <w:marRight w:val="0"/>
      <w:marTop w:val="0"/>
      <w:marBottom w:val="0"/>
      <w:divBdr>
        <w:top w:val="none" w:sz="0" w:space="0" w:color="auto"/>
        <w:left w:val="none" w:sz="0" w:space="0" w:color="auto"/>
        <w:bottom w:val="none" w:sz="0" w:space="0" w:color="auto"/>
        <w:right w:val="none" w:sz="0" w:space="0" w:color="auto"/>
      </w:divBdr>
      <w:divsChild>
        <w:div w:id="163131326">
          <w:marLeft w:val="547"/>
          <w:marRight w:val="0"/>
          <w:marTop w:val="86"/>
          <w:marBottom w:val="0"/>
          <w:divBdr>
            <w:top w:val="none" w:sz="0" w:space="0" w:color="auto"/>
            <w:left w:val="none" w:sz="0" w:space="0" w:color="auto"/>
            <w:bottom w:val="none" w:sz="0" w:space="0" w:color="auto"/>
            <w:right w:val="none" w:sz="0" w:space="0" w:color="auto"/>
          </w:divBdr>
        </w:div>
        <w:div w:id="2002855411">
          <w:marLeft w:val="547"/>
          <w:marRight w:val="0"/>
          <w:marTop w:val="86"/>
          <w:marBottom w:val="0"/>
          <w:divBdr>
            <w:top w:val="none" w:sz="0" w:space="0" w:color="auto"/>
            <w:left w:val="none" w:sz="0" w:space="0" w:color="auto"/>
            <w:bottom w:val="none" w:sz="0" w:space="0" w:color="auto"/>
            <w:right w:val="none" w:sz="0" w:space="0" w:color="auto"/>
          </w:divBdr>
        </w:div>
      </w:divsChild>
    </w:div>
    <w:div w:id="2104567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3BC50-3B00-4826-ADBF-2F1ABADF3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8</TotalTime>
  <Pages>4</Pages>
  <Words>1936</Words>
  <Characters>11135</Characters>
  <Application>Microsoft Office Word</Application>
  <DocSecurity>0</DocSecurity>
  <PresentationFormat>Microsoft Word 14.0</PresentationFormat>
  <Lines>140</Lines>
  <Paragraphs>39</Paragraphs>
  <ScaleCrop>false</ScaleCrop>
  <HeadingPairs>
    <vt:vector size="2" baseType="variant">
      <vt:variant>
        <vt:lpstr>Title</vt:lpstr>
      </vt:variant>
      <vt:variant>
        <vt:i4>1</vt:i4>
      </vt:variant>
    </vt:vector>
  </HeadingPairs>
  <TitlesOfParts>
    <vt:vector size="1" baseType="lpstr">
      <vt:lpstr>28082015 Impact Assessment for CCP recovery and resolution proposal</vt:lpstr>
    </vt:vector>
  </TitlesOfParts>
  <Manager/>
  <Company/>
  <LinksUpToDate>false</LinksUpToDate>
  <CharactersWithSpaces>13032</CharactersWithSpaces>
  <SharedDoc>false</SharedDoc>
  <HLinks>
    <vt:vector size="606" baseType="variant">
      <vt:variant>
        <vt:i4>1900559</vt:i4>
      </vt:variant>
      <vt:variant>
        <vt:i4>264</vt:i4>
      </vt:variant>
      <vt:variant>
        <vt:i4>0</vt:i4>
      </vt:variant>
      <vt:variant>
        <vt:i4>5</vt:i4>
      </vt:variant>
      <vt:variant>
        <vt:lpwstr>http://www.bis.org/press/p140901.htm</vt:lpwstr>
      </vt:variant>
      <vt:variant>
        <vt:lpwstr/>
      </vt:variant>
      <vt:variant>
        <vt:i4>1179697</vt:i4>
      </vt:variant>
      <vt:variant>
        <vt:i4>248</vt:i4>
      </vt:variant>
      <vt:variant>
        <vt:i4>0</vt:i4>
      </vt:variant>
      <vt:variant>
        <vt:i4>5</vt:i4>
      </vt:variant>
      <vt:variant>
        <vt:lpwstr/>
      </vt:variant>
      <vt:variant>
        <vt:lpwstr>_Toc412736457</vt:lpwstr>
      </vt:variant>
      <vt:variant>
        <vt:i4>1179697</vt:i4>
      </vt:variant>
      <vt:variant>
        <vt:i4>242</vt:i4>
      </vt:variant>
      <vt:variant>
        <vt:i4>0</vt:i4>
      </vt:variant>
      <vt:variant>
        <vt:i4>5</vt:i4>
      </vt:variant>
      <vt:variant>
        <vt:lpwstr/>
      </vt:variant>
      <vt:variant>
        <vt:lpwstr>_Toc412736456</vt:lpwstr>
      </vt:variant>
      <vt:variant>
        <vt:i4>1179697</vt:i4>
      </vt:variant>
      <vt:variant>
        <vt:i4>236</vt:i4>
      </vt:variant>
      <vt:variant>
        <vt:i4>0</vt:i4>
      </vt:variant>
      <vt:variant>
        <vt:i4>5</vt:i4>
      </vt:variant>
      <vt:variant>
        <vt:lpwstr/>
      </vt:variant>
      <vt:variant>
        <vt:lpwstr>_Toc412736455</vt:lpwstr>
      </vt:variant>
      <vt:variant>
        <vt:i4>1179697</vt:i4>
      </vt:variant>
      <vt:variant>
        <vt:i4>230</vt:i4>
      </vt:variant>
      <vt:variant>
        <vt:i4>0</vt:i4>
      </vt:variant>
      <vt:variant>
        <vt:i4>5</vt:i4>
      </vt:variant>
      <vt:variant>
        <vt:lpwstr/>
      </vt:variant>
      <vt:variant>
        <vt:lpwstr>_Toc412736454</vt:lpwstr>
      </vt:variant>
      <vt:variant>
        <vt:i4>1179697</vt:i4>
      </vt:variant>
      <vt:variant>
        <vt:i4>224</vt:i4>
      </vt:variant>
      <vt:variant>
        <vt:i4>0</vt:i4>
      </vt:variant>
      <vt:variant>
        <vt:i4>5</vt:i4>
      </vt:variant>
      <vt:variant>
        <vt:lpwstr/>
      </vt:variant>
      <vt:variant>
        <vt:lpwstr>_Toc412736453</vt:lpwstr>
      </vt:variant>
      <vt:variant>
        <vt:i4>1179697</vt:i4>
      </vt:variant>
      <vt:variant>
        <vt:i4>218</vt:i4>
      </vt:variant>
      <vt:variant>
        <vt:i4>0</vt:i4>
      </vt:variant>
      <vt:variant>
        <vt:i4>5</vt:i4>
      </vt:variant>
      <vt:variant>
        <vt:lpwstr/>
      </vt:variant>
      <vt:variant>
        <vt:lpwstr>_Toc412736452</vt:lpwstr>
      </vt:variant>
      <vt:variant>
        <vt:i4>1179697</vt:i4>
      </vt:variant>
      <vt:variant>
        <vt:i4>212</vt:i4>
      </vt:variant>
      <vt:variant>
        <vt:i4>0</vt:i4>
      </vt:variant>
      <vt:variant>
        <vt:i4>5</vt:i4>
      </vt:variant>
      <vt:variant>
        <vt:lpwstr/>
      </vt:variant>
      <vt:variant>
        <vt:lpwstr>_Toc412736451</vt:lpwstr>
      </vt:variant>
      <vt:variant>
        <vt:i4>1179697</vt:i4>
      </vt:variant>
      <vt:variant>
        <vt:i4>206</vt:i4>
      </vt:variant>
      <vt:variant>
        <vt:i4>0</vt:i4>
      </vt:variant>
      <vt:variant>
        <vt:i4>5</vt:i4>
      </vt:variant>
      <vt:variant>
        <vt:lpwstr/>
      </vt:variant>
      <vt:variant>
        <vt:lpwstr>_Toc412736450</vt:lpwstr>
      </vt:variant>
      <vt:variant>
        <vt:i4>1245233</vt:i4>
      </vt:variant>
      <vt:variant>
        <vt:i4>200</vt:i4>
      </vt:variant>
      <vt:variant>
        <vt:i4>0</vt:i4>
      </vt:variant>
      <vt:variant>
        <vt:i4>5</vt:i4>
      </vt:variant>
      <vt:variant>
        <vt:lpwstr/>
      </vt:variant>
      <vt:variant>
        <vt:lpwstr>_Toc412736449</vt:lpwstr>
      </vt:variant>
      <vt:variant>
        <vt:i4>1245233</vt:i4>
      </vt:variant>
      <vt:variant>
        <vt:i4>194</vt:i4>
      </vt:variant>
      <vt:variant>
        <vt:i4>0</vt:i4>
      </vt:variant>
      <vt:variant>
        <vt:i4>5</vt:i4>
      </vt:variant>
      <vt:variant>
        <vt:lpwstr/>
      </vt:variant>
      <vt:variant>
        <vt:lpwstr>_Toc412736448</vt:lpwstr>
      </vt:variant>
      <vt:variant>
        <vt:i4>1245233</vt:i4>
      </vt:variant>
      <vt:variant>
        <vt:i4>188</vt:i4>
      </vt:variant>
      <vt:variant>
        <vt:i4>0</vt:i4>
      </vt:variant>
      <vt:variant>
        <vt:i4>5</vt:i4>
      </vt:variant>
      <vt:variant>
        <vt:lpwstr/>
      </vt:variant>
      <vt:variant>
        <vt:lpwstr>_Toc412736447</vt:lpwstr>
      </vt:variant>
      <vt:variant>
        <vt:i4>1245233</vt:i4>
      </vt:variant>
      <vt:variant>
        <vt:i4>182</vt:i4>
      </vt:variant>
      <vt:variant>
        <vt:i4>0</vt:i4>
      </vt:variant>
      <vt:variant>
        <vt:i4>5</vt:i4>
      </vt:variant>
      <vt:variant>
        <vt:lpwstr/>
      </vt:variant>
      <vt:variant>
        <vt:lpwstr>_Toc412736446</vt:lpwstr>
      </vt:variant>
      <vt:variant>
        <vt:i4>1245233</vt:i4>
      </vt:variant>
      <vt:variant>
        <vt:i4>176</vt:i4>
      </vt:variant>
      <vt:variant>
        <vt:i4>0</vt:i4>
      </vt:variant>
      <vt:variant>
        <vt:i4>5</vt:i4>
      </vt:variant>
      <vt:variant>
        <vt:lpwstr/>
      </vt:variant>
      <vt:variant>
        <vt:lpwstr>_Toc412736445</vt:lpwstr>
      </vt:variant>
      <vt:variant>
        <vt:i4>1245233</vt:i4>
      </vt:variant>
      <vt:variant>
        <vt:i4>170</vt:i4>
      </vt:variant>
      <vt:variant>
        <vt:i4>0</vt:i4>
      </vt:variant>
      <vt:variant>
        <vt:i4>5</vt:i4>
      </vt:variant>
      <vt:variant>
        <vt:lpwstr/>
      </vt:variant>
      <vt:variant>
        <vt:lpwstr>_Toc412736444</vt:lpwstr>
      </vt:variant>
      <vt:variant>
        <vt:i4>1245233</vt:i4>
      </vt:variant>
      <vt:variant>
        <vt:i4>164</vt:i4>
      </vt:variant>
      <vt:variant>
        <vt:i4>0</vt:i4>
      </vt:variant>
      <vt:variant>
        <vt:i4>5</vt:i4>
      </vt:variant>
      <vt:variant>
        <vt:lpwstr/>
      </vt:variant>
      <vt:variant>
        <vt:lpwstr>_Toc412736443</vt:lpwstr>
      </vt:variant>
      <vt:variant>
        <vt:i4>1245233</vt:i4>
      </vt:variant>
      <vt:variant>
        <vt:i4>158</vt:i4>
      </vt:variant>
      <vt:variant>
        <vt:i4>0</vt:i4>
      </vt:variant>
      <vt:variant>
        <vt:i4>5</vt:i4>
      </vt:variant>
      <vt:variant>
        <vt:lpwstr/>
      </vt:variant>
      <vt:variant>
        <vt:lpwstr>_Toc412736442</vt:lpwstr>
      </vt:variant>
      <vt:variant>
        <vt:i4>1245233</vt:i4>
      </vt:variant>
      <vt:variant>
        <vt:i4>152</vt:i4>
      </vt:variant>
      <vt:variant>
        <vt:i4>0</vt:i4>
      </vt:variant>
      <vt:variant>
        <vt:i4>5</vt:i4>
      </vt:variant>
      <vt:variant>
        <vt:lpwstr/>
      </vt:variant>
      <vt:variant>
        <vt:lpwstr>_Toc412736441</vt:lpwstr>
      </vt:variant>
      <vt:variant>
        <vt:i4>1245233</vt:i4>
      </vt:variant>
      <vt:variant>
        <vt:i4>146</vt:i4>
      </vt:variant>
      <vt:variant>
        <vt:i4>0</vt:i4>
      </vt:variant>
      <vt:variant>
        <vt:i4>5</vt:i4>
      </vt:variant>
      <vt:variant>
        <vt:lpwstr/>
      </vt:variant>
      <vt:variant>
        <vt:lpwstr>_Toc412736440</vt:lpwstr>
      </vt:variant>
      <vt:variant>
        <vt:i4>1310769</vt:i4>
      </vt:variant>
      <vt:variant>
        <vt:i4>140</vt:i4>
      </vt:variant>
      <vt:variant>
        <vt:i4>0</vt:i4>
      </vt:variant>
      <vt:variant>
        <vt:i4>5</vt:i4>
      </vt:variant>
      <vt:variant>
        <vt:lpwstr/>
      </vt:variant>
      <vt:variant>
        <vt:lpwstr>_Toc412736439</vt:lpwstr>
      </vt:variant>
      <vt:variant>
        <vt:i4>1310769</vt:i4>
      </vt:variant>
      <vt:variant>
        <vt:i4>134</vt:i4>
      </vt:variant>
      <vt:variant>
        <vt:i4>0</vt:i4>
      </vt:variant>
      <vt:variant>
        <vt:i4>5</vt:i4>
      </vt:variant>
      <vt:variant>
        <vt:lpwstr/>
      </vt:variant>
      <vt:variant>
        <vt:lpwstr>_Toc412736438</vt:lpwstr>
      </vt:variant>
      <vt:variant>
        <vt:i4>1310769</vt:i4>
      </vt:variant>
      <vt:variant>
        <vt:i4>128</vt:i4>
      </vt:variant>
      <vt:variant>
        <vt:i4>0</vt:i4>
      </vt:variant>
      <vt:variant>
        <vt:i4>5</vt:i4>
      </vt:variant>
      <vt:variant>
        <vt:lpwstr/>
      </vt:variant>
      <vt:variant>
        <vt:lpwstr>_Toc412736437</vt:lpwstr>
      </vt:variant>
      <vt:variant>
        <vt:i4>1310769</vt:i4>
      </vt:variant>
      <vt:variant>
        <vt:i4>122</vt:i4>
      </vt:variant>
      <vt:variant>
        <vt:i4>0</vt:i4>
      </vt:variant>
      <vt:variant>
        <vt:i4>5</vt:i4>
      </vt:variant>
      <vt:variant>
        <vt:lpwstr/>
      </vt:variant>
      <vt:variant>
        <vt:lpwstr>_Toc412736435</vt:lpwstr>
      </vt:variant>
      <vt:variant>
        <vt:i4>1310769</vt:i4>
      </vt:variant>
      <vt:variant>
        <vt:i4>116</vt:i4>
      </vt:variant>
      <vt:variant>
        <vt:i4>0</vt:i4>
      </vt:variant>
      <vt:variant>
        <vt:i4>5</vt:i4>
      </vt:variant>
      <vt:variant>
        <vt:lpwstr/>
      </vt:variant>
      <vt:variant>
        <vt:lpwstr>_Toc412736434</vt:lpwstr>
      </vt:variant>
      <vt:variant>
        <vt:i4>1310769</vt:i4>
      </vt:variant>
      <vt:variant>
        <vt:i4>110</vt:i4>
      </vt:variant>
      <vt:variant>
        <vt:i4>0</vt:i4>
      </vt:variant>
      <vt:variant>
        <vt:i4>5</vt:i4>
      </vt:variant>
      <vt:variant>
        <vt:lpwstr/>
      </vt:variant>
      <vt:variant>
        <vt:lpwstr>_Toc412736433</vt:lpwstr>
      </vt:variant>
      <vt:variant>
        <vt:i4>1310769</vt:i4>
      </vt:variant>
      <vt:variant>
        <vt:i4>104</vt:i4>
      </vt:variant>
      <vt:variant>
        <vt:i4>0</vt:i4>
      </vt:variant>
      <vt:variant>
        <vt:i4>5</vt:i4>
      </vt:variant>
      <vt:variant>
        <vt:lpwstr/>
      </vt:variant>
      <vt:variant>
        <vt:lpwstr>_Toc412736432</vt:lpwstr>
      </vt:variant>
      <vt:variant>
        <vt:i4>1310769</vt:i4>
      </vt:variant>
      <vt:variant>
        <vt:i4>98</vt:i4>
      </vt:variant>
      <vt:variant>
        <vt:i4>0</vt:i4>
      </vt:variant>
      <vt:variant>
        <vt:i4>5</vt:i4>
      </vt:variant>
      <vt:variant>
        <vt:lpwstr/>
      </vt:variant>
      <vt:variant>
        <vt:lpwstr>_Toc412736431</vt:lpwstr>
      </vt:variant>
      <vt:variant>
        <vt:i4>1310769</vt:i4>
      </vt:variant>
      <vt:variant>
        <vt:i4>92</vt:i4>
      </vt:variant>
      <vt:variant>
        <vt:i4>0</vt:i4>
      </vt:variant>
      <vt:variant>
        <vt:i4>5</vt:i4>
      </vt:variant>
      <vt:variant>
        <vt:lpwstr/>
      </vt:variant>
      <vt:variant>
        <vt:lpwstr>_Toc412736430</vt:lpwstr>
      </vt:variant>
      <vt:variant>
        <vt:i4>1376305</vt:i4>
      </vt:variant>
      <vt:variant>
        <vt:i4>86</vt:i4>
      </vt:variant>
      <vt:variant>
        <vt:i4>0</vt:i4>
      </vt:variant>
      <vt:variant>
        <vt:i4>5</vt:i4>
      </vt:variant>
      <vt:variant>
        <vt:lpwstr/>
      </vt:variant>
      <vt:variant>
        <vt:lpwstr>_Toc412736429</vt:lpwstr>
      </vt:variant>
      <vt:variant>
        <vt:i4>1376305</vt:i4>
      </vt:variant>
      <vt:variant>
        <vt:i4>80</vt:i4>
      </vt:variant>
      <vt:variant>
        <vt:i4>0</vt:i4>
      </vt:variant>
      <vt:variant>
        <vt:i4>5</vt:i4>
      </vt:variant>
      <vt:variant>
        <vt:lpwstr/>
      </vt:variant>
      <vt:variant>
        <vt:lpwstr>_Toc412736425</vt:lpwstr>
      </vt:variant>
      <vt:variant>
        <vt:i4>1376305</vt:i4>
      </vt:variant>
      <vt:variant>
        <vt:i4>74</vt:i4>
      </vt:variant>
      <vt:variant>
        <vt:i4>0</vt:i4>
      </vt:variant>
      <vt:variant>
        <vt:i4>5</vt:i4>
      </vt:variant>
      <vt:variant>
        <vt:lpwstr/>
      </vt:variant>
      <vt:variant>
        <vt:lpwstr>_Toc412736424</vt:lpwstr>
      </vt:variant>
      <vt:variant>
        <vt:i4>1376305</vt:i4>
      </vt:variant>
      <vt:variant>
        <vt:i4>68</vt:i4>
      </vt:variant>
      <vt:variant>
        <vt:i4>0</vt:i4>
      </vt:variant>
      <vt:variant>
        <vt:i4>5</vt:i4>
      </vt:variant>
      <vt:variant>
        <vt:lpwstr/>
      </vt:variant>
      <vt:variant>
        <vt:lpwstr>_Toc412736423</vt:lpwstr>
      </vt:variant>
      <vt:variant>
        <vt:i4>1376305</vt:i4>
      </vt:variant>
      <vt:variant>
        <vt:i4>62</vt:i4>
      </vt:variant>
      <vt:variant>
        <vt:i4>0</vt:i4>
      </vt:variant>
      <vt:variant>
        <vt:i4>5</vt:i4>
      </vt:variant>
      <vt:variant>
        <vt:lpwstr/>
      </vt:variant>
      <vt:variant>
        <vt:lpwstr>_Toc412736422</vt:lpwstr>
      </vt:variant>
      <vt:variant>
        <vt:i4>1376305</vt:i4>
      </vt:variant>
      <vt:variant>
        <vt:i4>56</vt:i4>
      </vt:variant>
      <vt:variant>
        <vt:i4>0</vt:i4>
      </vt:variant>
      <vt:variant>
        <vt:i4>5</vt:i4>
      </vt:variant>
      <vt:variant>
        <vt:lpwstr/>
      </vt:variant>
      <vt:variant>
        <vt:lpwstr>_Toc412736421</vt:lpwstr>
      </vt:variant>
      <vt:variant>
        <vt:i4>1376305</vt:i4>
      </vt:variant>
      <vt:variant>
        <vt:i4>50</vt:i4>
      </vt:variant>
      <vt:variant>
        <vt:i4>0</vt:i4>
      </vt:variant>
      <vt:variant>
        <vt:i4>5</vt:i4>
      </vt:variant>
      <vt:variant>
        <vt:lpwstr/>
      </vt:variant>
      <vt:variant>
        <vt:lpwstr>_Toc412736420</vt:lpwstr>
      </vt:variant>
      <vt:variant>
        <vt:i4>1441841</vt:i4>
      </vt:variant>
      <vt:variant>
        <vt:i4>44</vt:i4>
      </vt:variant>
      <vt:variant>
        <vt:i4>0</vt:i4>
      </vt:variant>
      <vt:variant>
        <vt:i4>5</vt:i4>
      </vt:variant>
      <vt:variant>
        <vt:lpwstr/>
      </vt:variant>
      <vt:variant>
        <vt:lpwstr>_Toc412736418</vt:lpwstr>
      </vt:variant>
      <vt:variant>
        <vt:i4>1441841</vt:i4>
      </vt:variant>
      <vt:variant>
        <vt:i4>38</vt:i4>
      </vt:variant>
      <vt:variant>
        <vt:i4>0</vt:i4>
      </vt:variant>
      <vt:variant>
        <vt:i4>5</vt:i4>
      </vt:variant>
      <vt:variant>
        <vt:lpwstr/>
      </vt:variant>
      <vt:variant>
        <vt:lpwstr>_Toc412736417</vt:lpwstr>
      </vt:variant>
      <vt:variant>
        <vt:i4>1441841</vt:i4>
      </vt:variant>
      <vt:variant>
        <vt:i4>32</vt:i4>
      </vt:variant>
      <vt:variant>
        <vt:i4>0</vt:i4>
      </vt:variant>
      <vt:variant>
        <vt:i4>5</vt:i4>
      </vt:variant>
      <vt:variant>
        <vt:lpwstr/>
      </vt:variant>
      <vt:variant>
        <vt:lpwstr>_Toc412736416</vt:lpwstr>
      </vt:variant>
      <vt:variant>
        <vt:i4>1441841</vt:i4>
      </vt:variant>
      <vt:variant>
        <vt:i4>26</vt:i4>
      </vt:variant>
      <vt:variant>
        <vt:i4>0</vt:i4>
      </vt:variant>
      <vt:variant>
        <vt:i4>5</vt:i4>
      </vt:variant>
      <vt:variant>
        <vt:lpwstr/>
      </vt:variant>
      <vt:variant>
        <vt:lpwstr>_Toc412736415</vt:lpwstr>
      </vt:variant>
      <vt:variant>
        <vt:i4>1441841</vt:i4>
      </vt:variant>
      <vt:variant>
        <vt:i4>20</vt:i4>
      </vt:variant>
      <vt:variant>
        <vt:i4>0</vt:i4>
      </vt:variant>
      <vt:variant>
        <vt:i4>5</vt:i4>
      </vt:variant>
      <vt:variant>
        <vt:lpwstr/>
      </vt:variant>
      <vt:variant>
        <vt:lpwstr>_Toc412736414</vt:lpwstr>
      </vt:variant>
      <vt:variant>
        <vt:i4>1441841</vt:i4>
      </vt:variant>
      <vt:variant>
        <vt:i4>14</vt:i4>
      </vt:variant>
      <vt:variant>
        <vt:i4>0</vt:i4>
      </vt:variant>
      <vt:variant>
        <vt:i4>5</vt:i4>
      </vt:variant>
      <vt:variant>
        <vt:lpwstr/>
      </vt:variant>
      <vt:variant>
        <vt:lpwstr>_Toc412736412</vt:lpwstr>
      </vt:variant>
      <vt:variant>
        <vt:i4>1441841</vt:i4>
      </vt:variant>
      <vt:variant>
        <vt:i4>8</vt:i4>
      </vt:variant>
      <vt:variant>
        <vt:i4>0</vt:i4>
      </vt:variant>
      <vt:variant>
        <vt:i4>5</vt:i4>
      </vt:variant>
      <vt:variant>
        <vt:lpwstr/>
      </vt:variant>
      <vt:variant>
        <vt:lpwstr>_Toc412736411</vt:lpwstr>
      </vt:variant>
      <vt:variant>
        <vt:i4>1441841</vt:i4>
      </vt:variant>
      <vt:variant>
        <vt:i4>2</vt:i4>
      </vt:variant>
      <vt:variant>
        <vt:i4>0</vt:i4>
      </vt:variant>
      <vt:variant>
        <vt:i4>5</vt:i4>
      </vt:variant>
      <vt:variant>
        <vt:lpwstr/>
      </vt:variant>
      <vt:variant>
        <vt:lpwstr>_Toc412736410</vt:lpwstr>
      </vt:variant>
      <vt:variant>
        <vt:i4>8061028</vt:i4>
      </vt:variant>
      <vt:variant>
        <vt:i4>195</vt:i4>
      </vt:variant>
      <vt:variant>
        <vt:i4>0</vt:i4>
      </vt:variant>
      <vt:variant>
        <vt:i4>5</vt:i4>
      </vt:variant>
      <vt:variant>
        <vt:lpwstr>http://www.chicagofed.org/digital_assets/others/events/2014/annual_over_the_counter_derivatives_symposium/tucker_clearinghouses_new_central_banks_tucker_2014.pdf</vt:lpwstr>
      </vt:variant>
      <vt:variant>
        <vt:lpwstr/>
      </vt:variant>
      <vt:variant>
        <vt:i4>524318</vt:i4>
      </vt:variant>
      <vt:variant>
        <vt:i4>192</vt:i4>
      </vt:variant>
      <vt:variant>
        <vt:i4>0</vt:i4>
      </vt:variant>
      <vt:variant>
        <vt:i4>5</vt:i4>
      </vt:variant>
      <vt:variant>
        <vt:lpwstr>http://ec.europa.eu/internal_market/consultations/2012/nonbanks_en.htm</vt:lpwstr>
      </vt:variant>
      <vt:variant>
        <vt:lpwstr/>
      </vt:variant>
      <vt:variant>
        <vt:i4>5111819</vt:i4>
      </vt:variant>
      <vt:variant>
        <vt:i4>189</vt:i4>
      </vt:variant>
      <vt:variant>
        <vt:i4>0</vt:i4>
      </vt:variant>
      <vt:variant>
        <vt:i4>5</vt:i4>
      </vt:variant>
      <vt:variant>
        <vt:lpwstr>http://www2.isda.org/attachment/NTc5Nw==/CCP_loss_allocation_waterfall_0807.pdf</vt:lpwstr>
      </vt:variant>
      <vt:variant>
        <vt:lpwstr/>
      </vt:variant>
      <vt:variant>
        <vt:i4>5111819</vt:i4>
      </vt:variant>
      <vt:variant>
        <vt:i4>186</vt:i4>
      </vt:variant>
      <vt:variant>
        <vt:i4>0</vt:i4>
      </vt:variant>
      <vt:variant>
        <vt:i4>5</vt:i4>
      </vt:variant>
      <vt:variant>
        <vt:lpwstr>http://www2.isda.org/attachment/NTc5Nw==/CCP_loss_allocation_waterfall_0807.pdf</vt:lpwstr>
      </vt:variant>
      <vt:variant>
        <vt:lpwstr/>
      </vt:variant>
      <vt:variant>
        <vt:i4>4587545</vt:i4>
      </vt:variant>
      <vt:variant>
        <vt:i4>183</vt:i4>
      </vt:variant>
      <vt:variant>
        <vt:i4>0</vt:i4>
      </vt:variant>
      <vt:variant>
        <vt:i4>5</vt:i4>
      </vt:variant>
      <vt:variant>
        <vt:lpwstr>http://www.financialstabilityboard.org/publications/c_131025_1.htm</vt:lpwstr>
      </vt:variant>
      <vt:variant>
        <vt:lpwstr/>
      </vt:variant>
      <vt:variant>
        <vt:i4>4653075</vt:i4>
      </vt:variant>
      <vt:variant>
        <vt:i4>180</vt:i4>
      </vt:variant>
      <vt:variant>
        <vt:i4>0</vt:i4>
      </vt:variant>
      <vt:variant>
        <vt:i4>5</vt:i4>
      </vt:variant>
      <vt:variant>
        <vt:lpwstr>http://www.imf.org/external/pubs/ft/gfsr/2010/01/</vt:lpwstr>
      </vt:variant>
      <vt:variant>
        <vt:lpwstr/>
      </vt:variant>
      <vt:variant>
        <vt:i4>327800</vt:i4>
      </vt:variant>
      <vt:variant>
        <vt:i4>177</vt:i4>
      </vt:variant>
      <vt:variant>
        <vt:i4>0</vt:i4>
      </vt:variant>
      <vt:variant>
        <vt:i4>5</vt:i4>
      </vt:variant>
      <vt:variant>
        <vt:lpwstr>http://www.bankofengland.co.uk/publications/Pages/fsr/fs_paper19.aspx</vt:lpwstr>
      </vt:variant>
      <vt:variant>
        <vt:lpwstr/>
      </vt:variant>
      <vt:variant>
        <vt:i4>1835009</vt:i4>
      </vt:variant>
      <vt:variant>
        <vt:i4>174</vt:i4>
      </vt:variant>
      <vt:variant>
        <vt:i4>0</vt:i4>
      </vt:variant>
      <vt:variant>
        <vt:i4>5</vt:i4>
      </vt:variant>
      <vt:variant>
        <vt:lpwstr>http://ec.europa.eu/internal_market/securities/isd/mifid2/index_en.htm</vt:lpwstr>
      </vt:variant>
      <vt:variant>
        <vt:lpwstr/>
      </vt:variant>
      <vt:variant>
        <vt:i4>3997759</vt:i4>
      </vt:variant>
      <vt:variant>
        <vt:i4>171</vt:i4>
      </vt:variant>
      <vt:variant>
        <vt:i4>0</vt:i4>
      </vt:variant>
      <vt:variant>
        <vt:i4>5</vt:i4>
      </vt:variant>
      <vt:variant>
        <vt:lpwstr>http://ec.europa.eu/internal_market/finances/docs/general/20140515-erfra-working-document_en.pdf</vt:lpwstr>
      </vt:variant>
      <vt:variant>
        <vt:lpwstr/>
      </vt:variant>
      <vt:variant>
        <vt:i4>7078014</vt:i4>
      </vt:variant>
      <vt:variant>
        <vt:i4>168</vt:i4>
      </vt:variant>
      <vt:variant>
        <vt:i4>0</vt:i4>
      </vt:variant>
      <vt:variant>
        <vt:i4>5</vt:i4>
      </vt:variant>
      <vt:variant>
        <vt:lpwstr>http://www.ecb.europa.eu/press/key/date/2014/html/sp140917.en.html</vt:lpwstr>
      </vt:variant>
      <vt:variant>
        <vt:lpwstr/>
      </vt:variant>
      <vt:variant>
        <vt:i4>4063268</vt:i4>
      </vt:variant>
      <vt:variant>
        <vt:i4>165</vt:i4>
      </vt:variant>
      <vt:variant>
        <vt:i4>0</vt:i4>
      </vt:variant>
      <vt:variant>
        <vt:i4>5</vt:i4>
      </vt:variant>
      <vt:variant>
        <vt:lpwstr>http://www.bankofengland.co.uk/publications/Documents/fsr/2013/fsrfull1306.pdf</vt:lpwstr>
      </vt:variant>
      <vt:variant>
        <vt:lpwstr/>
      </vt:variant>
      <vt:variant>
        <vt:i4>7995489</vt:i4>
      </vt:variant>
      <vt:variant>
        <vt:i4>162</vt:i4>
      </vt:variant>
      <vt:variant>
        <vt:i4>0</vt:i4>
      </vt:variant>
      <vt:variant>
        <vt:i4>5</vt:i4>
      </vt:variant>
      <vt:variant>
        <vt:lpwstr>http://www2.isda.org/functional-areas/research/studies/</vt:lpwstr>
      </vt:variant>
      <vt:variant>
        <vt:lpwstr/>
      </vt:variant>
      <vt:variant>
        <vt:i4>4587605</vt:i4>
      </vt:variant>
      <vt:variant>
        <vt:i4>159</vt:i4>
      </vt:variant>
      <vt:variant>
        <vt:i4>0</vt:i4>
      </vt:variant>
      <vt:variant>
        <vt:i4>5</vt:i4>
      </vt:variant>
      <vt:variant>
        <vt:lpwstr>http://www.bis.org/statistics/dt1920a.pdf</vt:lpwstr>
      </vt:variant>
      <vt:variant>
        <vt:lpwstr/>
      </vt:variant>
      <vt:variant>
        <vt:i4>3276901</vt:i4>
      </vt:variant>
      <vt:variant>
        <vt:i4>156</vt:i4>
      </vt:variant>
      <vt:variant>
        <vt:i4>0</vt:i4>
      </vt:variant>
      <vt:variant>
        <vt:i4>5</vt:i4>
      </vt:variant>
      <vt:variant>
        <vt:lpwstr>http://www.bis.org/</vt:lpwstr>
      </vt:variant>
      <vt:variant>
        <vt:lpwstr/>
      </vt:variant>
      <vt:variant>
        <vt:i4>7602285</vt:i4>
      </vt:variant>
      <vt:variant>
        <vt:i4>153</vt:i4>
      </vt:variant>
      <vt:variant>
        <vt:i4>0</vt:i4>
      </vt:variant>
      <vt:variant>
        <vt:i4>5</vt:i4>
      </vt:variant>
      <vt:variant>
        <vt:lpwstr>http://www.treasury.gov/initiatives/Documents/Finalruledisclaimer7-18-2011.pdf</vt:lpwstr>
      </vt:variant>
      <vt:variant>
        <vt:lpwstr/>
      </vt:variant>
      <vt:variant>
        <vt:i4>7995495</vt:i4>
      </vt:variant>
      <vt:variant>
        <vt:i4>150</vt:i4>
      </vt:variant>
      <vt:variant>
        <vt:i4>0</vt:i4>
      </vt:variant>
      <vt:variant>
        <vt:i4>5</vt:i4>
      </vt:variant>
      <vt:variant>
        <vt:lpwstr>http://www.federalreserve.gov/newsevents/press/bcreg/bcreg20130403a.pdf</vt:lpwstr>
      </vt:variant>
      <vt:variant>
        <vt:lpwstr/>
      </vt:variant>
      <vt:variant>
        <vt:i4>852062</vt:i4>
      </vt:variant>
      <vt:variant>
        <vt:i4>147</vt:i4>
      </vt:variant>
      <vt:variant>
        <vt:i4>0</vt:i4>
      </vt:variant>
      <vt:variant>
        <vt:i4>5</vt:i4>
      </vt:variant>
      <vt:variant>
        <vt:lpwstr>http://www.treasury.gov/initiatives/fsoc/Documents/Nonbank Designations - Final Rule and Guidance.pdf</vt:lpwstr>
      </vt:variant>
      <vt:variant>
        <vt:lpwstr/>
      </vt:variant>
      <vt:variant>
        <vt:i4>6619169</vt:i4>
      </vt:variant>
      <vt:variant>
        <vt:i4>123</vt:i4>
      </vt:variant>
      <vt:variant>
        <vt:i4>0</vt:i4>
      </vt:variant>
      <vt:variant>
        <vt:i4>5</vt:i4>
      </vt:variant>
      <vt:variant>
        <vt:lpwstr>http://www.bis.org/publ/bcbs200.pdf</vt:lpwstr>
      </vt:variant>
      <vt:variant>
        <vt:lpwstr/>
      </vt:variant>
      <vt:variant>
        <vt:i4>3670046</vt:i4>
      </vt:variant>
      <vt:variant>
        <vt:i4>120</vt:i4>
      </vt:variant>
      <vt:variant>
        <vt:i4>0</vt:i4>
      </vt:variant>
      <vt:variant>
        <vt:i4>5</vt:i4>
      </vt:variant>
      <vt:variant>
        <vt:lpwstr>http://www.financialstabilityboard.org/publications/r_130411a.pdf</vt:lpwstr>
      </vt:variant>
      <vt:variant>
        <vt:lpwstr/>
      </vt:variant>
      <vt:variant>
        <vt:i4>4915209</vt:i4>
      </vt:variant>
      <vt:variant>
        <vt:i4>117</vt:i4>
      </vt:variant>
      <vt:variant>
        <vt:i4>0</vt:i4>
      </vt:variant>
      <vt:variant>
        <vt:i4>5</vt:i4>
      </vt:variant>
      <vt:variant>
        <vt:lpwstr>http://www.bis.org/publ/cpss101a.pdf</vt:lpwstr>
      </vt:variant>
      <vt:variant>
        <vt:lpwstr/>
      </vt:variant>
      <vt:variant>
        <vt:i4>7078015</vt:i4>
      </vt:variant>
      <vt:variant>
        <vt:i4>114</vt:i4>
      </vt:variant>
      <vt:variant>
        <vt:i4>0</vt:i4>
      </vt:variant>
      <vt:variant>
        <vt:i4>5</vt:i4>
      </vt:variant>
      <vt:variant>
        <vt:lpwstr>http://www.financialstabilityboard.org/wp-content/uploads/FSB-Chair-letter-to-G20-February-2015.pdf</vt:lpwstr>
      </vt:variant>
      <vt:variant>
        <vt:lpwstr/>
      </vt:variant>
      <vt:variant>
        <vt:i4>1704015</vt:i4>
      </vt:variant>
      <vt:variant>
        <vt:i4>111</vt:i4>
      </vt:variant>
      <vt:variant>
        <vt:i4>0</vt:i4>
      </vt:variant>
      <vt:variant>
        <vt:i4>5</vt:i4>
      </vt:variant>
      <vt:variant>
        <vt:lpwstr>http://www.cmegroup.com/education/files/balancing-ccp-and-member-contributions-with-exposures.pdf</vt:lpwstr>
      </vt:variant>
      <vt:variant>
        <vt:lpwstr/>
      </vt:variant>
      <vt:variant>
        <vt:i4>2686999</vt:i4>
      </vt:variant>
      <vt:variant>
        <vt:i4>108</vt:i4>
      </vt:variant>
      <vt:variant>
        <vt:i4>0</vt:i4>
      </vt:variant>
      <vt:variant>
        <vt:i4>5</vt:i4>
      </vt:variant>
      <vt:variant>
        <vt:lpwstr>http://secure-area.lchclearnet.com/images/CCP_Risk_Management_Recovery_-_Resolution.pdf</vt:lpwstr>
      </vt:variant>
      <vt:variant>
        <vt:lpwstr/>
      </vt:variant>
      <vt:variant>
        <vt:i4>2359338</vt:i4>
      </vt:variant>
      <vt:variant>
        <vt:i4>105</vt:i4>
      </vt:variant>
      <vt:variant>
        <vt:i4>0</vt:i4>
      </vt:variant>
      <vt:variant>
        <vt:i4>5</vt:i4>
      </vt:variant>
      <vt:variant>
        <vt:lpwstr>http://www.financialstabilityboard.org/wp-content/uploads/TLAC-Condoc-6-Nov-2014-FINAL.pdf</vt:lpwstr>
      </vt:variant>
      <vt:variant>
        <vt:lpwstr/>
      </vt:variant>
      <vt:variant>
        <vt:i4>1441822</vt:i4>
      </vt:variant>
      <vt:variant>
        <vt:i4>102</vt:i4>
      </vt:variant>
      <vt:variant>
        <vt:i4>0</vt:i4>
      </vt:variant>
      <vt:variant>
        <vt:i4>5</vt:i4>
      </vt:variant>
      <vt:variant>
        <vt:lpwstr>http://www.bis.org/cpmi/publ/d121.pdf</vt:lpwstr>
      </vt:variant>
      <vt:variant>
        <vt:lpwstr/>
      </vt:variant>
      <vt:variant>
        <vt:i4>327729</vt:i4>
      </vt:variant>
      <vt:variant>
        <vt:i4>99</vt:i4>
      </vt:variant>
      <vt:variant>
        <vt:i4>0</vt:i4>
      </vt:variant>
      <vt:variant>
        <vt:i4>5</vt:i4>
      </vt:variant>
      <vt:variant>
        <vt:lpwstr>http://www.financialstabilityboard.org/wp-content/uploads/r_141015.pdf</vt:lpwstr>
      </vt:variant>
      <vt:variant>
        <vt:lpwstr/>
      </vt:variant>
      <vt:variant>
        <vt:i4>4915209</vt:i4>
      </vt:variant>
      <vt:variant>
        <vt:i4>96</vt:i4>
      </vt:variant>
      <vt:variant>
        <vt:i4>0</vt:i4>
      </vt:variant>
      <vt:variant>
        <vt:i4>5</vt:i4>
      </vt:variant>
      <vt:variant>
        <vt:lpwstr>http://www.bis.org/publ/cpss101a.pdf</vt:lpwstr>
      </vt:variant>
      <vt:variant>
        <vt:lpwstr/>
      </vt:variant>
      <vt:variant>
        <vt:i4>5111899</vt:i4>
      </vt:variant>
      <vt:variant>
        <vt:i4>93</vt:i4>
      </vt:variant>
      <vt:variant>
        <vt:i4>0</vt:i4>
      </vt:variant>
      <vt:variant>
        <vt:i4>5</vt:i4>
      </vt:variant>
      <vt:variant>
        <vt:lpwstr>https://www.eba.europa.eu/documents/10180/751477/EBA-CP-2014-16++%28CP+on+draft+RTS+on+Content+Res++Plans+and+Assessment+of+Resolvability%29.docx.pdf</vt:lpwstr>
      </vt:variant>
      <vt:variant>
        <vt:lpwstr/>
      </vt:variant>
      <vt:variant>
        <vt:i4>3997759</vt:i4>
      </vt:variant>
      <vt:variant>
        <vt:i4>90</vt:i4>
      </vt:variant>
      <vt:variant>
        <vt:i4>0</vt:i4>
      </vt:variant>
      <vt:variant>
        <vt:i4>5</vt:i4>
      </vt:variant>
      <vt:variant>
        <vt:lpwstr>http://ec.europa.eu/internal_market/finances/docs/general/20140515-erfra-working-document_en.pdf</vt:lpwstr>
      </vt:variant>
      <vt:variant>
        <vt:lpwstr/>
      </vt:variant>
      <vt:variant>
        <vt:i4>6225953</vt:i4>
      </vt:variant>
      <vt:variant>
        <vt:i4>84</vt:i4>
      </vt:variant>
      <vt:variant>
        <vt:i4>0</vt:i4>
      </vt:variant>
      <vt:variant>
        <vt:i4>5</vt:i4>
      </vt:variant>
      <vt:variant>
        <vt:lpwstr>http://www.ecb.europa.eu/press/key/date/2014/html/sp140519_1.en.html</vt:lpwstr>
      </vt:variant>
      <vt:variant>
        <vt:lpwstr/>
      </vt:variant>
      <vt:variant>
        <vt:i4>7995433</vt:i4>
      </vt:variant>
      <vt:variant>
        <vt:i4>81</vt:i4>
      </vt:variant>
      <vt:variant>
        <vt:i4>0</vt:i4>
      </vt:variant>
      <vt:variant>
        <vt:i4>5</vt:i4>
      </vt:variant>
      <vt:variant>
        <vt:lpwstr>http://www.bankofengland.co.uk/publications/Documents/fmi/fmiap1403.pdf</vt:lpwstr>
      </vt:variant>
      <vt:variant>
        <vt:lpwstr/>
      </vt:variant>
      <vt:variant>
        <vt:i4>2687085</vt:i4>
      </vt:variant>
      <vt:variant>
        <vt:i4>78</vt:i4>
      </vt:variant>
      <vt:variant>
        <vt:i4>0</vt:i4>
      </vt:variant>
      <vt:variant>
        <vt:i4>5</vt:i4>
      </vt:variant>
      <vt:variant>
        <vt:lpwstr>http://www.bankofengland.co.uk/financialstability/Documents/fmi/fmisupervision.pdf</vt:lpwstr>
      </vt:variant>
      <vt:variant>
        <vt:lpwstr/>
      </vt:variant>
      <vt:variant>
        <vt:i4>7471145</vt:i4>
      </vt:variant>
      <vt:variant>
        <vt:i4>75</vt:i4>
      </vt:variant>
      <vt:variant>
        <vt:i4>0</vt:i4>
      </vt:variant>
      <vt:variant>
        <vt:i4>5</vt:i4>
      </vt:variant>
      <vt:variant>
        <vt:lpwstr>http://ec.europa.eu/internal_market/bank/docs/crisis-management/2012_eu_framework/impact_assessment_final_en.pdf</vt:lpwstr>
      </vt:variant>
      <vt:variant>
        <vt:lpwstr/>
      </vt:variant>
      <vt:variant>
        <vt:i4>3997759</vt:i4>
      </vt:variant>
      <vt:variant>
        <vt:i4>72</vt:i4>
      </vt:variant>
      <vt:variant>
        <vt:i4>0</vt:i4>
      </vt:variant>
      <vt:variant>
        <vt:i4>5</vt:i4>
      </vt:variant>
      <vt:variant>
        <vt:lpwstr>http://ec.europa.eu/internal_market/finances/docs/general/20140515-erfra-working-document_en.pdf</vt:lpwstr>
      </vt:variant>
      <vt:variant>
        <vt:lpwstr/>
      </vt:variant>
      <vt:variant>
        <vt:i4>2883620</vt:i4>
      </vt:variant>
      <vt:variant>
        <vt:i4>69</vt:i4>
      </vt:variant>
      <vt:variant>
        <vt:i4>0</vt:i4>
      </vt:variant>
      <vt:variant>
        <vt:i4>5</vt:i4>
      </vt:variant>
      <vt:variant>
        <vt:lpwstr>http://www.jpmorganchase.com/corporate/About-JPMC/document/resolution-plan-ccps.pdf?M=22b2d037-ca48-42e1-a49e-53a5e0667db4</vt:lpwstr>
      </vt:variant>
      <vt:variant>
        <vt:lpwstr/>
      </vt:variant>
      <vt:variant>
        <vt:i4>3997759</vt:i4>
      </vt:variant>
      <vt:variant>
        <vt:i4>66</vt:i4>
      </vt:variant>
      <vt:variant>
        <vt:i4>0</vt:i4>
      </vt:variant>
      <vt:variant>
        <vt:i4>5</vt:i4>
      </vt:variant>
      <vt:variant>
        <vt:lpwstr>http://ec.europa.eu/internal_market/finances/docs/general/20140515-erfra-working-document_en.pdf</vt:lpwstr>
      </vt:variant>
      <vt:variant>
        <vt:lpwstr/>
      </vt:variant>
      <vt:variant>
        <vt:i4>8061028</vt:i4>
      </vt:variant>
      <vt:variant>
        <vt:i4>63</vt:i4>
      </vt:variant>
      <vt:variant>
        <vt:i4>0</vt:i4>
      </vt:variant>
      <vt:variant>
        <vt:i4>5</vt:i4>
      </vt:variant>
      <vt:variant>
        <vt:lpwstr>http://www.chicagofed.org/digital_assets/others/events/2014/annual_over_the_counter_derivatives_symposium/tucker_clearinghouses_new_central_banks_tucker_2014.pdf</vt:lpwstr>
      </vt:variant>
      <vt:variant>
        <vt:lpwstr/>
      </vt:variant>
      <vt:variant>
        <vt:i4>3997759</vt:i4>
      </vt:variant>
      <vt:variant>
        <vt:i4>60</vt:i4>
      </vt:variant>
      <vt:variant>
        <vt:i4>0</vt:i4>
      </vt:variant>
      <vt:variant>
        <vt:i4>5</vt:i4>
      </vt:variant>
      <vt:variant>
        <vt:lpwstr>http://ec.europa.eu/internal_market/finances/docs/general/20140515-erfra-working-document_en.pdf</vt:lpwstr>
      </vt:variant>
      <vt:variant>
        <vt:lpwstr/>
      </vt:variant>
      <vt:variant>
        <vt:i4>4915209</vt:i4>
      </vt:variant>
      <vt:variant>
        <vt:i4>57</vt:i4>
      </vt:variant>
      <vt:variant>
        <vt:i4>0</vt:i4>
      </vt:variant>
      <vt:variant>
        <vt:i4>5</vt:i4>
      </vt:variant>
      <vt:variant>
        <vt:lpwstr>http://www.bis.org/publ/cpss101a.pdf</vt:lpwstr>
      </vt:variant>
      <vt:variant>
        <vt:lpwstr/>
      </vt:variant>
      <vt:variant>
        <vt:i4>2949239</vt:i4>
      </vt:variant>
      <vt:variant>
        <vt:i4>54</vt:i4>
      </vt:variant>
      <vt:variant>
        <vt:i4>0</vt:i4>
      </vt:variant>
      <vt:variant>
        <vt:i4>5</vt:i4>
      </vt:variant>
      <vt:variant>
        <vt:lpwstr>http://www.bankofcanada.ca/wp-content/uploads/2012/11/wp2012-35.pdf</vt:lpwstr>
      </vt:variant>
      <vt:variant>
        <vt:lpwstr/>
      </vt:variant>
      <vt:variant>
        <vt:i4>2621488</vt:i4>
      </vt:variant>
      <vt:variant>
        <vt:i4>51</vt:i4>
      </vt:variant>
      <vt:variant>
        <vt:i4>0</vt:i4>
      </vt:variant>
      <vt:variant>
        <vt:i4>5</vt:i4>
      </vt:variant>
      <vt:variant>
        <vt:lpwstr>http://www.bis.org/publ/cpss92.pdf</vt:lpwstr>
      </vt:variant>
      <vt:variant>
        <vt:lpwstr/>
      </vt:variant>
      <vt:variant>
        <vt:i4>8257586</vt:i4>
      </vt:variant>
      <vt:variant>
        <vt:i4>48</vt:i4>
      </vt:variant>
      <vt:variant>
        <vt:i4>0</vt:i4>
      </vt:variant>
      <vt:variant>
        <vt:i4>5</vt:i4>
      </vt:variant>
      <vt:variant>
        <vt:lpwstr>http://sdw.ecb.europa.eu/reports.do?node=1000001583</vt:lpwstr>
      </vt:variant>
      <vt:variant>
        <vt:lpwstr/>
      </vt:variant>
      <vt:variant>
        <vt:i4>7143539</vt:i4>
      </vt:variant>
      <vt:variant>
        <vt:i4>45</vt:i4>
      </vt:variant>
      <vt:variant>
        <vt:i4>0</vt:i4>
      </vt:variant>
      <vt:variant>
        <vt:i4>5</vt:i4>
      </vt:variant>
      <vt:variant>
        <vt:lpwstr>http://mifiddatabase.esma.europa.eu/Index.aspx?sectionlinks_id=24&amp;language=0&amp;pageName=CENTRAL_COUNTERPARTIES_Display&amp;subsection_id=0</vt:lpwstr>
      </vt:variant>
      <vt:variant>
        <vt:lpwstr/>
      </vt:variant>
      <vt:variant>
        <vt:i4>68</vt:i4>
      </vt:variant>
      <vt:variant>
        <vt:i4>42</vt:i4>
      </vt:variant>
      <vt:variant>
        <vt:i4>0</vt:i4>
      </vt:variant>
      <vt:variant>
        <vt:i4>5</vt:i4>
      </vt:variant>
      <vt:variant>
        <vt:lpwstr>http://www.chicagofed.org/digital_assets/publications/economic_perspectives/2006/ep_4qtr2006_part2_bliss_steigerwald.pdf</vt:lpwstr>
      </vt:variant>
      <vt:variant>
        <vt:lpwstr/>
      </vt:variant>
      <vt:variant>
        <vt:i4>6160500</vt:i4>
      </vt:variant>
      <vt:variant>
        <vt:i4>39</vt:i4>
      </vt:variant>
      <vt:variant>
        <vt:i4>0</vt:i4>
      </vt:variant>
      <vt:variant>
        <vt:i4>5</vt:i4>
      </vt:variant>
      <vt:variant>
        <vt:lpwstr>https://www.financialstabilityboard.org/publications/c_131121.htm</vt:lpwstr>
      </vt:variant>
      <vt:variant>
        <vt:lpwstr/>
      </vt:variant>
      <vt:variant>
        <vt:i4>589838</vt:i4>
      </vt:variant>
      <vt:variant>
        <vt:i4>36</vt:i4>
      </vt:variant>
      <vt:variant>
        <vt:i4>0</vt:i4>
      </vt:variant>
      <vt:variant>
        <vt:i4>5</vt:i4>
      </vt:variant>
      <vt:variant>
        <vt:lpwstr>http://www.bis.org/publ/cpss109/comments.htm</vt:lpwstr>
      </vt:variant>
      <vt:variant>
        <vt:lpwstr/>
      </vt:variant>
      <vt:variant>
        <vt:i4>2490431</vt:i4>
      </vt:variant>
      <vt:variant>
        <vt:i4>33</vt:i4>
      </vt:variant>
      <vt:variant>
        <vt:i4>0</vt:i4>
      </vt:variant>
      <vt:variant>
        <vt:i4>5</vt:i4>
      </vt:variant>
      <vt:variant>
        <vt:lpwstr>http://ec.europa.eu/internal_market/consultations/2012/nonbanks/consultation-document_en.pdf</vt:lpwstr>
      </vt:variant>
      <vt:variant>
        <vt:lpwstr/>
      </vt:variant>
      <vt:variant>
        <vt:i4>917539</vt:i4>
      </vt:variant>
      <vt:variant>
        <vt:i4>30</vt:i4>
      </vt:variant>
      <vt:variant>
        <vt:i4>0</vt:i4>
      </vt:variant>
      <vt:variant>
        <vt:i4>5</vt:i4>
      </vt:variant>
      <vt:variant>
        <vt:lpwstr>http://ec.europa.eu/atwork/key-documents/index_en.htm</vt:lpwstr>
      </vt:variant>
      <vt:variant>
        <vt:lpwstr/>
      </vt:variant>
      <vt:variant>
        <vt:i4>5505088</vt:i4>
      </vt:variant>
      <vt:variant>
        <vt:i4>27</vt:i4>
      </vt:variant>
      <vt:variant>
        <vt:i4>0</vt:i4>
      </vt:variant>
      <vt:variant>
        <vt:i4>5</vt:i4>
      </vt:variant>
      <vt:variant>
        <vt:lpwstr>http://www.europarl.europa.eu/sides/getDoc.do?pubRef=-//EP//TEXT+TA+P7-TA-2013-0533+0+DOC+XML+V0//EN</vt:lpwstr>
      </vt:variant>
      <vt:variant>
        <vt:lpwstr/>
      </vt:variant>
      <vt:variant>
        <vt:i4>327729</vt:i4>
      </vt:variant>
      <vt:variant>
        <vt:i4>24</vt:i4>
      </vt:variant>
      <vt:variant>
        <vt:i4>0</vt:i4>
      </vt:variant>
      <vt:variant>
        <vt:i4>5</vt:i4>
      </vt:variant>
      <vt:variant>
        <vt:lpwstr>http://www.financialstabilityboard.org/wp-content/uploads/r_141015.pdf</vt:lpwstr>
      </vt:variant>
      <vt:variant>
        <vt:lpwstr/>
      </vt:variant>
      <vt:variant>
        <vt:i4>1441822</vt:i4>
      </vt:variant>
      <vt:variant>
        <vt:i4>21</vt:i4>
      </vt:variant>
      <vt:variant>
        <vt:i4>0</vt:i4>
      </vt:variant>
      <vt:variant>
        <vt:i4>5</vt:i4>
      </vt:variant>
      <vt:variant>
        <vt:lpwstr>http://www.bis.org/cpmi/publ/d121.pdf</vt:lpwstr>
      </vt:variant>
      <vt:variant>
        <vt:lpwstr/>
      </vt:variant>
      <vt:variant>
        <vt:i4>327729</vt:i4>
      </vt:variant>
      <vt:variant>
        <vt:i4>18</vt:i4>
      </vt:variant>
      <vt:variant>
        <vt:i4>0</vt:i4>
      </vt:variant>
      <vt:variant>
        <vt:i4>5</vt:i4>
      </vt:variant>
      <vt:variant>
        <vt:lpwstr>http://www.financialstabilityboard.org/wp-content/uploads/r_141015.pdf</vt:lpwstr>
      </vt:variant>
      <vt:variant>
        <vt:lpwstr/>
      </vt:variant>
      <vt:variant>
        <vt:i4>327718</vt:i4>
      </vt:variant>
      <vt:variant>
        <vt:i4>15</vt:i4>
      </vt:variant>
      <vt:variant>
        <vt:i4>0</vt:i4>
      </vt:variant>
      <vt:variant>
        <vt:i4>5</vt:i4>
      </vt:variant>
      <vt:variant>
        <vt:lpwstr>http://www.financialstabilityboard.org/publications/r_111104cc.pdf</vt:lpwstr>
      </vt:variant>
      <vt:variant>
        <vt:lpwstr/>
      </vt:variant>
      <vt:variant>
        <vt:i4>3080288</vt:i4>
      </vt:variant>
      <vt:variant>
        <vt:i4>12</vt:i4>
      </vt:variant>
      <vt:variant>
        <vt:i4>0</vt:i4>
      </vt:variant>
      <vt:variant>
        <vt:i4>5</vt:i4>
      </vt:variant>
      <vt:variant>
        <vt:lpwstr>http://ec.europa.eu/internal_market/finances/banking-union/index_en.htm</vt:lpwstr>
      </vt:variant>
      <vt:variant>
        <vt:lpwstr/>
      </vt:variant>
      <vt:variant>
        <vt:i4>327730</vt:i4>
      </vt:variant>
      <vt:variant>
        <vt:i4>9</vt:i4>
      </vt:variant>
      <vt:variant>
        <vt:i4>0</vt:i4>
      </vt:variant>
      <vt:variant>
        <vt:i4>5</vt:i4>
      </vt:variant>
      <vt:variant>
        <vt:lpwstr>http://ec.europa.eu/internal_market/bank/crisis_management/index_en.htm</vt:lpwstr>
      </vt:variant>
      <vt:variant>
        <vt:lpwstr/>
      </vt:variant>
      <vt:variant>
        <vt:i4>2490431</vt:i4>
      </vt:variant>
      <vt:variant>
        <vt:i4>6</vt:i4>
      </vt:variant>
      <vt:variant>
        <vt:i4>0</vt:i4>
      </vt:variant>
      <vt:variant>
        <vt:i4>5</vt:i4>
      </vt:variant>
      <vt:variant>
        <vt:lpwstr>http://ec.europa.eu/internal_market/consultations/2012/nonbanks/consultation-document_en.pdf</vt:lpwstr>
      </vt:variant>
      <vt:variant>
        <vt:lpwstr/>
      </vt:variant>
      <vt:variant>
        <vt:i4>2621494</vt:i4>
      </vt:variant>
      <vt:variant>
        <vt:i4>3</vt:i4>
      </vt:variant>
      <vt:variant>
        <vt:i4>0</vt:i4>
      </vt:variant>
      <vt:variant>
        <vt:i4>5</vt:i4>
      </vt:variant>
      <vt:variant>
        <vt:lpwstr>http://eur-lex.europa.eu/legal-content/EN/TXT/;ELX_SESSIONID=2hCkTyTNGyHG1hNnQmvLry3rTZt5TTSkrM1LLv12RFZ9hNy9lbl7!-1897320616?uri=uriserv:OJ.L_.2014.173.01.0190.01.ENG</vt:lpwstr>
      </vt:variant>
      <vt:variant>
        <vt:lpwstr/>
      </vt:variant>
      <vt:variant>
        <vt:i4>7078015</vt:i4>
      </vt:variant>
      <vt:variant>
        <vt:i4>0</vt:i4>
      </vt:variant>
      <vt:variant>
        <vt:i4>0</vt:i4>
      </vt:variant>
      <vt:variant>
        <vt:i4>5</vt:i4>
      </vt:variant>
      <vt:variant>
        <vt:lpwstr>http://www.financialstabilityboard.org/wp-content/uploads/FSB-Chair-letter-to-G20-February-2015.pdf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28082015 Impact Assessment for CCP recovery and resolution proposal</dc:title>
  <dc:creator/>
  <cp:keywords>EL4</cp:keywords>
  <cp:lastModifiedBy>DIGIT/A3</cp:lastModifiedBy>
  <cp:revision>33</cp:revision>
  <cp:lastPrinted>2017-05-19T14:04:00Z</cp:lastPrinted>
  <dcterms:created xsi:type="dcterms:W3CDTF">2017-06-12T09:57:00Z</dcterms:created>
  <dcterms:modified xsi:type="dcterms:W3CDTF">2017-07-14T07:18:00Z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4.5.0.2</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EL 4.6 Build 21000</vt:lpwstr>
  </property>
  <property fmtid="{D5CDD505-2E9C-101B-9397-08002B2CF9AE}" pid="7" name="Formatting">
    <vt:lpwstr>4.1</vt:lpwstr>
  </property>
  <property fmtid="{D5CDD505-2E9C-101B-9397-08002B2CF9AE}" pid="8" name="Last edited using">
    <vt:lpwstr>EL </vt:lpwstr>
  </property>
  <property fmtid="{D5CDD505-2E9C-101B-9397-08002B2CF9AE}" pid="9" name="EL_Author">
    <vt:lpwstr>GG</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Classification">
    <vt:lpwstr> </vt:lpwstr>
  </property>
  <property fmtid="{D5CDD505-2E9C-101B-9397-08002B2CF9AE}" pid="14" name="Part">
    <vt:lpwstr>1</vt:lpwstr>
  </property>
  <property fmtid="{D5CDD505-2E9C-101B-9397-08002B2CF9AE}" pid="15" name="Total parts">
    <vt:lpwstr>1</vt:lpwstr>
  </property>
  <property fmtid="{D5CDD505-2E9C-101B-9397-08002B2CF9AE}" pid="16" name="DocStatus">
    <vt:lpwstr>Green</vt:lpwstr>
  </property>
</Properties>
</file>