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C396CD7E02B42BEB5E60809C7255E74" style="width:449.85pt;height:463.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26"/>
        </w:sectPr>
      </w:pPr>
    </w:p>
    <w:p>
      <w:pPr>
        <w:spacing w:after="0"/>
        <w:rPr>
          <w:noProof/>
          <w:sz w:val="2"/>
        </w:rPr>
      </w:pPr>
      <w:bookmarkStart w:id="1" w:name="_GoBack"/>
      <w:bookmarkEnd w:id="1"/>
    </w:p>
    <w:tbl>
      <w:tblPr>
        <w:tblW w:w="10188"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after="0"/>
              <w:jc w:val="center"/>
              <w:rPr>
                <w:rFonts w:ascii="Tahoma" w:hAnsi="Tahoma" w:cs="Tahoma"/>
                <w:b/>
                <w:noProof/>
              </w:rPr>
            </w:pPr>
            <w:r>
              <w:rPr>
                <w:noProof/>
              </w:rPr>
              <w:br w:type="page"/>
            </w:r>
            <w:r>
              <w:rPr>
                <w:noProof/>
              </w:rPr>
              <w:br w:type="page"/>
            </w:r>
            <w:r>
              <w:rPr>
                <w:noProof/>
              </w:rPr>
              <w:br w:type="page"/>
            </w:r>
            <w:r>
              <w:rPr>
                <w:noProof/>
              </w:rPr>
              <w:br w:type="page"/>
            </w:r>
            <w:r>
              <w:rPr>
                <w:noProof/>
              </w:rPr>
              <w:br w:type="page"/>
            </w:r>
            <w:r>
              <w:rPr>
                <w:noProof/>
              </w:rPr>
              <w:br w:type="page"/>
            </w:r>
            <w:r>
              <w:rPr>
                <w:noProof/>
              </w:rPr>
              <w:br w:type="page"/>
            </w:r>
            <w:r>
              <w:rPr>
                <w:noProof/>
              </w:rPr>
              <w:br w:type="page"/>
            </w:r>
            <w:r>
              <w:rPr>
                <w:noProof/>
              </w:rPr>
              <w:br w:type="page"/>
            </w:r>
            <w:r>
              <w:rPr>
                <w:rFonts w:ascii="Tahoma" w:hAnsi="Tahoma"/>
                <w:b/>
                <w:noProof/>
              </w:rPr>
              <w:t>Samenvatting</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cPr>
          <w:p>
            <w:pPr>
              <w:spacing w:after="0"/>
              <w:rPr>
                <w:rFonts w:ascii="Tahoma" w:hAnsi="Tahoma" w:cs="Tahoma"/>
                <w:noProof/>
                <w:sz w:val="20"/>
              </w:rPr>
            </w:pPr>
            <w:r>
              <w:rPr>
                <w:rFonts w:ascii="Tahoma" w:hAnsi="Tahoma"/>
                <w:noProof/>
                <w:color w:val="FFFFFF"/>
                <w:sz w:val="20"/>
              </w:rPr>
              <w:t>Effectbeoordeling van mogelijke wijzigingen van Verordening (EU) nr. 648/2012 van het Europees Parlement en de Raad van 4 juli 2012 betreffende otc-derivaten, centrale tegenpartijen en transactieregisters</w:t>
            </w:r>
          </w:p>
        </w:tc>
      </w:tr>
      <w:tr>
        <w:tc>
          <w:tcPr>
            <w:tcW w:w="10188" w:type="dxa"/>
            <w:tcBorders>
              <w:bottom w:val="single" w:sz="4" w:space="0" w:color="auto"/>
            </w:tcBorders>
            <w:shd w:val="clear" w:color="auto" w:fill="CCCCCC"/>
          </w:tcPr>
          <w:p>
            <w:pPr>
              <w:spacing w:after="0"/>
              <w:jc w:val="center"/>
              <w:rPr>
                <w:rFonts w:ascii="Tahoma" w:hAnsi="Tahoma" w:cs="Tahoma"/>
                <w:b/>
                <w:noProof/>
              </w:rPr>
            </w:pPr>
            <w:r>
              <w:rPr>
                <w:rFonts w:ascii="Tahoma" w:hAnsi="Tahoma"/>
                <w:b/>
                <w:noProof/>
              </w:rPr>
              <w:t>A. Behoefte aan actie</w:t>
            </w:r>
          </w:p>
        </w:tc>
      </w:tr>
      <w:tr>
        <w:tc>
          <w:tcPr>
            <w:tcW w:w="10188" w:type="dxa"/>
            <w:tcBorders>
              <w:bottom w:val="single" w:sz="4" w:space="0" w:color="auto"/>
            </w:tcBorders>
            <w:shd w:val="clear" w:color="auto" w:fill="E0E0E0"/>
          </w:tcPr>
          <w:p>
            <w:pPr>
              <w:spacing w:after="0"/>
              <w:rPr>
                <w:rFonts w:ascii="Tahoma" w:hAnsi="Tahoma" w:cs="Tahoma"/>
                <w:noProof/>
                <w:sz w:val="20"/>
              </w:rPr>
            </w:pPr>
            <w:r>
              <w:rPr>
                <w:rFonts w:ascii="Tahoma" w:hAnsi="Tahoma"/>
                <w:b/>
                <w:noProof/>
                <w:sz w:val="20"/>
              </w:rPr>
              <w:t xml:space="preserve">Waarom? Wat is het probleem? </w:t>
            </w:r>
          </w:p>
        </w:tc>
      </w:tr>
      <w:tr>
        <w:tc>
          <w:tcPr>
            <w:tcW w:w="10188" w:type="dxa"/>
            <w:tcBorders>
              <w:bottom w:val="single" w:sz="4" w:space="0" w:color="auto"/>
            </w:tcBorders>
            <w:shd w:val="clear" w:color="auto" w:fill="auto"/>
          </w:tcPr>
          <w:p>
            <w:pPr>
              <w:spacing w:after="0"/>
              <w:rPr>
                <w:rFonts w:ascii="Arial" w:hAnsi="Arial" w:cs="Arial"/>
                <w:noProof/>
                <w:sz w:val="20"/>
              </w:rPr>
            </w:pPr>
            <w:r>
              <w:rPr>
                <w:rFonts w:ascii="Arial" w:hAnsi="Arial"/>
                <w:noProof/>
                <w:sz w:val="20"/>
              </w:rPr>
              <w:t xml:space="preserve">Overeenkomstig het akkoord van de G20 van Pittsburgh 2009 om het systeemrisico te verminderen dat is verbonden aan het uitgebreide gebruik van derivaten, heeft de EU in 2012 de verordening Europese marktinfrastructuur (EMIR) aangenomen. Een centrale pijler van EMIR is het vereiste dat gestandaardiseerde otc-derivaten worden gecleard via een centrale tegenpartij (CTP). Dit vereiste geldt sinds december 2015. Verplichte clearing voor bepaalde activaklassen, maar ook een toegenomen vrijwillig gebruik van centrale clearing, in combinatie met een groter bewustzijn bij marktdeelnemers van de voordelen van een en ander, heeft ertoe geleid dat sinds de goedkeuring van EMIR het volume CTP-activiteiten snel is gegroeid - zowel binnen de EU als wereldwijd. Tegen de achtergrond van de hiermee gepaard gaande toegenomen concentratie van kredietrisico in deze infrastructuren zou het toezichtsraamwerk voor CTP's uit de EU en uit derde landen zoals dat in EMIR is vastgelegd, kunnen worden versterkt. </w:t>
            </w:r>
          </w:p>
          <w:p>
            <w:pPr>
              <w:spacing w:after="0"/>
              <w:rPr>
                <w:rFonts w:ascii="Arial" w:hAnsi="Arial" w:cs="Arial"/>
                <w:noProof/>
                <w:sz w:val="20"/>
              </w:rPr>
            </w:pPr>
            <w:r>
              <w:rPr>
                <w:rFonts w:ascii="Arial" w:hAnsi="Arial"/>
                <w:noProof/>
                <w:sz w:val="20"/>
              </w:rPr>
              <w:t xml:space="preserve">Het bestaande EMIR-raamwerk voor toezicht op CTP's uit de EU waarbij colleges betrokken zijn die worden gecoördineerd door de eigen nationale autoriteit, is op een aantal punten niet onproblematisch: i) gezien het belang van een beperkt aantal CTP's voor het financiële bestel van de EU als geheel kan het feit dat vooral op de toezichthoudende autoriteit in het land van herkomst een beroep wordt gedaan, problematisch zijn; ii) uiteenlopende toezichtspraktijken binnen de EU kunnen risico's doen ontstaan van regulerings- en toezichtsarbitrage voor CTP's en - indirect - voor hun clearingleden en cliënten; ii) de rol van centrale banken – als emittenten van valuta – komt onvoldoende tot uiting binnen de CTP-colleges. </w:t>
            </w:r>
          </w:p>
          <w:p>
            <w:pPr>
              <w:spacing w:after="120"/>
              <w:rPr>
                <w:rFonts w:ascii="Arial" w:hAnsi="Arial" w:cs="Arial"/>
                <w:noProof/>
                <w:sz w:val="20"/>
              </w:rPr>
            </w:pPr>
            <w:r>
              <w:rPr>
                <w:rFonts w:ascii="Arial" w:hAnsi="Arial"/>
                <w:noProof/>
                <w:sz w:val="20"/>
              </w:rPr>
              <w:t>Ook toezichtsregelingen voor binnen de EU werkzame CTP's uit derde landen leveren problemen op: i) de tenuitvoerlegging van EMIR-regels inzake equivalentie en erkenning heeft een aantal tekortkomingen aan het licht gebracht, met name wat betreft het bestaande toezicht op erkende CTP's uit derde landen; ii) er is aanzienlijke ruimte voor discrepanties tussen doelstellingen van toezichthouders en centrale banken binnen colleges in het kader van CTP's uit derde landen wanneer autoriteiten van buiten de EU betrokken zijn; iii) mogelijke aanpassingen van CTP-regels en/of het reguleringskader in een derde land kan een ongelijk speelveld doen ontstaan tussen CTP's uit de EU en die uit derde landen en kan ruimte creëren voor regelgevings- of toezichtsarbitrage omdat er momenteel geen mechanisme is om ervoor te zorgen dat de EU automatisch van dit soort aanpassingen in kennis wordt gesteld.</w:t>
            </w:r>
            <w:r>
              <w:rPr>
                <w:noProof/>
              </w:rPr>
              <w:t xml:space="preserve"> </w:t>
            </w:r>
            <w:r>
              <w:rPr>
                <w:rFonts w:ascii="Arial" w:hAnsi="Arial"/>
                <w:noProof/>
                <w:sz w:val="20"/>
              </w:rPr>
              <w:t>Een aanzienlijk volume in euro luidende derivatentransacties en andere transacties waarvoor een EU-clearingverplichting geldt, wordt momenteel gecleard door CTP's uit het Verenigd Koninkrijk. Dit maakt de hier beschreven punten van zorg alleen maar groter, gelet op het aandeel van dit soort transacties die worden gecleard binnen CTP's die buiten de EU-jurisdictie zullen vallen wanneer het Verenigd Koninkrijk de EU zal hebben verlaten.</w:t>
            </w:r>
          </w:p>
        </w:tc>
      </w:tr>
      <w:tr>
        <w:tc>
          <w:tcPr>
            <w:tcW w:w="10188" w:type="dxa"/>
            <w:tcBorders>
              <w:bottom w:val="single" w:sz="4" w:space="0" w:color="auto"/>
            </w:tcBorders>
            <w:shd w:val="clear" w:color="auto" w:fill="E6E6E6"/>
          </w:tcPr>
          <w:p>
            <w:pPr>
              <w:spacing w:after="0"/>
              <w:rPr>
                <w:rFonts w:ascii="Tahoma" w:hAnsi="Tahoma" w:cs="Tahoma"/>
                <w:noProof/>
                <w:sz w:val="20"/>
              </w:rPr>
            </w:pPr>
            <w:r>
              <w:rPr>
                <w:rFonts w:ascii="Tahoma" w:hAnsi="Tahoma"/>
                <w:b/>
                <w:noProof/>
                <w:sz w:val="20"/>
              </w:rPr>
              <w:t xml:space="preserve">Wat moet met dit initiatief worden bereikt? </w:t>
            </w:r>
          </w:p>
        </w:tc>
      </w:tr>
      <w:tr>
        <w:tc>
          <w:tcPr>
            <w:tcW w:w="10188" w:type="dxa"/>
            <w:tcBorders>
              <w:bottom w:val="single" w:sz="4" w:space="0" w:color="auto"/>
            </w:tcBorders>
            <w:shd w:val="clear" w:color="auto" w:fill="auto"/>
          </w:tcPr>
          <w:p>
            <w:pPr>
              <w:spacing w:after="0"/>
              <w:rPr>
                <w:rFonts w:ascii="Arial" w:hAnsi="Arial" w:cs="Arial"/>
                <w:noProof/>
                <w:sz w:val="20"/>
              </w:rPr>
            </w:pPr>
            <w:r>
              <w:rPr>
                <w:rFonts w:ascii="Arial" w:hAnsi="Arial"/>
                <w:noProof/>
                <w:sz w:val="20"/>
              </w:rPr>
              <w:t xml:space="preserve">Dit initiatief moet zorgen voor meer coherentie in de toezichtsregelingen voor in de EU gevestigde CTP's, met onder meer afdoende erkenning voor de specifieke rol van de emitterende centrale bank (CBI), en moet de mogelijkheden van de EU versterken om risico's van CTP's uit derde landen te monitoren, in kaart te brengen en te dempen. </w:t>
            </w:r>
          </w:p>
        </w:tc>
      </w:tr>
      <w:tr>
        <w:tc>
          <w:tcPr>
            <w:tcW w:w="10188" w:type="dxa"/>
            <w:tcBorders>
              <w:bottom w:val="single" w:sz="4" w:space="0" w:color="auto"/>
            </w:tcBorders>
            <w:shd w:val="clear" w:color="auto" w:fill="E6E6E6"/>
          </w:tcPr>
          <w:p>
            <w:pPr>
              <w:spacing w:after="0"/>
              <w:rPr>
                <w:rFonts w:ascii="Tahoma" w:hAnsi="Tahoma" w:cs="Tahoma"/>
                <w:noProof/>
                <w:sz w:val="20"/>
              </w:rPr>
            </w:pPr>
            <w:r>
              <w:rPr>
                <w:rFonts w:ascii="Tahoma" w:hAnsi="Tahoma"/>
                <w:b/>
                <w:noProof/>
                <w:sz w:val="20"/>
              </w:rPr>
              <w:t>Wat is de meerwaarde van maatregelen op EU-niveau?</w:t>
            </w:r>
            <w:r>
              <w:rPr>
                <w:rFonts w:ascii="Tahoma" w:hAnsi="Tahoma"/>
                <w:noProof/>
                <w:sz w:val="20"/>
              </w:rPr>
              <w:t xml:space="preserve"> </w:t>
            </w:r>
          </w:p>
        </w:tc>
      </w:tr>
      <w:tr>
        <w:tc>
          <w:tcPr>
            <w:tcW w:w="10188" w:type="dxa"/>
            <w:tcBorders>
              <w:bottom w:val="single" w:sz="4" w:space="0" w:color="auto"/>
            </w:tcBorders>
            <w:shd w:val="clear" w:color="auto" w:fill="auto"/>
          </w:tcPr>
          <w:p>
            <w:pPr>
              <w:spacing w:after="0"/>
              <w:rPr>
                <w:rFonts w:ascii="Arial" w:hAnsi="Arial" w:cs="Arial"/>
                <w:noProof/>
                <w:sz w:val="20"/>
              </w:rPr>
            </w:pPr>
            <w:r>
              <w:rPr>
                <w:rFonts w:ascii="Arial" w:hAnsi="Arial"/>
                <w:noProof/>
                <w:sz w:val="20"/>
              </w:rPr>
              <w:t>In EMIR is het toezichtsraamwerk vastgelegd voor in de EU gevestigde CTP's en de regeling voor CTP's uit derde landen die clearingdiensten aanbieden in de EU. De coherentie van het toezicht op EU-niveau versterken zal een antwoord helpen te bieden voor: i) de systeemrisico's die uitgaan van sterk geïntegreerde en onderling verweven CTP's die op grensoverschrijdende basis actief zijn buiten het bereik van nationale toezichthouders, en ii) de risico's die ontstaan door uiteenlopende toezichtspraktijken en die lidstaten niet alleen kunnen oplossen. Het EU-toezicht op systeemrelevante CTP's uit derde landen aanscherpen kan ook helpen om een beter antwoord te bieden op bedreigingen voor de financiële stabiliteit van de EU als geheel.</w:t>
            </w:r>
          </w:p>
        </w:tc>
      </w:tr>
      <w:tr>
        <w:tc>
          <w:tcPr>
            <w:tcW w:w="10188" w:type="dxa"/>
            <w:tcBorders>
              <w:bottom w:val="single" w:sz="4" w:space="0" w:color="auto"/>
            </w:tcBorders>
            <w:shd w:val="clear" w:color="auto" w:fill="CCCCCC"/>
          </w:tcPr>
          <w:p>
            <w:pPr>
              <w:spacing w:after="0"/>
              <w:jc w:val="center"/>
              <w:rPr>
                <w:rFonts w:ascii="Tahoma" w:hAnsi="Tahoma" w:cs="Tahoma"/>
                <w:b/>
                <w:noProof/>
              </w:rPr>
            </w:pPr>
            <w:r>
              <w:rPr>
                <w:rFonts w:ascii="Tahoma" w:hAnsi="Tahoma"/>
                <w:b/>
                <w:noProof/>
              </w:rPr>
              <w:t>B. Oplossingen</w:t>
            </w:r>
          </w:p>
        </w:tc>
      </w:tr>
      <w:tr>
        <w:tc>
          <w:tcPr>
            <w:tcW w:w="10188" w:type="dxa"/>
            <w:tcBorders>
              <w:bottom w:val="single" w:sz="4" w:space="0" w:color="auto"/>
            </w:tcBorders>
            <w:shd w:val="clear" w:color="auto" w:fill="E6E6E6"/>
          </w:tcPr>
          <w:p>
            <w:pPr>
              <w:spacing w:after="0"/>
              <w:rPr>
                <w:rFonts w:ascii="Tahoma" w:hAnsi="Tahoma" w:cs="Tahoma"/>
                <w:noProof/>
                <w:sz w:val="20"/>
              </w:rPr>
            </w:pPr>
            <w:r>
              <w:rPr>
                <w:rFonts w:ascii="Tahoma" w:hAnsi="Tahoma"/>
                <w:b/>
                <w:noProof/>
                <w:sz w:val="20"/>
              </w:rPr>
              <w:t>Welke wetgevende en niet-wetgevende beleidsmaatregelen zijn overwogen?</w:t>
            </w:r>
            <w:r>
              <w:rPr>
                <w:rFonts w:ascii="Tahoma" w:hAnsi="Tahoma"/>
                <w:noProof/>
                <w:sz w:val="20"/>
              </w:rPr>
              <w:t xml:space="preserve"> </w:t>
            </w:r>
            <w:r>
              <w:rPr>
                <w:rFonts w:ascii="Tahoma" w:hAnsi="Tahoma"/>
                <w:b/>
                <w:noProof/>
                <w:sz w:val="20"/>
              </w:rPr>
              <w:t xml:space="preserve">Heeft een bepaalde optie de voorkeur? Waarom? </w:t>
            </w:r>
          </w:p>
        </w:tc>
      </w:tr>
      <w:tr>
        <w:tc>
          <w:tcPr>
            <w:tcW w:w="10188" w:type="dxa"/>
            <w:tcBorders>
              <w:bottom w:val="single" w:sz="4" w:space="0" w:color="auto"/>
            </w:tcBorders>
            <w:shd w:val="clear" w:color="auto" w:fill="auto"/>
          </w:tcPr>
          <w:p>
            <w:pPr>
              <w:spacing w:after="0"/>
              <w:rPr>
                <w:rFonts w:ascii="Arial" w:hAnsi="Arial" w:cs="Arial"/>
                <w:noProof/>
                <w:sz w:val="20"/>
              </w:rPr>
            </w:pPr>
            <w:r>
              <w:rPr>
                <w:rFonts w:ascii="Arial" w:hAnsi="Arial"/>
                <w:noProof/>
                <w:sz w:val="20"/>
              </w:rPr>
              <w:t>Wat betreft de coherentie van toezichtsregelingen voor CTP's uit de EU zijn drie opties overwogen: 1) behoud van het status-quo (d.w.z. geen beleidsactie); 2) de invoering van een EU-toezichtsmechanisme, en 3) de oprichting van een gemeenschappelijke EU-toezichthouder. De voorkeursoptie is optie 2, waardoor de bestaande toezichtsbevoegdheden grotendeels bij nationale toezichthouders blijven gezien hun budgettaire verantwoordelijkheid, maar tegelijk een EU-toezichtsmechanisme wordt gecreëerd om specifieke aspecten van gemeenschappelijk belang op meer gecentraliseerde basis te behandelen en om de input van CBI's bij het toezicht te versterken. Deze optie is ook het meest geschikt om de doelstelling te verwezenlijken van meer coherentie in de toezichtsregelingen voor CTP's uit de EU, zonder de tekortkomingen van optie 3.</w:t>
            </w:r>
          </w:p>
          <w:p>
            <w:pPr>
              <w:spacing w:after="0"/>
              <w:rPr>
                <w:rFonts w:ascii="Arial" w:hAnsi="Arial" w:cs="Arial"/>
                <w:noProof/>
                <w:sz w:val="20"/>
              </w:rPr>
            </w:pPr>
            <w:r>
              <w:rPr>
                <w:rFonts w:ascii="Arial" w:hAnsi="Arial"/>
                <w:noProof/>
                <w:sz w:val="20"/>
              </w:rPr>
              <w:t>Wat betreft het mitigeren van risico's van CTP's uit derde landen zijn drie opties onderzocht. Optie 1 is het behoud van het status-quo (d.w.z. geen beleidsactie). In optie 2 zouden CTP's uit derde landen een vestiging en vergunning in de EU moeten hebben om diensten te kunnen aanbieden aan EU-tegenpartijen of -handelsplatforms of om clearingdiensten te mogen aanbieden in EU-valuta's.</w:t>
            </w:r>
            <w:r>
              <w:rPr>
                <w:noProof/>
              </w:rPr>
              <w:t xml:space="preserve"> </w:t>
            </w:r>
            <w:r>
              <w:rPr>
                <w:rFonts w:ascii="Arial" w:hAnsi="Arial"/>
                <w:noProof/>
                <w:sz w:val="20"/>
              </w:rPr>
              <w:t xml:space="preserve">Bij optie 3 zou de omvang en intensiteit van het EU-toezicht evenredig zijn aan en afhankelijk van de risico's die CTP's uit derde landen voor de EU inhouden. Verschillende criteria of drempels kunnen worden vastgesteld: i) voor CTP's met geringe impact zou een versterkte implementatie van de equivalentie- en erkenningsregeling onder EMIR kunnen gelden, en ii) voor CTP's met middelgrote tot grote impact zou een glijdende schaal van additionele toezichtseisen kunnen gelden. De conclusie van de effectbeoordeling was dat optie 3 de meest geschikte optie is om de doelstelling te behalen van meer mogelijkheden voor de EU om risico's van CTP's uit derde landen te monitoren, in kaart te brengen en te dempen. </w:t>
            </w:r>
          </w:p>
        </w:tc>
      </w:tr>
      <w:tr>
        <w:tc>
          <w:tcPr>
            <w:tcW w:w="10188" w:type="dxa"/>
            <w:shd w:val="clear" w:color="auto" w:fill="CCCCCC"/>
          </w:tcPr>
          <w:p>
            <w:pPr>
              <w:spacing w:after="0"/>
              <w:rPr>
                <w:rFonts w:ascii="Tahoma" w:hAnsi="Tahoma" w:cs="Tahoma"/>
                <w:noProof/>
                <w:sz w:val="20"/>
              </w:rPr>
            </w:pPr>
            <w:r>
              <w:rPr>
                <w:rFonts w:ascii="Tahoma" w:hAnsi="Tahoma"/>
                <w:b/>
                <w:noProof/>
                <w:sz w:val="20"/>
              </w:rPr>
              <w:t xml:space="preserve">Wie steunt welke optie? </w:t>
            </w:r>
          </w:p>
        </w:tc>
      </w:tr>
      <w:tr>
        <w:tc>
          <w:tcPr>
            <w:tcW w:w="10188" w:type="dxa"/>
            <w:shd w:val="clear" w:color="auto" w:fill="auto"/>
          </w:tcPr>
          <w:p>
            <w:pPr>
              <w:spacing w:after="0"/>
              <w:rPr>
                <w:rFonts w:ascii="Arial" w:hAnsi="Arial" w:cs="Arial"/>
                <w:noProof/>
                <w:sz w:val="20"/>
                <w:highlight w:val="yellow"/>
              </w:rPr>
            </w:pPr>
            <w:r>
              <w:rPr>
                <w:rFonts w:ascii="Arial" w:hAnsi="Arial"/>
                <w:noProof/>
                <w:sz w:val="20"/>
              </w:rPr>
              <w:t xml:space="preserve">Feedback van stakeholders is ingewonnen via drie publieke consultaties van de Commissie: de consultatie van 2015 over de herziening van EMIR, de consultatie van 2017 over de tussentijdse evaluatie van de kapitaalmarktenunie (KMU) en de consultatie van 2017 over de activiteiten van de Europese toezichthoudende autoriteiten (ESA's). Wat betreft het toezicht op CTP's uit de EU hebben respondenten, waaronder een meerderheid van bedrijven, de noodzaak beklemtoond van versterkte toezichtsconvergentie op EU-niveau om het systemische karakter van CTP's tot uiting te brengen, en tegelijk te zorgen voor een adequate rol voor nationale autoriteiten en CBI's. Wat betreft het toezicht op CTP's uit derde landen, hebben de ESMA en overheidsinstanties zich uitgesproken voor het versterken van de bestaande erkenningsprocedures, terwijl een aantal stakeholders, onder wie vertegenwoordigers uit de branche, waarschuwden voor het gevaar van marktfragmentatie.   </w:t>
            </w:r>
          </w:p>
        </w:tc>
      </w:tr>
      <w:tr>
        <w:tc>
          <w:tcPr>
            <w:tcW w:w="10188" w:type="dxa"/>
            <w:tcBorders>
              <w:bottom w:val="single" w:sz="4" w:space="0" w:color="auto"/>
            </w:tcBorders>
            <w:shd w:val="clear" w:color="auto" w:fill="CCCCCC"/>
          </w:tcPr>
          <w:p>
            <w:pPr>
              <w:spacing w:after="0"/>
              <w:jc w:val="center"/>
              <w:rPr>
                <w:rFonts w:ascii="Tahoma" w:hAnsi="Tahoma" w:cs="Tahoma"/>
                <w:b/>
                <w:noProof/>
              </w:rPr>
            </w:pPr>
            <w:r>
              <w:rPr>
                <w:rFonts w:ascii="Tahoma" w:hAnsi="Tahoma"/>
                <w:b/>
                <w:noProof/>
              </w:rPr>
              <w:t>C. Effecten van de voorkeursoptie</w:t>
            </w:r>
          </w:p>
        </w:tc>
      </w:tr>
      <w:tr>
        <w:tc>
          <w:tcPr>
            <w:tcW w:w="10188" w:type="dxa"/>
            <w:tcBorders>
              <w:bottom w:val="single" w:sz="4" w:space="0" w:color="auto"/>
            </w:tcBorders>
            <w:shd w:val="clear" w:color="auto" w:fill="E6E6E6"/>
          </w:tcPr>
          <w:p>
            <w:pPr>
              <w:spacing w:after="0"/>
              <w:rPr>
                <w:rFonts w:ascii="Tahoma" w:hAnsi="Tahoma" w:cs="Tahoma"/>
                <w:noProof/>
                <w:sz w:val="20"/>
              </w:rPr>
            </w:pPr>
            <w:r>
              <w:rPr>
                <w:rFonts w:ascii="Tahoma" w:hAnsi="Tahoma"/>
                <w:b/>
                <w:noProof/>
                <w:sz w:val="20"/>
              </w:rPr>
              <w:t>Wat zijn de voordelen van de voorkeursoptie (indien van toepassing, anders van de belangrijkste opties)?</w:t>
            </w:r>
          </w:p>
        </w:tc>
      </w:tr>
      <w:tr>
        <w:tc>
          <w:tcPr>
            <w:tcW w:w="10188" w:type="dxa"/>
            <w:tcBorders>
              <w:bottom w:val="single" w:sz="4" w:space="0" w:color="auto"/>
            </w:tcBorders>
            <w:shd w:val="clear" w:color="auto" w:fill="auto"/>
          </w:tcPr>
          <w:p>
            <w:pPr>
              <w:spacing w:after="0"/>
              <w:rPr>
                <w:rFonts w:ascii="Arial" w:hAnsi="Arial" w:cs="Arial"/>
                <w:noProof/>
                <w:sz w:val="20"/>
              </w:rPr>
            </w:pPr>
            <w:r>
              <w:rPr>
                <w:rFonts w:ascii="Arial" w:hAnsi="Arial"/>
                <w:noProof/>
                <w:sz w:val="20"/>
              </w:rPr>
              <w:t>Wat betreft de coherentie van toezichtsregelingen voor CTP's uit de EU, zou met de voorkeursoptie de coherentie van de toezichtsregelingen verbeteren, terwijl specifieke aspecten van de toezichtsopdracht en de daarmee samenhangende budgettaire verantwoordelijkheid toch op elkaar afgestemd blijven. Deze optie zou ook ervoor zorgen dat de CBI's, binnen de krijtlijnen van hun opdracht, een echte rol gaan spelen, zodat CTP's en marktdeelnemers meer duidelijkheid en voorspelbaarheid krijgen over de wijze waarop binnen de EU het toezicht op CTP's wordt uitgeoefend. Door de kernbestanddelen van het toezicht op CTP's te stroomlijnen, moet de voorkeursoptie ook de kosten voor zowel toezichthouders als CTP's doen dalen.</w:t>
            </w:r>
          </w:p>
          <w:p>
            <w:pPr>
              <w:spacing w:after="0"/>
              <w:rPr>
                <w:rFonts w:ascii="Arial" w:hAnsi="Arial" w:cs="Arial"/>
                <w:noProof/>
                <w:sz w:val="20"/>
              </w:rPr>
            </w:pPr>
            <w:r>
              <w:rPr>
                <w:rFonts w:ascii="Arial" w:hAnsi="Arial"/>
                <w:noProof/>
                <w:sz w:val="20"/>
              </w:rPr>
              <w:t xml:space="preserve">Wat betreft het mitigeren van risico's van CTP's uit derde landen zouden EU-autoriteiten dankzij de voorkeursoptie dit soort risico's beter moeten kunnen monitoren en mitigeren, zodat de algemene stabiliteit van het financiële bestel in de EU wordt versterkt. </w:t>
            </w:r>
          </w:p>
          <w:p>
            <w:pPr>
              <w:spacing w:after="0"/>
              <w:rPr>
                <w:rFonts w:ascii="Arial" w:hAnsi="Arial" w:cs="Arial"/>
                <w:noProof/>
                <w:sz w:val="20"/>
              </w:rPr>
            </w:pPr>
            <w:r>
              <w:rPr>
                <w:rFonts w:ascii="Arial" w:hAnsi="Arial"/>
                <w:noProof/>
                <w:sz w:val="20"/>
              </w:rPr>
              <w:t>Beide voorkeursopties verminderen het nu reeds geringe risico (maar wel met een bijzonder grote impact) op een CTP-falen doordat de betrokken overheidsinstanties in de EU meer armslag krijgen om de opbouw van systeemrisico's binnen CTP's uit de EU te voorkomen en om het doorsijpelen van schadelijke financiële moeilijkheden via CTP's uit derde landen in te dammen.</w:t>
            </w:r>
          </w:p>
        </w:tc>
      </w:tr>
      <w:tr>
        <w:tc>
          <w:tcPr>
            <w:tcW w:w="10188" w:type="dxa"/>
            <w:tcBorders>
              <w:bottom w:val="single" w:sz="4" w:space="0" w:color="auto"/>
            </w:tcBorders>
            <w:shd w:val="clear" w:color="auto" w:fill="E6E6E6"/>
          </w:tcPr>
          <w:p>
            <w:pPr>
              <w:spacing w:after="0"/>
              <w:rPr>
                <w:rFonts w:ascii="Tahoma" w:hAnsi="Tahoma" w:cs="Tahoma"/>
                <w:noProof/>
                <w:sz w:val="20"/>
              </w:rPr>
            </w:pPr>
            <w:r>
              <w:rPr>
                <w:rFonts w:ascii="Tahoma" w:hAnsi="Tahoma"/>
                <w:b/>
                <w:noProof/>
                <w:sz w:val="20"/>
              </w:rPr>
              <w:t>Wat zijn de kosten van de voorkeursoptie (indien van toepassing, anders die van de belangrijkste opties)?</w:t>
            </w:r>
            <w:r>
              <w:rPr>
                <w:rFonts w:ascii="Tahoma" w:hAnsi="Tahoma"/>
                <w:noProof/>
                <w:sz w:val="20"/>
              </w:rPr>
              <w:t xml:space="preserve">                                      </w:t>
            </w:r>
          </w:p>
        </w:tc>
      </w:tr>
      <w:tr>
        <w:tc>
          <w:tcPr>
            <w:tcW w:w="10188" w:type="dxa"/>
            <w:tcBorders>
              <w:bottom w:val="single" w:sz="4" w:space="0" w:color="auto"/>
            </w:tcBorders>
            <w:shd w:val="clear" w:color="auto" w:fill="auto"/>
          </w:tcPr>
          <w:p>
            <w:pPr>
              <w:spacing w:after="0"/>
              <w:rPr>
                <w:rFonts w:ascii="Arial" w:hAnsi="Arial" w:cs="Arial"/>
                <w:noProof/>
                <w:sz w:val="20"/>
              </w:rPr>
            </w:pPr>
            <w:r>
              <w:rPr>
                <w:rFonts w:ascii="Arial" w:hAnsi="Arial"/>
                <w:noProof/>
                <w:sz w:val="20"/>
              </w:rPr>
              <w:t xml:space="preserve">Wat betreft de coherentie van toezichtsregelingen voor CTP's uit de EU zou de voorkeursoptie (een nieuw Europees toezichtsmechanisme opzetten voor CTP's) geen effect hebben op de EU-begroting, omdat eventuele extra ontstaande kosten zouden worden gedekt door toezichtsvergoedingen die CTP's uit de EU moeten betalen. Deze zouden evenwel evenredig zijn aan hun activiteiten en zouden slechts een verwaarloosbaar deel van hun omzet vertegenwoordigen. Daarom is de verwachting dat de voorkeursoptie geen aanzienlijk effect zal hebben op de kosten van clearing, of het nu gaat om clearingleden of hun (indirecte) cliënten. </w:t>
            </w:r>
          </w:p>
          <w:p>
            <w:pPr>
              <w:spacing w:after="0"/>
              <w:rPr>
                <w:rFonts w:ascii="Arial" w:hAnsi="Arial" w:cs="Arial"/>
                <w:noProof/>
                <w:sz w:val="20"/>
              </w:rPr>
            </w:pPr>
            <w:r>
              <w:rPr>
                <w:rFonts w:ascii="Arial" w:hAnsi="Arial"/>
                <w:noProof/>
                <w:sz w:val="20"/>
              </w:rPr>
              <w:t xml:space="preserve">Evenmin zouden de wijzigingen die worden overwogen om de risico's op te vangen die door CTP's uit derde landen gevolgen hebben voor de EU-begroting, aangezien eventuele extra middelen voor het Europese mechanisme ook zouden worden gefinancierd via het innen van vergoedingen voor toezicht op CTP's uit derde landen. Afgezien van de kosten die verband houden met het toezicht, zouden de meeste kosten waarmee clearende tegenpartijen (clearingleden en hun cliënten) te maken krijgen, verband houden met de invoering van een locatiebeleid voor tier 2-CTP's, dat zou worden gevoerd op basis van objectieve criteria.   </w:t>
            </w:r>
          </w:p>
        </w:tc>
      </w:tr>
      <w:tr>
        <w:tc>
          <w:tcPr>
            <w:tcW w:w="10188" w:type="dxa"/>
            <w:tcBorders>
              <w:bottom w:val="single" w:sz="4" w:space="0" w:color="auto"/>
            </w:tcBorders>
            <w:shd w:val="clear" w:color="auto" w:fill="E6E6E6"/>
          </w:tcPr>
          <w:p>
            <w:pPr>
              <w:spacing w:after="0"/>
              <w:rPr>
                <w:rFonts w:ascii="Tahoma" w:hAnsi="Tahoma" w:cs="Tahoma"/>
                <w:noProof/>
                <w:sz w:val="20"/>
              </w:rPr>
            </w:pPr>
            <w:r>
              <w:rPr>
                <w:rFonts w:ascii="Tahoma" w:hAnsi="Tahoma"/>
                <w:b/>
                <w:noProof/>
                <w:sz w:val="20"/>
              </w:rPr>
              <w:t xml:space="preserve">Wat zijn de gevolgen voor bedrijven, kmo's en micro-ondernemingen? </w:t>
            </w:r>
          </w:p>
        </w:tc>
      </w:tr>
      <w:tr>
        <w:tc>
          <w:tcPr>
            <w:tcW w:w="10188" w:type="dxa"/>
            <w:tcBorders>
              <w:bottom w:val="single" w:sz="4" w:space="0" w:color="auto"/>
            </w:tcBorders>
            <w:shd w:val="clear" w:color="auto" w:fill="auto"/>
          </w:tcPr>
          <w:p>
            <w:pPr>
              <w:spacing w:after="0"/>
              <w:rPr>
                <w:rFonts w:ascii="Arial" w:hAnsi="Arial" w:cs="Arial"/>
                <w:i/>
                <w:noProof/>
                <w:sz w:val="20"/>
              </w:rPr>
            </w:pPr>
            <w:r>
              <w:rPr>
                <w:rFonts w:ascii="Arial" w:hAnsi="Arial"/>
                <w:noProof/>
                <w:sz w:val="20"/>
              </w:rPr>
              <w:t>De kosten die verband houden met het versterkte toezicht van CTP's uit de EU en uit derde landen, zouden eventueel kunnen worden doorgegeven aan de uiteindelijke cliënten van CTP's, zoals bedrijven, kmo's en micro-ondernemingen. In nettotermen is de kans klein dat de eventuele toename van clearingkosten aanzienlijk is, zeker vergeleken met de baten die aan het voorstel verbonden zijn. Bedrijven, kmo's en micro-ondernemingen zullen baat vinden bij meer stabiliteit dankzij de versterkte mogelijkheden van EU-autoriteiten om de opbouw van systeemrisico's binnen CTP's uit de EU tegen te gaan en om het doorsijpelen van schadelijke financiële moeilijkheden via CTP's uit derde landen in te dammen. Doordat er meer duidelijkheid komt over de toezichtsregelingen voor CTP's uit zowel de EU als derde landen, zou dit voorstel, mede ook dankzij het recente EMIR REFIT-initiatief van de Commissie voor het verlagen van onevenredige kosten voor kleinere tegenpartijen, moeten helpen om het gebruik van centrale clearing te bevorderen, grensoverschrijdende transacties binnen de EU te faciliteren - en zodoende kmo's meer mogelijkheden te geven om toegang te krijgen tot financiële instrumenten, waarmee ze hun risico's kunnen afdekken of kunnen investeren.</w:t>
            </w:r>
          </w:p>
        </w:tc>
      </w:tr>
      <w:tr>
        <w:tc>
          <w:tcPr>
            <w:tcW w:w="10188" w:type="dxa"/>
            <w:tcBorders>
              <w:bottom w:val="single" w:sz="4" w:space="0" w:color="auto"/>
            </w:tcBorders>
            <w:shd w:val="clear" w:color="auto" w:fill="E6E6E6"/>
          </w:tcPr>
          <w:p>
            <w:pPr>
              <w:spacing w:after="0"/>
              <w:rPr>
                <w:rFonts w:ascii="Tahoma" w:hAnsi="Tahoma" w:cs="Tahoma"/>
                <w:b/>
                <w:i/>
                <w:noProof/>
                <w:sz w:val="20"/>
              </w:rPr>
            </w:pPr>
            <w:r>
              <w:rPr>
                <w:rFonts w:ascii="Tahoma" w:hAnsi="Tahoma"/>
                <w:b/>
                <w:noProof/>
                <w:sz w:val="20"/>
              </w:rPr>
              <w:t>Zijn er significante effecten voor de nationale begrotingen en overheden?</w:t>
            </w:r>
          </w:p>
        </w:tc>
      </w:tr>
      <w:tr>
        <w:tc>
          <w:tcPr>
            <w:tcW w:w="10188" w:type="dxa"/>
            <w:shd w:val="clear" w:color="auto" w:fill="auto"/>
          </w:tcPr>
          <w:p>
            <w:pPr>
              <w:spacing w:after="0"/>
              <w:rPr>
                <w:rFonts w:ascii="Arial" w:hAnsi="Arial" w:cs="Arial"/>
                <w:noProof/>
                <w:sz w:val="20"/>
              </w:rPr>
            </w:pPr>
            <w:r>
              <w:rPr>
                <w:rFonts w:ascii="Arial" w:hAnsi="Arial"/>
                <w:noProof/>
                <w:sz w:val="20"/>
              </w:rPr>
              <w:t>Neen. De overwogen wijzigingen zouden geen kosten van betekenis voor nationale begrotingen en overheden mogen veroorzaken.</w:t>
            </w:r>
          </w:p>
        </w:tc>
      </w:tr>
      <w:tr>
        <w:tc>
          <w:tcPr>
            <w:tcW w:w="10188" w:type="dxa"/>
            <w:tcBorders>
              <w:bottom w:val="single" w:sz="4" w:space="0" w:color="auto"/>
            </w:tcBorders>
            <w:shd w:val="clear" w:color="auto" w:fill="E6E6E6"/>
          </w:tcPr>
          <w:p>
            <w:pPr>
              <w:spacing w:after="0"/>
              <w:rPr>
                <w:rFonts w:ascii="Tahoma" w:hAnsi="Tahoma" w:cs="Tahoma"/>
                <w:noProof/>
                <w:sz w:val="20"/>
              </w:rPr>
            </w:pPr>
            <w:r>
              <w:rPr>
                <w:rFonts w:ascii="Tahoma" w:hAnsi="Tahoma"/>
                <w:b/>
                <w:noProof/>
                <w:sz w:val="20"/>
              </w:rPr>
              <w:t>Zijn er nog andere significante effecten?</w:t>
            </w:r>
            <w:r>
              <w:rPr>
                <w:rFonts w:ascii="Tahoma" w:hAnsi="Tahoma"/>
                <w:noProof/>
                <w:sz w:val="20"/>
              </w:rPr>
              <w:t xml:space="preserve"> </w:t>
            </w:r>
            <w:r>
              <w:rPr>
                <w:rFonts w:ascii="Tahoma" w:hAnsi="Tahoma"/>
                <w:noProof/>
                <w:sz w:val="20"/>
                <w:u w:val="single"/>
              </w:rPr>
              <w:t xml:space="preserve"> </w:t>
            </w:r>
          </w:p>
        </w:tc>
      </w:tr>
      <w:tr>
        <w:tc>
          <w:tcPr>
            <w:tcW w:w="10188" w:type="dxa"/>
            <w:tcBorders>
              <w:bottom w:val="single" w:sz="4" w:space="0" w:color="auto"/>
            </w:tcBorders>
            <w:shd w:val="clear" w:color="auto" w:fill="auto"/>
          </w:tcPr>
          <w:p>
            <w:pPr>
              <w:spacing w:after="0"/>
              <w:rPr>
                <w:rFonts w:ascii="Arial" w:hAnsi="Arial" w:cs="Arial"/>
                <w:noProof/>
                <w:sz w:val="20"/>
              </w:rPr>
            </w:pPr>
            <w:r>
              <w:rPr>
                <w:rFonts w:ascii="Arial" w:hAnsi="Arial"/>
                <w:noProof/>
                <w:sz w:val="20"/>
              </w:rPr>
              <w:t xml:space="preserve">Neen.  </w:t>
            </w:r>
          </w:p>
        </w:tc>
      </w:tr>
      <w:tr>
        <w:tc>
          <w:tcPr>
            <w:tcW w:w="10188" w:type="dxa"/>
            <w:tcBorders>
              <w:bottom w:val="single" w:sz="4" w:space="0" w:color="auto"/>
            </w:tcBorders>
            <w:shd w:val="clear" w:color="auto" w:fill="C0C0C0"/>
          </w:tcPr>
          <w:p>
            <w:pPr>
              <w:spacing w:after="0"/>
              <w:jc w:val="center"/>
              <w:rPr>
                <w:rFonts w:ascii="Tahoma" w:hAnsi="Tahoma" w:cs="Tahoma"/>
                <w:b/>
                <w:noProof/>
              </w:rPr>
            </w:pPr>
            <w:r>
              <w:rPr>
                <w:rFonts w:ascii="Tahoma" w:hAnsi="Tahoma"/>
                <w:b/>
                <w:noProof/>
              </w:rPr>
              <w:t>D. Follow-up</w:t>
            </w:r>
          </w:p>
        </w:tc>
      </w:tr>
      <w:tr>
        <w:tc>
          <w:tcPr>
            <w:tcW w:w="10188" w:type="dxa"/>
            <w:tcBorders>
              <w:bottom w:val="single" w:sz="4" w:space="0" w:color="auto"/>
            </w:tcBorders>
            <w:shd w:val="clear" w:color="auto" w:fill="E6E6E6"/>
          </w:tcPr>
          <w:p>
            <w:pPr>
              <w:spacing w:after="0"/>
              <w:rPr>
                <w:rFonts w:ascii="Tahoma" w:hAnsi="Tahoma" w:cs="Tahoma"/>
                <w:noProof/>
                <w:sz w:val="20"/>
              </w:rPr>
            </w:pPr>
            <w:r>
              <w:rPr>
                <w:rFonts w:ascii="Tahoma" w:hAnsi="Tahoma"/>
                <w:b/>
                <w:noProof/>
                <w:sz w:val="20"/>
              </w:rPr>
              <w:t xml:space="preserve">Wanneer wordt dit beleid geëvalueerd? </w:t>
            </w:r>
            <w:r>
              <w:rPr>
                <w:rFonts w:ascii="Tahoma" w:hAnsi="Tahoma"/>
                <w:noProof/>
                <w:sz w:val="20"/>
              </w:rPr>
              <w:t xml:space="preserve"> </w:t>
            </w:r>
          </w:p>
        </w:tc>
      </w:tr>
      <w:tr>
        <w:tc>
          <w:tcPr>
            <w:tcW w:w="10188" w:type="dxa"/>
            <w:tcBorders>
              <w:bottom w:val="single" w:sz="4" w:space="0" w:color="auto"/>
            </w:tcBorders>
            <w:shd w:val="clear" w:color="auto" w:fill="auto"/>
          </w:tcPr>
          <w:p>
            <w:pPr>
              <w:spacing w:after="0"/>
              <w:rPr>
                <w:rFonts w:ascii="Arial" w:hAnsi="Arial" w:cs="Arial"/>
                <w:b/>
                <w:noProof/>
                <w:sz w:val="20"/>
              </w:rPr>
            </w:pPr>
            <w:r>
              <w:rPr>
                <w:rFonts w:ascii="Arial" w:hAnsi="Arial"/>
                <w:noProof/>
                <w:sz w:val="20"/>
              </w:rPr>
              <w:t xml:space="preserve">Een volledige herziening van EMIR moet worden doorgevoerd, waarbij vooral moet worden gekeken naar de effectiviteit en efficiëntie van de voorgestelde toezichtsregelingen voor het behalen van de oorspronkelijke doelstellingen van EMIR. Deze herziening dient uiterlijk vijf jaar na het van kracht worden van deze wijzigingen plaats te vinden. </w:t>
            </w:r>
          </w:p>
        </w:tc>
      </w:tr>
    </w:tbl>
    <w:p>
      <w:pPr>
        <w:rPr>
          <w:noProof/>
        </w:rPr>
      </w:pPr>
      <w:bookmarkStart w:id="2" w:name="_Toc425860951"/>
      <w:bookmarkStart w:id="3" w:name="_Toc425861051"/>
      <w:bookmarkStart w:id="4" w:name="_Toc425861121"/>
      <w:bookmarkStart w:id="5" w:name="_Toc425869896"/>
      <w:bookmarkStart w:id="6" w:name="_Toc425860952"/>
      <w:bookmarkStart w:id="7" w:name="_Toc425861052"/>
      <w:bookmarkStart w:id="8" w:name="_Toc425861122"/>
      <w:bookmarkStart w:id="9" w:name="_Toc425869897"/>
      <w:bookmarkStart w:id="10" w:name="_Toc401848614"/>
      <w:bookmarkStart w:id="11" w:name="_Toc402183499"/>
      <w:bookmarkStart w:id="12" w:name="_Toc411439303"/>
      <w:bookmarkStart w:id="13" w:name="_Toc412736413"/>
      <w:bookmarkStart w:id="14" w:name="_Toc413053046"/>
      <w:bookmarkStart w:id="15" w:name="_Toc413138174"/>
      <w:bookmarkStart w:id="16" w:name="_Toc413139238"/>
      <w:bookmarkStart w:id="17" w:name="_Toc413139459"/>
      <w:bookmarkStart w:id="18" w:name="_Toc413139764"/>
      <w:bookmarkStart w:id="19" w:name="_Toc414268562"/>
      <w:bookmarkStart w:id="20" w:name="_Toc414453413"/>
      <w:bookmarkStart w:id="21" w:name="_Toc414466884"/>
      <w:bookmarkStart w:id="22" w:name="_Toc415131680"/>
      <w:bookmarkStart w:id="23" w:name="_Toc415654190"/>
      <w:bookmarkStart w:id="24" w:name="_Toc416265125"/>
      <w:bookmarkStart w:id="25" w:name="_Toc416265394"/>
      <w:bookmarkStart w:id="26" w:name="_Toc401848620"/>
      <w:bookmarkStart w:id="27" w:name="_Toc402183505"/>
      <w:bookmarkStart w:id="28" w:name="_Toc411439309"/>
      <w:bookmarkStart w:id="29" w:name="_Toc412736419"/>
      <w:bookmarkStart w:id="30" w:name="_Toc413053052"/>
      <w:bookmarkStart w:id="31" w:name="_Toc413138180"/>
      <w:bookmarkStart w:id="32" w:name="_Toc413139244"/>
      <w:bookmarkStart w:id="33" w:name="_Toc413139465"/>
      <w:bookmarkStart w:id="34" w:name="_Toc413139770"/>
      <w:bookmarkStart w:id="35" w:name="_Toc414268568"/>
      <w:bookmarkStart w:id="36" w:name="_Toc414453419"/>
      <w:bookmarkStart w:id="37" w:name="_Toc414466890"/>
      <w:bookmarkStart w:id="38" w:name="_Toc415131686"/>
      <w:bookmarkStart w:id="39" w:name="_Toc415654196"/>
      <w:bookmarkStart w:id="40" w:name="_Toc416265131"/>
      <w:bookmarkStart w:id="41" w:name="_Toc416265400"/>
      <w:bookmarkStart w:id="42" w:name="_Toc425860962"/>
      <w:bookmarkStart w:id="43" w:name="_Toc425861062"/>
      <w:bookmarkStart w:id="44" w:name="_Toc425861132"/>
      <w:bookmarkStart w:id="45" w:name="_Toc425869907"/>
      <w:bookmarkStart w:id="46" w:name="_Toc425860966"/>
      <w:bookmarkStart w:id="47" w:name="_Toc425861066"/>
      <w:bookmarkStart w:id="48" w:name="_Toc425861136"/>
      <w:bookmarkStart w:id="49" w:name="_Toc425869911"/>
      <w:bookmarkStart w:id="50" w:name="_Toc365634732"/>
      <w:bookmarkStart w:id="51" w:name="_Toc365637929"/>
      <w:bookmarkStart w:id="52" w:name="_Toc365638021"/>
      <w:bookmarkStart w:id="53" w:name="_Toc365638124"/>
      <w:bookmarkStart w:id="54" w:name="_Toc365638215"/>
      <w:bookmarkStart w:id="55" w:name="_Toc365638306"/>
      <w:bookmarkStart w:id="56" w:name="_Toc365634733"/>
      <w:bookmarkStart w:id="57" w:name="_Toc365637930"/>
      <w:bookmarkStart w:id="58" w:name="_Toc365638022"/>
      <w:bookmarkStart w:id="59" w:name="_Toc365638125"/>
      <w:bookmarkStart w:id="60" w:name="_Toc365638216"/>
      <w:bookmarkStart w:id="61" w:name="_Toc365638307"/>
      <w:bookmarkStart w:id="62" w:name="_Toc365634734"/>
      <w:bookmarkStart w:id="63" w:name="_Toc365637931"/>
      <w:bookmarkStart w:id="64" w:name="_Toc365638023"/>
      <w:bookmarkStart w:id="65" w:name="_Toc365638126"/>
      <w:bookmarkStart w:id="66" w:name="_Toc365638217"/>
      <w:bookmarkStart w:id="67" w:name="_Toc365638308"/>
      <w:bookmarkStart w:id="68" w:name="_Toc365634738"/>
      <w:bookmarkStart w:id="69" w:name="_Toc365637935"/>
      <w:bookmarkStart w:id="70" w:name="_Toc365638027"/>
      <w:bookmarkStart w:id="71" w:name="_Toc365638130"/>
      <w:bookmarkStart w:id="72" w:name="_Toc365638221"/>
      <w:bookmarkStart w:id="73" w:name="_Toc365638312"/>
      <w:bookmarkStart w:id="74" w:name="_Toc365634740"/>
      <w:bookmarkStart w:id="75" w:name="_Toc365637937"/>
      <w:bookmarkStart w:id="76" w:name="_Toc365638029"/>
      <w:bookmarkStart w:id="77" w:name="_Toc365638132"/>
      <w:bookmarkStart w:id="78" w:name="_Toc365638223"/>
      <w:bookmarkStart w:id="79" w:name="_Toc365638314"/>
      <w:bookmarkStart w:id="80" w:name="_Toc365634741"/>
      <w:bookmarkStart w:id="81" w:name="_Toc365637938"/>
      <w:bookmarkStart w:id="82" w:name="_Toc365638030"/>
      <w:bookmarkStart w:id="83" w:name="_Toc365638133"/>
      <w:bookmarkStart w:id="84" w:name="_Toc365638224"/>
      <w:bookmarkStart w:id="85" w:name="_Toc365638315"/>
      <w:bookmarkStart w:id="86" w:name="_Toc365634742"/>
      <w:bookmarkStart w:id="87" w:name="_Toc365637939"/>
      <w:bookmarkStart w:id="88" w:name="_Toc365638031"/>
      <w:bookmarkStart w:id="89" w:name="_Toc365638134"/>
      <w:bookmarkStart w:id="90" w:name="_Toc365638225"/>
      <w:bookmarkStart w:id="91" w:name="_Toc365638316"/>
      <w:bookmarkStart w:id="92" w:name="_Toc365634748"/>
      <w:bookmarkStart w:id="93" w:name="_Toc365637945"/>
      <w:bookmarkStart w:id="94" w:name="_Toc365638037"/>
      <w:bookmarkStart w:id="95" w:name="_Toc365638140"/>
      <w:bookmarkStart w:id="96" w:name="_Toc365638231"/>
      <w:bookmarkStart w:id="97" w:name="_Toc365638322"/>
      <w:bookmarkStart w:id="98" w:name="_Toc365634749"/>
      <w:bookmarkStart w:id="99" w:name="_Toc365637946"/>
      <w:bookmarkStart w:id="100" w:name="_Toc365638038"/>
      <w:bookmarkStart w:id="101" w:name="_Toc365638141"/>
      <w:bookmarkStart w:id="102" w:name="_Toc365638232"/>
      <w:bookmarkStart w:id="103" w:name="_Toc365638323"/>
      <w:bookmarkStart w:id="104" w:name="_Toc365634754"/>
      <w:bookmarkStart w:id="105" w:name="_Toc365637951"/>
      <w:bookmarkStart w:id="106" w:name="_Toc365638043"/>
      <w:bookmarkStart w:id="107" w:name="_Toc365638146"/>
      <w:bookmarkStart w:id="108" w:name="_Toc365638237"/>
      <w:bookmarkStart w:id="109" w:name="_Toc365638328"/>
      <w:bookmarkStart w:id="110" w:name="_Toc365634757"/>
      <w:bookmarkStart w:id="111" w:name="_Toc365637954"/>
      <w:bookmarkStart w:id="112" w:name="_Toc365638046"/>
      <w:bookmarkStart w:id="113" w:name="_Toc365638149"/>
      <w:bookmarkStart w:id="114" w:name="_Toc365638240"/>
      <w:bookmarkStart w:id="115" w:name="_Toc365638331"/>
      <w:bookmarkStart w:id="116" w:name="_Toc365629685"/>
      <w:bookmarkStart w:id="117" w:name="_Toc365634758"/>
      <w:bookmarkStart w:id="118" w:name="_Toc365637955"/>
      <w:bookmarkStart w:id="119" w:name="_Toc365638047"/>
      <w:bookmarkStart w:id="120" w:name="_Toc365638150"/>
      <w:bookmarkStart w:id="121" w:name="_Toc365638241"/>
      <w:bookmarkStart w:id="122" w:name="_Toc365638332"/>
      <w:bookmarkStart w:id="123" w:name="_Toc365629688"/>
      <w:bookmarkStart w:id="124" w:name="_Toc365634761"/>
      <w:bookmarkStart w:id="125" w:name="_Toc365637958"/>
      <w:bookmarkStart w:id="126" w:name="_Toc365638050"/>
      <w:bookmarkStart w:id="127" w:name="_Toc365638153"/>
      <w:bookmarkStart w:id="128" w:name="_Toc365638244"/>
      <w:bookmarkStart w:id="129" w:name="_Toc365638335"/>
      <w:bookmarkStart w:id="130" w:name="_Toc365629689"/>
      <w:bookmarkStart w:id="131" w:name="_Toc365634762"/>
      <w:bookmarkStart w:id="132" w:name="_Toc365637959"/>
      <w:bookmarkStart w:id="133" w:name="_Toc365638051"/>
      <w:bookmarkStart w:id="134" w:name="_Toc365638154"/>
      <w:bookmarkStart w:id="135" w:name="_Toc365638245"/>
      <w:bookmarkStart w:id="136" w:name="_Toc365638336"/>
      <w:bookmarkStart w:id="137" w:name="_Toc365629690"/>
      <w:bookmarkStart w:id="138" w:name="_Toc365634763"/>
      <w:bookmarkStart w:id="139" w:name="_Toc365637960"/>
      <w:bookmarkStart w:id="140" w:name="_Toc365638052"/>
      <w:bookmarkStart w:id="141" w:name="_Toc365638155"/>
      <w:bookmarkStart w:id="142" w:name="_Toc365638246"/>
      <w:bookmarkStart w:id="143" w:name="_Toc365638337"/>
      <w:bookmarkStart w:id="144" w:name="_Toc365629691"/>
      <w:bookmarkStart w:id="145" w:name="_Toc365634764"/>
      <w:bookmarkStart w:id="146" w:name="_Toc365637961"/>
      <w:bookmarkStart w:id="147" w:name="_Toc365638053"/>
      <w:bookmarkStart w:id="148" w:name="_Toc365638156"/>
      <w:bookmarkStart w:id="149" w:name="_Toc365638247"/>
      <w:bookmarkStart w:id="150" w:name="_Toc365638338"/>
      <w:bookmarkStart w:id="151" w:name="_Toc365629692"/>
      <w:bookmarkStart w:id="152" w:name="_Toc365634765"/>
      <w:bookmarkStart w:id="153" w:name="_Toc365637962"/>
      <w:bookmarkStart w:id="154" w:name="_Toc365638054"/>
      <w:bookmarkStart w:id="155" w:name="_Toc365638157"/>
      <w:bookmarkStart w:id="156" w:name="_Toc365638248"/>
      <w:bookmarkStart w:id="157" w:name="_Toc365638339"/>
      <w:bookmarkStart w:id="158" w:name="_Toc365629698"/>
      <w:bookmarkStart w:id="159" w:name="_Toc365634771"/>
      <w:bookmarkStart w:id="160" w:name="_Toc365637968"/>
      <w:bookmarkStart w:id="161" w:name="_Toc365638060"/>
      <w:bookmarkStart w:id="162" w:name="_Toc365638163"/>
      <w:bookmarkStart w:id="163" w:name="_Toc365638254"/>
      <w:bookmarkStart w:id="164" w:name="_Toc365638345"/>
      <w:bookmarkStart w:id="165" w:name="_Toc365629699"/>
      <w:bookmarkStart w:id="166" w:name="_Toc365634772"/>
      <w:bookmarkStart w:id="167" w:name="_Toc365637969"/>
      <w:bookmarkStart w:id="168" w:name="_Toc365638061"/>
      <w:bookmarkStart w:id="169" w:name="_Toc365638164"/>
      <w:bookmarkStart w:id="170" w:name="_Toc365638255"/>
      <w:bookmarkStart w:id="171" w:name="_Toc365638346"/>
      <w:bookmarkStart w:id="172" w:name="_Toc365629709"/>
      <w:bookmarkStart w:id="173" w:name="_Toc365634782"/>
      <w:bookmarkStart w:id="174" w:name="_Toc365637979"/>
      <w:bookmarkStart w:id="175" w:name="_Toc365638071"/>
      <w:bookmarkStart w:id="176" w:name="_Toc365638174"/>
      <w:bookmarkStart w:id="177" w:name="_Toc365638265"/>
      <w:bookmarkStart w:id="178" w:name="_Toc365638356"/>
      <w:bookmarkStart w:id="179" w:name="_Toc393878190"/>
      <w:bookmarkStart w:id="180" w:name="_Toc396322098"/>
      <w:bookmarkStart w:id="181" w:name="_Toc396322309"/>
      <w:bookmarkStart w:id="182" w:name="_Toc396409130"/>
      <w:bookmarkStart w:id="183" w:name="_Toc396409355"/>
      <w:bookmarkStart w:id="184" w:name="_Toc396484040"/>
      <w:bookmarkStart w:id="185" w:name="_Toc400121137"/>
      <w:bookmarkStart w:id="186" w:name="_Toc401848630"/>
      <w:bookmarkStart w:id="187" w:name="_Toc402183516"/>
      <w:bookmarkStart w:id="188" w:name="_Toc411439316"/>
      <w:bookmarkStart w:id="189" w:name="_Toc412736426"/>
      <w:bookmarkStart w:id="190" w:name="_Toc413053059"/>
      <w:bookmarkStart w:id="191" w:name="_Toc413138187"/>
      <w:bookmarkStart w:id="192" w:name="_Toc413139251"/>
      <w:bookmarkStart w:id="193" w:name="_Toc413139472"/>
      <w:bookmarkStart w:id="194" w:name="_Toc413139777"/>
      <w:bookmarkStart w:id="195" w:name="_Toc414268575"/>
      <w:bookmarkStart w:id="196" w:name="_Toc414453426"/>
      <w:bookmarkStart w:id="197" w:name="_Toc414466897"/>
      <w:bookmarkStart w:id="198" w:name="_Toc415131693"/>
      <w:bookmarkStart w:id="199" w:name="_Toc415654203"/>
      <w:bookmarkStart w:id="200" w:name="_Toc416265138"/>
      <w:bookmarkStart w:id="201" w:name="_Toc416265407"/>
      <w:bookmarkStart w:id="202" w:name="_Toc393878202"/>
      <w:bookmarkStart w:id="203" w:name="_Toc396322109"/>
      <w:bookmarkStart w:id="204" w:name="_Toc396322320"/>
      <w:bookmarkStart w:id="205" w:name="_Toc396409141"/>
      <w:bookmarkStart w:id="206" w:name="_Toc396409366"/>
      <w:bookmarkStart w:id="207" w:name="_Toc396484051"/>
      <w:bookmarkStart w:id="208" w:name="_Toc400121148"/>
      <w:bookmarkStart w:id="209" w:name="_Toc401848641"/>
      <w:bookmarkStart w:id="210" w:name="_Toc402183527"/>
      <w:bookmarkStart w:id="211" w:name="_Toc411439326"/>
      <w:bookmarkStart w:id="212" w:name="_Toc412736436"/>
      <w:bookmarkStart w:id="213" w:name="_Toc413053069"/>
      <w:bookmarkStart w:id="214" w:name="_Toc413138197"/>
      <w:bookmarkStart w:id="215" w:name="_Toc413139261"/>
      <w:bookmarkStart w:id="216" w:name="_Toc413139482"/>
      <w:bookmarkStart w:id="217" w:name="_Toc413139787"/>
      <w:bookmarkStart w:id="218" w:name="_Toc414268589"/>
      <w:bookmarkStart w:id="219" w:name="_Toc414453440"/>
      <w:bookmarkStart w:id="220" w:name="_Toc414466911"/>
      <w:bookmarkStart w:id="221" w:name="_Toc415131707"/>
      <w:bookmarkStart w:id="222" w:name="_Toc415654217"/>
      <w:bookmarkStart w:id="223" w:name="_Toc416265152"/>
      <w:bookmarkStart w:id="224" w:name="_Toc416265421"/>
      <w:bookmarkStart w:id="225" w:name="_Toc425860981"/>
      <w:bookmarkStart w:id="226" w:name="_Toc425861081"/>
      <w:bookmarkStart w:id="227" w:name="_Toc425861151"/>
      <w:bookmarkStart w:id="228" w:name="_Toc425869926"/>
      <w:bookmarkStart w:id="229" w:name="_Toc425860984"/>
      <w:bookmarkStart w:id="230" w:name="_Toc425861084"/>
      <w:bookmarkStart w:id="231" w:name="_Toc425861154"/>
      <w:bookmarkStart w:id="232" w:name="_Toc42586992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sectPr>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43318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2D72132"/>
    <w:multiLevelType w:val="hybridMultilevel"/>
    <w:tmpl w:val="FD0417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449094C"/>
    <w:multiLevelType w:val="hybridMultilevel"/>
    <w:tmpl w:val="C7A69FBA"/>
    <w:lvl w:ilvl="0" w:tplc="BE2E7CB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1648C0"/>
    <w:multiLevelType w:val="hybridMultilevel"/>
    <w:tmpl w:val="727A40EE"/>
    <w:lvl w:ilvl="0" w:tplc="492A33A0">
      <w:start w:val="1"/>
      <w:numFmt w:val="decimal"/>
      <w:lvlText w:val="%1."/>
      <w:lvlJc w:val="left"/>
      <w:pPr>
        <w:ind w:left="360" w:hanging="360"/>
      </w:pPr>
    </w:lvl>
    <w:lvl w:ilvl="1" w:tplc="38FA3DF4">
      <w:start w:val="1"/>
      <w:numFmt w:val="decimal"/>
      <w:lvlText w:val="%2)"/>
      <w:lvlJc w:val="left"/>
      <w:pPr>
        <w:ind w:left="1080" w:hanging="360"/>
      </w:pPr>
      <w:rPr>
        <w:rFonts w:hint="default"/>
      </w:rPr>
    </w:lvl>
    <w:lvl w:ilvl="2" w:tplc="078A8612">
      <w:start w:val="1"/>
      <w:numFmt w:val="lowerRoman"/>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55841EF"/>
    <w:multiLevelType w:val="hybridMultilevel"/>
    <w:tmpl w:val="57F0039E"/>
    <w:lvl w:ilvl="0" w:tplc="7D4099A8">
      <w:start w:val="1"/>
      <w:numFmt w:val="lowerRoman"/>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05900B49"/>
    <w:multiLevelType w:val="hybridMultilevel"/>
    <w:tmpl w:val="540A6EAA"/>
    <w:lvl w:ilvl="0" w:tplc="BE2E7CB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7C7126"/>
    <w:multiLevelType w:val="hybridMultilevel"/>
    <w:tmpl w:val="24145E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BA01F5C"/>
    <w:multiLevelType w:val="hybridMultilevel"/>
    <w:tmpl w:val="9042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D580DF7"/>
    <w:multiLevelType w:val="hybridMultilevel"/>
    <w:tmpl w:val="BD4CC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0B10491"/>
    <w:multiLevelType w:val="multilevel"/>
    <w:tmpl w:val="0809001F"/>
    <w:name w:val="0,109167"/>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129041EA"/>
    <w:multiLevelType w:val="hybridMultilevel"/>
    <w:tmpl w:val="2656171A"/>
    <w:lvl w:ilvl="0" w:tplc="AEF68F90">
      <w:start w:val="1"/>
      <w:numFmt w:val="bullet"/>
      <w:pStyle w:val="Bullet"/>
      <w:lvlText w:val=""/>
      <w:lvlJc w:val="left"/>
      <w:pPr>
        <w:tabs>
          <w:tab w:val="num" w:pos="1134"/>
        </w:tabs>
        <w:ind w:left="1134" w:hanging="283"/>
      </w:pPr>
      <w:rPr>
        <w:rFonts w:ascii="Symbol" w:hAnsi="Symbol" w:hint="default"/>
        <w:sz w:val="22"/>
      </w:rPr>
    </w:lvl>
    <w:lvl w:ilvl="1" w:tplc="04090003">
      <w:start w:val="1"/>
      <w:numFmt w:val="bullet"/>
      <w:pStyle w:val="IndentedHeading2"/>
      <w:lvlText w:val="o"/>
      <w:lvlJc w:val="left"/>
      <w:pPr>
        <w:tabs>
          <w:tab w:val="num" w:pos="2007"/>
        </w:tabs>
        <w:ind w:left="2007" w:hanging="360"/>
      </w:pPr>
      <w:rPr>
        <w:rFonts w:ascii="Courier New" w:hAnsi="Courier New" w:cs="Times New Roman" w:hint="default"/>
      </w:rPr>
    </w:lvl>
    <w:lvl w:ilvl="2" w:tplc="04090005">
      <w:start w:val="1"/>
      <w:numFmt w:val="bullet"/>
      <w:pStyle w:val="IndentedHeading3"/>
      <w:lvlText w:val=""/>
      <w:lvlJc w:val="left"/>
      <w:pPr>
        <w:tabs>
          <w:tab w:val="num" w:pos="2727"/>
        </w:tabs>
        <w:ind w:left="2727" w:hanging="360"/>
      </w:pPr>
      <w:rPr>
        <w:rFonts w:ascii="Wingdings" w:hAnsi="Wingdings" w:hint="default"/>
      </w:rPr>
    </w:lvl>
    <w:lvl w:ilvl="3" w:tplc="04090001">
      <w:start w:val="1"/>
      <w:numFmt w:val="bullet"/>
      <w:pStyle w:val="IndentedHeading4"/>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cs="Times New Roman"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cs="Times New Roman"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12">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547533"/>
    <w:multiLevelType w:val="hybridMultilevel"/>
    <w:tmpl w:val="F052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F3197E"/>
    <w:multiLevelType w:val="hybridMultilevel"/>
    <w:tmpl w:val="6B5870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F734306"/>
    <w:multiLevelType w:val="multilevel"/>
    <w:tmpl w:val="20D27972"/>
    <w:lvl w:ilvl="0">
      <w:start w:val="1"/>
      <w:numFmt w:val="decimal"/>
      <w:pStyle w:val="Heading1"/>
      <w:lvlText w:val="%1."/>
      <w:lvlJc w:val="left"/>
      <w:pPr>
        <w:tabs>
          <w:tab w:val="num" w:pos="480"/>
        </w:tabs>
        <w:ind w:left="480" w:hanging="480"/>
      </w:pPr>
      <w:rPr>
        <w:rFonts w:ascii="Times New Roman Bold" w:hAnsi="Times New Roman Bold" w:hint="default"/>
        <w:b/>
        <w:i w:val="0"/>
        <w:sz w:val="24"/>
      </w:rPr>
    </w:lvl>
    <w:lvl w:ilvl="1">
      <w:start w:val="1"/>
      <w:numFmt w:val="decimal"/>
      <w:pStyle w:val="Heading2"/>
      <w:lvlText w:val="%1.%2."/>
      <w:lvlJc w:val="left"/>
      <w:pPr>
        <w:tabs>
          <w:tab w:val="num" w:pos="1200"/>
        </w:tabs>
        <w:ind w:left="120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none"/>
      <w:pStyle w:val="Heading3"/>
      <w:lvlText w:val=""/>
      <w:lvlJc w:val="left"/>
      <w:pPr>
        <w:tabs>
          <w:tab w:val="num" w:pos="360"/>
        </w:tabs>
        <w:ind w:left="0" w:firstLine="0"/>
      </w:pPr>
      <w:rPr>
        <w:rFonts w:hint="default"/>
      </w:rPr>
    </w:lvl>
    <w:lvl w:ilvl="3">
      <w:numFmt w:val="none"/>
      <w:pStyle w:val="Heading4"/>
      <w:lvlText w:val="%4"/>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1FC46615"/>
    <w:multiLevelType w:val="hybridMultilevel"/>
    <w:tmpl w:val="47865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A50438"/>
    <w:multiLevelType w:val="multilevel"/>
    <w:tmpl w:val="601C6DB4"/>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F50111"/>
    <w:multiLevelType w:val="hybridMultilevel"/>
    <w:tmpl w:val="7A06CBF2"/>
    <w:lvl w:ilvl="0" w:tplc="0809000F">
      <w:start w:val="1"/>
      <w:numFmt w:val="decimal"/>
      <w:lvlText w:val="%1."/>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9">
    <w:nsid w:val="21FA2835"/>
    <w:multiLevelType w:val="hybridMultilevel"/>
    <w:tmpl w:val="6CEAAE8C"/>
    <w:lvl w:ilvl="0" w:tplc="08090001">
      <w:start w:val="1"/>
      <w:numFmt w:val="bullet"/>
      <w:lvlText w:val=""/>
      <w:lvlJc w:val="left"/>
      <w:rPr>
        <w:rFonts w:ascii="Symbol" w:hAnsi="Symbol" w:hint="default"/>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0">
    <w:nsid w:val="22DD3599"/>
    <w:multiLevelType w:val="multilevel"/>
    <w:tmpl w:val="4EAA5BA6"/>
    <w:lvl w:ilvl="0">
      <w:numFmt w:val="decimal"/>
      <w:pStyle w:val="ListNumber"/>
      <w:lvlText w:val=""/>
      <w:lvlJc w:val="left"/>
    </w:lvl>
    <w:lvl w:ilvl="1">
      <w:numFmt w:val="decimal"/>
      <w:pStyle w:val="ListNumberLevel2"/>
      <w:lvlText w:val=""/>
      <w:lvlJc w:val="left"/>
    </w:lvl>
    <w:lvl w:ilvl="2">
      <w:numFmt w:val="decimal"/>
      <w:pStyle w:val="ListNumberLevel3"/>
      <w:lvlText w:val=""/>
      <w:lvlJc w:val="left"/>
    </w:lvl>
    <w:lvl w:ilvl="3">
      <w:numFmt w:val="decimal"/>
      <w:pStyle w:val="ListNumberLeve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0D6688"/>
    <w:multiLevelType w:val="hybridMultilevel"/>
    <w:tmpl w:val="5F3E5A70"/>
    <w:lvl w:ilvl="0" w:tplc="08090001">
      <w:start w:val="1"/>
      <w:numFmt w:val="bullet"/>
      <w:lvlText w:val=""/>
      <w:lvlJc w:val="left"/>
      <w:rPr>
        <w:rFonts w:ascii="Symbol" w:hAnsi="Symbol" w:hint="default"/>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2">
    <w:nsid w:val="282C4A6E"/>
    <w:multiLevelType w:val="hybridMultilevel"/>
    <w:tmpl w:val="31BE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AF76E7A"/>
    <w:multiLevelType w:val="singleLevel"/>
    <w:tmpl w:val="C74C5A32"/>
    <w:lvl w:ilvl="0">
      <w:numFmt w:val="decimal"/>
      <w:pStyle w:val="Bullet1"/>
      <w:lvlText w:val=""/>
      <w:lvlJc w:val="left"/>
    </w:lvl>
  </w:abstractNum>
  <w:abstractNum w:abstractNumId="24">
    <w:nsid w:val="2B75631B"/>
    <w:multiLevelType w:val="singleLevel"/>
    <w:tmpl w:val="A4DC141A"/>
    <w:lvl w:ilvl="0">
      <w:numFmt w:val="decimal"/>
      <w:pStyle w:val="ListBullet1"/>
      <w:lvlText w:val=""/>
      <w:lvlJc w:val="left"/>
    </w:lvl>
  </w:abstractNum>
  <w:abstractNum w:abstractNumId="25">
    <w:nsid w:val="2CAB4527"/>
    <w:multiLevelType w:val="multilevel"/>
    <w:tmpl w:val="26C24C12"/>
    <w:lvl w:ilvl="0">
      <w:numFmt w:val="decimal"/>
      <w:pStyle w:val="ListNumber3"/>
      <w:lvlText w:val=""/>
      <w:lvlJc w:val="left"/>
    </w:lvl>
    <w:lvl w:ilvl="1">
      <w:numFmt w:val="decimal"/>
      <w:pStyle w:val="ListNumber3Level2"/>
      <w:lvlText w:val=""/>
      <w:lvlJc w:val="left"/>
    </w:lvl>
    <w:lvl w:ilvl="2">
      <w:numFmt w:val="decimal"/>
      <w:pStyle w:val="ListNumber3Level3"/>
      <w:lvlText w:val=""/>
      <w:lvlJc w:val="left"/>
    </w:lvl>
    <w:lvl w:ilvl="3">
      <w:numFmt w:val="decimal"/>
      <w:pStyle w:val="ListNumber3Leve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2ED84BD9"/>
    <w:multiLevelType w:val="hybridMultilevel"/>
    <w:tmpl w:val="0C9C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7567BD"/>
    <w:multiLevelType w:val="hybridMultilevel"/>
    <w:tmpl w:val="F236C958"/>
    <w:lvl w:ilvl="0" w:tplc="BE2E7CB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09F7BBE"/>
    <w:multiLevelType w:val="hybridMultilevel"/>
    <w:tmpl w:val="027A660A"/>
    <w:lvl w:ilvl="0" w:tplc="217E480C">
      <w:start w:val="1"/>
      <w:numFmt w:val="bullet"/>
      <w:lvlText w:val="•"/>
      <w:lvlJc w:val="left"/>
      <w:pPr>
        <w:tabs>
          <w:tab w:val="num" w:pos="720"/>
        </w:tabs>
        <w:ind w:left="720" w:hanging="360"/>
      </w:pPr>
      <w:rPr>
        <w:rFonts w:ascii="Times New Roman" w:hAnsi="Times New Roman" w:hint="default"/>
      </w:rPr>
    </w:lvl>
    <w:lvl w:ilvl="1" w:tplc="61124670" w:tentative="1">
      <w:start w:val="1"/>
      <w:numFmt w:val="bullet"/>
      <w:lvlText w:val="•"/>
      <w:lvlJc w:val="left"/>
      <w:pPr>
        <w:tabs>
          <w:tab w:val="num" w:pos="1440"/>
        </w:tabs>
        <w:ind w:left="1440" w:hanging="360"/>
      </w:pPr>
      <w:rPr>
        <w:rFonts w:ascii="Times New Roman" w:hAnsi="Times New Roman" w:hint="default"/>
      </w:rPr>
    </w:lvl>
    <w:lvl w:ilvl="2" w:tplc="AE66FFA4" w:tentative="1">
      <w:start w:val="1"/>
      <w:numFmt w:val="bullet"/>
      <w:lvlText w:val="•"/>
      <w:lvlJc w:val="left"/>
      <w:pPr>
        <w:tabs>
          <w:tab w:val="num" w:pos="2160"/>
        </w:tabs>
        <w:ind w:left="2160" w:hanging="360"/>
      </w:pPr>
      <w:rPr>
        <w:rFonts w:ascii="Times New Roman" w:hAnsi="Times New Roman" w:hint="default"/>
      </w:rPr>
    </w:lvl>
    <w:lvl w:ilvl="3" w:tplc="0382E67C" w:tentative="1">
      <w:start w:val="1"/>
      <w:numFmt w:val="bullet"/>
      <w:lvlText w:val="•"/>
      <w:lvlJc w:val="left"/>
      <w:pPr>
        <w:tabs>
          <w:tab w:val="num" w:pos="2880"/>
        </w:tabs>
        <w:ind w:left="2880" w:hanging="360"/>
      </w:pPr>
      <w:rPr>
        <w:rFonts w:ascii="Times New Roman" w:hAnsi="Times New Roman" w:hint="default"/>
      </w:rPr>
    </w:lvl>
    <w:lvl w:ilvl="4" w:tplc="CBBEDCD2" w:tentative="1">
      <w:start w:val="1"/>
      <w:numFmt w:val="bullet"/>
      <w:lvlText w:val="•"/>
      <w:lvlJc w:val="left"/>
      <w:pPr>
        <w:tabs>
          <w:tab w:val="num" w:pos="3600"/>
        </w:tabs>
        <w:ind w:left="3600" w:hanging="360"/>
      </w:pPr>
      <w:rPr>
        <w:rFonts w:ascii="Times New Roman" w:hAnsi="Times New Roman" w:hint="default"/>
      </w:rPr>
    </w:lvl>
    <w:lvl w:ilvl="5" w:tplc="1BE2FBEA" w:tentative="1">
      <w:start w:val="1"/>
      <w:numFmt w:val="bullet"/>
      <w:lvlText w:val="•"/>
      <w:lvlJc w:val="left"/>
      <w:pPr>
        <w:tabs>
          <w:tab w:val="num" w:pos="4320"/>
        </w:tabs>
        <w:ind w:left="4320" w:hanging="360"/>
      </w:pPr>
      <w:rPr>
        <w:rFonts w:ascii="Times New Roman" w:hAnsi="Times New Roman" w:hint="default"/>
      </w:rPr>
    </w:lvl>
    <w:lvl w:ilvl="6" w:tplc="EDBE42C0" w:tentative="1">
      <w:start w:val="1"/>
      <w:numFmt w:val="bullet"/>
      <w:lvlText w:val="•"/>
      <w:lvlJc w:val="left"/>
      <w:pPr>
        <w:tabs>
          <w:tab w:val="num" w:pos="5040"/>
        </w:tabs>
        <w:ind w:left="5040" w:hanging="360"/>
      </w:pPr>
      <w:rPr>
        <w:rFonts w:ascii="Times New Roman" w:hAnsi="Times New Roman" w:hint="default"/>
      </w:rPr>
    </w:lvl>
    <w:lvl w:ilvl="7" w:tplc="0DDE61CE" w:tentative="1">
      <w:start w:val="1"/>
      <w:numFmt w:val="bullet"/>
      <w:lvlText w:val="•"/>
      <w:lvlJc w:val="left"/>
      <w:pPr>
        <w:tabs>
          <w:tab w:val="num" w:pos="5760"/>
        </w:tabs>
        <w:ind w:left="5760" w:hanging="360"/>
      </w:pPr>
      <w:rPr>
        <w:rFonts w:ascii="Times New Roman" w:hAnsi="Times New Roman" w:hint="default"/>
      </w:rPr>
    </w:lvl>
    <w:lvl w:ilvl="8" w:tplc="A7A4B36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32897D54"/>
    <w:multiLevelType w:val="hybridMultilevel"/>
    <w:tmpl w:val="BB5C5C7E"/>
    <w:lvl w:ilvl="0" w:tplc="0809000F">
      <w:numFmt w:val="decimal"/>
      <w:lvlText w:val=""/>
      <w:lvlJc w:val="left"/>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4293F3F"/>
    <w:multiLevelType w:val="singleLevel"/>
    <w:tmpl w:val="B074E4EC"/>
    <w:lvl w:ilvl="0">
      <w:numFmt w:val="decimal"/>
      <w:pStyle w:val="ListDash"/>
      <w:lvlText w:val=""/>
      <w:lvlJc w:val="left"/>
    </w:lvl>
  </w:abstractNum>
  <w:abstractNum w:abstractNumId="32">
    <w:nsid w:val="343E59FC"/>
    <w:multiLevelType w:val="hybridMultilevel"/>
    <w:tmpl w:val="CFFC80F8"/>
    <w:lvl w:ilvl="0" w:tplc="BE44C856">
      <w:start w:val="1"/>
      <w:numFmt w:val="lowerRoman"/>
      <w:lvlText w:val="(%1)"/>
      <w:lvlJc w:val="left"/>
      <w:pPr>
        <w:ind w:left="1353" w:hanging="360"/>
      </w:pPr>
      <w:rPr>
        <w:rFonts w:cs="Times New Roman"/>
      </w:rPr>
    </w:lvl>
    <w:lvl w:ilvl="1" w:tplc="08090019">
      <w:start w:val="1"/>
      <w:numFmt w:val="lowerLetter"/>
      <w:lvlText w:val="%2."/>
      <w:lvlJc w:val="left"/>
      <w:pPr>
        <w:ind w:left="1931" w:hanging="360"/>
      </w:pPr>
      <w:rPr>
        <w:rFonts w:cs="Times New Roman"/>
      </w:rPr>
    </w:lvl>
    <w:lvl w:ilvl="2" w:tplc="0809001B">
      <w:start w:val="1"/>
      <w:numFmt w:val="lowerRoman"/>
      <w:lvlText w:val="%3."/>
      <w:lvlJc w:val="right"/>
      <w:pPr>
        <w:ind w:left="2651" w:hanging="180"/>
      </w:pPr>
      <w:rPr>
        <w:rFonts w:cs="Times New Roman"/>
      </w:rPr>
    </w:lvl>
    <w:lvl w:ilvl="3" w:tplc="0809000F">
      <w:start w:val="1"/>
      <w:numFmt w:val="decimal"/>
      <w:lvlText w:val="%4."/>
      <w:lvlJc w:val="left"/>
      <w:pPr>
        <w:ind w:left="3371" w:hanging="360"/>
      </w:pPr>
      <w:rPr>
        <w:rFonts w:cs="Times New Roman"/>
      </w:rPr>
    </w:lvl>
    <w:lvl w:ilvl="4" w:tplc="08090019">
      <w:start w:val="1"/>
      <w:numFmt w:val="lowerLetter"/>
      <w:lvlText w:val="%5."/>
      <w:lvlJc w:val="left"/>
      <w:pPr>
        <w:ind w:left="4091" w:hanging="360"/>
      </w:pPr>
      <w:rPr>
        <w:rFonts w:cs="Times New Roman"/>
      </w:rPr>
    </w:lvl>
    <w:lvl w:ilvl="5" w:tplc="0809001B">
      <w:start w:val="1"/>
      <w:numFmt w:val="lowerRoman"/>
      <w:lvlText w:val="%6."/>
      <w:lvlJc w:val="right"/>
      <w:pPr>
        <w:ind w:left="4811" w:hanging="180"/>
      </w:pPr>
      <w:rPr>
        <w:rFonts w:cs="Times New Roman"/>
      </w:rPr>
    </w:lvl>
    <w:lvl w:ilvl="6" w:tplc="0809000F">
      <w:start w:val="1"/>
      <w:numFmt w:val="decimal"/>
      <w:lvlText w:val="%7."/>
      <w:lvlJc w:val="left"/>
      <w:pPr>
        <w:ind w:left="5531" w:hanging="360"/>
      </w:pPr>
      <w:rPr>
        <w:rFonts w:cs="Times New Roman"/>
      </w:rPr>
    </w:lvl>
    <w:lvl w:ilvl="7" w:tplc="08090019">
      <w:start w:val="1"/>
      <w:numFmt w:val="lowerLetter"/>
      <w:lvlText w:val="%8."/>
      <w:lvlJc w:val="left"/>
      <w:pPr>
        <w:ind w:left="6251" w:hanging="360"/>
      </w:pPr>
      <w:rPr>
        <w:rFonts w:cs="Times New Roman"/>
      </w:rPr>
    </w:lvl>
    <w:lvl w:ilvl="8" w:tplc="0809001B">
      <w:start w:val="1"/>
      <w:numFmt w:val="lowerRoman"/>
      <w:lvlText w:val="%9."/>
      <w:lvlJc w:val="right"/>
      <w:pPr>
        <w:ind w:left="6971" w:hanging="180"/>
      </w:pPr>
      <w:rPr>
        <w:rFonts w:cs="Times New Roman"/>
      </w:rPr>
    </w:lvl>
  </w:abstractNum>
  <w:abstractNum w:abstractNumId="33">
    <w:nsid w:val="358B6119"/>
    <w:multiLevelType w:val="multilevel"/>
    <w:tmpl w:val="A8BA546C"/>
    <w:lvl w:ilvl="0">
      <w:numFmt w:val="decimal"/>
      <w:pStyle w:val="ListNumber1"/>
      <w:lvlText w:val=""/>
      <w:lvlJc w:val="left"/>
    </w:lvl>
    <w:lvl w:ilvl="1">
      <w:numFmt w:val="decimal"/>
      <w:pStyle w:val="ListNumber1Level2"/>
      <w:lvlText w:val=""/>
      <w:lvlJc w:val="left"/>
    </w:lvl>
    <w:lvl w:ilvl="2">
      <w:numFmt w:val="decimal"/>
      <w:pStyle w:val="ListNumber1Level3"/>
      <w:lvlText w:val=""/>
      <w:lvlJc w:val="left"/>
    </w:lvl>
    <w:lvl w:ilvl="3">
      <w:numFmt w:val="decimal"/>
      <w:pStyle w:val="ListNumber1Leve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98C6F57"/>
    <w:multiLevelType w:val="multilevel"/>
    <w:tmpl w:val="9822F168"/>
    <w:lvl w:ilvl="0">
      <w:start w:val="1"/>
      <w:numFmt w:val="decimal"/>
      <w:lvlText w:val="%1."/>
      <w:lvlJc w:val="left"/>
      <w:pPr>
        <w:tabs>
          <w:tab w:val="num" w:pos="851"/>
        </w:tabs>
        <w:ind w:left="851" w:hanging="851"/>
      </w:pPr>
      <w:rPr>
        <w:rFonts w:ascii="Times New Roman Bold" w:hAnsi="Times New Roman Bold" w:cs="Courier" w:hint="default"/>
        <w:b/>
        <w:bCs w:val="0"/>
        <w:i w:val="0"/>
        <w:caps w:val="0"/>
        <w:strike w:val="0"/>
        <w:dstrike w:val="0"/>
        <w:vanish w:val="0"/>
        <w:webHidden w:val="0"/>
        <w:color w:val="000000"/>
        <w:spacing w:val="0"/>
        <w:kern w:val="0"/>
        <w:position w:val="0"/>
        <w:sz w:val="24"/>
        <w:szCs w:val="24"/>
        <w:u w:val="none"/>
        <w:effect w:val="none"/>
        <w:vertAlign w:val="baseline"/>
        <w:specVanish w:val="0"/>
      </w:rPr>
    </w:lvl>
    <w:lvl w:ilvl="1">
      <w:start w:val="1"/>
      <w:numFmt w:val="decimal"/>
      <w:lvlText w:val="%1.%2"/>
      <w:lvlJc w:val="left"/>
      <w:pPr>
        <w:tabs>
          <w:tab w:val="num" w:pos="851"/>
        </w:tabs>
        <w:ind w:left="851" w:hanging="851"/>
      </w:pPr>
      <w:rPr>
        <w:rFonts w:ascii="Times New Roman Bold" w:hAnsi="Times New Roman Bold" w:cs="Courier" w:hint="default"/>
        <w:b/>
        <w:i w:val="0"/>
        <w:color w:val="auto"/>
        <w:sz w:val="24"/>
      </w:rPr>
    </w:lvl>
    <w:lvl w:ilvl="2">
      <w:start w:val="1"/>
      <w:numFmt w:val="decimal"/>
      <w:lvlText w:val="%1.%2.%3"/>
      <w:lvlJc w:val="left"/>
      <w:pPr>
        <w:tabs>
          <w:tab w:val="num" w:pos="851"/>
        </w:tabs>
        <w:ind w:left="851" w:hanging="851"/>
      </w:pPr>
      <w:rPr>
        <w:rFonts w:ascii="Times New Roman Bold" w:hAnsi="Times New Roman Bold" w:cs="Courier" w:hint="default"/>
        <w:b/>
        <w:i/>
        <w:sz w:val="24"/>
      </w:rPr>
    </w:lvl>
    <w:lvl w:ilvl="3">
      <w:start w:val="1"/>
      <w:numFmt w:val="decimal"/>
      <w:lvlText w:val="%1.%2.%3.%4"/>
      <w:lvlJc w:val="left"/>
      <w:pPr>
        <w:tabs>
          <w:tab w:val="num" w:pos="851"/>
        </w:tabs>
        <w:ind w:left="851" w:hanging="851"/>
      </w:pPr>
      <w:rPr>
        <w:rFonts w:ascii="Courier" w:hAnsi="Courier" w:cs="Courier" w:hint="default"/>
        <w:b w:val="0"/>
        <w:i/>
        <w:sz w:val="24"/>
      </w:rPr>
    </w:lvl>
    <w:lvl w:ilvl="4">
      <w:start w:val="1"/>
      <w:numFmt w:val="decimal"/>
      <w:lvlText w:val="%1.%2.%3.%4.%5"/>
      <w:lvlJc w:val="left"/>
      <w:pPr>
        <w:tabs>
          <w:tab w:val="num" w:pos="1008"/>
        </w:tabs>
        <w:ind w:left="1008" w:hanging="1008"/>
      </w:pPr>
      <w:rPr>
        <w:rFonts w:cs="Courier"/>
      </w:rPr>
    </w:lvl>
    <w:lvl w:ilvl="5">
      <w:start w:val="1"/>
      <w:numFmt w:val="decimal"/>
      <w:lvlText w:val="%1.%2.%3.%4.%5.%6"/>
      <w:lvlJc w:val="left"/>
      <w:pPr>
        <w:tabs>
          <w:tab w:val="num" w:pos="1152"/>
        </w:tabs>
        <w:ind w:left="1152" w:hanging="1152"/>
      </w:pPr>
      <w:rPr>
        <w:rFonts w:cs="Courier"/>
      </w:rPr>
    </w:lvl>
    <w:lvl w:ilvl="6">
      <w:start w:val="1"/>
      <w:numFmt w:val="decimal"/>
      <w:lvlText w:val="%1.%2.%3.%4.%5.%6.%7"/>
      <w:lvlJc w:val="left"/>
      <w:pPr>
        <w:tabs>
          <w:tab w:val="num" w:pos="1296"/>
        </w:tabs>
        <w:ind w:left="1296" w:hanging="1296"/>
      </w:pPr>
      <w:rPr>
        <w:rFonts w:cs="Courier"/>
      </w:rPr>
    </w:lvl>
    <w:lvl w:ilvl="7">
      <w:start w:val="1"/>
      <w:numFmt w:val="decimal"/>
      <w:lvlText w:val="%1.%2.%3.%4.%5.%6.%7.%8"/>
      <w:lvlJc w:val="left"/>
      <w:pPr>
        <w:tabs>
          <w:tab w:val="num" w:pos="1440"/>
        </w:tabs>
        <w:ind w:left="1440" w:hanging="1440"/>
      </w:pPr>
      <w:rPr>
        <w:rFonts w:cs="Courier"/>
      </w:rPr>
    </w:lvl>
    <w:lvl w:ilvl="8">
      <w:start w:val="1"/>
      <w:numFmt w:val="decimal"/>
      <w:lvlText w:val="%1.%2.%3.%4.%5.%6.%7.%8.%9"/>
      <w:lvlJc w:val="left"/>
      <w:pPr>
        <w:tabs>
          <w:tab w:val="num" w:pos="1584"/>
        </w:tabs>
        <w:ind w:left="1584" w:hanging="1584"/>
      </w:pPr>
      <w:rPr>
        <w:rFonts w:cs="Courier"/>
      </w:rPr>
    </w:lvl>
  </w:abstractNum>
  <w:abstractNum w:abstractNumId="35">
    <w:nsid w:val="3AFB6DC8"/>
    <w:multiLevelType w:val="singleLevel"/>
    <w:tmpl w:val="D97CFDF8"/>
    <w:lvl w:ilvl="0">
      <w:numFmt w:val="decimal"/>
      <w:pStyle w:val="ListBullet2"/>
      <w:lvlText w:val=""/>
      <w:lvlJc w:val="left"/>
    </w:lvl>
  </w:abstractNum>
  <w:abstractNum w:abstractNumId="36">
    <w:nsid w:val="3B4F780D"/>
    <w:multiLevelType w:val="multilevel"/>
    <w:tmpl w:val="B10E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CF00E18"/>
    <w:multiLevelType w:val="singleLevel"/>
    <w:tmpl w:val="4E1A982C"/>
    <w:lvl w:ilvl="0">
      <w:numFmt w:val="decimal"/>
      <w:pStyle w:val="ListBullet"/>
      <w:lvlText w:val=""/>
      <w:lvlJc w:val="left"/>
    </w:lvl>
  </w:abstractNum>
  <w:abstractNum w:abstractNumId="38">
    <w:nsid w:val="46113D4F"/>
    <w:multiLevelType w:val="singleLevel"/>
    <w:tmpl w:val="A3323CB8"/>
    <w:lvl w:ilvl="0">
      <w:numFmt w:val="decimal"/>
      <w:pStyle w:val="ListDash3"/>
      <w:lvlText w:val=""/>
      <w:lvlJc w:val="left"/>
    </w:lvl>
  </w:abstractNum>
  <w:abstractNum w:abstractNumId="39">
    <w:nsid w:val="46CC47E1"/>
    <w:multiLevelType w:val="hybridMultilevel"/>
    <w:tmpl w:val="A01C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96207CF"/>
    <w:multiLevelType w:val="multilevel"/>
    <w:tmpl w:val="601C6DB4"/>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ABD76B2"/>
    <w:multiLevelType w:val="multilevel"/>
    <w:tmpl w:val="601C6DB4"/>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4593082"/>
    <w:multiLevelType w:val="singleLevel"/>
    <w:tmpl w:val="EDE069AC"/>
    <w:name w:val="Bullet 1"/>
    <w:lvl w:ilvl="0">
      <w:numFmt w:val="decimal"/>
      <w:pStyle w:val="Bullet0"/>
      <w:lvlText w:val=""/>
      <w:lvlJc w:val="left"/>
    </w:lvl>
  </w:abstractNum>
  <w:abstractNum w:abstractNumId="43">
    <w:nsid w:val="54D10AB0"/>
    <w:multiLevelType w:val="singleLevel"/>
    <w:tmpl w:val="5B50620E"/>
    <w:lvl w:ilvl="0">
      <w:numFmt w:val="decimal"/>
      <w:pStyle w:val="ListDash4"/>
      <w:lvlText w:val=""/>
      <w:lvlJc w:val="left"/>
    </w:lvl>
  </w:abstractNum>
  <w:abstractNum w:abstractNumId="44">
    <w:nsid w:val="55BF3D2E"/>
    <w:multiLevelType w:val="hybridMultilevel"/>
    <w:tmpl w:val="8A66D5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576B6C27"/>
    <w:multiLevelType w:val="hybridMultilevel"/>
    <w:tmpl w:val="D68EA4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594B6127"/>
    <w:multiLevelType w:val="hybridMultilevel"/>
    <w:tmpl w:val="DD442056"/>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47">
    <w:nsid w:val="5B2C6F90"/>
    <w:multiLevelType w:val="hybridMultilevel"/>
    <w:tmpl w:val="591ACF9E"/>
    <w:lvl w:ilvl="0" w:tplc="BE2E7CB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E0D6286"/>
    <w:multiLevelType w:val="singleLevel"/>
    <w:tmpl w:val="B0567122"/>
    <w:lvl w:ilvl="0">
      <w:numFmt w:val="decimal"/>
      <w:pStyle w:val="ListDash2"/>
      <w:lvlText w:val=""/>
      <w:lvlJc w:val="left"/>
    </w:lvl>
  </w:abstractNum>
  <w:abstractNum w:abstractNumId="49">
    <w:nsid w:val="6057433F"/>
    <w:multiLevelType w:val="singleLevel"/>
    <w:tmpl w:val="3D5ECD48"/>
    <w:lvl w:ilvl="0">
      <w:numFmt w:val="decimal"/>
      <w:pStyle w:val="ListDash1"/>
      <w:lvlText w:val=""/>
      <w:lvlJc w:val="left"/>
    </w:lvl>
  </w:abstractNum>
  <w:abstractNum w:abstractNumId="50">
    <w:nsid w:val="620F2440"/>
    <w:multiLevelType w:val="singleLevel"/>
    <w:tmpl w:val="6860A420"/>
    <w:lvl w:ilvl="0">
      <w:numFmt w:val="decimal"/>
      <w:pStyle w:val="ListBullet3"/>
      <w:lvlText w:val=""/>
      <w:lvlJc w:val="left"/>
    </w:lvl>
  </w:abstractNum>
  <w:abstractNum w:abstractNumId="51">
    <w:nsid w:val="64987A49"/>
    <w:multiLevelType w:val="hybridMultilevel"/>
    <w:tmpl w:val="1E28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DF118C0"/>
    <w:multiLevelType w:val="singleLevel"/>
    <w:tmpl w:val="B90C8B88"/>
    <w:lvl w:ilvl="0">
      <w:numFmt w:val="decimal"/>
      <w:pStyle w:val="ListBullet4"/>
      <w:lvlText w:val=""/>
      <w:lvlJc w:val="left"/>
    </w:lvl>
  </w:abstractNum>
  <w:abstractNum w:abstractNumId="53">
    <w:nsid w:val="706B072C"/>
    <w:multiLevelType w:val="hybridMultilevel"/>
    <w:tmpl w:val="B7BC1D9E"/>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54">
    <w:nsid w:val="712144E3"/>
    <w:multiLevelType w:val="hybridMultilevel"/>
    <w:tmpl w:val="0FDE0F4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5">
    <w:nsid w:val="722304D7"/>
    <w:multiLevelType w:val="multilevel"/>
    <w:tmpl w:val="9DE2758E"/>
    <w:lvl w:ilvl="0">
      <w:numFmt w:val="decimal"/>
      <w:pStyle w:val="ListNumber4"/>
      <w:lvlText w:val=""/>
      <w:lvlJc w:val="left"/>
    </w:lvl>
    <w:lvl w:ilvl="1">
      <w:numFmt w:val="decimal"/>
      <w:pStyle w:val="ListNumber4Level2"/>
      <w:lvlText w:val=""/>
      <w:lvlJc w:val="left"/>
    </w:lvl>
    <w:lvl w:ilvl="2">
      <w:numFmt w:val="decimal"/>
      <w:pStyle w:val="ListNumber4Level3"/>
      <w:lvlText w:val=""/>
      <w:lvlJc w:val="left"/>
    </w:lvl>
    <w:lvl w:ilvl="3">
      <w:numFmt w:val="decimal"/>
      <w:pStyle w:val="ListNumber4Leve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3362880"/>
    <w:multiLevelType w:val="hybridMultilevel"/>
    <w:tmpl w:val="D0D07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6783A2A"/>
    <w:multiLevelType w:val="hybridMultilevel"/>
    <w:tmpl w:val="3B44074E"/>
    <w:lvl w:ilvl="0" w:tplc="08090019">
      <w:start w:val="1"/>
      <w:numFmt w:val="lowerLetter"/>
      <w:lvlText w:val="%1."/>
      <w:lvlJc w:val="left"/>
      <w:pPr>
        <w:ind w:left="786" w:hanging="360"/>
      </w:p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58">
    <w:nsid w:val="76C40A01"/>
    <w:multiLevelType w:val="hybridMultilevel"/>
    <w:tmpl w:val="0CAC6F2C"/>
    <w:lvl w:ilvl="0" w:tplc="0809000F">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59">
    <w:nsid w:val="7CB20CD3"/>
    <w:multiLevelType w:val="hybridMultilevel"/>
    <w:tmpl w:val="85187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5"/>
  </w:num>
  <w:num w:numId="4">
    <w:abstractNumId w:val="37"/>
  </w:num>
  <w:num w:numId="5">
    <w:abstractNumId w:val="24"/>
  </w:num>
  <w:num w:numId="6">
    <w:abstractNumId w:val="35"/>
  </w:num>
  <w:num w:numId="7">
    <w:abstractNumId w:val="50"/>
  </w:num>
  <w:num w:numId="8">
    <w:abstractNumId w:val="52"/>
  </w:num>
  <w:num w:numId="9">
    <w:abstractNumId w:val="31"/>
  </w:num>
  <w:num w:numId="10">
    <w:abstractNumId w:val="49"/>
  </w:num>
  <w:num w:numId="11">
    <w:abstractNumId w:val="48"/>
  </w:num>
  <w:num w:numId="12">
    <w:abstractNumId w:val="38"/>
  </w:num>
  <w:num w:numId="13">
    <w:abstractNumId w:val="43"/>
  </w:num>
  <w:num w:numId="14">
    <w:abstractNumId w:val="20"/>
  </w:num>
  <w:num w:numId="15">
    <w:abstractNumId w:val="33"/>
  </w:num>
  <w:num w:numId="16">
    <w:abstractNumId w:val="12"/>
  </w:num>
  <w:num w:numId="17">
    <w:abstractNumId w:val="25"/>
  </w:num>
  <w:num w:numId="18">
    <w:abstractNumId w:val="55"/>
  </w:num>
  <w:num w:numId="19">
    <w:abstractNumId w:val="23"/>
  </w:num>
  <w:num w:numId="20">
    <w:abstractNumId w:val="10"/>
  </w:num>
  <w:num w:numId="21">
    <w:abstractNumId w:val="42"/>
  </w:num>
  <w:num w:numId="22">
    <w:abstractNumId w:val="58"/>
  </w:num>
  <w:num w:numId="23">
    <w:abstractNumId w:val="17"/>
  </w:num>
  <w:num w:numId="24">
    <w:abstractNumId w:val="17"/>
  </w:num>
  <w:num w:numId="25">
    <w:abstractNumId w:val="41"/>
  </w:num>
  <w:num w:numId="26">
    <w:abstractNumId w:val="15"/>
  </w:num>
  <w:num w:numId="27">
    <w:abstractNumId w:val="53"/>
  </w:num>
  <w:num w:numId="28">
    <w:abstractNumId w:val="18"/>
  </w:num>
  <w:num w:numId="29">
    <w:abstractNumId w:val="4"/>
  </w:num>
  <w:num w:numId="30">
    <w:abstractNumId w:val="40"/>
  </w:num>
  <w:num w:numId="31">
    <w:abstractNumId w:val="2"/>
  </w:num>
  <w:num w:numId="32">
    <w:abstractNumId w:val="9"/>
  </w:num>
  <w:num w:numId="33">
    <w:abstractNumId w:val="21"/>
  </w:num>
  <w:num w:numId="34">
    <w:abstractNumId w:val="19"/>
  </w:num>
  <w:num w:numId="35">
    <w:abstractNumId w:val="59"/>
  </w:num>
  <w:num w:numId="36">
    <w:abstractNumId w:val="29"/>
  </w:num>
  <w:num w:numId="37">
    <w:abstractNumId w:val="15"/>
  </w:num>
  <w:num w:numId="38">
    <w:abstractNumId w:val="8"/>
  </w:num>
  <w:num w:numId="39">
    <w:abstractNumId w:val="27"/>
  </w:num>
  <w:num w:numId="40">
    <w:abstractNumId w:val="13"/>
  </w:num>
  <w:num w:numId="41">
    <w:abstractNumId w:val="7"/>
  </w:num>
  <w:num w:numId="42">
    <w:abstractNumId w:val="11"/>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0"/>
  </w:num>
  <w:num w:numId="48">
    <w:abstractNumId w:val="15"/>
  </w:num>
  <w:num w:numId="49">
    <w:abstractNumId w:val="28"/>
  </w:num>
  <w:num w:numId="50">
    <w:abstractNumId w:val="47"/>
  </w:num>
  <w:num w:numId="51">
    <w:abstractNumId w:val="3"/>
  </w:num>
  <w:num w:numId="52">
    <w:abstractNumId w:val="46"/>
  </w:num>
  <w:num w:numId="53">
    <w:abstractNumId w:val="54"/>
  </w:num>
  <w:num w:numId="54">
    <w:abstractNumId w:val="6"/>
  </w:num>
  <w:num w:numId="55">
    <w:abstractNumId w:val="15"/>
  </w:num>
  <w:num w:numId="56">
    <w:abstractNumId w:val="16"/>
  </w:num>
  <w:num w:numId="57">
    <w:abstractNumId w:val="11"/>
  </w:num>
  <w:num w:numId="58">
    <w:abstractNumId w:val="51"/>
  </w:num>
  <w:num w:numId="59">
    <w:abstractNumId w:val="57"/>
  </w:num>
  <w:num w:numId="60">
    <w:abstractNumId w:val="56"/>
  </w:num>
  <w:num w:numId="61">
    <w:abstractNumId w:val="36"/>
  </w:num>
  <w:num w:numId="62">
    <w:abstractNumId w:val="44"/>
  </w:num>
  <w:num w:numId="63">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64">
    <w:abstractNumId w:val="15"/>
  </w:num>
  <w:num w:numId="65">
    <w:abstractNumId w:val="15"/>
    <w:lvlOverride w:ilvl="0">
      <w:startOverride w:val="8"/>
    </w:lvlOverride>
    <w:lvlOverride w:ilvl="1">
      <w:startOverride w:val="1"/>
    </w:lvlOverride>
    <w:lvlOverride w:ilvl="2"/>
    <w:lvlOverride w:ilvl="3"/>
    <w:lvlOverride w:ilvl="4"/>
    <w:lvlOverride w:ilvl="5"/>
    <w:lvlOverride w:ilvl="6"/>
    <w:lvlOverride w:ilvl="7"/>
    <w:lvlOverride w:ilvl="8"/>
  </w:num>
  <w:num w:numId="66">
    <w:abstractNumId w:val="15"/>
  </w:num>
  <w:num w:numId="67">
    <w:abstractNumId w:val="4"/>
  </w:num>
  <w:num w:numId="68">
    <w:abstractNumId w:val="4"/>
  </w:num>
  <w:num w:numId="69">
    <w:abstractNumId w:val="4"/>
  </w:num>
  <w:num w:numId="70">
    <w:abstractNumId w:val="15"/>
  </w:num>
  <w:num w:numId="71">
    <w:abstractNumId w:val="4"/>
  </w:num>
  <w:num w:numId="72">
    <w:abstractNumId w:val="15"/>
  </w:num>
  <w:num w:numId="73">
    <w:abstractNumId w:val="15"/>
  </w:num>
  <w:num w:numId="74">
    <w:abstractNumId w:val="15"/>
  </w:num>
  <w:num w:numId="75">
    <w:abstractNumId w:val="15"/>
  </w:num>
  <w:num w:numId="76">
    <w:abstractNumId w:val="15"/>
  </w:num>
  <w:num w:numId="77">
    <w:abstractNumId w:val="15"/>
  </w:num>
  <w:num w:numId="78">
    <w:abstractNumId w:val="15"/>
  </w:num>
  <w:num w:numId="79">
    <w:abstractNumId w:val="15"/>
  </w:num>
  <w:num w:numId="80">
    <w:abstractNumId w:val="15"/>
  </w:num>
  <w:num w:numId="81">
    <w:abstractNumId w:val="4"/>
  </w:num>
  <w:num w:numId="82">
    <w:abstractNumId w:val="15"/>
  </w:num>
  <w:num w:numId="83">
    <w:abstractNumId w:val="26"/>
  </w:num>
  <w:num w:numId="84">
    <w:abstractNumId w:val="26"/>
  </w:num>
  <w:num w:numId="85">
    <w:abstractNumId w:val="26"/>
  </w:num>
  <w:num w:numId="86">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87">
    <w:abstractNumId w:val="20"/>
  </w:num>
  <w:num w:numId="88">
    <w:abstractNumId w:val="20"/>
  </w:num>
  <w:num w:numId="89">
    <w:abstractNumId w:val="14"/>
  </w:num>
  <w:num w:numId="90">
    <w:abstractNumId w:val="39"/>
  </w:num>
  <w:num w:numId="91">
    <w:abstractNumId w:val="2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VERPAGE_EXISTS" w:val="True"/>
    <w:docVar w:name="DocStatus" w:val="Green"/>
    <w:docVar w:name="LW_ACCOMPAGNANT.CP" w:val="bij"/>
    <w:docVar w:name="LW_CONFIDENCE" w:val=" "/>
    <w:docVar w:name="LW_CONST_RESTREINT_UE" w:val="RESTREINT UE"/>
    <w:docVar w:name="LW_CORRIGENDUM" w:val="&lt;UNUSED&gt;"/>
    <w:docVar w:name="LW_COVERPAGE_GUID" w:val="BC396CD7E02B42BEB5E60809C7255E74"/>
    <w:docVar w:name="LW_CROSSREFERENCE" w:val="{COM(2017) 331 final}_x000b_{SWD(2017) 246 final}"/>
    <w:docVar w:name="LW_DocType" w:val="REP"/>
    <w:docVar w:name="LW_EMISSION" w:val="13.6.2017"/>
    <w:docVar w:name="LW_EMISSION_ISODATE" w:val="2017-06-13"/>
    <w:docVar w:name="LW_EMISSION_LOCATION" w:val="STR"/>
    <w:docVar w:name="LW_EMISSION_PREFIX" w:val="Straatsburg, "/>
    <w:docVar w:name="LW_EMISSION_SUFFIX" w:val=" "/>
    <w:docVar w:name="LW_ID_DOCTYPE_NONLW" w:val="CP-027"/>
    <w:docVar w:name="LW_LANGUE" w:val="NL"/>
    <w:docVar w:name="LW_MARKING" w:val="&lt;UNUSED&gt;"/>
    <w:docVar w:name="LW_NOM.INST" w:val="EUROPESE COMMISSIE"/>
    <w:docVar w:name="LW_NOM.INST_JOINTDOC" w:val="&lt;EMPTY&gt;"/>
    <w:docVar w:name="LW_OBJETACTEPRINCIPAL.CP" w:val="tot wijziging van Verordening (EU) nr. 1095/2010 tot oprichting van een Europese toezichthoudende autoriteit (Europese Autoriteit voor effecten en markten) en tot wijziging van Verordening (EU) nr. 648/2012 wat betreft de procedures en betrokken autoriteiten voor de vergunningverlening aan CTP\u8217?s en de vereisten voor de erkenning van CTP\u8217?s uit derde landen_x000b_"/>
    <w:docVar w:name="LW_PART_NBR" w:val="1"/>
    <w:docVar w:name="LW_PART_NBR_TOTAL" w:val="1"/>
    <w:docVar w:name="LW_REF.INST.NEW" w:val="SWD"/>
    <w:docVar w:name="LW_REF.INST.NEW_ADOPTED" w:val="final"/>
    <w:docVar w:name="LW_REF.INST.NEW_TEXT" w:val="(2017) 247"/>
    <w:docVar w:name="LW_REF.INTERNE" w:val="&lt;UNUSED&gt;"/>
    <w:docVar w:name="LW_SUPERTITRE" w:val="&lt;UNUSED&gt;"/>
    <w:docVar w:name="LW_TITRE.OBJ.CP" w:val="&lt;UNUSED&gt;"/>
    <w:docVar w:name="LW_TYPE.DOC.CP" w:val="WERKDOCUMENT VAN DE DIENSTEN VAN DE COMMISSIE_x000b__x000b_SAMENVATTING VAN DE EFFECTBEOORDELING_x000b_"/>
    <w:docVar w:name="LW_TYPEACTEPRINCIPAL.CP" w:val="Voorstel voor een 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nl-N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semiHidden="0" w:unhideWhenUsed="0"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64"/>
      </w:numPr>
      <w:spacing w:before="240"/>
      <w:outlineLvl w:val="0"/>
    </w:pPr>
    <w:rPr>
      <w:b/>
      <w:smallCaps/>
    </w:rPr>
  </w:style>
  <w:style w:type="paragraph" w:styleId="Heading2">
    <w:name w:val="heading 2"/>
    <w:basedOn w:val="Normal"/>
    <w:next w:val="Text2"/>
    <w:link w:val="Heading2Char"/>
    <w:qFormat/>
    <w:pPr>
      <w:keepNext/>
      <w:numPr>
        <w:ilvl w:val="1"/>
        <w:numId w:val="64"/>
      </w:numPr>
      <w:spacing w:line="276" w:lineRule="auto"/>
      <w:outlineLvl w:val="1"/>
    </w:pPr>
    <w:rPr>
      <w:b/>
      <w:bCs/>
    </w:rPr>
  </w:style>
  <w:style w:type="paragraph" w:styleId="Heading3">
    <w:name w:val="heading 3"/>
    <w:basedOn w:val="Normal"/>
    <w:next w:val="Text3"/>
    <w:qFormat/>
    <w:pPr>
      <w:keepNext/>
      <w:numPr>
        <w:ilvl w:val="2"/>
        <w:numId w:val="64"/>
      </w:numPr>
      <w:outlineLvl w:val="2"/>
    </w:pPr>
    <w:rPr>
      <w:i/>
    </w:rPr>
  </w:style>
  <w:style w:type="paragraph" w:styleId="Heading4">
    <w:name w:val="heading 4"/>
    <w:basedOn w:val="Normal"/>
    <w:next w:val="Text4"/>
    <w:qFormat/>
    <w:pPr>
      <w:keepNext/>
      <w:numPr>
        <w:ilvl w:val="3"/>
        <w:numId w:val="64"/>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 Char,Footnote,Fußnote,FSR footnote,lábléc,fn,Texto nota pie Car,notefranz,Footnote Text Char Char Char Char Char Char Char Char Char Char Char Char Char Char Char Char Char,Footnote Text Char1,Char"/>
    <w:basedOn w:val="Normal"/>
    <w:link w:val="FootnoteTextChar"/>
    <w:uiPriority w:val="99"/>
    <w:qFormat/>
    <w:pPr>
      <w:tabs>
        <w:tab w:val="left" w:pos="284"/>
      </w:tabs>
      <w:spacing w:after="0"/>
      <w:ind w:left="284" w:hanging="284"/>
    </w:pPr>
    <w:rPr>
      <w:sz w:val="20"/>
    </w:rPr>
  </w:style>
  <w:style w:type="paragraph" w:styleId="Header">
    <w:name w:val="header"/>
    <w:basedOn w:val="Normal"/>
    <w:link w:val="HeaderChar"/>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customStyle="1" w:styleId="TOCHeading1">
    <w:name w:val="TOC Heading1"/>
    <w:basedOn w:val="Normal"/>
    <w:next w:val="Normal"/>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Pr>
      <w:rFonts w:ascii="Arial" w:hAnsi="Arial"/>
      <w:sz w:val="16"/>
      <w:lang w:eastAsia="nl-NL"/>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customStyle="1" w:styleId="HeaderChar">
    <w:name w:val="Header Char"/>
    <w:link w:val="Header"/>
    <w:rPr>
      <w:sz w:val="24"/>
      <w:lang w:eastAsia="nl-NL"/>
    </w:rPr>
  </w:style>
  <w:style w:type="paragraph" w:customStyle="1" w:styleId="Bullet1">
    <w:name w:val="Bullet 1"/>
    <w:basedOn w:val="Normal"/>
    <w:pPr>
      <w:numPr>
        <w:numId w:val="19"/>
      </w:numPr>
      <w:spacing w:before="120" w:after="120"/>
    </w:pPr>
    <w:rPr>
      <w:szCs w:val="24"/>
    </w:rPr>
  </w:style>
  <w:style w:type="paragraph" w:customStyle="1" w:styleId="Confidentialit">
    <w:name w:val="Confidentialité"/>
    <w:basedOn w:val="Normal"/>
    <w:next w:val="TypedudocumentPagedecouverture"/>
    <w:pPr>
      <w:spacing w:before="240"/>
      <w:ind w:left="5103"/>
    </w:pPr>
    <w:rPr>
      <w:i/>
      <w:sz w:val="32"/>
      <w:szCs w:val="24"/>
    </w:rPr>
  </w:style>
  <w:style w:type="paragraph" w:customStyle="1" w:styleId="Emission">
    <w:name w:val="Emission"/>
    <w:basedOn w:val="Normal"/>
    <w:next w:val="Normal"/>
    <w:pPr>
      <w:spacing w:after="0"/>
      <w:ind w:left="5103"/>
      <w:jc w:val="left"/>
    </w:pPr>
    <w:rPr>
      <w:szCs w:val="24"/>
    </w:rPr>
  </w:style>
  <w:style w:type="paragraph" w:customStyle="1" w:styleId="Nomdelinstitution">
    <w:name w:val="Nom de l'institution"/>
    <w:basedOn w:val="Normal"/>
    <w:next w:val="Emission"/>
    <w:pPr>
      <w:spacing w:after="0"/>
      <w:jc w:val="left"/>
    </w:pPr>
    <w:rPr>
      <w:rFonts w:ascii="Arial" w:hAnsi="Arial" w:cs="Arial"/>
      <w:szCs w:val="24"/>
    </w:rPr>
  </w:style>
  <w:style w:type="paragraph" w:customStyle="1" w:styleId="Pagedecouverture">
    <w:name w:val="Page de couverture"/>
    <w:basedOn w:val="Normal"/>
    <w:next w:val="Normal"/>
    <w:pPr>
      <w:spacing w:before="120" w:after="120"/>
    </w:pPr>
    <w:rPr>
      <w:szCs w:val="24"/>
    </w:rPr>
  </w:style>
  <w:style w:type="paragraph" w:customStyle="1" w:styleId="TypedudocumentPagedecouverture">
    <w:name w:val="Type du document (Page de couverture)"/>
    <w:basedOn w:val="Normal"/>
    <w:next w:val="Normal"/>
    <w:pPr>
      <w:spacing w:before="360" w:after="0"/>
      <w:jc w:val="center"/>
    </w:pPr>
    <w:rPr>
      <w:b/>
      <w:szCs w:val="24"/>
    </w:rPr>
  </w:style>
  <w:style w:type="paragraph" w:customStyle="1" w:styleId="Prliminairetype">
    <w:name w:val="Préliminaire type"/>
    <w:basedOn w:val="Normal"/>
    <w:next w:val="Normal"/>
    <w:pPr>
      <w:spacing w:before="360" w:after="0"/>
      <w:jc w:val="center"/>
    </w:pPr>
    <w:rPr>
      <w:b/>
      <w:szCs w:val="24"/>
    </w:rPr>
  </w:style>
  <w:style w:type="paragraph" w:customStyle="1" w:styleId="Rfrenceinstitutionelle">
    <w:name w:val="Référence institutionelle"/>
    <w:basedOn w:val="Normal"/>
    <w:next w:val="Normal"/>
    <w:pPr>
      <w:ind w:left="5103"/>
      <w:jc w:val="left"/>
    </w:pPr>
    <w:rPr>
      <w:szCs w:val="24"/>
    </w:rPr>
  </w:style>
  <w:style w:type="character" w:styleId="Hyperlink">
    <w:name w:val="Hyperlink"/>
    <w:uiPriority w:val="99"/>
    <w:rPr>
      <w:rFonts w:cs="Times New Roman"/>
      <w:color w:val="0000FF"/>
      <w:u w:val="single"/>
      <w:shd w:val="clear" w:color="auto" w:fill="auto"/>
    </w:rPr>
  </w:style>
  <w:style w:type="numbering" w:styleId="111111">
    <w:name w:val="Outline List 2"/>
    <w:basedOn w:val="NoList"/>
    <w:pPr>
      <w:numPr>
        <w:numId w:val="20"/>
      </w:numPr>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nl-NL"/>
    </w:rPr>
  </w:style>
  <w:style w:type="character" w:customStyle="1" w:styleId="Marker">
    <w:name w:val="Marker"/>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rPr>
  </w:style>
  <w:style w:type="character" w:styleId="FootnoteReference">
    <w:name w:val="footnote reference"/>
    <w:aliases w:val="Footnote Reference Number,Footnote Reference_LVL6,Footnote Reference_LVL61,Footnote Reference_LVL62,Footnote Reference_LVL63,Footnote Reference_LVL64,normal,Fußnotenzeichen3,Normal1,fr,SUPERS,EN Footnote Reference,number,ftref"/>
    <w:uiPriority w:val="99"/>
    <w:unhideWhenUsed/>
    <w:rPr>
      <w:vertAlign w:val="superscript"/>
    </w:rPr>
  </w:style>
  <w:style w:type="paragraph" w:customStyle="1" w:styleId="Bullet0">
    <w:name w:val="Bullet 0"/>
    <w:basedOn w:val="Normal"/>
    <w:pPr>
      <w:numPr>
        <w:numId w:val="21"/>
      </w:numPr>
      <w:spacing w:before="120" w:after="120"/>
    </w:pPr>
    <w:rPr>
      <w:szCs w:val="24"/>
    </w:rPr>
  </w:style>
  <w:style w:type="character" w:customStyle="1" w:styleId="FootnoteTextChar">
    <w:name w:val="Footnote Text Char"/>
    <w:aliases w:val="Footnote Text Char Char Char,Footnote Char,Fußnote Char,FSR footnote Char,lábléc Char,fn Char,Texto nota pie Car Char,notefranz Char,Footnote Text Char1 Char,Char Char1"/>
    <w:link w:val="FootnoteText"/>
    <w:uiPriority w:val="99"/>
    <w:rPr>
      <w:lang w:eastAsia="nl-NL"/>
    </w:rPr>
  </w:style>
  <w:style w:type="character" w:styleId="FollowedHyperlink">
    <w:name w:val="FollowedHyperlink"/>
    <w:uiPriority w:val="99"/>
    <w:semiHidden/>
    <w:unhideWhenUsed/>
    <w:rPr>
      <w:color w:val="800080"/>
      <w:u w:val="single"/>
    </w:rPr>
  </w:style>
  <w:style w:type="character" w:styleId="CommentReference">
    <w:name w:val="annotation reference"/>
    <w:uiPriority w:val="99"/>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uiPriority w:val="99"/>
    <w:rPr>
      <w:lang w:eastAsia="nl-NL"/>
    </w:rPr>
  </w:style>
  <w:style w:type="character" w:customStyle="1" w:styleId="CommentSubjectChar">
    <w:name w:val="Comment Subject Char"/>
    <w:link w:val="CommentSubject"/>
    <w:uiPriority w:val="99"/>
    <w:semiHidden/>
    <w:rPr>
      <w:b/>
      <w:bCs/>
      <w:lang w:eastAsia="nl-NL"/>
    </w:rPr>
  </w:style>
  <w:style w:type="paragraph" w:customStyle="1" w:styleId="CM1">
    <w:name w:val="CM1"/>
    <w:basedOn w:val="Normal"/>
    <w:next w:val="Normal"/>
    <w:uiPriority w:val="99"/>
    <w:pPr>
      <w:autoSpaceDE w:val="0"/>
      <w:autoSpaceDN w:val="0"/>
      <w:adjustRightInd w:val="0"/>
      <w:spacing w:after="0"/>
      <w:jc w:val="left"/>
    </w:pPr>
    <w:rPr>
      <w:rFonts w:ascii="EUAlbertina" w:hAnsi="EUAlbertina"/>
      <w:szCs w:val="24"/>
    </w:rPr>
  </w:style>
  <w:style w:type="paragraph" w:customStyle="1" w:styleId="CM3">
    <w:name w:val="CM3"/>
    <w:basedOn w:val="Normal"/>
    <w:next w:val="Normal"/>
    <w:uiPriority w:val="99"/>
    <w:pPr>
      <w:autoSpaceDE w:val="0"/>
      <w:autoSpaceDN w:val="0"/>
      <w:adjustRightInd w:val="0"/>
      <w:spacing w:after="0"/>
      <w:jc w:val="left"/>
    </w:pPr>
    <w:rPr>
      <w:rFonts w:ascii="EUAlbertina" w:hAnsi="EUAlbertina"/>
      <w:szCs w:val="24"/>
    </w:rPr>
  </w:style>
  <w:style w:type="character" w:customStyle="1" w:styleId="Heading1Char">
    <w:name w:val="Heading 1 Char"/>
    <w:link w:val="Heading1"/>
    <w:rPr>
      <w:b/>
      <w:smallCaps/>
      <w:sz w:val="24"/>
      <w:lang w:val="nl-NL"/>
    </w:rPr>
  </w:style>
  <w:style w:type="paragraph" w:customStyle="1" w:styleId="ColorfulList-Accent11">
    <w:name w:val="Colorful List - Accent 11"/>
    <w:basedOn w:val="CommentText"/>
    <w:qFormat/>
    <w:pPr>
      <w:spacing w:before="120" w:after="120"/>
    </w:pPr>
    <w:rPr>
      <w:sz w:val="24"/>
      <w:szCs w:val="24"/>
    </w:rPr>
  </w:style>
  <w:style w:type="character" w:customStyle="1" w:styleId="Heading2Char">
    <w:name w:val="Heading 2 Char"/>
    <w:link w:val="Heading2"/>
    <w:rPr>
      <w:b/>
      <w:bCs/>
      <w:sz w:val="24"/>
      <w:lang w:val="nl-NL" w:eastAsia="nl-NL"/>
    </w:rPr>
  </w:style>
  <w:style w:type="character" w:customStyle="1" w:styleId="BookTitle1">
    <w:name w:val="Book Title1"/>
    <w:uiPriority w:val="33"/>
    <w:qFormat/>
    <w:rPr>
      <w:b/>
      <w:bCs/>
      <w:smallCaps/>
      <w:spacing w:val="5"/>
    </w:rPr>
  </w:style>
  <w:style w:type="character" w:styleId="EndnoteReference">
    <w:name w:val="endnote reference"/>
    <w:uiPriority w:val="99"/>
    <w:semiHidden/>
    <w:unhideWhenUsed/>
    <w:rPr>
      <w:vertAlign w:val="superscript"/>
    </w:r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ind w:left="720"/>
    </w:pPr>
  </w:style>
  <w:style w:type="character" w:styleId="Strong">
    <w:name w:val="Strong"/>
    <w:uiPriority w:val="22"/>
    <w:qFormat/>
    <w:rPr>
      <w:b/>
      <w:bCs/>
    </w:rPr>
  </w:style>
  <w:style w:type="character" w:styleId="Emphasis">
    <w:name w:val="Emphasis"/>
    <w:uiPriority w:val="20"/>
    <w:qFormat/>
    <w:rPr>
      <w:rFonts w:ascii="Times New Roman" w:hAnsi="Times New Roman" w:cs="Times New Roman" w:hint="default"/>
      <w:i w:val="0"/>
      <w:iCs w:val="0"/>
    </w:rPr>
  </w:style>
  <w:style w:type="character" w:customStyle="1" w:styleId="FootnoteTextChar2">
    <w:name w:val="Footnote Text Char2"/>
    <w:aliases w:val="Footnote Text Char Char Char1,Footnote Char1,Fußnote Char1,FSR footnote Char1,lábléc Char1,fn Char1,Texto nota pie Car Char1,notefranz Char1,Footnote Text Char1 Char1,Char Char"/>
    <w:uiPriority w:val="99"/>
    <w:semiHidden/>
    <w:locked/>
    <w:rPr>
      <w:sz w:val="18"/>
    </w:rPr>
  </w:style>
  <w:style w:type="paragraph" w:customStyle="1" w:styleId="IndentedHeading4">
    <w:name w:val="Indented Heading 4"/>
    <w:basedOn w:val="Heading4"/>
    <w:next w:val="Normal"/>
    <w:pPr>
      <w:numPr>
        <w:numId w:val="42"/>
      </w:numPr>
      <w:tabs>
        <w:tab w:val="clear" w:pos="3447"/>
        <w:tab w:val="num" w:pos="360"/>
        <w:tab w:val="num" w:pos="851"/>
      </w:tabs>
      <w:spacing w:before="120" w:after="120" w:line="300" w:lineRule="exact"/>
      <w:ind w:left="851" w:hanging="851"/>
    </w:pPr>
    <w:rPr>
      <w:rFonts w:eastAsia="MS Mincho" w:cs="Arial"/>
      <w:i/>
      <w:iCs/>
      <w:szCs w:val="16"/>
    </w:rPr>
  </w:style>
  <w:style w:type="paragraph" w:customStyle="1" w:styleId="IndentedHeading2">
    <w:name w:val="Indented Heading 2"/>
    <w:basedOn w:val="Heading2"/>
    <w:next w:val="Normal"/>
    <w:pPr>
      <w:numPr>
        <w:numId w:val="42"/>
      </w:numPr>
      <w:tabs>
        <w:tab w:val="clear" w:pos="2007"/>
        <w:tab w:val="num" w:pos="360"/>
        <w:tab w:val="num" w:pos="851"/>
      </w:tabs>
      <w:spacing w:before="360" w:after="120" w:line="300" w:lineRule="exact"/>
      <w:ind w:left="851" w:hanging="851"/>
    </w:pPr>
    <w:rPr>
      <w:rFonts w:eastAsia="MS Mincho" w:cs="Arial"/>
      <w:iCs/>
      <w:szCs w:val="28"/>
    </w:rPr>
  </w:style>
  <w:style w:type="paragraph" w:customStyle="1" w:styleId="IndentedHeading3">
    <w:name w:val="Indented Heading 3"/>
    <w:basedOn w:val="Heading3"/>
    <w:next w:val="Normal"/>
    <w:pPr>
      <w:numPr>
        <w:numId w:val="42"/>
      </w:numPr>
      <w:tabs>
        <w:tab w:val="clear" w:pos="2727"/>
        <w:tab w:val="num" w:pos="360"/>
        <w:tab w:val="num" w:pos="851"/>
      </w:tabs>
      <w:spacing w:before="240" w:after="120" w:line="300" w:lineRule="exact"/>
      <w:ind w:left="851" w:hanging="851"/>
    </w:pPr>
    <w:rPr>
      <w:rFonts w:eastAsia="MS Mincho" w:cs="Arial"/>
      <w:b/>
      <w:bCs/>
      <w:iCs/>
      <w:szCs w:val="26"/>
    </w:rPr>
  </w:style>
  <w:style w:type="character" w:customStyle="1" w:styleId="BulletChar">
    <w:name w:val="Bullet Char"/>
    <w:link w:val="Bullet"/>
    <w:locked/>
    <w:rPr>
      <w:sz w:val="24"/>
    </w:rPr>
  </w:style>
  <w:style w:type="paragraph" w:customStyle="1" w:styleId="Bullet">
    <w:name w:val="Bullet"/>
    <w:basedOn w:val="Normal"/>
    <w:link w:val="BulletChar"/>
    <w:pPr>
      <w:numPr>
        <w:numId w:val="42"/>
      </w:numPr>
      <w:spacing w:after="120" w:line="300" w:lineRule="exact"/>
    </w:pPr>
  </w:style>
  <w:style w:type="paragraph" w:styleId="Revision">
    <w:name w:val="Revision"/>
    <w:hidden/>
    <w:uiPriority w:val="99"/>
    <w:semiHidden/>
    <w:rPr>
      <w:sz w:val="24"/>
    </w:rPr>
  </w:style>
  <w:style w:type="character" w:customStyle="1" w:styleId="FootnoteCharacters">
    <w:name w:val="Footnote Characters"/>
    <w:rPr>
      <w:vertAlign w:val="superscript"/>
    </w:rPr>
  </w:style>
  <w:style w:type="paragraph" w:customStyle="1" w:styleId="TOCHeading10">
    <w:name w:val="TOC Heading1"/>
    <w:basedOn w:val="Normal"/>
    <w:next w:val="Normal"/>
    <w:qFormat/>
    <w:pPr>
      <w:keepNext/>
      <w:spacing w:before="240"/>
      <w:jc w:val="center"/>
    </w:pPr>
    <w:rPr>
      <w:b/>
    </w:rPr>
  </w:style>
  <w:style w:type="character" w:customStyle="1" w:styleId="BookTitle10">
    <w:name w:val="Book Title1"/>
    <w:uiPriority w:val="33"/>
    <w:qFormat/>
    <w:rPr>
      <w:b/>
      <w:bCs/>
      <w:smallCaps/>
      <w:spacing w:val="5"/>
    </w:rPr>
  </w:style>
  <w:style w:type="character" w:customStyle="1" w:styleId="affairetitle">
    <w:name w:val="affaire_title"/>
    <w:basedOn w:val="DefaultParagraphFont"/>
  </w:style>
  <w:style w:type="paragraph" w:customStyle="1" w:styleId="LegalNumPar">
    <w:name w:val="LegalNumPar"/>
    <w:basedOn w:val="Normal"/>
    <w:pPr>
      <w:numPr>
        <w:numId w:val="85"/>
      </w:numPr>
    </w:pPr>
  </w:style>
  <w:style w:type="paragraph" w:customStyle="1" w:styleId="LegalNumPar2">
    <w:name w:val="LegalNumPar2"/>
    <w:basedOn w:val="Normal"/>
    <w:pPr>
      <w:numPr>
        <w:ilvl w:val="1"/>
        <w:numId w:val="85"/>
      </w:numPr>
    </w:pPr>
  </w:style>
  <w:style w:type="paragraph" w:customStyle="1" w:styleId="LegalNumPar3">
    <w:name w:val="LegalNumPar3"/>
    <w:basedOn w:val="Normal"/>
    <w:pPr>
      <w:numPr>
        <w:ilvl w:val="2"/>
        <w:numId w:val="85"/>
      </w:numPr>
    </w:pPr>
  </w:style>
  <w:style w:type="character" w:styleId="LineNumber">
    <w:name w:val="line number"/>
    <w:basedOn w:val="DefaultParagraphFon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nl-N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semiHidden="0" w:unhideWhenUsed="0"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64"/>
      </w:numPr>
      <w:spacing w:before="240"/>
      <w:outlineLvl w:val="0"/>
    </w:pPr>
    <w:rPr>
      <w:b/>
      <w:smallCaps/>
    </w:rPr>
  </w:style>
  <w:style w:type="paragraph" w:styleId="Heading2">
    <w:name w:val="heading 2"/>
    <w:basedOn w:val="Normal"/>
    <w:next w:val="Text2"/>
    <w:link w:val="Heading2Char"/>
    <w:qFormat/>
    <w:pPr>
      <w:keepNext/>
      <w:numPr>
        <w:ilvl w:val="1"/>
        <w:numId w:val="64"/>
      </w:numPr>
      <w:spacing w:line="276" w:lineRule="auto"/>
      <w:outlineLvl w:val="1"/>
    </w:pPr>
    <w:rPr>
      <w:b/>
      <w:bCs/>
    </w:rPr>
  </w:style>
  <w:style w:type="paragraph" w:styleId="Heading3">
    <w:name w:val="heading 3"/>
    <w:basedOn w:val="Normal"/>
    <w:next w:val="Text3"/>
    <w:qFormat/>
    <w:pPr>
      <w:keepNext/>
      <w:numPr>
        <w:ilvl w:val="2"/>
        <w:numId w:val="64"/>
      </w:numPr>
      <w:outlineLvl w:val="2"/>
    </w:pPr>
    <w:rPr>
      <w:i/>
    </w:rPr>
  </w:style>
  <w:style w:type="paragraph" w:styleId="Heading4">
    <w:name w:val="heading 4"/>
    <w:basedOn w:val="Normal"/>
    <w:next w:val="Text4"/>
    <w:qFormat/>
    <w:pPr>
      <w:keepNext/>
      <w:numPr>
        <w:ilvl w:val="3"/>
        <w:numId w:val="64"/>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 Char,Footnote,Fußnote,FSR footnote,lábléc,fn,Texto nota pie Car,notefranz,Footnote Text Char Char Char Char Char Char Char Char Char Char Char Char Char Char Char Char Char,Footnote Text Char1,Char"/>
    <w:basedOn w:val="Normal"/>
    <w:link w:val="FootnoteTextChar"/>
    <w:uiPriority w:val="99"/>
    <w:qFormat/>
    <w:pPr>
      <w:tabs>
        <w:tab w:val="left" w:pos="284"/>
      </w:tabs>
      <w:spacing w:after="0"/>
      <w:ind w:left="284" w:hanging="284"/>
    </w:pPr>
    <w:rPr>
      <w:sz w:val="20"/>
    </w:rPr>
  </w:style>
  <w:style w:type="paragraph" w:styleId="Header">
    <w:name w:val="header"/>
    <w:basedOn w:val="Normal"/>
    <w:link w:val="HeaderChar"/>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customStyle="1" w:styleId="TOCHeading1">
    <w:name w:val="TOC Heading1"/>
    <w:basedOn w:val="Normal"/>
    <w:next w:val="Normal"/>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Pr>
      <w:rFonts w:ascii="Arial" w:hAnsi="Arial"/>
      <w:sz w:val="16"/>
      <w:lang w:eastAsia="nl-NL"/>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customStyle="1" w:styleId="HeaderChar">
    <w:name w:val="Header Char"/>
    <w:link w:val="Header"/>
    <w:rPr>
      <w:sz w:val="24"/>
      <w:lang w:eastAsia="nl-NL"/>
    </w:rPr>
  </w:style>
  <w:style w:type="paragraph" w:customStyle="1" w:styleId="Bullet1">
    <w:name w:val="Bullet 1"/>
    <w:basedOn w:val="Normal"/>
    <w:pPr>
      <w:numPr>
        <w:numId w:val="19"/>
      </w:numPr>
      <w:spacing w:before="120" w:after="120"/>
    </w:pPr>
    <w:rPr>
      <w:szCs w:val="24"/>
    </w:rPr>
  </w:style>
  <w:style w:type="paragraph" w:customStyle="1" w:styleId="Confidentialit">
    <w:name w:val="Confidentialité"/>
    <w:basedOn w:val="Normal"/>
    <w:next w:val="TypedudocumentPagedecouverture"/>
    <w:pPr>
      <w:spacing w:before="240"/>
      <w:ind w:left="5103"/>
    </w:pPr>
    <w:rPr>
      <w:i/>
      <w:sz w:val="32"/>
      <w:szCs w:val="24"/>
    </w:rPr>
  </w:style>
  <w:style w:type="paragraph" w:customStyle="1" w:styleId="Emission">
    <w:name w:val="Emission"/>
    <w:basedOn w:val="Normal"/>
    <w:next w:val="Normal"/>
    <w:pPr>
      <w:spacing w:after="0"/>
      <w:ind w:left="5103"/>
      <w:jc w:val="left"/>
    </w:pPr>
    <w:rPr>
      <w:szCs w:val="24"/>
    </w:rPr>
  </w:style>
  <w:style w:type="paragraph" w:customStyle="1" w:styleId="Nomdelinstitution">
    <w:name w:val="Nom de l'institution"/>
    <w:basedOn w:val="Normal"/>
    <w:next w:val="Emission"/>
    <w:pPr>
      <w:spacing w:after="0"/>
      <w:jc w:val="left"/>
    </w:pPr>
    <w:rPr>
      <w:rFonts w:ascii="Arial" w:hAnsi="Arial" w:cs="Arial"/>
      <w:szCs w:val="24"/>
    </w:rPr>
  </w:style>
  <w:style w:type="paragraph" w:customStyle="1" w:styleId="Pagedecouverture">
    <w:name w:val="Page de couverture"/>
    <w:basedOn w:val="Normal"/>
    <w:next w:val="Normal"/>
    <w:pPr>
      <w:spacing w:before="120" w:after="120"/>
    </w:pPr>
    <w:rPr>
      <w:szCs w:val="24"/>
    </w:rPr>
  </w:style>
  <w:style w:type="paragraph" w:customStyle="1" w:styleId="TypedudocumentPagedecouverture">
    <w:name w:val="Type du document (Page de couverture)"/>
    <w:basedOn w:val="Normal"/>
    <w:next w:val="Normal"/>
    <w:pPr>
      <w:spacing w:before="360" w:after="0"/>
      <w:jc w:val="center"/>
    </w:pPr>
    <w:rPr>
      <w:b/>
      <w:szCs w:val="24"/>
    </w:rPr>
  </w:style>
  <w:style w:type="paragraph" w:customStyle="1" w:styleId="Prliminairetype">
    <w:name w:val="Préliminaire type"/>
    <w:basedOn w:val="Normal"/>
    <w:next w:val="Normal"/>
    <w:pPr>
      <w:spacing w:before="360" w:after="0"/>
      <w:jc w:val="center"/>
    </w:pPr>
    <w:rPr>
      <w:b/>
      <w:szCs w:val="24"/>
    </w:rPr>
  </w:style>
  <w:style w:type="paragraph" w:customStyle="1" w:styleId="Rfrenceinstitutionelle">
    <w:name w:val="Référence institutionelle"/>
    <w:basedOn w:val="Normal"/>
    <w:next w:val="Normal"/>
    <w:pPr>
      <w:ind w:left="5103"/>
      <w:jc w:val="left"/>
    </w:pPr>
    <w:rPr>
      <w:szCs w:val="24"/>
    </w:rPr>
  </w:style>
  <w:style w:type="character" w:styleId="Hyperlink">
    <w:name w:val="Hyperlink"/>
    <w:uiPriority w:val="99"/>
    <w:rPr>
      <w:rFonts w:cs="Times New Roman"/>
      <w:color w:val="0000FF"/>
      <w:u w:val="single"/>
      <w:shd w:val="clear" w:color="auto" w:fill="auto"/>
    </w:rPr>
  </w:style>
  <w:style w:type="numbering" w:styleId="111111">
    <w:name w:val="Outline List 2"/>
    <w:basedOn w:val="NoList"/>
    <w:pPr>
      <w:numPr>
        <w:numId w:val="20"/>
      </w:numPr>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nl-NL"/>
    </w:rPr>
  </w:style>
  <w:style w:type="character" w:customStyle="1" w:styleId="Marker">
    <w:name w:val="Marker"/>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rPr>
  </w:style>
  <w:style w:type="character" w:styleId="FootnoteReference">
    <w:name w:val="footnote reference"/>
    <w:aliases w:val="Footnote Reference Number,Footnote Reference_LVL6,Footnote Reference_LVL61,Footnote Reference_LVL62,Footnote Reference_LVL63,Footnote Reference_LVL64,normal,Fußnotenzeichen3,Normal1,fr,SUPERS,EN Footnote Reference,number,ftref"/>
    <w:uiPriority w:val="99"/>
    <w:unhideWhenUsed/>
    <w:rPr>
      <w:vertAlign w:val="superscript"/>
    </w:rPr>
  </w:style>
  <w:style w:type="paragraph" w:customStyle="1" w:styleId="Bullet0">
    <w:name w:val="Bullet 0"/>
    <w:basedOn w:val="Normal"/>
    <w:pPr>
      <w:numPr>
        <w:numId w:val="21"/>
      </w:numPr>
      <w:spacing w:before="120" w:after="120"/>
    </w:pPr>
    <w:rPr>
      <w:szCs w:val="24"/>
    </w:rPr>
  </w:style>
  <w:style w:type="character" w:customStyle="1" w:styleId="FootnoteTextChar">
    <w:name w:val="Footnote Text Char"/>
    <w:aliases w:val="Footnote Text Char Char Char,Footnote Char,Fußnote Char,FSR footnote Char,lábléc Char,fn Char,Texto nota pie Car Char,notefranz Char,Footnote Text Char1 Char,Char Char1"/>
    <w:link w:val="FootnoteText"/>
    <w:uiPriority w:val="99"/>
    <w:rPr>
      <w:lang w:eastAsia="nl-NL"/>
    </w:rPr>
  </w:style>
  <w:style w:type="character" w:styleId="FollowedHyperlink">
    <w:name w:val="FollowedHyperlink"/>
    <w:uiPriority w:val="99"/>
    <w:semiHidden/>
    <w:unhideWhenUsed/>
    <w:rPr>
      <w:color w:val="800080"/>
      <w:u w:val="single"/>
    </w:rPr>
  </w:style>
  <w:style w:type="character" w:styleId="CommentReference">
    <w:name w:val="annotation reference"/>
    <w:uiPriority w:val="99"/>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uiPriority w:val="99"/>
    <w:rPr>
      <w:lang w:eastAsia="nl-NL"/>
    </w:rPr>
  </w:style>
  <w:style w:type="character" w:customStyle="1" w:styleId="CommentSubjectChar">
    <w:name w:val="Comment Subject Char"/>
    <w:link w:val="CommentSubject"/>
    <w:uiPriority w:val="99"/>
    <w:semiHidden/>
    <w:rPr>
      <w:b/>
      <w:bCs/>
      <w:lang w:eastAsia="nl-NL"/>
    </w:rPr>
  </w:style>
  <w:style w:type="paragraph" w:customStyle="1" w:styleId="CM1">
    <w:name w:val="CM1"/>
    <w:basedOn w:val="Normal"/>
    <w:next w:val="Normal"/>
    <w:uiPriority w:val="99"/>
    <w:pPr>
      <w:autoSpaceDE w:val="0"/>
      <w:autoSpaceDN w:val="0"/>
      <w:adjustRightInd w:val="0"/>
      <w:spacing w:after="0"/>
      <w:jc w:val="left"/>
    </w:pPr>
    <w:rPr>
      <w:rFonts w:ascii="EUAlbertina" w:hAnsi="EUAlbertina"/>
      <w:szCs w:val="24"/>
    </w:rPr>
  </w:style>
  <w:style w:type="paragraph" w:customStyle="1" w:styleId="CM3">
    <w:name w:val="CM3"/>
    <w:basedOn w:val="Normal"/>
    <w:next w:val="Normal"/>
    <w:uiPriority w:val="99"/>
    <w:pPr>
      <w:autoSpaceDE w:val="0"/>
      <w:autoSpaceDN w:val="0"/>
      <w:adjustRightInd w:val="0"/>
      <w:spacing w:after="0"/>
      <w:jc w:val="left"/>
    </w:pPr>
    <w:rPr>
      <w:rFonts w:ascii="EUAlbertina" w:hAnsi="EUAlbertina"/>
      <w:szCs w:val="24"/>
    </w:rPr>
  </w:style>
  <w:style w:type="character" w:customStyle="1" w:styleId="Heading1Char">
    <w:name w:val="Heading 1 Char"/>
    <w:link w:val="Heading1"/>
    <w:rPr>
      <w:b/>
      <w:smallCaps/>
      <w:sz w:val="24"/>
      <w:lang w:val="nl-NL"/>
    </w:rPr>
  </w:style>
  <w:style w:type="paragraph" w:customStyle="1" w:styleId="ColorfulList-Accent11">
    <w:name w:val="Colorful List - Accent 11"/>
    <w:basedOn w:val="CommentText"/>
    <w:qFormat/>
    <w:pPr>
      <w:spacing w:before="120" w:after="120"/>
    </w:pPr>
    <w:rPr>
      <w:sz w:val="24"/>
      <w:szCs w:val="24"/>
    </w:rPr>
  </w:style>
  <w:style w:type="character" w:customStyle="1" w:styleId="Heading2Char">
    <w:name w:val="Heading 2 Char"/>
    <w:link w:val="Heading2"/>
    <w:rPr>
      <w:b/>
      <w:bCs/>
      <w:sz w:val="24"/>
      <w:lang w:val="nl-NL" w:eastAsia="nl-NL"/>
    </w:rPr>
  </w:style>
  <w:style w:type="character" w:customStyle="1" w:styleId="BookTitle1">
    <w:name w:val="Book Title1"/>
    <w:uiPriority w:val="33"/>
    <w:qFormat/>
    <w:rPr>
      <w:b/>
      <w:bCs/>
      <w:smallCaps/>
      <w:spacing w:val="5"/>
    </w:rPr>
  </w:style>
  <w:style w:type="character" w:styleId="EndnoteReference">
    <w:name w:val="endnote reference"/>
    <w:uiPriority w:val="99"/>
    <w:semiHidden/>
    <w:unhideWhenUsed/>
    <w:rPr>
      <w:vertAlign w:val="superscript"/>
    </w:r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ind w:left="720"/>
    </w:pPr>
  </w:style>
  <w:style w:type="character" w:styleId="Strong">
    <w:name w:val="Strong"/>
    <w:uiPriority w:val="22"/>
    <w:qFormat/>
    <w:rPr>
      <w:b/>
      <w:bCs/>
    </w:rPr>
  </w:style>
  <w:style w:type="character" w:styleId="Emphasis">
    <w:name w:val="Emphasis"/>
    <w:uiPriority w:val="20"/>
    <w:qFormat/>
    <w:rPr>
      <w:rFonts w:ascii="Times New Roman" w:hAnsi="Times New Roman" w:cs="Times New Roman" w:hint="default"/>
      <w:i w:val="0"/>
      <w:iCs w:val="0"/>
    </w:rPr>
  </w:style>
  <w:style w:type="character" w:customStyle="1" w:styleId="FootnoteTextChar2">
    <w:name w:val="Footnote Text Char2"/>
    <w:aliases w:val="Footnote Text Char Char Char1,Footnote Char1,Fußnote Char1,FSR footnote Char1,lábléc Char1,fn Char1,Texto nota pie Car Char1,notefranz Char1,Footnote Text Char1 Char1,Char Char"/>
    <w:uiPriority w:val="99"/>
    <w:semiHidden/>
    <w:locked/>
    <w:rPr>
      <w:sz w:val="18"/>
    </w:rPr>
  </w:style>
  <w:style w:type="paragraph" w:customStyle="1" w:styleId="IndentedHeading4">
    <w:name w:val="Indented Heading 4"/>
    <w:basedOn w:val="Heading4"/>
    <w:next w:val="Normal"/>
    <w:pPr>
      <w:numPr>
        <w:numId w:val="42"/>
      </w:numPr>
      <w:tabs>
        <w:tab w:val="clear" w:pos="3447"/>
        <w:tab w:val="num" w:pos="360"/>
        <w:tab w:val="num" w:pos="851"/>
      </w:tabs>
      <w:spacing w:before="120" w:after="120" w:line="300" w:lineRule="exact"/>
      <w:ind w:left="851" w:hanging="851"/>
    </w:pPr>
    <w:rPr>
      <w:rFonts w:eastAsia="MS Mincho" w:cs="Arial"/>
      <w:i/>
      <w:iCs/>
      <w:szCs w:val="16"/>
    </w:rPr>
  </w:style>
  <w:style w:type="paragraph" w:customStyle="1" w:styleId="IndentedHeading2">
    <w:name w:val="Indented Heading 2"/>
    <w:basedOn w:val="Heading2"/>
    <w:next w:val="Normal"/>
    <w:pPr>
      <w:numPr>
        <w:numId w:val="42"/>
      </w:numPr>
      <w:tabs>
        <w:tab w:val="clear" w:pos="2007"/>
        <w:tab w:val="num" w:pos="360"/>
        <w:tab w:val="num" w:pos="851"/>
      </w:tabs>
      <w:spacing w:before="360" w:after="120" w:line="300" w:lineRule="exact"/>
      <w:ind w:left="851" w:hanging="851"/>
    </w:pPr>
    <w:rPr>
      <w:rFonts w:eastAsia="MS Mincho" w:cs="Arial"/>
      <w:iCs/>
      <w:szCs w:val="28"/>
    </w:rPr>
  </w:style>
  <w:style w:type="paragraph" w:customStyle="1" w:styleId="IndentedHeading3">
    <w:name w:val="Indented Heading 3"/>
    <w:basedOn w:val="Heading3"/>
    <w:next w:val="Normal"/>
    <w:pPr>
      <w:numPr>
        <w:numId w:val="42"/>
      </w:numPr>
      <w:tabs>
        <w:tab w:val="clear" w:pos="2727"/>
        <w:tab w:val="num" w:pos="360"/>
        <w:tab w:val="num" w:pos="851"/>
      </w:tabs>
      <w:spacing w:before="240" w:after="120" w:line="300" w:lineRule="exact"/>
      <w:ind w:left="851" w:hanging="851"/>
    </w:pPr>
    <w:rPr>
      <w:rFonts w:eastAsia="MS Mincho" w:cs="Arial"/>
      <w:b/>
      <w:bCs/>
      <w:iCs/>
      <w:szCs w:val="26"/>
    </w:rPr>
  </w:style>
  <w:style w:type="character" w:customStyle="1" w:styleId="BulletChar">
    <w:name w:val="Bullet Char"/>
    <w:link w:val="Bullet"/>
    <w:locked/>
    <w:rPr>
      <w:sz w:val="24"/>
    </w:rPr>
  </w:style>
  <w:style w:type="paragraph" w:customStyle="1" w:styleId="Bullet">
    <w:name w:val="Bullet"/>
    <w:basedOn w:val="Normal"/>
    <w:link w:val="BulletChar"/>
    <w:pPr>
      <w:numPr>
        <w:numId w:val="42"/>
      </w:numPr>
      <w:spacing w:after="120" w:line="300" w:lineRule="exact"/>
    </w:pPr>
  </w:style>
  <w:style w:type="paragraph" w:styleId="Revision">
    <w:name w:val="Revision"/>
    <w:hidden/>
    <w:uiPriority w:val="99"/>
    <w:semiHidden/>
    <w:rPr>
      <w:sz w:val="24"/>
    </w:rPr>
  </w:style>
  <w:style w:type="character" w:customStyle="1" w:styleId="FootnoteCharacters">
    <w:name w:val="Footnote Characters"/>
    <w:rPr>
      <w:vertAlign w:val="superscript"/>
    </w:rPr>
  </w:style>
  <w:style w:type="paragraph" w:customStyle="1" w:styleId="TOCHeading10">
    <w:name w:val="TOC Heading1"/>
    <w:basedOn w:val="Normal"/>
    <w:next w:val="Normal"/>
    <w:qFormat/>
    <w:pPr>
      <w:keepNext/>
      <w:spacing w:before="240"/>
      <w:jc w:val="center"/>
    </w:pPr>
    <w:rPr>
      <w:b/>
    </w:rPr>
  </w:style>
  <w:style w:type="character" w:customStyle="1" w:styleId="BookTitle10">
    <w:name w:val="Book Title1"/>
    <w:uiPriority w:val="33"/>
    <w:qFormat/>
    <w:rPr>
      <w:b/>
      <w:bCs/>
      <w:smallCaps/>
      <w:spacing w:val="5"/>
    </w:rPr>
  </w:style>
  <w:style w:type="character" w:customStyle="1" w:styleId="affairetitle">
    <w:name w:val="affaire_title"/>
    <w:basedOn w:val="DefaultParagraphFont"/>
  </w:style>
  <w:style w:type="paragraph" w:customStyle="1" w:styleId="LegalNumPar">
    <w:name w:val="LegalNumPar"/>
    <w:basedOn w:val="Normal"/>
    <w:pPr>
      <w:numPr>
        <w:numId w:val="85"/>
      </w:numPr>
    </w:pPr>
  </w:style>
  <w:style w:type="paragraph" w:customStyle="1" w:styleId="LegalNumPar2">
    <w:name w:val="LegalNumPar2"/>
    <w:basedOn w:val="Normal"/>
    <w:pPr>
      <w:numPr>
        <w:ilvl w:val="1"/>
        <w:numId w:val="85"/>
      </w:numPr>
    </w:pPr>
  </w:style>
  <w:style w:type="paragraph" w:customStyle="1" w:styleId="LegalNumPar3">
    <w:name w:val="LegalNumPar3"/>
    <w:basedOn w:val="Normal"/>
    <w:pPr>
      <w:numPr>
        <w:ilvl w:val="2"/>
        <w:numId w:val="85"/>
      </w:numPr>
    </w:pPr>
  </w:style>
  <w:style w:type="character" w:styleId="LineNumber">
    <w:name w:val="lin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210">
      <w:bodyDiv w:val="1"/>
      <w:marLeft w:val="0"/>
      <w:marRight w:val="0"/>
      <w:marTop w:val="0"/>
      <w:marBottom w:val="0"/>
      <w:divBdr>
        <w:top w:val="none" w:sz="0" w:space="0" w:color="auto"/>
        <w:left w:val="none" w:sz="0" w:space="0" w:color="auto"/>
        <w:bottom w:val="none" w:sz="0" w:space="0" w:color="auto"/>
        <w:right w:val="none" w:sz="0" w:space="0" w:color="auto"/>
      </w:divBdr>
    </w:div>
    <w:div w:id="92017296">
      <w:bodyDiv w:val="1"/>
      <w:marLeft w:val="0"/>
      <w:marRight w:val="0"/>
      <w:marTop w:val="0"/>
      <w:marBottom w:val="0"/>
      <w:divBdr>
        <w:top w:val="none" w:sz="0" w:space="0" w:color="auto"/>
        <w:left w:val="none" w:sz="0" w:space="0" w:color="auto"/>
        <w:bottom w:val="none" w:sz="0" w:space="0" w:color="auto"/>
        <w:right w:val="none" w:sz="0" w:space="0" w:color="auto"/>
      </w:divBdr>
    </w:div>
    <w:div w:id="443888823">
      <w:bodyDiv w:val="1"/>
      <w:marLeft w:val="0"/>
      <w:marRight w:val="0"/>
      <w:marTop w:val="0"/>
      <w:marBottom w:val="0"/>
      <w:divBdr>
        <w:top w:val="none" w:sz="0" w:space="0" w:color="auto"/>
        <w:left w:val="none" w:sz="0" w:space="0" w:color="auto"/>
        <w:bottom w:val="none" w:sz="0" w:space="0" w:color="auto"/>
        <w:right w:val="none" w:sz="0" w:space="0" w:color="auto"/>
      </w:divBdr>
    </w:div>
    <w:div w:id="637304363">
      <w:bodyDiv w:val="1"/>
      <w:marLeft w:val="0"/>
      <w:marRight w:val="0"/>
      <w:marTop w:val="0"/>
      <w:marBottom w:val="0"/>
      <w:divBdr>
        <w:top w:val="none" w:sz="0" w:space="0" w:color="auto"/>
        <w:left w:val="none" w:sz="0" w:space="0" w:color="auto"/>
        <w:bottom w:val="none" w:sz="0" w:space="0" w:color="auto"/>
        <w:right w:val="none" w:sz="0" w:space="0" w:color="auto"/>
      </w:divBdr>
    </w:div>
    <w:div w:id="654577874">
      <w:bodyDiv w:val="1"/>
      <w:marLeft w:val="0"/>
      <w:marRight w:val="0"/>
      <w:marTop w:val="0"/>
      <w:marBottom w:val="0"/>
      <w:divBdr>
        <w:top w:val="none" w:sz="0" w:space="0" w:color="auto"/>
        <w:left w:val="none" w:sz="0" w:space="0" w:color="auto"/>
        <w:bottom w:val="none" w:sz="0" w:space="0" w:color="auto"/>
        <w:right w:val="none" w:sz="0" w:space="0" w:color="auto"/>
      </w:divBdr>
    </w:div>
    <w:div w:id="655300944">
      <w:bodyDiv w:val="1"/>
      <w:marLeft w:val="0"/>
      <w:marRight w:val="0"/>
      <w:marTop w:val="0"/>
      <w:marBottom w:val="0"/>
      <w:divBdr>
        <w:top w:val="none" w:sz="0" w:space="0" w:color="auto"/>
        <w:left w:val="none" w:sz="0" w:space="0" w:color="auto"/>
        <w:bottom w:val="none" w:sz="0" w:space="0" w:color="auto"/>
        <w:right w:val="none" w:sz="0" w:space="0" w:color="auto"/>
      </w:divBdr>
    </w:div>
    <w:div w:id="677191716">
      <w:bodyDiv w:val="1"/>
      <w:marLeft w:val="1134"/>
      <w:marRight w:val="1134"/>
      <w:marTop w:val="0"/>
      <w:marBottom w:val="0"/>
      <w:divBdr>
        <w:top w:val="none" w:sz="0" w:space="0" w:color="auto"/>
        <w:left w:val="none" w:sz="0" w:space="0" w:color="auto"/>
        <w:bottom w:val="none" w:sz="0" w:space="0" w:color="auto"/>
        <w:right w:val="none" w:sz="0" w:space="0" w:color="auto"/>
      </w:divBdr>
      <w:divsChild>
        <w:div w:id="1068573432">
          <w:marLeft w:val="0"/>
          <w:marRight w:val="0"/>
          <w:marTop w:val="0"/>
          <w:marBottom w:val="0"/>
          <w:divBdr>
            <w:top w:val="none" w:sz="0" w:space="0" w:color="auto"/>
            <w:left w:val="none" w:sz="0" w:space="0" w:color="auto"/>
            <w:bottom w:val="none" w:sz="0" w:space="0" w:color="auto"/>
            <w:right w:val="none" w:sz="0" w:space="0" w:color="auto"/>
          </w:divBdr>
          <w:divsChild>
            <w:div w:id="1836610406">
              <w:marLeft w:val="2700"/>
              <w:marRight w:val="2250"/>
              <w:marTop w:val="600"/>
              <w:marBottom w:val="0"/>
              <w:divBdr>
                <w:top w:val="none" w:sz="0" w:space="0" w:color="auto"/>
                <w:left w:val="none" w:sz="0" w:space="0" w:color="auto"/>
                <w:bottom w:val="none" w:sz="0" w:space="0" w:color="auto"/>
                <w:right w:val="none" w:sz="0" w:space="0" w:color="auto"/>
              </w:divBdr>
              <w:divsChild>
                <w:div w:id="13066227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18041160">
      <w:bodyDiv w:val="1"/>
      <w:marLeft w:val="0"/>
      <w:marRight w:val="0"/>
      <w:marTop w:val="0"/>
      <w:marBottom w:val="0"/>
      <w:divBdr>
        <w:top w:val="none" w:sz="0" w:space="0" w:color="auto"/>
        <w:left w:val="none" w:sz="0" w:space="0" w:color="auto"/>
        <w:bottom w:val="none" w:sz="0" w:space="0" w:color="auto"/>
        <w:right w:val="none" w:sz="0" w:space="0" w:color="auto"/>
      </w:divBdr>
      <w:divsChild>
        <w:div w:id="1256597685">
          <w:marLeft w:val="547"/>
          <w:marRight w:val="0"/>
          <w:marTop w:val="86"/>
          <w:marBottom w:val="0"/>
          <w:divBdr>
            <w:top w:val="none" w:sz="0" w:space="0" w:color="auto"/>
            <w:left w:val="none" w:sz="0" w:space="0" w:color="auto"/>
            <w:bottom w:val="none" w:sz="0" w:space="0" w:color="auto"/>
            <w:right w:val="none" w:sz="0" w:space="0" w:color="auto"/>
          </w:divBdr>
        </w:div>
        <w:div w:id="2089227261">
          <w:marLeft w:val="547"/>
          <w:marRight w:val="0"/>
          <w:marTop w:val="86"/>
          <w:marBottom w:val="0"/>
          <w:divBdr>
            <w:top w:val="none" w:sz="0" w:space="0" w:color="auto"/>
            <w:left w:val="none" w:sz="0" w:space="0" w:color="auto"/>
            <w:bottom w:val="none" w:sz="0" w:space="0" w:color="auto"/>
            <w:right w:val="none" w:sz="0" w:space="0" w:color="auto"/>
          </w:divBdr>
        </w:div>
      </w:divsChild>
    </w:div>
    <w:div w:id="1018773427">
      <w:bodyDiv w:val="1"/>
      <w:marLeft w:val="0"/>
      <w:marRight w:val="0"/>
      <w:marTop w:val="0"/>
      <w:marBottom w:val="0"/>
      <w:divBdr>
        <w:top w:val="none" w:sz="0" w:space="0" w:color="auto"/>
        <w:left w:val="none" w:sz="0" w:space="0" w:color="auto"/>
        <w:bottom w:val="none" w:sz="0" w:space="0" w:color="auto"/>
        <w:right w:val="none" w:sz="0" w:space="0" w:color="auto"/>
      </w:divBdr>
    </w:div>
    <w:div w:id="1031877622">
      <w:bodyDiv w:val="1"/>
      <w:marLeft w:val="0"/>
      <w:marRight w:val="0"/>
      <w:marTop w:val="0"/>
      <w:marBottom w:val="0"/>
      <w:divBdr>
        <w:top w:val="none" w:sz="0" w:space="0" w:color="auto"/>
        <w:left w:val="none" w:sz="0" w:space="0" w:color="auto"/>
        <w:bottom w:val="none" w:sz="0" w:space="0" w:color="auto"/>
        <w:right w:val="none" w:sz="0" w:space="0" w:color="auto"/>
      </w:divBdr>
    </w:div>
    <w:div w:id="1033119742">
      <w:bodyDiv w:val="1"/>
      <w:marLeft w:val="0"/>
      <w:marRight w:val="0"/>
      <w:marTop w:val="0"/>
      <w:marBottom w:val="0"/>
      <w:divBdr>
        <w:top w:val="none" w:sz="0" w:space="0" w:color="auto"/>
        <w:left w:val="none" w:sz="0" w:space="0" w:color="auto"/>
        <w:bottom w:val="none" w:sz="0" w:space="0" w:color="auto"/>
        <w:right w:val="none" w:sz="0" w:space="0" w:color="auto"/>
      </w:divBdr>
    </w:div>
    <w:div w:id="1064329025">
      <w:bodyDiv w:val="1"/>
      <w:marLeft w:val="0"/>
      <w:marRight w:val="0"/>
      <w:marTop w:val="0"/>
      <w:marBottom w:val="0"/>
      <w:divBdr>
        <w:top w:val="none" w:sz="0" w:space="0" w:color="auto"/>
        <w:left w:val="none" w:sz="0" w:space="0" w:color="auto"/>
        <w:bottom w:val="none" w:sz="0" w:space="0" w:color="auto"/>
        <w:right w:val="none" w:sz="0" w:space="0" w:color="auto"/>
      </w:divBdr>
    </w:div>
    <w:div w:id="1076123918">
      <w:bodyDiv w:val="1"/>
      <w:marLeft w:val="0"/>
      <w:marRight w:val="0"/>
      <w:marTop w:val="0"/>
      <w:marBottom w:val="0"/>
      <w:divBdr>
        <w:top w:val="none" w:sz="0" w:space="0" w:color="auto"/>
        <w:left w:val="none" w:sz="0" w:space="0" w:color="auto"/>
        <w:bottom w:val="none" w:sz="0" w:space="0" w:color="auto"/>
        <w:right w:val="none" w:sz="0" w:space="0" w:color="auto"/>
      </w:divBdr>
    </w:div>
    <w:div w:id="1113131218">
      <w:bodyDiv w:val="1"/>
      <w:marLeft w:val="1134"/>
      <w:marRight w:val="1134"/>
      <w:marTop w:val="0"/>
      <w:marBottom w:val="0"/>
      <w:divBdr>
        <w:top w:val="none" w:sz="0" w:space="0" w:color="auto"/>
        <w:left w:val="none" w:sz="0" w:space="0" w:color="auto"/>
        <w:bottom w:val="none" w:sz="0" w:space="0" w:color="auto"/>
        <w:right w:val="none" w:sz="0" w:space="0" w:color="auto"/>
      </w:divBdr>
      <w:divsChild>
        <w:div w:id="1920677383">
          <w:marLeft w:val="0"/>
          <w:marRight w:val="0"/>
          <w:marTop w:val="0"/>
          <w:marBottom w:val="0"/>
          <w:divBdr>
            <w:top w:val="none" w:sz="0" w:space="0" w:color="auto"/>
            <w:left w:val="none" w:sz="0" w:space="0" w:color="auto"/>
            <w:bottom w:val="none" w:sz="0" w:space="0" w:color="auto"/>
            <w:right w:val="none" w:sz="0" w:space="0" w:color="auto"/>
          </w:divBdr>
          <w:divsChild>
            <w:div w:id="540290721">
              <w:marLeft w:val="2700"/>
              <w:marRight w:val="2250"/>
              <w:marTop w:val="600"/>
              <w:marBottom w:val="0"/>
              <w:divBdr>
                <w:top w:val="none" w:sz="0" w:space="0" w:color="auto"/>
                <w:left w:val="none" w:sz="0" w:space="0" w:color="auto"/>
                <w:bottom w:val="none" w:sz="0" w:space="0" w:color="auto"/>
                <w:right w:val="none" w:sz="0" w:space="0" w:color="auto"/>
              </w:divBdr>
              <w:divsChild>
                <w:div w:id="426774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39616526">
      <w:bodyDiv w:val="1"/>
      <w:marLeft w:val="0"/>
      <w:marRight w:val="0"/>
      <w:marTop w:val="0"/>
      <w:marBottom w:val="0"/>
      <w:divBdr>
        <w:top w:val="none" w:sz="0" w:space="0" w:color="auto"/>
        <w:left w:val="none" w:sz="0" w:space="0" w:color="auto"/>
        <w:bottom w:val="none" w:sz="0" w:space="0" w:color="auto"/>
        <w:right w:val="none" w:sz="0" w:space="0" w:color="auto"/>
      </w:divBdr>
    </w:div>
    <w:div w:id="1164583892">
      <w:bodyDiv w:val="1"/>
      <w:marLeft w:val="0"/>
      <w:marRight w:val="0"/>
      <w:marTop w:val="0"/>
      <w:marBottom w:val="0"/>
      <w:divBdr>
        <w:top w:val="none" w:sz="0" w:space="0" w:color="auto"/>
        <w:left w:val="none" w:sz="0" w:space="0" w:color="auto"/>
        <w:bottom w:val="none" w:sz="0" w:space="0" w:color="auto"/>
        <w:right w:val="none" w:sz="0" w:space="0" w:color="auto"/>
      </w:divBdr>
    </w:div>
    <w:div w:id="1211460841">
      <w:bodyDiv w:val="1"/>
      <w:marLeft w:val="0"/>
      <w:marRight w:val="0"/>
      <w:marTop w:val="0"/>
      <w:marBottom w:val="0"/>
      <w:divBdr>
        <w:top w:val="none" w:sz="0" w:space="0" w:color="auto"/>
        <w:left w:val="none" w:sz="0" w:space="0" w:color="auto"/>
        <w:bottom w:val="none" w:sz="0" w:space="0" w:color="auto"/>
        <w:right w:val="none" w:sz="0" w:space="0" w:color="auto"/>
      </w:divBdr>
    </w:div>
    <w:div w:id="1246572626">
      <w:bodyDiv w:val="1"/>
      <w:marLeft w:val="0"/>
      <w:marRight w:val="0"/>
      <w:marTop w:val="0"/>
      <w:marBottom w:val="0"/>
      <w:divBdr>
        <w:top w:val="none" w:sz="0" w:space="0" w:color="auto"/>
        <w:left w:val="none" w:sz="0" w:space="0" w:color="auto"/>
        <w:bottom w:val="none" w:sz="0" w:space="0" w:color="auto"/>
        <w:right w:val="none" w:sz="0" w:space="0" w:color="auto"/>
      </w:divBdr>
    </w:div>
    <w:div w:id="1267814202">
      <w:bodyDiv w:val="1"/>
      <w:marLeft w:val="1134"/>
      <w:marRight w:val="1134"/>
      <w:marTop w:val="0"/>
      <w:marBottom w:val="0"/>
      <w:divBdr>
        <w:top w:val="none" w:sz="0" w:space="0" w:color="auto"/>
        <w:left w:val="none" w:sz="0" w:space="0" w:color="auto"/>
        <w:bottom w:val="none" w:sz="0" w:space="0" w:color="auto"/>
        <w:right w:val="none" w:sz="0" w:space="0" w:color="auto"/>
      </w:divBdr>
      <w:divsChild>
        <w:div w:id="1020820287">
          <w:marLeft w:val="0"/>
          <w:marRight w:val="0"/>
          <w:marTop w:val="0"/>
          <w:marBottom w:val="0"/>
          <w:divBdr>
            <w:top w:val="none" w:sz="0" w:space="0" w:color="auto"/>
            <w:left w:val="none" w:sz="0" w:space="0" w:color="auto"/>
            <w:bottom w:val="none" w:sz="0" w:space="0" w:color="auto"/>
            <w:right w:val="none" w:sz="0" w:space="0" w:color="auto"/>
          </w:divBdr>
          <w:divsChild>
            <w:div w:id="625355831">
              <w:marLeft w:val="2700"/>
              <w:marRight w:val="2250"/>
              <w:marTop w:val="600"/>
              <w:marBottom w:val="0"/>
              <w:divBdr>
                <w:top w:val="none" w:sz="0" w:space="0" w:color="auto"/>
                <w:left w:val="none" w:sz="0" w:space="0" w:color="auto"/>
                <w:bottom w:val="none" w:sz="0" w:space="0" w:color="auto"/>
                <w:right w:val="none" w:sz="0" w:space="0" w:color="auto"/>
              </w:divBdr>
              <w:divsChild>
                <w:div w:id="8786654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71282363">
      <w:bodyDiv w:val="1"/>
      <w:marLeft w:val="0"/>
      <w:marRight w:val="0"/>
      <w:marTop w:val="0"/>
      <w:marBottom w:val="0"/>
      <w:divBdr>
        <w:top w:val="none" w:sz="0" w:space="0" w:color="auto"/>
        <w:left w:val="none" w:sz="0" w:space="0" w:color="auto"/>
        <w:bottom w:val="none" w:sz="0" w:space="0" w:color="auto"/>
        <w:right w:val="none" w:sz="0" w:space="0" w:color="auto"/>
      </w:divBdr>
    </w:div>
    <w:div w:id="1296989924">
      <w:bodyDiv w:val="1"/>
      <w:marLeft w:val="0"/>
      <w:marRight w:val="0"/>
      <w:marTop w:val="0"/>
      <w:marBottom w:val="0"/>
      <w:divBdr>
        <w:top w:val="none" w:sz="0" w:space="0" w:color="auto"/>
        <w:left w:val="none" w:sz="0" w:space="0" w:color="auto"/>
        <w:bottom w:val="none" w:sz="0" w:space="0" w:color="auto"/>
        <w:right w:val="none" w:sz="0" w:space="0" w:color="auto"/>
      </w:divBdr>
    </w:div>
    <w:div w:id="1537155038">
      <w:bodyDiv w:val="1"/>
      <w:marLeft w:val="0"/>
      <w:marRight w:val="0"/>
      <w:marTop w:val="0"/>
      <w:marBottom w:val="0"/>
      <w:divBdr>
        <w:top w:val="none" w:sz="0" w:space="0" w:color="auto"/>
        <w:left w:val="none" w:sz="0" w:space="0" w:color="auto"/>
        <w:bottom w:val="none" w:sz="0" w:space="0" w:color="auto"/>
        <w:right w:val="none" w:sz="0" w:space="0" w:color="auto"/>
      </w:divBdr>
    </w:div>
    <w:div w:id="1686244330">
      <w:bodyDiv w:val="1"/>
      <w:marLeft w:val="0"/>
      <w:marRight w:val="0"/>
      <w:marTop w:val="0"/>
      <w:marBottom w:val="0"/>
      <w:divBdr>
        <w:top w:val="none" w:sz="0" w:space="0" w:color="auto"/>
        <w:left w:val="none" w:sz="0" w:space="0" w:color="auto"/>
        <w:bottom w:val="none" w:sz="0" w:space="0" w:color="auto"/>
        <w:right w:val="none" w:sz="0" w:space="0" w:color="auto"/>
      </w:divBdr>
    </w:div>
    <w:div w:id="1709528369">
      <w:bodyDiv w:val="1"/>
      <w:marLeft w:val="0"/>
      <w:marRight w:val="0"/>
      <w:marTop w:val="0"/>
      <w:marBottom w:val="0"/>
      <w:divBdr>
        <w:top w:val="none" w:sz="0" w:space="0" w:color="auto"/>
        <w:left w:val="none" w:sz="0" w:space="0" w:color="auto"/>
        <w:bottom w:val="none" w:sz="0" w:space="0" w:color="auto"/>
        <w:right w:val="none" w:sz="0" w:space="0" w:color="auto"/>
      </w:divBdr>
    </w:div>
    <w:div w:id="1767261610">
      <w:bodyDiv w:val="1"/>
      <w:marLeft w:val="0"/>
      <w:marRight w:val="0"/>
      <w:marTop w:val="0"/>
      <w:marBottom w:val="0"/>
      <w:divBdr>
        <w:top w:val="none" w:sz="0" w:space="0" w:color="auto"/>
        <w:left w:val="none" w:sz="0" w:space="0" w:color="auto"/>
        <w:bottom w:val="none" w:sz="0" w:space="0" w:color="auto"/>
        <w:right w:val="none" w:sz="0" w:space="0" w:color="auto"/>
      </w:divBdr>
    </w:div>
    <w:div w:id="1801410804">
      <w:bodyDiv w:val="1"/>
      <w:marLeft w:val="0"/>
      <w:marRight w:val="0"/>
      <w:marTop w:val="0"/>
      <w:marBottom w:val="0"/>
      <w:divBdr>
        <w:top w:val="none" w:sz="0" w:space="0" w:color="auto"/>
        <w:left w:val="none" w:sz="0" w:space="0" w:color="auto"/>
        <w:bottom w:val="none" w:sz="0" w:space="0" w:color="auto"/>
        <w:right w:val="none" w:sz="0" w:space="0" w:color="auto"/>
      </w:divBdr>
    </w:div>
    <w:div w:id="1856915198">
      <w:bodyDiv w:val="1"/>
      <w:marLeft w:val="0"/>
      <w:marRight w:val="0"/>
      <w:marTop w:val="0"/>
      <w:marBottom w:val="0"/>
      <w:divBdr>
        <w:top w:val="none" w:sz="0" w:space="0" w:color="auto"/>
        <w:left w:val="none" w:sz="0" w:space="0" w:color="auto"/>
        <w:bottom w:val="none" w:sz="0" w:space="0" w:color="auto"/>
        <w:right w:val="none" w:sz="0" w:space="0" w:color="auto"/>
      </w:divBdr>
    </w:div>
    <w:div w:id="1923754512">
      <w:bodyDiv w:val="1"/>
      <w:marLeft w:val="0"/>
      <w:marRight w:val="0"/>
      <w:marTop w:val="0"/>
      <w:marBottom w:val="0"/>
      <w:divBdr>
        <w:top w:val="none" w:sz="0" w:space="0" w:color="auto"/>
        <w:left w:val="none" w:sz="0" w:space="0" w:color="auto"/>
        <w:bottom w:val="none" w:sz="0" w:space="0" w:color="auto"/>
        <w:right w:val="none" w:sz="0" w:space="0" w:color="auto"/>
      </w:divBdr>
    </w:div>
    <w:div w:id="1971323417">
      <w:bodyDiv w:val="1"/>
      <w:marLeft w:val="0"/>
      <w:marRight w:val="0"/>
      <w:marTop w:val="0"/>
      <w:marBottom w:val="0"/>
      <w:divBdr>
        <w:top w:val="none" w:sz="0" w:space="0" w:color="auto"/>
        <w:left w:val="none" w:sz="0" w:space="0" w:color="auto"/>
        <w:bottom w:val="none" w:sz="0" w:space="0" w:color="auto"/>
        <w:right w:val="none" w:sz="0" w:space="0" w:color="auto"/>
      </w:divBdr>
    </w:div>
    <w:div w:id="1979067369">
      <w:bodyDiv w:val="1"/>
      <w:marLeft w:val="0"/>
      <w:marRight w:val="0"/>
      <w:marTop w:val="0"/>
      <w:marBottom w:val="0"/>
      <w:divBdr>
        <w:top w:val="none" w:sz="0" w:space="0" w:color="auto"/>
        <w:left w:val="none" w:sz="0" w:space="0" w:color="auto"/>
        <w:bottom w:val="none" w:sz="0" w:space="0" w:color="auto"/>
        <w:right w:val="none" w:sz="0" w:space="0" w:color="auto"/>
      </w:divBdr>
    </w:div>
    <w:div w:id="2087993385">
      <w:bodyDiv w:val="1"/>
      <w:marLeft w:val="0"/>
      <w:marRight w:val="0"/>
      <w:marTop w:val="0"/>
      <w:marBottom w:val="0"/>
      <w:divBdr>
        <w:top w:val="none" w:sz="0" w:space="0" w:color="auto"/>
        <w:left w:val="none" w:sz="0" w:space="0" w:color="auto"/>
        <w:bottom w:val="none" w:sz="0" w:space="0" w:color="auto"/>
        <w:right w:val="none" w:sz="0" w:space="0" w:color="auto"/>
      </w:divBdr>
      <w:divsChild>
        <w:div w:id="163131326">
          <w:marLeft w:val="547"/>
          <w:marRight w:val="0"/>
          <w:marTop w:val="86"/>
          <w:marBottom w:val="0"/>
          <w:divBdr>
            <w:top w:val="none" w:sz="0" w:space="0" w:color="auto"/>
            <w:left w:val="none" w:sz="0" w:space="0" w:color="auto"/>
            <w:bottom w:val="none" w:sz="0" w:space="0" w:color="auto"/>
            <w:right w:val="none" w:sz="0" w:space="0" w:color="auto"/>
          </w:divBdr>
        </w:div>
        <w:div w:id="2002855411">
          <w:marLeft w:val="547"/>
          <w:marRight w:val="0"/>
          <w:marTop w:val="86"/>
          <w:marBottom w:val="0"/>
          <w:divBdr>
            <w:top w:val="none" w:sz="0" w:space="0" w:color="auto"/>
            <w:left w:val="none" w:sz="0" w:space="0" w:color="auto"/>
            <w:bottom w:val="none" w:sz="0" w:space="0" w:color="auto"/>
            <w:right w:val="none" w:sz="0" w:space="0" w:color="auto"/>
          </w:divBdr>
        </w:div>
      </w:divsChild>
    </w:div>
    <w:div w:id="2104567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E6426-05D8-4603-AE79-FF6C4DB0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1817</Words>
  <Characters>10598</Characters>
  <Application>Microsoft Office Word</Application>
  <DocSecurity>0</DocSecurity>
  <PresentationFormat>Microsoft Word 14.0</PresentationFormat>
  <Lines>141</Lines>
  <Paragraphs>40</Paragraphs>
  <ScaleCrop>false</ScaleCrop>
  <Manager/>
  <Company/>
  <LinksUpToDate>false</LinksUpToDate>
  <CharactersWithSpaces>12375</CharactersWithSpaces>
  <SharedDoc>false</SharedDoc>
  <HLinks>
    <vt:vector size="606" baseType="variant">
      <vt:variant>
        <vt:i4>1900559</vt:i4>
      </vt:variant>
      <vt:variant>
        <vt:i4>264</vt:i4>
      </vt:variant>
      <vt:variant>
        <vt:i4>0</vt:i4>
      </vt:variant>
      <vt:variant>
        <vt:i4>5</vt:i4>
      </vt:variant>
      <vt:variant>
        <vt:lpwstr>http://www.bis.org/press/p140901.htm</vt:lpwstr>
      </vt:variant>
      <vt:variant>
        <vt:lpwstr/>
      </vt:variant>
      <vt:variant>
        <vt:i4>1179697</vt:i4>
      </vt:variant>
      <vt:variant>
        <vt:i4>248</vt:i4>
      </vt:variant>
      <vt:variant>
        <vt:i4>0</vt:i4>
      </vt:variant>
      <vt:variant>
        <vt:i4>5</vt:i4>
      </vt:variant>
      <vt:variant>
        <vt:lpwstr/>
      </vt:variant>
      <vt:variant>
        <vt:lpwstr>_Toc412736457</vt:lpwstr>
      </vt:variant>
      <vt:variant>
        <vt:i4>1179697</vt:i4>
      </vt:variant>
      <vt:variant>
        <vt:i4>242</vt:i4>
      </vt:variant>
      <vt:variant>
        <vt:i4>0</vt:i4>
      </vt:variant>
      <vt:variant>
        <vt:i4>5</vt:i4>
      </vt:variant>
      <vt:variant>
        <vt:lpwstr/>
      </vt:variant>
      <vt:variant>
        <vt:lpwstr>_Toc412736456</vt:lpwstr>
      </vt:variant>
      <vt:variant>
        <vt:i4>1179697</vt:i4>
      </vt:variant>
      <vt:variant>
        <vt:i4>236</vt:i4>
      </vt:variant>
      <vt:variant>
        <vt:i4>0</vt:i4>
      </vt:variant>
      <vt:variant>
        <vt:i4>5</vt:i4>
      </vt:variant>
      <vt:variant>
        <vt:lpwstr/>
      </vt:variant>
      <vt:variant>
        <vt:lpwstr>_Toc412736455</vt:lpwstr>
      </vt:variant>
      <vt:variant>
        <vt:i4>1179697</vt:i4>
      </vt:variant>
      <vt:variant>
        <vt:i4>230</vt:i4>
      </vt:variant>
      <vt:variant>
        <vt:i4>0</vt:i4>
      </vt:variant>
      <vt:variant>
        <vt:i4>5</vt:i4>
      </vt:variant>
      <vt:variant>
        <vt:lpwstr/>
      </vt:variant>
      <vt:variant>
        <vt:lpwstr>_Toc412736454</vt:lpwstr>
      </vt:variant>
      <vt:variant>
        <vt:i4>1179697</vt:i4>
      </vt:variant>
      <vt:variant>
        <vt:i4>224</vt:i4>
      </vt:variant>
      <vt:variant>
        <vt:i4>0</vt:i4>
      </vt:variant>
      <vt:variant>
        <vt:i4>5</vt:i4>
      </vt:variant>
      <vt:variant>
        <vt:lpwstr/>
      </vt:variant>
      <vt:variant>
        <vt:lpwstr>_Toc412736453</vt:lpwstr>
      </vt:variant>
      <vt:variant>
        <vt:i4>1179697</vt:i4>
      </vt:variant>
      <vt:variant>
        <vt:i4>218</vt:i4>
      </vt:variant>
      <vt:variant>
        <vt:i4>0</vt:i4>
      </vt:variant>
      <vt:variant>
        <vt:i4>5</vt:i4>
      </vt:variant>
      <vt:variant>
        <vt:lpwstr/>
      </vt:variant>
      <vt:variant>
        <vt:lpwstr>_Toc412736452</vt:lpwstr>
      </vt:variant>
      <vt:variant>
        <vt:i4>1179697</vt:i4>
      </vt:variant>
      <vt:variant>
        <vt:i4>212</vt:i4>
      </vt:variant>
      <vt:variant>
        <vt:i4>0</vt:i4>
      </vt:variant>
      <vt:variant>
        <vt:i4>5</vt:i4>
      </vt:variant>
      <vt:variant>
        <vt:lpwstr/>
      </vt:variant>
      <vt:variant>
        <vt:lpwstr>_Toc412736451</vt:lpwstr>
      </vt:variant>
      <vt:variant>
        <vt:i4>1179697</vt:i4>
      </vt:variant>
      <vt:variant>
        <vt:i4>206</vt:i4>
      </vt:variant>
      <vt:variant>
        <vt:i4>0</vt:i4>
      </vt:variant>
      <vt:variant>
        <vt:i4>5</vt:i4>
      </vt:variant>
      <vt:variant>
        <vt:lpwstr/>
      </vt:variant>
      <vt:variant>
        <vt:lpwstr>_Toc412736450</vt:lpwstr>
      </vt:variant>
      <vt:variant>
        <vt:i4>1245233</vt:i4>
      </vt:variant>
      <vt:variant>
        <vt:i4>200</vt:i4>
      </vt:variant>
      <vt:variant>
        <vt:i4>0</vt:i4>
      </vt:variant>
      <vt:variant>
        <vt:i4>5</vt:i4>
      </vt:variant>
      <vt:variant>
        <vt:lpwstr/>
      </vt:variant>
      <vt:variant>
        <vt:lpwstr>_Toc412736449</vt:lpwstr>
      </vt:variant>
      <vt:variant>
        <vt:i4>1245233</vt:i4>
      </vt:variant>
      <vt:variant>
        <vt:i4>194</vt:i4>
      </vt:variant>
      <vt:variant>
        <vt:i4>0</vt:i4>
      </vt:variant>
      <vt:variant>
        <vt:i4>5</vt:i4>
      </vt:variant>
      <vt:variant>
        <vt:lpwstr/>
      </vt:variant>
      <vt:variant>
        <vt:lpwstr>_Toc412736448</vt:lpwstr>
      </vt:variant>
      <vt:variant>
        <vt:i4>1245233</vt:i4>
      </vt:variant>
      <vt:variant>
        <vt:i4>188</vt:i4>
      </vt:variant>
      <vt:variant>
        <vt:i4>0</vt:i4>
      </vt:variant>
      <vt:variant>
        <vt:i4>5</vt:i4>
      </vt:variant>
      <vt:variant>
        <vt:lpwstr/>
      </vt:variant>
      <vt:variant>
        <vt:lpwstr>_Toc412736447</vt:lpwstr>
      </vt:variant>
      <vt:variant>
        <vt:i4>1245233</vt:i4>
      </vt:variant>
      <vt:variant>
        <vt:i4>182</vt:i4>
      </vt:variant>
      <vt:variant>
        <vt:i4>0</vt:i4>
      </vt:variant>
      <vt:variant>
        <vt:i4>5</vt:i4>
      </vt:variant>
      <vt:variant>
        <vt:lpwstr/>
      </vt:variant>
      <vt:variant>
        <vt:lpwstr>_Toc412736446</vt:lpwstr>
      </vt:variant>
      <vt:variant>
        <vt:i4>1245233</vt:i4>
      </vt:variant>
      <vt:variant>
        <vt:i4>176</vt:i4>
      </vt:variant>
      <vt:variant>
        <vt:i4>0</vt:i4>
      </vt:variant>
      <vt:variant>
        <vt:i4>5</vt:i4>
      </vt:variant>
      <vt:variant>
        <vt:lpwstr/>
      </vt:variant>
      <vt:variant>
        <vt:lpwstr>_Toc412736445</vt:lpwstr>
      </vt:variant>
      <vt:variant>
        <vt:i4>1245233</vt:i4>
      </vt:variant>
      <vt:variant>
        <vt:i4>170</vt:i4>
      </vt:variant>
      <vt:variant>
        <vt:i4>0</vt:i4>
      </vt:variant>
      <vt:variant>
        <vt:i4>5</vt:i4>
      </vt:variant>
      <vt:variant>
        <vt:lpwstr/>
      </vt:variant>
      <vt:variant>
        <vt:lpwstr>_Toc412736444</vt:lpwstr>
      </vt:variant>
      <vt:variant>
        <vt:i4>1245233</vt:i4>
      </vt:variant>
      <vt:variant>
        <vt:i4>164</vt:i4>
      </vt:variant>
      <vt:variant>
        <vt:i4>0</vt:i4>
      </vt:variant>
      <vt:variant>
        <vt:i4>5</vt:i4>
      </vt:variant>
      <vt:variant>
        <vt:lpwstr/>
      </vt:variant>
      <vt:variant>
        <vt:lpwstr>_Toc412736443</vt:lpwstr>
      </vt:variant>
      <vt:variant>
        <vt:i4>1245233</vt:i4>
      </vt:variant>
      <vt:variant>
        <vt:i4>158</vt:i4>
      </vt:variant>
      <vt:variant>
        <vt:i4>0</vt:i4>
      </vt:variant>
      <vt:variant>
        <vt:i4>5</vt:i4>
      </vt:variant>
      <vt:variant>
        <vt:lpwstr/>
      </vt:variant>
      <vt:variant>
        <vt:lpwstr>_Toc412736442</vt:lpwstr>
      </vt:variant>
      <vt:variant>
        <vt:i4>1245233</vt:i4>
      </vt:variant>
      <vt:variant>
        <vt:i4>152</vt:i4>
      </vt:variant>
      <vt:variant>
        <vt:i4>0</vt:i4>
      </vt:variant>
      <vt:variant>
        <vt:i4>5</vt:i4>
      </vt:variant>
      <vt:variant>
        <vt:lpwstr/>
      </vt:variant>
      <vt:variant>
        <vt:lpwstr>_Toc412736441</vt:lpwstr>
      </vt:variant>
      <vt:variant>
        <vt:i4>1245233</vt:i4>
      </vt:variant>
      <vt:variant>
        <vt:i4>146</vt:i4>
      </vt:variant>
      <vt:variant>
        <vt:i4>0</vt:i4>
      </vt:variant>
      <vt:variant>
        <vt:i4>5</vt:i4>
      </vt:variant>
      <vt:variant>
        <vt:lpwstr/>
      </vt:variant>
      <vt:variant>
        <vt:lpwstr>_Toc412736440</vt:lpwstr>
      </vt:variant>
      <vt:variant>
        <vt:i4>1310769</vt:i4>
      </vt:variant>
      <vt:variant>
        <vt:i4>140</vt:i4>
      </vt:variant>
      <vt:variant>
        <vt:i4>0</vt:i4>
      </vt:variant>
      <vt:variant>
        <vt:i4>5</vt:i4>
      </vt:variant>
      <vt:variant>
        <vt:lpwstr/>
      </vt:variant>
      <vt:variant>
        <vt:lpwstr>_Toc412736439</vt:lpwstr>
      </vt:variant>
      <vt:variant>
        <vt:i4>1310769</vt:i4>
      </vt:variant>
      <vt:variant>
        <vt:i4>134</vt:i4>
      </vt:variant>
      <vt:variant>
        <vt:i4>0</vt:i4>
      </vt:variant>
      <vt:variant>
        <vt:i4>5</vt:i4>
      </vt:variant>
      <vt:variant>
        <vt:lpwstr/>
      </vt:variant>
      <vt:variant>
        <vt:lpwstr>_Toc412736438</vt:lpwstr>
      </vt:variant>
      <vt:variant>
        <vt:i4>1310769</vt:i4>
      </vt:variant>
      <vt:variant>
        <vt:i4>128</vt:i4>
      </vt:variant>
      <vt:variant>
        <vt:i4>0</vt:i4>
      </vt:variant>
      <vt:variant>
        <vt:i4>5</vt:i4>
      </vt:variant>
      <vt:variant>
        <vt:lpwstr/>
      </vt:variant>
      <vt:variant>
        <vt:lpwstr>_Toc412736437</vt:lpwstr>
      </vt:variant>
      <vt:variant>
        <vt:i4>1310769</vt:i4>
      </vt:variant>
      <vt:variant>
        <vt:i4>122</vt:i4>
      </vt:variant>
      <vt:variant>
        <vt:i4>0</vt:i4>
      </vt:variant>
      <vt:variant>
        <vt:i4>5</vt:i4>
      </vt:variant>
      <vt:variant>
        <vt:lpwstr/>
      </vt:variant>
      <vt:variant>
        <vt:lpwstr>_Toc412736435</vt:lpwstr>
      </vt:variant>
      <vt:variant>
        <vt:i4>1310769</vt:i4>
      </vt:variant>
      <vt:variant>
        <vt:i4>116</vt:i4>
      </vt:variant>
      <vt:variant>
        <vt:i4>0</vt:i4>
      </vt:variant>
      <vt:variant>
        <vt:i4>5</vt:i4>
      </vt:variant>
      <vt:variant>
        <vt:lpwstr/>
      </vt:variant>
      <vt:variant>
        <vt:lpwstr>_Toc412736434</vt:lpwstr>
      </vt:variant>
      <vt:variant>
        <vt:i4>1310769</vt:i4>
      </vt:variant>
      <vt:variant>
        <vt:i4>110</vt:i4>
      </vt:variant>
      <vt:variant>
        <vt:i4>0</vt:i4>
      </vt:variant>
      <vt:variant>
        <vt:i4>5</vt:i4>
      </vt:variant>
      <vt:variant>
        <vt:lpwstr/>
      </vt:variant>
      <vt:variant>
        <vt:lpwstr>_Toc412736433</vt:lpwstr>
      </vt:variant>
      <vt:variant>
        <vt:i4>1310769</vt:i4>
      </vt:variant>
      <vt:variant>
        <vt:i4>104</vt:i4>
      </vt:variant>
      <vt:variant>
        <vt:i4>0</vt:i4>
      </vt:variant>
      <vt:variant>
        <vt:i4>5</vt:i4>
      </vt:variant>
      <vt:variant>
        <vt:lpwstr/>
      </vt:variant>
      <vt:variant>
        <vt:lpwstr>_Toc412736432</vt:lpwstr>
      </vt:variant>
      <vt:variant>
        <vt:i4>1310769</vt:i4>
      </vt:variant>
      <vt:variant>
        <vt:i4>98</vt:i4>
      </vt:variant>
      <vt:variant>
        <vt:i4>0</vt:i4>
      </vt:variant>
      <vt:variant>
        <vt:i4>5</vt:i4>
      </vt:variant>
      <vt:variant>
        <vt:lpwstr/>
      </vt:variant>
      <vt:variant>
        <vt:lpwstr>_Toc412736431</vt:lpwstr>
      </vt:variant>
      <vt:variant>
        <vt:i4>1310769</vt:i4>
      </vt:variant>
      <vt:variant>
        <vt:i4>92</vt:i4>
      </vt:variant>
      <vt:variant>
        <vt:i4>0</vt:i4>
      </vt:variant>
      <vt:variant>
        <vt:i4>5</vt:i4>
      </vt:variant>
      <vt:variant>
        <vt:lpwstr/>
      </vt:variant>
      <vt:variant>
        <vt:lpwstr>_Toc412736430</vt:lpwstr>
      </vt:variant>
      <vt:variant>
        <vt:i4>1376305</vt:i4>
      </vt:variant>
      <vt:variant>
        <vt:i4>86</vt:i4>
      </vt:variant>
      <vt:variant>
        <vt:i4>0</vt:i4>
      </vt:variant>
      <vt:variant>
        <vt:i4>5</vt:i4>
      </vt:variant>
      <vt:variant>
        <vt:lpwstr/>
      </vt:variant>
      <vt:variant>
        <vt:lpwstr>_Toc412736429</vt:lpwstr>
      </vt:variant>
      <vt:variant>
        <vt:i4>1376305</vt:i4>
      </vt:variant>
      <vt:variant>
        <vt:i4>80</vt:i4>
      </vt:variant>
      <vt:variant>
        <vt:i4>0</vt:i4>
      </vt:variant>
      <vt:variant>
        <vt:i4>5</vt:i4>
      </vt:variant>
      <vt:variant>
        <vt:lpwstr/>
      </vt:variant>
      <vt:variant>
        <vt:lpwstr>_Toc412736425</vt:lpwstr>
      </vt:variant>
      <vt:variant>
        <vt:i4>1376305</vt:i4>
      </vt:variant>
      <vt:variant>
        <vt:i4>74</vt:i4>
      </vt:variant>
      <vt:variant>
        <vt:i4>0</vt:i4>
      </vt:variant>
      <vt:variant>
        <vt:i4>5</vt:i4>
      </vt:variant>
      <vt:variant>
        <vt:lpwstr/>
      </vt:variant>
      <vt:variant>
        <vt:lpwstr>_Toc412736424</vt:lpwstr>
      </vt:variant>
      <vt:variant>
        <vt:i4>1376305</vt:i4>
      </vt:variant>
      <vt:variant>
        <vt:i4>68</vt:i4>
      </vt:variant>
      <vt:variant>
        <vt:i4>0</vt:i4>
      </vt:variant>
      <vt:variant>
        <vt:i4>5</vt:i4>
      </vt:variant>
      <vt:variant>
        <vt:lpwstr/>
      </vt:variant>
      <vt:variant>
        <vt:lpwstr>_Toc412736423</vt:lpwstr>
      </vt:variant>
      <vt:variant>
        <vt:i4>1376305</vt:i4>
      </vt:variant>
      <vt:variant>
        <vt:i4>62</vt:i4>
      </vt:variant>
      <vt:variant>
        <vt:i4>0</vt:i4>
      </vt:variant>
      <vt:variant>
        <vt:i4>5</vt:i4>
      </vt:variant>
      <vt:variant>
        <vt:lpwstr/>
      </vt:variant>
      <vt:variant>
        <vt:lpwstr>_Toc412736422</vt:lpwstr>
      </vt:variant>
      <vt:variant>
        <vt:i4>1376305</vt:i4>
      </vt:variant>
      <vt:variant>
        <vt:i4>56</vt:i4>
      </vt:variant>
      <vt:variant>
        <vt:i4>0</vt:i4>
      </vt:variant>
      <vt:variant>
        <vt:i4>5</vt:i4>
      </vt:variant>
      <vt:variant>
        <vt:lpwstr/>
      </vt:variant>
      <vt:variant>
        <vt:lpwstr>_Toc412736421</vt:lpwstr>
      </vt:variant>
      <vt:variant>
        <vt:i4>1376305</vt:i4>
      </vt:variant>
      <vt:variant>
        <vt:i4>50</vt:i4>
      </vt:variant>
      <vt:variant>
        <vt:i4>0</vt:i4>
      </vt:variant>
      <vt:variant>
        <vt:i4>5</vt:i4>
      </vt:variant>
      <vt:variant>
        <vt:lpwstr/>
      </vt:variant>
      <vt:variant>
        <vt:lpwstr>_Toc412736420</vt:lpwstr>
      </vt:variant>
      <vt:variant>
        <vt:i4>1441841</vt:i4>
      </vt:variant>
      <vt:variant>
        <vt:i4>44</vt:i4>
      </vt:variant>
      <vt:variant>
        <vt:i4>0</vt:i4>
      </vt:variant>
      <vt:variant>
        <vt:i4>5</vt:i4>
      </vt:variant>
      <vt:variant>
        <vt:lpwstr/>
      </vt:variant>
      <vt:variant>
        <vt:lpwstr>_Toc412736418</vt:lpwstr>
      </vt:variant>
      <vt:variant>
        <vt:i4>1441841</vt:i4>
      </vt:variant>
      <vt:variant>
        <vt:i4>38</vt:i4>
      </vt:variant>
      <vt:variant>
        <vt:i4>0</vt:i4>
      </vt:variant>
      <vt:variant>
        <vt:i4>5</vt:i4>
      </vt:variant>
      <vt:variant>
        <vt:lpwstr/>
      </vt:variant>
      <vt:variant>
        <vt:lpwstr>_Toc412736417</vt:lpwstr>
      </vt:variant>
      <vt:variant>
        <vt:i4>1441841</vt:i4>
      </vt:variant>
      <vt:variant>
        <vt:i4>32</vt:i4>
      </vt:variant>
      <vt:variant>
        <vt:i4>0</vt:i4>
      </vt:variant>
      <vt:variant>
        <vt:i4>5</vt:i4>
      </vt:variant>
      <vt:variant>
        <vt:lpwstr/>
      </vt:variant>
      <vt:variant>
        <vt:lpwstr>_Toc412736416</vt:lpwstr>
      </vt:variant>
      <vt:variant>
        <vt:i4>1441841</vt:i4>
      </vt:variant>
      <vt:variant>
        <vt:i4>26</vt:i4>
      </vt:variant>
      <vt:variant>
        <vt:i4>0</vt:i4>
      </vt:variant>
      <vt:variant>
        <vt:i4>5</vt:i4>
      </vt:variant>
      <vt:variant>
        <vt:lpwstr/>
      </vt:variant>
      <vt:variant>
        <vt:lpwstr>_Toc412736415</vt:lpwstr>
      </vt:variant>
      <vt:variant>
        <vt:i4>1441841</vt:i4>
      </vt:variant>
      <vt:variant>
        <vt:i4>20</vt:i4>
      </vt:variant>
      <vt:variant>
        <vt:i4>0</vt:i4>
      </vt:variant>
      <vt:variant>
        <vt:i4>5</vt:i4>
      </vt:variant>
      <vt:variant>
        <vt:lpwstr/>
      </vt:variant>
      <vt:variant>
        <vt:lpwstr>_Toc412736414</vt:lpwstr>
      </vt:variant>
      <vt:variant>
        <vt:i4>1441841</vt:i4>
      </vt:variant>
      <vt:variant>
        <vt:i4>14</vt:i4>
      </vt:variant>
      <vt:variant>
        <vt:i4>0</vt:i4>
      </vt:variant>
      <vt:variant>
        <vt:i4>5</vt:i4>
      </vt:variant>
      <vt:variant>
        <vt:lpwstr/>
      </vt:variant>
      <vt:variant>
        <vt:lpwstr>_Toc412736412</vt:lpwstr>
      </vt:variant>
      <vt:variant>
        <vt:i4>1441841</vt:i4>
      </vt:variant>
      <vt:variant>
        <vt:i4>8</vt:i4>
      </vt:variant>
      <vt:variant>
        <vt:i4>0</vt:i4>
      </vt:variant>
      <vt:variant>
        <vt:i4>5</vt:i4>
      </vt:variant>
      <vt:variant>
        <vt:lpwstr/>
      </vt:variant>
      <vt:variant>
        <vt:lpwstr>_Toc412736411</vt:lpwstr>
      </vt:variant>
      <vt:variant>
        <vt:i4>1441841</vt:i4>
      </vt:variant>
      <vt:variant>
        <vt:i4>2</vt:i4>
      </vt:variant>
      <vt:variant>
        <vt:i4>0</vt:i4>
      </vt:variant>
      <vt:variant>
        <vt:i4>5</vt:i4>
      </vt:variant>
      <vt:variant>
        <vt:lpwstr/>
      </vt:variant>
      <vt:variant>
        <vt:lpwstr>_Toc412736410</vt:lpwstr>
      </vt:variant>
      <vt:variant>
        <vt:i4>8061028</vt:i4>
      </vt:variant>
      <vt:variant>
        <vt:i4>195</vt:i4>
      </vt:variant>
      <vt:variant>
        <vt:i4>0</vt:i4>
      </vt:variant>
      <vt:variant>
        <vt:i4>5</vt:i4>
      </vt:variant>
      <vt:variant>
        <vt:lpwstr>http://www.chicagofed.org/digital_assets/others/events/2014/annual_over_the_counter_derivatives_symposium/tucker_clearinghouses_new_central_banks_tucker_2014.pdf</vt:lpwstr>
      </vt:variant>
      <vt:variant>
        <vt:lpwstr/>
      </vt:variant>
      <vt:variant>
        <vt:i4>524318</vt:i4>
      </vt:variant>
      <vt:variant>
        <vt:i4>192</vt:i4>
      </vt:variant>
      <vt:variant>
        <vt:i4>0</vt:i4>
      </vt:variant>
      <vt:variant>
        <vt:i4>5</vt:i4>
      </vt:variant>
      <vt:variant>
        <vt:lpwstr>http://ec.europa.eu/internal_market/consultations/2012/nonbanks_en.htm</vt:lpwstr>
      </vt:variant>
      <vt:variant>
        <vt:lpwstr/>
      </vt:variant>
      <vt:variant>
        <vt:i4>5111819</vt:i4>
      </vt:variant>
      <vt:variant>
        <vt:i4>189</vt:i4>
      </vt:variant>
      <vt:variant>
        <vt:i4>0</vt:i4>
      </vt:variant>
      <vt:variant>
        <vt:i4>5</vt:i4>
      </vt:variant>
      <vt:variant>
        <vt:lpwstr>http://www2.isda.org/attachment/NTc5Nw==/CCP_loss_allocation_waterfall_0807.pdf</vt:lpwstr>
      </vt:variant>
      <vt:variant>
        <vt:lpwstr/>
      </vt:variant>
      <vt:variant>
        <vt:i4>5111819</vt:i4>
      </vt:variant>
      <vt:variant>
        <vt:i4>186</vt:i4>
      </vt:variant>
      <vt:variant>
        <vt:i4>0</vt:i4>
      </vt:variant>
      <vt:variant>
        <vt:i4>5</vt:i4>
      </vt:variant>
      <vt:variant>
        <vt:lpwstr>http://www2.isda.org/attachment/NTc5Nw==/CCP_loss_allocation_waterfall_0807.pdf</vt:lpwstr>
      </vt:variant>
      <vt:variant>
        <vt:lpwstr/>
      </vt:variant>
      <vt:variant>
        <vt:i4>4587545</vt:i4>
      </vt:variant>
      <vt:variant>
        <vt:i4>183</vt:i4>
      </vt:variant>
      <vt:variant>
        <vt:i4>0</vt:i4>
      </vt:variant>
      <vt:variant>
        <vt:i4>5</vt:i4>
      </vt:variant>
      <vt:variant>
        <vt:lpwstr>http://www.financialstabilityboard.org/publications/c_131025_1.htm</vt:lpwstr>
      </vt:variant>
      <vt:variant>
        <vt:lpwstr/>
      </vt:variant>
      <vt:variant>
        <vt:i4>4653075</vt:i4>
      </vt:variant>
      <vt:variant>
        <vt:i4>180</vt:i4>
      </vt:variant>
      <vt:variant>
        <vt:i4>0</vt:i4>
      </vt:variant>
      <vt:variant>
        <vt:i4>5</vt:i4>
      </vt:variant>
      <vt:variant>
        <vt:lpwstr>http://www.imf.org/external/pubs/ft/gfsr/2010/01/</vt:lpwstr>
      </vt:variant>
      <vt:variant>
        <vt:lpwstr/>
      </vt:variant>
      <vt:variant>
        <vt:i4>327800</vt:i4>
      </vt:variant>
      <vt:variant>
        <vt:i4>177</vt:i4>
      </vt:variant>
      <vt:variant>
        <vt:i4>0</vt:i4>
      </vt:variant>
      <vt:variant>
        <vt:i4>5</vt:i4>
      </vt:variant>
      <vt:variant>
        <vt:lpwstr>http://www.bankofengland.co.uk/publications/Pages/fsr/fs_paper19.aspx</vt:lpwstr>
      </vt:variant>
      <vt:variant>
        <vt:lpwstr/>
      </vt:variant>
      <vt:variant>
        <vt:i4>1835009</vt:i4>
      </vt:variant>
      <vt:variant>
        <vt:i4>174</vt:i4>
      </vt:variant>
      <vt:variant>
        <vt:i4>0</vt:i4>
      </vt:variant>
      <vt:variant>
        <vt:i4>5</vt:i4>
      </vt:variant>
      <vt:variant>
        <vt:lpwstr>http://ec.europa.eu/internal_market/securities/isd/mifid2/index_en.htm</vt:lpwstr>
      </vt:variant>
      <vt:variant>
        <vt:lpwstr/>
      </vt:variant>
      <vt:variant>
        <vt:i4>3997759</vt:i4>
      </vt:variant>
      <vt:variant>
        <vt:i4>171</vt:i4>
      </vt:variant>
      <vt:variant>
        <vt:i4>0</vt:i4>
      </vt:variant>
      <vt:variant>
        <vt:i4>5</vt:i4>
      </vt:variant>
      <vt:variant>
        <vt:lpwstr>http://ec.europa.eu/internal_market/finances/docs/general/20140515-erfra-working-document_en.pdf</vt:lpwstr>
      </vt:variant>
      <vt:variant>
        <vt:lpwstr/>
      </vt:variant>
      <vt:variant>
        <vt:i4>7078014</vt:i4>
      </vt:variant>
      <vt:variant>
        <vt:i4>168</vt:i4>
      </vt:variant>
      <vt:variant>
        <vt:i4>0</vt:i4>
      </vt:variant>
      <vt:variant>
        <vt:i4>5</vt:i4>
      </vt:variant>
      <vt:variant>
        <vt:lpwstr>http://www.ecb.europa.eu/press/key/date/2014/html/sp140917.en.html</vt:lpwstr>
      </vt:variant>
      <vt:variant>
        <vt:lpwstr/>
      </vt:variant>
      <vt:variant>
        <vt:i4>4063268</vt:i4>
      </vt:variant>
      <vt:variant>
        <vt:i4>165</vt:i4>
      </vt:variant>
      <vt:variant>
        <vt:i4>0</vt:i4>
      </vt:variant>
      <vt:variant>
        <vt:i4>5</vt:i4>
      </vt:variant>
      <vt:variant>
        <vt:lpwstr>http://www.bankofengland.co.uk/publications/Documents/fsr/2013/fsrfull1306.pdf</vt:lpwstr>
      </vt:variant>
      <vt:variant>
        <vt:lpwstr/>
      </vt:variant>
      <vt:variant>
        <vt:i4>7995489</vt:i4>
      </vt:variant>
      <vt:variant>
        <vt:i4>162</vt:i4>
      </vt:variant>
      <vt:variant>
        <vt:i4>0</vt:i4>
      </vt:variant>
      <vt:variant>
        <vt:i4>5</vt:i4>
      </vt:variant>
      <vt:variant>
        <vt:lpwstr>http://www2.isda.org/functional-areas/research/studies/</vt:lpwstr>
      </vt:variant>
      <vt:variant>
        <vt:lpwstr/>
      </vt:variant>
      <vt:variant>
        <vt:i4>4587605</vt:i4>
      </vt:variant>
      <vt:variant>
        <vt:i4>159</vt:i4>
      </vt:variant>
      <vt:variant>
        <vt:i4>0</vt:i4>
      </vt:variant>
      <vt:variant>
        <vt:i4>5</vt:i4>
      </vt:variant>
      <vt:variant>
        <vt:lpwstr>http://www.bis.org/statistics/dt1920a.pdf</vt:lpwstr>
      </vt:variant>
      <vt:variant>
        <vt:lpwstr/>
      </vt:variant>
      <vt:variant>
        <vt:i4>3276901</vt:i4>
      </vt:variant>
      <vt:variant>
        <vt:i4>156</vt:i4>
      </vt:variant>
      <vt:variant>
        <vt:i4>0</vt:i4>
      </vt:variant>
      <vt:variant>
        <vt:i4>5</vt:i4>
      </vt:variant>
      <vt:variant>
        <vt:lpwstr>http://www.bis.org/</vt:lpwstr>
      </vt:variant>
      <vt:variant>
        <vt:lpwstr/>
      </vt:variant>
      <vt:variant>
        <vt:i4>7602285</vt:i4>
      </vt:variant>
      <vt:variant>
        <vt:i4>153</vt:i4>
      </vt:variant>
      <vt:variant>
        <vt:i4>0</vt:i4>
      </vt:variant>
      <vt:variant>
        <vt:i4>5</vt:i4>
      </vt:variant>
      <vt:variant>
        <vt:lpwstr>http://www.treasury.gov/initiatives/Documents/Finalruledisclaimer7-18-2011.pdf</vt:lpwstr>
      </vt:variant>
      <vt:variant>
        <vt:lpwstr/>
      </vt:variant>
      <vt:variant>
        <vt:i4>7995495</vt:i4>
      </vt:variant>
      <vt:variant>
        <vt:i4>150</vt:i4>
      </vt:variant>
      <vt:variant>
        <vt:i4>0</vt:i4>
      </vt:variant>
      <vt:variant>
        <vt:i4>5</vt:i4>
      </vt:variant>
      <vt:variant>
        <vt:lpwstr>http://www.federalreserve.gov/newsevents/press/bcreg/bcreg20130403a.pdf</vt:lpwstr>
      </vt:variant>
      <vt:variant>
        <vt:lpwstr/>
      </vt:variant>
      <vt:variant>
        <vt:i4>852062</vt:i4>
      </vt:variant>
      <vt:variant>
        <vt:i4>147</vt:i4>
      </vt:variant>
      <vt:variant>
        <vt:i4>0</vt:i4>
      </vt:variant>
      <vt:variant>
        <vt:i4>5</vt:i4>
      </vt:variant>
      <vt:variant>
        <vt:lpwstr>http://www.treasury.gov/initiatives/fsoc/Documents/Nonbank Designations - Final Rule and Guidance.pdf</vt:lpwstr>
      </vt:variant>
      <vt:variant>
        <vt:lpwstr/>
      </vt:variant>
      <vt:variant>
        <vt:i4>6619169</vt:i4>
      </vt:variant>
      <vt:variant>
        <vt:i4>123</vt:i4>
      </vt:variant>
      <vt:variant>
        <vt:i4>0</vt:i4>
      </vt:variant>
      <vt:variant>
        <vt:i4>5</vt:i4>
      </vt:variant>
      <vt:variant>
        <vt:lpwstr>http://www.bis.org/publ/bcbs200.pdf</vt:lpwstr>
      </vt:variant>
      <vt:variant>
        <vt:lpwstr/>
      </vt:variant>
      <vt:variant>
        <vt:i4>3670046</vt:i4>
      </vt:variant>
      <vt:variant>
        <vt:i4>120</vt:i4>
      </vt:variant>
      <vt:variant>
        <vt:i4>0</vt:i4>
      </vt:variant>
      <vt:variant>
        <vt:i4>5</vt:i4>
      </vt:variant>
      <vt:variant>
        <vt:lpwstr>http://www.financialstabilityboard.org/publications/r_130411a.pdf</vt:lpwstr>
      </vt:variant>
      <vt:variant>
        <vt:lpwstr/>
      </vt:variant>
      <vt:variant>
        <vt:i4>4915209</vt:i4>
      </vt:variant>
      <vt:variant>
        <vt:i4>117</vt:i4>
      </vt:variant>
      <vt:variant>
        <vt:i4>0</vt:i4>
      </vt:variant>
      <vt:variant>
        <vt:i4>5</vt:i4>
      </vt:variant>
      <vt:variant>
        <vt:lpwstr>http://www.bis.org/publ/cpss101a.pdf</vt:lpwstr>
      </vt:variant>
      <vt:variant>
        <vt:lpwstr/>
      </vt:variant>
      <vt:variant>
        <vt:i4>7078015</vt:i4>
      </vt:variant>
      <vt:variant>
        <vt:i4>114</vt:i4>
      </vt:variant>
      <vt:variant>
        <vt:i4>0</vt:i4>
      </vt:variant>
      <vt:variant>
        <vt:i4>5</vt:i4>
      </vt:variant>
      <vt:variant>
        <vt:lpwstr>http://www.financialstabilityboard.org/wp-content/uploads/FSB-Chair-letter-to-G20-February-2015.pdf</vt:lpwstr>
      </vt:variant>
      <vt:variant>
        <vt:lpwstr/>
      </vt:variant>
      <vt:variant>
        <vt:i4>1704015</vt:i4>
      </vt:variant>
      <vt:variant>
        <vt:i4>111</vt:i4>
      </vt:variant>
      <vt:variant>
        <vt:i4>0</vt:i4>
      </vt:variant>
      <vt:variant>
        <vt:i4>5</vt:i4>
      </vt:variant>
      <vt:variant>
        <vt:lpwstr>http://www.cmegroup.com/education/files/balancing-ccp-and-member-contributions-with-exposures.pdf</vt:lpwstr>
      </vt:variant>
      <vt:variant>
        <vt:lpwstr/>
      </vt:variant>
      <vt:variant>
        <vt:i4>2686999</vt:i4>
      </vt:variant>
      <vt:variant>
        <vt:i4>108</vt:i4>
      </vt:variant>
      <vt:variant>
        <vt:i4>0</vt:i4>
      </vt:variant>
      <vt:variant>
        <vt:i4>5</vt:i4>
      </vt:variant>
      <vt:variant>
        <vt:lpwstr>http://secure-area.lchclearnet.com/images/CCP_Risk_Management_Recovery_-_Resolution.pdf</vt:lpwstr>
      </vt:variant>
      <vt:variant>
        <vt:lpwstr/>
      </vt:variant>
      <vt:variant>
        <vt:i4>2359338</vt:i4>
      </vt:variant>
      <vt:variant>
        <vt:i4>105</vt:i4>
      </vt:variant>
      <vt:variant>
        <vt:i4>0</vt:i4>
      </vt:variant>
      <vt:variant>
        <vt:i4>5</vt:i4>
      </vt:variant>
      <vt:variant>
        <vt:lpwstr>http://www.financialstabilityboard.org/wp-content/uploads/TLAC-Condoc-6-Nov-2014-FINAL.pdf</vt:lpwstr>
      </vt:variant>
      <vt:variant>
        <vt:lpwstr/>
      </vt:variant>
      <vt:variant>
        <vt:i4>1441822</vt:i4>
      </vt:variant>
      <vt:variant>
        <vt:i4>102</vt:i4>
      </vt:variant>
      <vt:variant>
        <vt:i4>0</vt:i4>
      </vt:variant>
      <vt:variant>
        <vt:i4>5</vt:i4>
      </vt:variant>
      <vt:variant>
        <vt:lpwstr>http://www.bis.org/cpmi/publ/d121.pdf</vt:lpwstr>
      </vt:variant>
      <vt:variant>
        <vt:lpwstr/>
      </vt:variant>
      <vt:variant>
        <vt:i4>327729</vt:i4>
      </vt:variant>
      <vt:variant>
        <vt:i4>99</vt:i4>
      </vt:variant>
      <vt:variant>
        <vt:i4>0</vt:i4>
      </vt:variant>
      <vt:variant>
        <vt:i4>5</vt:i4>
      </vt:variant>
      <vt:variant>
        <vt:lpwstr>http://www.financialstabilityboard.org/wp-content/uploads/r_141015.pdf</vt:lpwstr>
      </vt:variant>
      <vt:variant>
        <vt:lpwstr/>
      </vt:variant>
      <vt:variant>
        <vt:i4>4915209</vt:i4>
      </vt:variant>
      <vt:variant>
        <vt:i4>96</vt:i4>
      </vt:variant>
      <vt:variant>
        <vt:i4>0</vt:i4>
      </vt:variant>
      <vt:variant>
        <vt:i4>5</vt:i4>
      </vt:variant>
      <vt:variant>
        <vt:lpwstr>http://www.bis.org/publ/cpss101a.pdf</vt:lpwstr>
      </vt:variant>
      <vt:variant>
        <vt:lpwstr/>
      </vt:variant>
      <vt:variant>
        <vt:i4>5111899</vt:i4>
      </vt:variant>
      <vt:variant>
        <vt:i4>93</vt:i4>
      </vt:variant>
      <vt:variant>
        <vt:i4>0</vt:i4>
      </vt:variant>
      <vt:variant>
        <vt:i4>5</vt:i4>
      </vt:variant>
      <vt:variant>
        <vt:lpwstr>https://www.eba.europa.eu/documents/10180/751477/EBA-CP-2014-16++%28CP+on+draft+RTS+on+Content+Res++Plans+and+Assessment+of+Resolvability%29.docx.pdf</vt:lpwstr>
      </vt:variant>
      <vt:variant>
        <vt:lpwstr/>
      </vt:variant>
      <vt:variant>
        <vt:i4>3997759</vt:i4>
      </vt:variant>
      <vt:variant>
        <vt:i4>90</vt:i4>
      </vt:variant>
      <vt:variant>
        <vt:i4>0</vt:i4>
      </vt:variant>
      <vt:variant>
        <vt:i4>5</vt:i4>
      </vt:variant>
      <vt:variant>
        <vt:lpwstr>http://ec.europa.eu/internal_market/finances/docs/general/20140515-erfra-working-document_en.pdf</vt:lpwstr>
      </vt:variant>
      <vt:variant>
        <vt:lpwstr/>
      </vt:variant>
      <vt:variant>
        <vt:i4>6225953</vt:i4>
      </vt:variant>
      <vt:variant>
        <vt:i4>84</vt:i4>
      </vt:variant>
      <vt:variant>
        <vt:i4>0</vt:i4>
      </vt:variant>
      <vt:variant>
        <vt:i4>5</vt:i4>
      </vt:variant>
      <vt:variant>
        <vt:lpwstr>http://www.ecb.europa.eu/press/key/date/2014/html/sp140519_1.en.html</vt:lpwstr>
      </vt:variant>
      <vt:variant>
        <vt:lpwstr/>
      </vt:variant>
      <vt:variant>
        <vt:i4>7995433</vt:i4>
      </vt:variant>
      <vt:variant>
        <vt:i4>81</vt:i4>
      </vt:variant>
      <vt:variant>
        <vt:i4>0</vt:i4>
      </vt:variant>
      <vt:variant>
        <vt:i4>5</vt:i4>
      </vt:variant>
      <vt:variant>
        <vt:lpwstr>http://www.bankofengland.co.uk/publications/Documents/fmi/fmiap1403.pdf</vt:lpwstr>
      </vt:variant>
      <vt:variant>
        <vt:lpwstr/>
      </vt:variant>
      <vt:variant>
        <vt:i4>2687085</vt:i4>
      </vt:variant>
      <vt:variant>
        <vt:i4>78</vt:i4>
      </vt:variant>
      <vt:variant>
        <vt:i4>0</vt:i4>
      </vt:variant>
      <vt:variant>
        <vt:i4>5</vt:i4>
      </vt:variant>
      <vt:variant>
        <vt:lpwstr>http://www.bankofengland.co.uk/financialstability/Documents/fmi/fmisupervision.pdf</vt:lpwstr>
      </vt:variant>
      <vt:variant>
        <vt:lpwstr/>
      </vt:variant>
      <vt:variant>
        <vt:i4>7471145</vt:i4>
      </vt:variant>
      <vt:variant>
        <vt:i4>75</vt:i4>
      </vt:variant>
      <vt:variant>
        <vt:i4>0</vt:i4>
      </vt:variant>
      <vt:variant>
        <vt:i4>5</vt:i4>
      </vt:variant>
      <vt:variant>
        <vt:lpwstr>http://ec.europa.eu/internal_market/bank/docs/crisis-management/2012_eu_framework/impact_assessment_final_en.pdf</vt:lpwstr>
      </vt:variant>
      <vt:variant>
        <vt:lpwstr/>
      </vt:variant>
      <vt:variant>
        <vt:i4>3997759</vt:i4>
      </vt:variant>
      <vt:variant>
        <vt:i4>72</vt:i4>
      </vt:variant>
      <vt:variant>
        <vt:i4>0</vt:i4>
      </vt:variant>
      <vt:variant>
        <vt:i4>5</vt:i4>
      </vt:variant>
      <vt:variant>
        <vt:lpwstr>http://ec.europa.eu/internal_market/finances/docs/general/20140515-erfra-working-document_en.pdf</vt:lpwstr>
      </vt:variant>
      <vt:variant>
        <vt:lpwstr/>
      </vt:variant>
      <vt:variant>
        <vt:i4>2883620</vt:i4>
      </vt:variant>
      <vt:variant>
        <vt:i4>69</vt:i4>
      </vt:variant>
      <vt:variant>
        <vt:i4>0</vt:i4>
      </vt:variant>
      <vt:variant>
        <vt:i4>5</vt:i4>
      </vt:variant>
      <vt:variant>
        <vt:lpwstr>http://www.jpmorganchase.com/corporate/About-JPMC/document/resolution-plan-ccps.pdf?M=22b2d037-ca48-42e1-a49e-53a5e0667db4</vt:lpwstr>
      </vt:variant>
      <vt:variant>
        <vt:lpwstr/>
      </vt:variant>
      <vt:variant>
        <vt:i4>3997759</vt:i4>
      </vt:variant>
      <vt:variant>
        <vt:i4>66</vt:i4>
      </vt:variant>
      <vt:variant>
        <vt:i4>0</vt:i4>
      </vt:variant>
      <vt:variant>
        <vt:i4>5</vt:i4>
      </vt:variant>
      <vt:variant>
        <vt:lpwstr>http://ec.europa.eu/internal_market/finances/docs/general/20140515-erfra-working-document_en.pdf</vt:lpwstr>
      </vt:variant>
      <vt:variant>
        <vt:lpwstr/>
      </vt:variant>
      <vt:variant>
        <vt:i4>8061028</vt:i4>
      </vt:variant>
      <vt:variant>
        <vt:i4>63</vt:i4>
      </vt:variant>
      <vt:variant>
        <vt:i4>0</vt:i4>
      </vt:variant>
      <vt:variant>
        <vt:i4>5</vt:i4>
      </vt:variant>
      <vt:variant>
        <vt:lpwstr>http://www.chicagofed.org/digital_assets/others/events/2014/annual_over_the_counter_derivatives_symposium/tucker_clearinghouses_new_central_banks_tucker_2014.pdf</vt:lpwstr>
      </vt:variant>
      <vt:variant>
        <vt:lpwstr/>
      </vt:variant>
      <vt:variant>
        <vt:i4>3997759</vt:i4>
      </vt:variant>
      <vt:variant>
        <vt:i4>60</vt:i4>
      </vt:variant>
      <vt:variant>
        <vt:i4>0</vt:i4>
      </vt:variant>
      <vt:variant>
        <vt:i4>5</vt:i4>
      </vt:variant>
      <vt:variant>
        <vt:lpwstr>http://ec.europa.eu/internal_market/finances/docs/general/20140515-erfra-working-document_en.pdf</vt:lpwstr>
      </vt:variant>
      <vt:variant>
        <vt:lpwstr/>
      </vt:variant>
      <vt:variant>
        <vt:i4>4915209</vt:i4>
      </vt:variant>
      <vt:variant>
        <vt:i4>57</vt:i4>
      </vt:variant>
      <vt:variant>
        <vt:i4>0</vt:i4>
      </vt:variant>
      <vt:variant>
        <vt:i4>5</vt:i4>
      </vt:variant>
      <vt:variant>
        <vt:lpwstr>http://www.bis.org/publ/cpss101a.pdf</vt:lpwstr>
      </vt:variant>
      <vt:variant>
        <vt:lpwstr/>
      </vt:variant>
      <vt:variant>
        <vt:i4>2949239</vt:i4>
      </vt:variant>
      <vt:variant>
        <vt:i4>54</vt:i4>
      </vt:variant>
      <vt:variant>
        <vt:i4>0</vt:i4>
      </vt:variant>
      <vt:variant>
        <vt:i4>5</vt:i4>
      </vt:variant>
      <vt:variant>
        <vt:lpwstr>http://www.bankofcanada.ca/wp-content/uploads/2012/11/wp2012-35.pdf</vt:lpwstr>
      </vt:variant>
      <vt:variant>
        <vt:lpwstr/>
      </vt:variant>
      <vt:variant>
        <vt:i4>2621488</vt:i4>
      </vt:variant>
      <vt:variant>
        <vt:i4>51</vt:i4>
      </vt:variant>
      <vt:variant>
        <vt:i4>0</vt:i4>
      </vt:variant>
      <vt:variant>
        <vt:i4>5</vt:i4>
      </vt:variant>
      <vt:variant>
        <vt:lpwstr>http://www.bis.org/publ/cpss92.pdf</vt:lpwstr>
      </vt:variant>
      <vt:variant>
        <vt:lpwstr/>
      </vt:variant>
      <vt:variant>
        <vt:i4>8257586</vt:i4>
      </vt:variant>
      <vt:variant>
        <vt:i4>48</vt:i4>
      </vt:variant>
      <vt:variant>
        <vt:i4>0</vt:i4>
      </vt:variant>
      <vt:variant>
        <vt:i4>5</vt:i4>
      </vt:variant>
      <vt:variant>
        <vt:lpwstr>http://sdw.ecb.europa.eu/reports.do?node=1000001583</vt:lpwstr>
      </vt:variant>
      <vt:variant>
        <vt:lpwstr/>
      </vt:variant>
      <vt:variant>
        <vt:i4>7143539</vt:i4>
      </vt:variant>
      <vt:variant>
        <vt:i4>45</vt:i4>
      </vt:variant>
      <vt:variant>
        <vt:i4>0</vt:i4>
      </vt:variant>
      <vt:variant>
        <vt:i4>5</vt:i4>
      </vt:variant>
      <vt:variant>
        <vt:lpwstr>http://mifiddatabase.esma.europa.eu/Index.aspx?sectionlinks_id=24&amp;language=0&amp;pageName=CENTRAL_COUNTERPARTIES_Display&amp;subsection_id=0</vt:lpwstr>
      </vt:variant>
      <vt:variant>
        <vt:lpwstr/>
      </vt:variant>
      <vt:variant>
        <vt:i4>68</vt:i4>
      </vt:variant>
      <vt:variant>
        <vt:i4>42</vt:i4>
      </vt:variant>
      <vt:variant>
        <vt:i4>0</vt:i4>
      </vt:variant>
      <vt:variant>
        <vt:i4>5</vt:i4>
      </vt:variant>
      <vt:variant>
        <vt:lpwstr>http://www.chicagofed.org/digital_assets/publications/economic_perspectives/2006/ep_4qtr2006_part2_bliss_steigerwald.pdf</vt:lpwstr>
      </vt:variant>
      <vt:variant>
        <vt:lpwstr/>
      </vt:variant>
      <vt:variant>
        <vt:i4>6160500</vt:i4>
      </vt:variant>
      <vt:variant>
        <vt:i4>39</vt:i4>
      </vt:variant>
      <vt:variant>
        <vt:i4>0</vt:i4>
      </vt:variant>
      <vt:variant>
        <vt:i4>5</vt:i4>
      </vt:variant>
      <vt:variant>
        <vt:lpwstr>https://www.financialstabilityboard.org/publications/c_131121.htm</vt:lpwstr>
      </vt:variant>
      <vt:variant>
        <vt:lpwstr/>
      </vt:variant>
      <vt:variant>
        <vt:i4>589838</vt:i4>
      </vt:variant>
      <vt:variant>
        <vt:i4>36</vt:i4>
      </vt:variant>
      <vt:variant>
        <vt:i4>0</vt:i4>
      </vt:variant>
      <vt:variant>
        <vt:i4>5</vt:i4>
      </vt:variant>
      <vt:variant>
        <vt:lpwstr>http://www.bis.org/publ/cpss109/comments.htm</vt:lpwstr>
      </vt:variant>
      <vt:variant>
        <vt:lpwstr/>
      </vt:variant>
      <vt:variant>
        <vt:i4>2490431</vt:i4>
      </vt:variant>
      <vt:variant>
        <vt:i4>33</vt:i4>
      </vt:variant>
      <vt:variant>
        <vt:i4>0</vt:i4>
      </vt:variant>
      <vt:variant>
        <vt:i4>5</vt:i4>
      </vt:variant>
      <vt:variant>
        <vt:lpwstr>http://ec.europa.eu/internal_market/consultations/2012/nonbanks/consultation-document_en.pdf</vt:lpwstr>
      </vt:variant>
      <vt:variant>
        <vt:lpwstr/>
      </vt:variant>
      <vt:variant>
        <vt:i4>917539</vt:i4>
      </vt:variant>
      <vt:variant>
        <vt:i4>30</vt:i4>
      </vt:variant>
      <vt:variant>
        <vt:i4>0</vt:i4>
      </vt:variant>
      <vt:variant>
        <vt:i4>5</vt:i4>
      </vt:variant>
      <vt:variant>
        <vt:lpwstr>http://ec.europa.eu/atwork/key-documents/index_en.htm</vt:lpwstr>
      </vt:variant>
      <vt:variant>
        <vt:lpwstr/>
      </vt:variant>
      <vt:variant>
        <vt:i4>5505088</vt:i4>
      </vt:variant>
      <vt:variant>
        <vt:i4>27</vt:i4>
      </vt:variant>
      <vt:variant>
        <vt:i4>0</vt:i4>
      </vt:variant>
      <vt:variant>
        <vt:i4>5</vt:i4>
      </vt:variant>
      <vt:variant>
        <vt:lpwstr>http://www.europarl.europa.eu/sides/getDoc.do?pubRef=-//EP//TEXT+TA+P7-TA-2013-0533+0+DOC+XML+V0//EN</vt:lpwstr>
      </vt:variant>
      <vt:variant>
        <vt:lpwstr/>
      </vt:variant>
      <vt:variant>
        <vt:i4>327729</vt:i4>
      </vt:variant>
      <vt:variant>
        <vt:i4>24</vt:i4>
      </vt:variant>
      <vt:variant>
        <vt:i4>0</vt:i4>
      </vt:variant>
      <vt:variant>
        <vt:i4>5</vt:i4>
      </vt:variant>
      <vt:variant>
        <vt:lpwstr>http://www.financialstabilityboard.org/wp-content/uploads/r_141015.pdf</vt:lpwstr>
      </vt:variant>
      <vt:variant>
        <vt:lpwstr/>
      </vt:variant>
      <vt:variant>
        <vt:i4>1441822</vt:i4>
      </vt:variant>
      <vt:variant>
        <vt:i4>21</vt:i4>
      </vt:variant>
      <vt:variant>
        <vt:i4>0</vt:i4>
      </vt:variant>
      <vt:variant>
        <vt:i4>5</vt:i4>
      </vt:variant>
      <vt:variant>
        <vt:lpwstr>http://www.bis.org/cpmi/publ/d121.pdf</vt:lpwstr>
      </vt:variant>
      <vt:variant>
        <vt:lpwstr/>
      </vt:variant>
      <vt:variant>
        <vt:i4>327729</vt:i4>
      </vt:variant>
      <vt:variant>
        <vt:i4>18</vt:i4>
      </vt:variant>
      <vt:variant>
        <vt:i4>0</vt:i4>
      </vt:variant>
      <vt:variant>
        <vt:i4>5</vt:i4>
      </vt:variant>
      <vt:variant>
        <vt:lpwstr>http://www.financialstabilityboard.org/wp-content/uploads/r_141015.pdf</vt:lpwstr>
      </vt:variant>
      <vt:variant>
        <vt:lpwstr/>
      </vt:variant>
      <vt:variant>
        <vt:i4>327718</vt:i4>
      </vt:variant>
      <vt:variant>
        <vt:i4>15</vt:i4>
      </vt:variant>
      <vt:variant>
        <vt:i4>0</vt:i4>
      </vt:variant>
      <vt:variant>
        <vt:i4>5</vt:i4>
      </vt:variant>
      <vt:variant>
        <vt:lpwstr>http://www.financialstabilityboard.org/publications/r_111104cc.pdf</vt:lpwstr>
      </vt:variant>
      <vt:variant>
        <vt:lpwstr/>
      </vt:variant>
      <vt:variant>
        <vt:i4>3080288</vt:i4>
      </vt:variant>
      <vt:variant>
        <vt:i4>12</vt:i4>
      </vt:variant>
      <vt:variant>
        <vt:i4>0</vt:i4>
      </vt:variant>
      <vt:variant>
        <vt:i4>5</vt:i4>
      </vt:variant>
      <vt:variant>
        <vt:lpwstr>http://ec.europa.eu/internal_market/finances/banking-union/index_en.htm</vt:lpwstr>
      </vt:variant>
      <vt:variant>
        <vt:lpwstr/>
      </vt:variant>
      <vt:variant>
        <vt:i4>327730</vt:i4>
      </vt:variant>
      <vt:variant>
        <vt:i4>9</vt:i4>
      </vt:variant>
      <vt:variant>
        <vt:i4>0</vt:i4>
      </vt:variant>
      <vt:variant>
        <vt:i4>5</vt:i4>
      </vt:variant>
      <vt:variant>
        <vt:lpwstr>http://ec.europa.eu/internal_market/bank/crisis_management/index_en.htm</vt:lpwstr>
      </vt:variant>
      <vt:variant>
        <vt:lpwstr/>
      </vt:variant>
      <vt:variant>
        <vt:i4>2490431</vt:i4>
      </vt:variant>
      <vt:variant>
        <vt:i4>6</vt:i4>
      </vt:variant>
      <vt:variant>
        <vt:i4>0</vt:i4>
      </vt:variant>
      <vt:variant>
        <vt:i4>5</vt:i4>
      </vt:variant>
      <vt:variant>
        <vt:lpwstr>http://ec.europa.eu/internal_market/consultations/2012/nonbanks/consultation-document_en.pdf</vt:lpwstr>
      </vt:variant>
      <vt:variant>
        <vt:lpwstr/>
      </vt:variant>
      <vt:variant>
        <vt:i4>2621494</vt:i4>
      </vt:variant>
      <vt:variant>
        <vt:i4>3</vt:i4>
      </vt:variant>
      <vt:variant>
        <vt:i4>0</vt:i4>
      </vt:variant>
      <vt:variant>
        <vt:i4>5</vt:i4>
      </vt:variant>
      <vt:variant>
        <vt:lpwstr>http://eur-lex.europa.eu/legal-content/EN/TXT/;ELX_SESSIONID=2hCkTyTNGyHG1hNnQmvLry3rTZt5TTSkrM1LLv12RFZ9hNy9lbl7!-1897320616?uri=uriserv:OJ.L_.2014.173.01.0190.01.ENG</vt:lpwstr>
      </vt:variant>
      <vt:variant>
        <vt:lpwstr/>
      </vt:variant>
      <vt:variant>
        <vt:i4>7078015</vt:i4>
      </vt:variant>
      <vt:variant>
        <vt:i4>0</vt:i4>
      </vt:variant>
      <vt:variant>
        <vt:i4>0</vt:i4>
      </vt:variant>
      <vt:variant>
        <vt:i4>5</vt:i4>
      </vt:variant>
      <vt:variant>
        <vt:lpwstr>http://www.financialstabilityboard.org/wp-content/uploads/FSB-Chair-letter-to-G20-February-2015.pdf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2017-07-10T08:26:00Z</dcterms:created>
  <dcterms:modified xsi:type="dcterms:W3CDTF">2017-07-14T07:16:00Z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Part">
    <vt:lpwstr>1</vt:lpwstr>
  </property>
  <property fmtid="{D5CDD505-2E9C-101B-9397-08002B2CF9AE}" pid="4" name="Total parts">
    <vt:lpwstr>1</vt:lpwstr>
  </property>
  <property fmtid="{D5CDD505-2E9C-101B-9397-08002B2CF9AE}" pid="5" name="Classification">
    <vt:lpwstr> </vt:lpwstr>
  </property>
</Properties>
</file>