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61A619007D543D892814CB55C3B9878" style="width:450.45pt;height:463.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spacing w:after="0"/>
        <w:rPr>
          <w:noProof/>
          <w:sz w:val="2"/>
        </w:rPr>
      </w:pPr>
      <w:bookmarkStart w:id="1" w:name="_GoBack"/>
      <w:bookmarkEnd w:id="1"/>
    </w:p>
    <w:tbl>
      <w:tblPr>
        <w:tblW w:w="1018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after="0"/>
              <w:jc w:val="center"/>
              <w:rPr>
                <w:rFonts w:ascii="Tahoma" w:hAnsi="Tahoma" w:cs="Tahoma"/>
                <w:b/>
                <w:noProof/>
              </w:rPr>
            </w:pP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rFonts w:ascii="Tahoma" w:hAnsi="Tahoma"/>
                <w:b/>
                <w:noProof/>
              </w:rPr>
              <w:t>Sammanfattning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cPr>
          <w:p>
            <w:pPr>
              <w:spacing w:after="0"/>
              <w:rPr>
                <w:rFonts w:ascii="Tahoma" w:hAnsi="Tahoma" w:cs="Tahoma"/>
                <w:noProof/>
                <w:sz w:val="20"/>
              </w:rPr>
            </w:pPr>
            <w:r>
              <w:rPr>
                <w:rFonts w:ascii="Tahoma" w:hAnsi="Tahoma"/>
                <w:noProof/>
                <w:color w:val="FFFFFF"/>
                <w:sz w:val="20"/>
              </w:rPr>
              <w:t>Konsekvensbedömning av eventuella ändringar av Europaparlamentets och rådets förordning (EU) nr 648/2012 av den 4 juli 2012 om OTC-derivat, centrala motparter och transaktionsregister</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A. Behov av åtgärder</w:t>
            </w:r>
          </w:p>
        </w:tc>
      </w:tr>
      <w:tr>
        <w:tc>
          <w:tcPr>
            <w:tcW w:w="10188" w:type="dxa"/>
            <w:tcBorders>
              <w:bottom w:val="single" w:sz="4" w:space="0" w:color="auto"/>
            </w:tcBorders>
            <w:shd w:val="clear" w:color="auto" w:fill="E0E0E0"/>
          </w:tcPr>
          <w:p>
            <w:pPr>
              <w:spacing w:after="0"/>
              <w:rPr>
                <w:rFonts w:ascii="Tahoma" w:hAnsi="Tahoma" w:cs="Tahoma"/>
                <w:noProof/>
                <w:sz w:val="20"/>
              </w:rPr>
            </w:pPr>
            <w:r>
              <w:rPr>
                <w:rFonts w:ascii="Tahoma" w:hAnsi="Tahoma"/>
                <w:b/>
                <w:noProof/>
                <w:sz w:val="20"/>
              </w:rPr>
              <w:t xml:space="preserve">Varför? Vilket problem behöver åtgärdas?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I enlighet med beslutet från G20-gruppens möte i Pittsburgh den 25 september 2009 om att minska den systemrisk som är kopplad till en omfattande användning av derivat, antog EU under 2012 förordningen om Europas marknadsinfrastrukturer (Emir). En av grundpelarna i Emir är ett krav på att standardiserade OTC-derivatkontrakt ska clearas genom en central motpart, som trädde i kraft i december 2015. Obligatorisk clearing för vissa kategorier av tillgångar samt en ökad frivillig användning av central clearing till följd av en ökande medvetenhet om dess fördelar bland marknadsaktörer har lett till en snabb ökning av centrala motparters verksamhet sedan antagandet av Emir, både i EU och globalt. Mot bakgrund av den ökande koncentrationen av kreditrisker i dessa infrastrukturer skulle man kunna effektivisera tillsynsarrangemangen för de centrala motparter i EU och från tredjeländer som omfattas av Emir. </w:t>
            </w:r>
          </w:p>
          <w:p>
            <w:pPr>
              <w:spacing w:after="0"/>
              <w:rPr>
                <w:rFonts w:ascii="Arial" w:hAnsi="Arial" w:cs="Arial"/>
                <w:noProof/>
                <w:sz w:val="20"/>
              </w:rPr>
            </w:pPr>
            <w:r>
              <w:rPr>
                <w:rFonts w:ascii="Arial" w:hAnsi="Arial"/>
                <w:noProof/>
                <w:sz w:val="20"/>
              </w:rPr>
              <w:t>Förordningens nuvarande arrangemang ger, vad gäller tillsyn av centrala motparter i EU som inbegriper tillsynskollegier som samordnas av hemlandets myndighet, upphov till flera betänkligheter: i) Med tanke på den betydelse som ett begränsat antal centrala motparter har för EU:s finansiella system som helhet</w:t>
            </w:r>
            <w:r>
              <w:rPr>
                <w:noProof/>
              </w:rPr>
              <w:t xml:space="preserve"> </w:t>
            </w:r>
            <w:r>
              <w:rPr>
                <w:rFonts w:ascii="Arial" w:hAnsi="Arial"/>
                <w:noProof/>
                <w:sz w:val="20"/>
              </w:rPr>
              <w:t xml:space="preserve">är tilliten till framför allt hemlandets tillsynsmyndighet problematisk. ii) Skiljaktiga tillsynssystem i EU skulle kunna skapa risker för regelarbitrage och tillsynsarbitrage för centrala motparter och indirekt för deras clearingmedlemmar och kunder. iii) Centralbankernas roll som det institut som utfärdar sedlar och mynt återspeglas inte tillräckligt i tillsynskollegier för centrala motparter. </w:t>
            </w:r>
          </w:p>
          <w:p>
            <w:pPr>
              <w:spacing w:after="120"/>
              <w:rPr>
                <w:rFonts w:ascii="Arial" w:hAnsi="Arial" w:cs="Arial"/>
                <w:noProof/>
                <w:sz w:val="20"/>
              </w:rPr>
            </w:pPr>
            <w:r>
              <w:rPr>
                <w:rFonts w:ascii="Arial" w:hAnsi="Arial"/>
                <w:noProof/>
                <w:sz w:val="20"/>
              </w:rPr>
              <w:t>Betänkligheter finns också vad gäller tillsynsarrangemang för centrala motparter från tredjeländer som är verksamma i EU: i) Genomförandet av förordningens regler om likvärdighet och godkännande har visat på vissa brister, särskilt när det gäller fortlöpande tillsyn av godkända centrala motparter från tredjeländer, ii) det finns en stor risk för obalanser mellan tillsynsmyndigheternas och centralbankernas mål inom tillsynskollegier när det gäller centrala motparter från tredjeländer där myndigheter utanför EU är inblandade, iii) eventuella ändringar av centrala motparters regler och/eller regelverket i ett tredjeland kan skapa ojämlika konkurrensvillkor mellan centrala motparter i EU och från tredjeland och utrymme för regelarbitrage eller tillsynsarbitrage, eftersom det för närvarande inte finns någon mekanism för att säkerställa att EU automatiskt underrättas om sådana förändringar.</w:t>
            </w:r>
            <w:r>
              <w:rPr>
                <w:noProof/>
              </w:rPr>
              <w:t xml:space="preserve"> </w:t>
            </w:r>
            <w:r>
              <w:rPr>
                <w:rFonts w:ascii="Arial" w:hAnsi="Arial"/>
                <w:noProof/>
                <w:sz w:val="20"/>
              </w:rPr>
              <w:t>En betydande mängd derivattransaktioner och andra transaktioner i euro som omfattas av EU:s krav på clearing clearas för närvarande av centrala motparter i Förenade kungariket. Detta ökar de betänkligheter som tagits upp, med tanke på den stora andel sådana transaktioner som kommer att clearas i centrala motparter utanför EU:s jurisdiktion till följd av Förenade kungarikets utträde ur EU.</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Vad förväntas initiativet leda till?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Initiativet förväntas öka enhetligheten i tillsynsarrangemangen för de centrala motparter som är etablerade i EU, inklusive vederbörligt erkännande av den utgivande centralbankens särskilda roll, och öka EU:s förmåga att övervaka, identifiera och minska riskerna för centrala motparter från tredjeländer.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Vad är mervärdet med åtgärder på EU-nivå?</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Förordningen reglerar tillsynsramarna för centrala motparter i EU och systemet för centrala motparter från tredjeland som tillhandahåller clearingtjänster i EU. Ökad enhetlighet i tillsynen på EU-nivå kommer att bidra till att lösa: i) De systemrisker som starkt integrerade och sammanlänkade motparter innebär. Dessa motparter bedriver gränsöverskridande verksamhet utom räckhåll för nationella tillsynsmyndigheter och ii) risker som härrör från skiljaktiga tillsynsmetoder, som medlemsstaterna inte kan lösa på egen hand. Hoten mot den finansiella stabiliteten i EU som helhet kan också hanteras bättre genom att man ökar intensiteten i EU:s tillsyn av systemviktiga centrala motparter från tredjeländer.</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B. Lösningar</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Vilka alternativ, både lagstiftning och andra åtgärder, har övervägts?</w:t>
            </w:r>
            <w:r>
              <w:rPr>
                <w:rFonts w:ascii="Tahoma" w:hAnsi="Tahoma"/>
                <w:noProof/>
                <w:sz w:val="20"/>
              </w:rPr>
              <w:t xml:space="preserve"> </w:t>
            </w:r>
            <w:r>
              <w:rPr>
                <w:rFonts w:ascii="Tahoma" w:hAnsi="Tahoma"/>
                <w:b/>
                <w:noProof/>
                <w:sz w:val="20"/>
              </w:rPr>
              <w:t xml:space="preserve">Finns det ett rekommenderat alternativ? Varför?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När det gäller enhetligheten i  tillsynsarrangemangen för centrala motparter som är etablerade i EU har tre alternativ övervägts: 1) Bevara status quo (dvs. ingen åtgärd). 2) Inrättandet av en EU-tillsynsmekanism. 3) Inrättandet av en enda EU-tillsynsmyndighet. Det rekommenderade alternativet är alternativ 2, vilket i stort sett skulle lämna befintliga tillsynsbefogenheter hos de nationella tillsynsmyndigheterna, med tanke på deras finanspolitiska ansvar samtidigt som en EU-tillsynsmekanism skapas för att mer centralt hantera områden av gemensamt intresse och för att stärka utgivande centralbankers deltagande i tillsynsförfarandet. Detta alternativ är också det mest lämpliga för att uppnå målet</w:t>
            </w:r>
            <w:r>
              <w:rPr>
                <w:noProof/>
              </w:rPr>
              <w:t xml:space="preserve"> </w:t>
            </w:r>
            <w:r>
              <w:rPr>
                <w:rFonts w:ascii="Arial" w:hAnsi="Arial"/>
                <w:noProof/>
                <w:sz w:val="20"/>
              </w:rPr>
              <w:t>att öka enhetligheten i tillsynsarrangemangen för centrala motparter i EU, samtidigt som man undviker de negativa aspekterna av alternativ 3.</w:t>
            </w:r>
          </w:p>
          <w:p>
            <w:pPr>
              <w:spacing w:after="0"/>
              <w:rPr>
                <w:rFonts w:ascii="Arial" w:hAnsi="Arial" w:cs="Arial"/>
                <w:noProof/>
                <w:sz w:val="20"/>
              </w:rPr>
            </w:pPr>
            <w:r>
              <w:rPr>
                <w:rFonts w:ascii="Arial" w:hAnsi="Arial"/>
                <w:noProof/>
                <w:sz w:val="20"/>
              </w:rPr>
              <w:t>Vad gäller att begränsa riskerna i samband med centrala motparter från tredjeländer har tre alternativ övervägts. Alternativ 1 består av att bevara status quo (dvs. ingen åtgärd). Enligt alternativ 2 skulle det krävas att centrala motparter från tredjeländer är etablerade och godkända i EU för att tillhandahålla tjänster till motparter i EU eller handelsplatser eller för att tillhandahålla clearingtjänster i EU-valutor.</w:t>
            </w:r>
            <w:r>
              <w:rPr>
                <w:noProof/>
              </w:rPr>
              <w:t xml:space="preserve"> </w:t>
            </w:r>
            <w:r>
              <w:rPr>
                <w:rFonts w:ascii="Arial" w:hAnsi="Arial"/>
                <w:noProof/>
                <w:sz w:val="20"/>
              </w:rPr>
              <w:t xml:space="preserve">Enligt alternativ 3 skulle omfattningen och </w:t>
            </w:r>
            <w:r>
              <w:rPr>
                <w:rFonts w:ascii="Arial" w:hAnsi="Arial"/>
                <w:noProof/>
                <w:sz w:val="20"/>
              </w:rPr>
              <w:lastRenderedPageBreak/>
              <w:t>intensiteten på tillsynen i EU vara proportionerlig och bero på de risker som centrala motparter från tredjeländer innebär för EU. Olika kriterier eller gränsvärden kan fastställas: i) Centrala motparter med ringa påverkan skulle kunna omfattas ett förstärkt genomförande av Emir:s system för likvärdighet och godkännande och ii) centrala motparter med medelhög till hög påverkan skulle kunna omfattas av en glidande skala av ytterligare tillsynskrav. I konsekvensbedömningen dras slutsatsen att alternativ 3 är det lämpligaste för att uppnå målet</w:t>
            </w:r>
            <w:r>
              <w:rPr>
                <w:noProof/>
              </w:rPr>
              <w:t xml:space="preserve"> </w:t>
            </w:r>
            <w:r>
              <w:rPr>
                <w:rFonts w:ascii="Arial" w:hAnsi="Arial"/>
                <w:noProof/>
                <w:sz w:val="20"/>
              </w:rPr>
              <w:t xml:space="preserve">att öka EU:s förmåga att övervaka, identifiera och minska riskerna i samband med centrala motparter från tredjeländer. </w:t>
            </w:r>
          </w:p>
        </w:tc>
      </w:tr>
      <w:tr>
        <w:tc>
          <w:tcPr>
            <w:tcW w:w="10188" w:type="dxa"/>
            <w:shd w:val="clear" w:color="auto" w:fill="CCCCCC"/>
          </w:tcPr>
          <w:p>
            <w:pPr>
              <w:spacing w:after="0"/>
              <w:rPr>
                <w:rFonts w:ascii="Tahoma" w:hAnsi="Tahoma" w:cs="Tahoma"/>
                <w:noProof/>
                <w:sz w:val="20"/>
              </w:rPr>
            </w:pPr>
            <w:r>
              <w:rPr>
                <w:rFonts w:ascii="Tahoma" w:hAnsi="Tahoma"/>
                <w:b/>
                <w:noProof/>
                <w:sz w:val="20"/>
              </w:rPr>
              <w:lastRenderedPageBreak/>
              <w:t xml:space="preserve">Vem stöder vilka alternativ? </w:t>
            </w:r>
          </w:p>
        </w:tc>
      </w:tr>
      <w:tr>
        <w:tc>
          <w:tcPr>
            <w:tcW w:w="10188" w:type="dxa"/>
            <w:shd w:val="clear" w:color="auto" w:fill="auto"/>
          </w:tcPr>
          <w:p>
            <w:pPr>
              <w:spacing w:after="0"/>
              <w:rPr>
                <w:rFonts w:ascii="Arial" w:hAnsi="Arial" w:cs="Arial"/>
                <w:noProof/>
                <w:sz w:val="20"/>
                <w:highlight w:val="yellow"/>
              </w:rPr>
            </w:pPr>
            <w:r>
              <w:rPr>
                <w:rFonts w:ascii="Arial" w:hAnsi="Arial"/>
                <w:noProof/>
                <w:sz w:val="20"/>
              </w:rPr>
              <w:t xml:space="preserve">Återkoppling från berörda parter har erhållits genom tre av offentliga samråd som anordnats av kommissionen: 2015 års samråd om översynen av förordningen om Europas marknadsinfrastrukturer (Emir), 2017 års samråd om halvtidsöversynen av kapitalmarknadsunionen (CMU) och 2017 års samråd om verksamheten i de europeiska tillsynsmyndigheterna. Vad gäller tillsynen av centrala motparter som är etablerade i EU belyste de berörda parterna, varav en majoritet var företag, behovet av ökad enhetlighet i tillsynen på EU-nivå för att spegla den systemviktiga karaktären hos centrala motparter, samtidigt som man säkerställer en tillfredsställande roll för de nationella myndigheterna och de utgivande centralbankerna. Vad gäller tillsyn av centrala motparter från tredjeländer stödde Esma och offentliga myndigheter en förbättring av den befintliga processen för godkännande, medan ett antal berörda parter, däribland företrädare för näringslivet, varnade för risken för fragmentering av marknaden.   </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C. De rekommenderade alternativens konsekvenser</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Vad är nyttan</w:t>
            </w:r>
            <w:r>
              <w:rPr>
                <w:noProof/>
              </w:rPr>
              <w:t xml:space="preserve"> </w:t>
            </w:r>
            <w:r>
              <w:rPr>
                <w:rFonts w:ascii="Tahoma" w:hAnsi="Tahoma"/>
                <w:b/>
                <w:noProof/>
                <w:sz w:val="20"/>
              </w:rPr>
              <w:t>med de rekommenderade alternativen (om sådana alternativ finns, annars anges för huvudsakliga alternativ)?</w:t>
            </w:r>
            <w:r>
              <w:rPr>
                <w:noProof/>
              </w:rPr>
              <w:tab/>
            </w:r>
            <w:r>
              <w:rPr>
                <w:noProof/>
              </w:rPr>
              <w:tab/>
            </w:r>
            <w:r>
              <w:rPr>
                <w:noProof/>
              </w:rPr>
              <w:tab/>
            </w:r>
            <w:r>
              <w:rPr>
                <w:noProof/>
              </w:rPr>
              <w:tab/>
            </w:r>
            <w:r>
              <w:rPr>
                <w:noProof/>
              </w:rPr>
              <w:tab/>
            </w:r>
            <w:r>
              <w:rPr>
                <w:noProof/>
              </w:rPr>
              <w:tab/>
            </w:r>
            <w:r>
              <w:rPr>
                <w:noProof/>
              </w:rPr>
              <w:tab/>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Vad gäller enhetligheten i tillsynsarrangemangen för de centrala motparter som är etablerade i EU skulle det rekommenderade alternativet öka denna enhetlighet, samtidigt som det säkerställs att särskilda områden av tillsynsansvaret och därtill relaterat nationellt finanspolitiskt ansvar förblir anpassade till varandra. Detta alternativ skulle också säkerställa ett verkligt deltagande från utgivande centralbanker inom ramen för deras ansvarsområden och ge centrala motparter och marknadsaktörer större klarhet och förutsägbarhet när det gäller det sätt på vilket tillsynen av centrala motparter utövas inom EU. Genom att effektivisera centrala delar av tillsynen av centrala motparter bör det rekommenderade alternativet minska kostnaderna för både tillsynsmyndigheter och centrala motparter.</w:t>
            </w:r>
          </w:p>
          <w:p>
            <w:pPr>
              <w:spacing w:after="0"/>
              <w:rPr>
                <w:rFonts w:ascii="Arial" w:hAnsi="Arial" w:cs="Arial"/>
                <w:noProof/>
                <w:sz w:val="20"/>
              </w:rPr>
            </w:pPr>
            <w:r>
              <w:rPr>
                <w:rFonts w:ascii="Arial" w:hAnsi="Arial"/>
                <w:noProof/>
                <w:sz w:val="20"/>
              </w:rPr>
              <w:t xml:space="preserve">Vad gäller att begränsa riskerna i samband med centrala motparter från tredjeländer skulle det rekommenderade alternativet göra det möjligt för EU:s myndigheter att bättre övervaka och begränsa sådana risker och stärka den övergripande stabiliteten i EU:s finansiella system. </w:t>
            </w:r>
          </w:p>
          <w:p>
            <w:pPr>
              <w:spacing w:after="0"/>
              <w:rPr>
                <w:rFonts w:ascii="Arial" w:hAnsi="Arial" w:cs="Arial"/>
                <w:noProof/>
                <w:sz w:val="20"/>
              </w:rPr>
            </w:pPr>
            <w:r>
              <w:rPr>
                <w:rFonts w:ascii="Arial" w:hAnsi="Arial"/>
                <w:noProof/>
                <w:sz w:val="20"/>
              </w:rPr>
              <w:t>Båda de rekommenderade alternativen kommer att bidra till att minska risken för den redan låga sannolikheten (men som leder till en mycket stor påverkan) för att en central motpart hamnar på obestånd genom en ökad förmåga hos de berörda offentliga myndigheterna i EU att förhindra att systemrisk byggs upp inom centrala motparter i EU och att finansiella krissituationer sprids genom centrala motparter från tredjeländer.</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Vad är kostnaderna för de rekommenderade alternativen (om sådana alternativ finns, annars anges för huvudsakliga alternativ)?</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När det gäller enhetligheten i tillsynsarrangemangen för centrala motparter som är etablerade i EU, skulle det rekommenderade alternativet, som innebär inrättande av en ny europeisk tillsynsmekanism för centrala motparter, inte få några konsekvenser för EU:s budget, eftersom alla ytterligare kostnader skulle täckas av tillsynsavgifter från centrala motparter i EU. Dessa skulle emellertid stå i proportion till deras verksamhet och bara utgöra en försumbar del av deras omsättning. Därför förväntas det rekommenderade alternativet inte få en betydande påverkan på kostnaderna för clearing, oavsett om de hänför sig till clearingmedlemmar eller deras kunder och indirekta kunder. </w:t>
            </w:r>
          </w:p>
          <w:p>
            <w:pPr>
              <w:spacing w:after="0"/>
              <w:rPr>
                <w:rFonts w:ascii="Arial" w:hAnsi="Arial" w:cs="Arial"/>
                <w:noProof/>
                <w:sz w:val="20"/>
              </w:rPr>
            </w:pPr>
            <w:r>
              <w:rPr>
                <w:rFonts w:ascii="Arial" w:hAnsi="Arial"/>
                <w:noProof/>
                <w:sz w:val="20"/>
              </w:rPr>
              <w:t xml:space="preserve">De planerade förändringarna för att minska riskerna i samband med centrala motparter från tredjeländer skulle inte heller ha någon påverkan på EU-budgeten, eftersom eventuella ytterligare resurser för den europeiska mekanismen också skulle finansieras genom uttag av tillsynsavgifter från centrala motparter från tredjeländer. Utöver kostnader i samband med tillsyn skulle merparten av kostnaderna för clearingmotparter (clearingmedlemmar och deras kunder) avse införandet av ett lokaliseringskrav för centrala motparter i kategori 2 som skulle utlösas på grundval av objektiva kriterier.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Hur påverkas företagen, särskilt små och medelstora företag och mikroföretag? </w:t>
            </w:r>
          </w:p>
        </w:tc>
      </w:tr>
      <w:tr>
        <w:tc>
          <w:tcPr>
            <w:tcW w:w="10188" w:type="dxa"/>
            <w:tcBorders>
              <w:bottom w:val="single" w:sz="4" w:space="0" w:color="auto"/>
            </w:tcBorders>
            <w:shd w:val="clear" w:color="auto" w:fill="auto"/>
          </w:tcPr>
          <w:p>
            <w:pPr>
              <w:spacing w:after="0"/>
              <w:rPr>
                <w:rFonts w:ascii="Arial" w:hAnsi="Arial" w:cs="Arial"/>
                <w:i/>
                <w:noProof/>
                <w:sz w:val="20"/>
              </w:rPr>
            </w:pPr>
            <w:r>
              <w:rPr>
                <w:rFonts w:ascii="Arial" w:hAnsi="Arial"/>
                <w:noProof/>
                <w:sz w:val="20"/>
              </w:rPr>
              <w:t>De kostnader som är förknippade med utökad tillsyn av centrala motparter i EU och från tredjeland skulle eventuellt kunna överföras till de centrala motparternas slutliga kunder, inklusive företag, bland annat små och medelstora företag samt mikroföretag. I nettotermer är det osannolikt att den eventuella ökningen av kostnaderna för clearing kommer att bli betydande, särskilt jämfört med de förmåner som är förknippade med förslaget. Företag, bland annat små och medelstora företag och mikroföretag, kommer att gynnas av ökad stabilitet till följd av ökad förmåga hos EU:s myndigheter att förhindra att systemrisk byggs upp inom centrala motparter i EU och att finansiella krissituationer sprids genom centrala motparter från tredjeländer. Förtydligandet av tillsynsarrangemangen för centrala motparter i både EU och från tredjeländer bör, i kombination med kommissionens nya Emir Refit-initiativ om en minskning av oproportionerliga kostnader för mindre motparter, bidra till att ytterligare främja användningen av central clearing, underlätta gränsöverskridande transaktioner inom EU och därigenom förbättra möjligheterna för små och medelstora företag att få tillgång till finansieringsinstrument, antingen för att säkra sina risker eller för att investera.</w:t>
            </w:r>
          </w:p>
        </w:tc>
      </w:tr>
      <w:tr>
        <w:tc>
          <w:tcPr>
            <w:tcW w:w="10188" w:type="dxa"/>
            <w:tcBorders>
              <w:bottom w:val="single" w:sz="4" w:space="0" w:color="auto"/>
            </w:tcBorders>
            <w:shd w:val="clear" w:color="auto" w:fill="E6E6E6"/>
          </w:tcPr>
          <w:p>
            <w:pPr>
              <w:spacing w:after="0"/>
              <w:rPr>
                <w:rFonts w:ascii="Tahoma" w:hAnsi="Tahoma" w:cs="Tahoma"/>
                <w:b/>
                <w:i/>
                <w:noProof/>
                <w:sz w:val="20"/>
              </w:rPr>
            </w:pPr>
            <w:r>
              <w:rPr>
                <w:rFonts w:ascii="Tahoma" w:hAnsi="Tahoma"/>
                <w:b/>
                <w:noProof/>
                <w:sz w:val="20"/>
              </w:rPr>
              <w:t>Påverkas medlemsstaternas</w:t>
            </w:r>
            <w:r>
              <w:rPr>
                <w:noProof/>
              </w:rPr>
              <w:t xml:space="preserve"> </w:t>
            </w:r>
            <w:r>
              <w:rPr>
                <w:rFonts w:ascii="Tahoma" w:hAnsi="Tahoma"/>
                <w:b/>
                <w:noProof/>
                <w:sz w:val="20"/>
              </w:rPr>
              <w:t>budgetar och förvaltningar i betydande grad?</w:t>
            </w:r>
          </w:p>
        </w:tc>
      </w:tr>
      <w:tr>
        <w:tc>
          <w:tcPr>
            <w:tcW w:w="10188" w:type="dxa"/>
            <w:shd w:val="clear" w:color="auto" w:fill="auto"/>
          </w:tcPr>
          <w:p>
            <w:pPr>
              <w:spacing w:after="0"/>
              <w:rPr>
                <w:rFonts w:ascii="Arial" w:hAnsi="Arial" w:cs="Arial"/>
                <w:noProof/>
                <w:sz w:val="20"/>
              </w:rPr>
            </w:pPr>
            <w:r>
              <w:rPr>
                <w:rFonts w:ascii="Arial" w:hAnsi="Arial"/>
                <w:noProof/>
                <w:sz w:val="20"/>
              </w:rPr>
              <w:t>Nej. De ändringar som övervägs bör inte ge upphov till kostnader för de nationella budgetarna och förvaltningarna.</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Uppstår andra betydande konsekvenser?</w:t>
            </w:r>
            <w:r>
              <w:rPr>
                <w:rFonts w:ascii="Tahoma" w:hAnsi="Tahoma"/>
                <w:noProof/>
                <w:sz w:val="20"/>
              </w:rPr>
              <w:t xml:space="preserve"> </w:t>
            </w:r>
            <w:r>
              <w:rPr>
                <w:rFonts w:ascii="Tahoma" w:hAnsi="Tahoma"/>
                <w:noProof/>
                <w:sz w:val="20"/>
                <w:u w:val="single"/>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Nej.  </w:t>
            </w:r>
          </w:p>
        </w:tc>
      </w:tr>
      <w:tr>
        <w:tc>
          <w:tcPr>
            <w:tcW w:w="10188" w:type="dxa"/>
            <w:tcBorders>
              <w:bottom w:val="single" w:sz="4" w:space="0" w:color="auto"/>
            </w:tcBorders>
            <w:shd w:val="clear" w:color="auto" w:fill="C0C0C0"/>
          </w:tcPr>
          <w:p>
            <w:pPr>
              <w:spacing w:after="0"/>
              <w:jc w:val="center"/>
              <w:rPr>
                <w:rFonts w:ascii="Tahoma" w:hAnsi="Tahoma" w:cs="Tahoma"/>
                <w:b/>
                <w:noProof/>
              </w:rPr>
            </w:pPr>
            <w:r>
              <w:rPr>
                <w:rFonts w:ascii="Tahoma" w:hAnsi="Tahoma"/>
                <w:b/>
                <w:noProof/>
              </w:rPr>
              <w:t>D. Uppföljning</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När kommer åtgärderna att ses över? </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b/>
                <w:noProof/>
                <w:sz w:val="20"/>
              </w:rPr>
            </w:pPr>
            <w:r>
              <w:rPr>
                <w:rFonts w:ascii="Arial" w:hAnsi="Arial"/>
                <w:noProof/>
                <w:sz w:val="20"/>
              </w:rPr>
              <w:t xml:space="preserve">En utvärdering bör göras av Emir i sin helhet, med särskild inriktning på de föreslagna tillsynsarrangemangens effektivitet och ändamålsenlighet för att uppfylla förordningens ursprungliga mål. Denna utvärdering bör äga rum minst fem år efter tillämpningen av dessa ändringar. </w:t>
            </w:r>
          </w:p>
        </w:tc>
      </w:tr>
    </w:tbl>
    <w:p>
      <w:pPr>
        <w:rPr>
          <w:noProof/>
        </w:rPr>
      </w:pPr>
      <w:bookmarkStart w:id="2" w:name="_Toc425860951"/>
      <w:bookmarkStart w:id="3" w:name="_Toc425861051"/>
      <w:bookmarkStart w:id="4" w:name="_Toc425861121"/>
      <w:bookmarkStart w:id="5" w:name="_Toc425869896"/>
      <w:bookmarkStart w:id="6" w:name="_Toc425860952"/>
      <w:bookmarkStart w:id="7" w:name="_Toc425861052"/>
      <w:bookmarkStart w:id="8" w:name="_Toc425861122"/>
      <w:bookmarkStart w:id="9" w:name="_Toc425869897"/>
      <w:bookmarkStart w:id="10" w:name="_Toc401848614"/>
      <w:bookmarkStart w:id="11" w:name="_Toc402183499"/>
      <w:bookmarkStart w:id="12" w:name="_Toc411439303"/>
      <w:bookmarkStart w:id="13" w:name="_Toc412736413"/>
      <w:bookmarkStart w:id="14" w:name="_Toc413053046"/>
      <w:bookmarkStart w:id="15" w:name="_Toc413138174"/>
      <w:bookmarkStart w:id="16" w:name="_Toc413139238"/>
      <w:bookmarkStart w:id="17" w:name="_Toc413139459"/>
      <w:bookmarkStart w:id="18" w:name="_Toc413139764"/>
      <w:bookmarkStart w:id="19" w:name="_Toc414268562"/>
      <w:bookmarkStart w:id="20" w:name="_Toc414453413"/>
      <w:bookmarkStart w:id="21" w:name="_Toc414466884"/>
      <w:bookmarkStart w:id="22" w:name="_Toc415131680"/>
      <w:bookmarkStart w:id="23" w:name="_Toc415654190"/>
      <w:bookmarkStart w:id="24" w:name="_Toc416265125"/>
      <w:bookmarkStart w:id="25" w:name="_Toc416265394"/>
      <w:bookmarkStart w:id="26" w:name="_Toc401848620"/>
      <w:bookmarkStart w:id="27" w:name="_Toc402183505"/>
      <w:bookmarkStart w:id="28" w:name="_Toc411439309"/>
      <w:bookmarkStart w:id="29" w:name="_Toc412736419"/>
      <w:bookmarkStart w:id="30" w:name="_Toc413053052"/>
      <w:bookmarkStart w:id="31" w:name="_Toc413138180"/>
      <w:bookmarkStart w:id="32" w:name="_Toc413139244"/>
      <w:bookmarkStart w:id="33" w:name="_Toc413139465"/>
      <w:bookmarkStart w:id="34" w:name="_Toc413139770"/>
      <w:bookmarkStart w:id="35" w:name="_Toc414268568"/>
      <w:bookmarkStart w:id="36" w:name="_Toc414453419"/>
      <w:bookmarkStart w:id="37" w:name="_Toc414466890"/>
      <w:bookmarkStart w:id="38" w:name="_Toc415131686"/>
      <w:bookmarkStart w:id="39" w:name="_Toc415654196"/>
      <w:bookmarkStart w:id="40" w:name="_Toc416265131"/>
      <w:bookmarkStart w:id="41" w:name="_Toc416265400"/>
      <w:bookmarkStart w:id="42" w:name="_Toc425860962"/>
      <w:bookmarkStart w:id="43" w:name="_Toc425861062"/>
      <w:bookmarkStart w:id="44" w:name="_Toc425861132"/>
      <w:bookmarkStart w:id="45" w:name="_Toc425869907"/>
      <w:bookmarkStart w:id="46" w:name="_Toc425860966"/>
      <w:bookmarkStart w:id="47" w:name="_Toc425861066"/>
      <w:bookmarkStart w:id="48" w:name="_Toc425861136"/>
      <w:bookmarkStart w:id="49" w:name="_Toc425869911"/>
      <w:bookmarkStart w:id="50" w:name="_Toc365634732"/>
      <w:bookmarkStart w:id="51" w:name="_Toc365637929"/>
      <w:bookmarkStart w:id="52" w:name="_Toc365638021"/>
      <w:bookmarkStart w:id="53" w:name="_Toc365638124"/>
      <w:bookmarkStart w:id="54" w:name="_Toc365638215"/>
      <w:bookmarkStart w:id="55" w:name="_Toc365638306"/>
      <w:bookmarkStart w:id="56" w:name="_Toc365634733"/>
      <w:bookmarkStart w:id="57" w:name="_Toc365637930"/>
      <w:bookmarkStart w:id="58" w:name="_Toc365638022"/>
      <w:bookmarkStart w:id="59" w:name="_Toc365638125"/>
      <w:bookmarkStart w:id="60" w:name="_Toc365638216"/>
      <w:bookmarkStart w:id="61" w:name="_Toc365638307"/>
      <w:bookmarkStart w:id="62" w:name="_Toc365634734"/>
      <w:bookmarkStart w:id="63" w:name="_Toc365637931"/>
      <w:bookmarkStart w:id="64" w:name="_Toc365638023"/>
      <w:bookmarkStart w:id="65" w:name="_Toc365638126"/>
      <w:bookmarkStart w:id="66" w:name="_Toc365638217"/>
      <w:bookmarkStart w:id="67" w:name="_Toc365638308"/>
      <w:bookmarkStart w:id="68" w:name="_Toc365634738"/>
      <w:bookmarkStart w:id="69" w:name="_Toc365637935"/>
      <w:bookmarkStart w:id="70" w:name="_Toc365638027"/>
      <w:bookmarkStart w:id="71" w:name="_Toc365638130"/>
      <w:bookmarkStart w:id="72" w:name="_Toc365638221"/>
      <w:bookmarkStart w:id="73" w:name="_Toc365638312"/>
      <w:bookmarkStart w:id="74" w:name="_Toc365634740"/>
      <w:bookmarkStart w:id="75" w:name="_Toc365637937"/>
      <w:bookmarkStart w:id="76" w:name="_Toc365638029"/>
      <w:bookmarkStart w:id="77" w:name="_Toc365638132"/>
      <w:bookmarkStart w:id="78" w:name="_Toc365638223"/>
      <w:bookmarkStart w:id="79" w:name="_Toc365638314"/>
      <w:bookmarkStart w:id="80" w:name="_Toc365634741"/>
      <w:bookmarkStart w:id="81" w:name="_Toc365637938"/>
      <w:bookmarkStart w:id="82" w:name="_Toc365638030"/>
      <w:bookmarkStart w:id="83" w:name="_Toc365638133"/>
      <w:bookmarkStart w:id="84" w:name="_Toc365638224"/>
      <w:bookmarkStart w:id="85" w:name="_Toc365638315"/>
      <w:bookmarkStart w:id="86" w:name="_Toc365634742"/>
      <w:bookmarkStart w:id="87" w:name="_Toc365637939"/>
      <w:bookmarkStart w:id="88" w:name="_Toc365638031"/>
      <w:bookmarkStart w:id="89" w:name="_Toc365638134"/>
      <w:bookmarkStart w:id="90" w:name="_Toc365638225"/>
      <w:bookmarkStart w:id="91" w:name="_Toc365638316"/>
      <w:bookmarkStart w:id="92" w:name="_Toc365634748"/>
      <w:bookmarkStart w:id="93" w:name="_Toc365637945"/>
      <w:bookmarkStart w:id="94" w:name="_Toc365638037"/>
      <w:bookmarkStart w:id="95" w:name="_Toc365638140"/>
      <w:bookmarkStart w:id="96" w:name="_Toc365638231"/>
      <w:bookmarkStart w:id="97" w:name="_Toc365638322"/>
      <w:bookmarkStart w:id="98" w:name="_Toc365634749"/>
      <w:bookmarkStart w:id="99" w:name="_Toc365637946"/>
      <w:bookmarkStart w:id="100" w:name="_Toc365638038"/>
      <w:bookmarkStart w:id="101" w:name="_Toc365638141"/>
      <w:bookmarkStart w:id="102" w:name="_Toc365638232"/>
      <w:bookmarkStart w:id="103" w:name="_Toc365638323"/>
      <w:bookmarkStart w:id="104" w:name="_Toc365634754"/>
      <w:bookmarkStart w:id="105" w:name="_Toc365637951"/>
      <w:bookmarkStart w:id="106" w:name="_Toc365638043"/>
      <w:bookmarkStart w:id="107" w:name="_Toc365638146"/>
      <w:bookmarkStart w:id="108" w:name="_Toc365638237"/>
      <w:bookmarkStart w:id="109" w:name="_Toc365638328"/>
      <w:bookmarkStart w:id="110" w:name="_Toc365634757"/>
      <w:bookmarkStart w:id="111" w:name="_Toc365637954"/>
      <w:bookmarkStart w:id="112" w:name="_Toc365638046"/>
      <w:bookmarkStart w:id="113" w:name="_Toc365638149"/>
      <w:bookmarkStart w:id="114" w:name="_Toc365638240"/>
      <w:bookmarkStart w:id="115" w:name="_Toc365638331"/>
      <w:bookmarkStart w:id="116" w:name="_Toc365629685"/>
      <w:bookmarkStart w:id="117" w:name="_Toc365634758"/>
      <w:bookmarkStart w:id="118" w:name="_Toc365637955"/>
      <w:bookmarkStart w:id="119" w:name="_Toc365638047"/>
      <w:bookmarkStart w:id="120" w:name="_Toc365638150"/>
      <w:bookmarkStart w:id="121" w:name="_Toc365638241"/>
      <w:bookmarkStart w:id="122" w:name="_Toc365638332"/>
      <w:bookmarkStart w:id="123" w:name="_Toc365629688"/>
      <w:bookmarkStart w:id="124" w:name="_Toc365634761"/>
      <w:bookmarkStart w:id="125" w:name="_Toc365637958"/>
      <w:bookmarkStart w:id="126" w:name="_Toc365638050"/>
      <w:bookmarkStart w:id="127" w:name="_Toc365638153"/>
      <w:bookmarkStart w:id="128" w:name="_Toc365638244"/>
      <w:bookmarkStart w:id="129" w:name="_Toc365638335"/>
      <w:bookmarkStart w:id="130" w:name="_Toc365629689"/>
      <w:bookmarkStart w:id="131" w:name="_Toc365634762"/>
      <w:bookmarkStart w:id="132" w:name="_Toc365637959"/>
      <w:bookmarkStart w:id="133" w:name="_Toc365638051"/>
      <w:bookmarkStart w:id="134" w:name="_Toc365638154"/>
      <w:bookmarkStart w:id="135" w:name="_Toc365638245"/>
      <w:bookmarkStart w:id="136" w:name="_Toc365638336"/>
      <w:bookmarkStart w:id="137" w:name="_Toc365629690"/>
      <w:bookmarkStart w:id="138" w:name="_Toc365634763"/>
      <w:bookmarkStart w:id="139" w:name="_Toc365637960"/>
      <w:bookmarkStart w:id="140" w:name="_Toc365638052"/>
      <w:bookmarkStart w:id="141" w:name="_Toc365638155"/>
      <w:bookmarkStart w:id="142" w:name="_Toc365638246"/>
      <w:bookmarkStart w:id="143" w:name="_Toc365638337"/>
      <w:bookmarkStart w:id="144" w:name="_Toc365629691"/>
      <w:bookmarkStart w:id="145" w:name="_Toc365634764"/>
      <w:bookmarkStart w:id="146" w:name="_Toc365637961"/>
      <w:bookmarkStart w:id="147" w:name="_Toc365638053"/>
      <w:bookmarkStart w:id="148" w:name="_Toc365638156"/>
      <w:bookmarkStart w:id="149" w:name="_Toc365638247"/>
      <w:bookmarkStart w:id="150" w:name="_Toc365638338"/>
      <w:bookmarkStart w:id="151" w:name="_Toc365629692"/>
      <w:bookmarkStart w:id="152" w:name="_Toc365634765"/>
      <w:bookmarkStart w:id="153" w:name="_Toc365637962"/>
      <w:bookmarkStart w:id="154" w:name="_Toc365638054"/>
      <w:bookmarkStart w:id="155" w:name="_Toc365638157"/>
      <w:bookmarkStart w:id="156" w:name="_Toc365638248"/>
      <w:bookmarkStart w:id="157" w:name="_Toc365638339"/>
      <w:bookmarkStart w:id="158" w:name="_Toc365629698"/>
      <w:bookmarkStart w:id="159" w:name="_Toc365634771"/>
      <w:bookmarkStart w:id="160" w:name="_Toc365637968"/>
      <w:bookmarkStart w:id="161" w:name="_Toc365638060"/>
      <w:bookmarkStart w:id="162" w:name="_Toc365638163"/>
      <w:bookmarkStart w:id="163" w:name="_Toc365638254"/>
      <w:bookmarkStart w:id="164" w:name="_Toc365638345"/>
      <w:bookmarkStart w:id="165" w:name="_Toc365629699"/>
      <w:bookmarkStart w:id="166" w:name="_Toc365634772"/>
      <w:bookmarkStart w:id="167" w:name="_Toc365637969"/>
      <w:bookmarkStart w:id="168" w:name="_Toc365638061"/>
      <w:bookmarkStart w:id="169" w:name="_Toc365638164"/>
      <w:bookmarkStart w:id="170" w:name="_Toc365638255"/>
      <w:bookmarkStart w:id="171" w:name="_Toc365638346"/>
      <w:bookmarkStart w:id="172" w:name="_Toc365629709"/>
      <w:bookmarkStart w:id="173" w:name="_Toc365634782"/>
      <w:bookmarkStart w:id="174" w:name="_Toc365637979"/>
      <w:bookmarkStart w:id="175" w:name="_Toc365638071"/>
      <w:bookmarkStart w:id="176" w:name="_Toc365638174"/>
      <w:bookmarkStart w:id="177" w:name="_Toc365638265"/>
      <w:bookmarkStart w:id="178" w:name="_Toc365638356"/>
      <w:bookmarkStart w:id="179" w:name="_Toc393878190"/>
      <w:bookmarkStart w:id="180" w:name="_Toc396322098"/>
      <w:bookmarkStart w:id="181" w:name="_Toc396322309"/>
      <w:bookmarkStart w:id="182" w:name="_Toc396409130"/>
      <w:bookmarkStart w:id="183" w:name="_Toc396409355"/>
      <w:bookmarkStart w:id="184" w:name="_Toc396484040"/>
      <w:bookmarkStart w:id="185" w:name="_Toc400121137"/>
      <w:bookmarkStart w:id="186" w:name="_Toc401848630"/>
      <w:bookmarkStart w:id="187" w:name="_Toc402183516"/>
      <w:bookmarkStart w:id="188" w:name="_Toc411439316"/>
      <w:bookmarkStart w:id="189" w:name="_Toc412736426"/>
      <w:bookmarkStart w:id="190" w:name="_Toc413053059"/>
      <w:bookmarkStart w:id="191" w:name="_Toc413138187"/>
      <w:bookmarkStart w:id="192" w:name="_Toc413139251"/>
      <w:bookmarkStart w:id="193" w:name="_Toc413139472"/>
      <w:bookmarkStart w:id="194" w:name="_Toc413139777"/>
      <w:bookmarkStart w:id="195" w:name="_Toc414268575"/>
      <w:bookmarkStart w:id="196" w:name="_Toc414453426"/>
      <w:bookmarkStart w:id="197" w:name="_Toc414466897"/>
      <w:bookmarkStart w:id="198" w:name="_Toc415131693"/>
      <w:bookmarkStart w:id="199" w:name="_Toc415654203"/>
      <w:bookmarkStart w:id="200" w:name="_Toc416265138"/>
      <w:bookmarkStart w:id="201" w:name="_Toc416265407"/>
      <w:bookmarkStart w:id="202" w:name="_Toc393878202"/>
      <w:bookmarkStart w:id="203" w:name="_Toc396322109"/>
      <w:bookmarkStart w:id="204" w:name="_Toc396322320"/>
      <w:bookmarkStart w:id="205" w:name="_Toc396409141"/>
      <w:bookmarkStart w:id="206" w:name="_Toc396409366"/>
      <w:bookmarkStart w:id="207" w:name="_Toc396484051"/>
      <w:bookmarkStart w:id="208" w:name="_Toc400121148"/>
      <w:bookmarkStart w:id="209" w:name="_Toc401848641"/>
      <w:bookmarkStart w:id="210" w:name="_Toc402183527"/>
      <w:bookmarkStart w:id="211" w:name="_Toc411439326"/>
      <w:bookmarkStart w:id="212" w:name="_Toc412736436"/>
      <w:bookmarkStart w:id="213" w:name="_Toc413053069"/>
      <w:bookmarkStart w:id="214" w:name="_Toc413138197"/>
      <w:bookmarkStart w:id="215" w:name="_Toc413139261"/>
      <w:bookmarkStart w:id="216" w:name="_Toc413139482"/>
      <w:bookmarkStart w:id="217" w:name="_Toc413139787"/>
      <w:bookmarkStart w:id="218" w:name="_Toc414268589"/>
      <w:bookmarkStart w:id="219" w:name="_Toc414453440"/>
      <w:bookmarkStart w:id="220" w:name="_Toc414466911"/>
      <w:bookmarkStart w:id="221" w:name="_Toc415131707"/>
      <w:bookmarkStart w:id="222" w:name="_Toc415654217"/>
      <w:bookmarkStart w:id="223" w:name="_Toc416265152"/>
      <w:bookmarkStart w:id="224" w:name="_Toc416265421"/>
      <w:bookmarkStart w:id="225" w:name="_Toc425860981"/>
      <w:bookmarkStart w:id="226" w:name="_Toc425861081"/>
      <w:bookmarkStart w:id="227" w:name="_Toc425861151"/>
      <w:bookmarkStart w:id="228" w:name="_Toc425869926"/>
      <w:bookmarkStart w:id="229" w:name="_Toc425860984"/>
      <w:bookmarkStart w:id="230" w:name="_Toc425861084"/>
      <w:bookmarkStart w:id="231" w:name="_Toc425861154"/>
      <w:bookmarkStart w:id="232" w:name="_Toc4258699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331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D72132"/>
    <w:multiLevelType w:val="hybridMultilevel"/>
    <w:tmpl w:val="FD041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9094C"/>
    <w:multiLevelType w:val="hybridMultilevel"/>
    <w:tmpl w:val="C7A69FB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48C0"/>
    <w:multiLevelType w:val="hybridMultilevel"/>
    <w:tmpl w:val="727A40EE"/>
    <w:lvl w:ilvl="0" w:tplc="492A33A0">
      <w:start w:val="1"/>
      <w:numFmt w:val="decimal"/>
      <w:lvlText w:val="%1."/>
      <w:lvlJc w:val="left"/>
      <w:pPr>
        <w:ind w:left="360" w:hanging="360"/>
      </w:pPr>
    </w:lvl>
    <w:lvl w:ilvl="1" w:tplc="38FA3DF4">
      <w:start w:val="1"/>
      <w:numFmt w:val="decimal"/>
      <w:lvlText w:val="%2)"/>
      <w:lvlJc w:val="left"/>
      <w:pPr>
        <w:ind w:left="1080" w:hanging="360"/>
      </w:pPr>
      <w:rPr>
        <w:rFonts w:hint="default"/>
      </w:rPr>
    </w:lvl>
    <w:lvl w:ilvl="2" w:tplc="078A8612">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55841EF"/>
    <w:multiLevelType w:val="hybridMultilevel"/>
    <w:tmpl w:val="57F0039E"/>
    <w:lvl w:ilvl="0" w:tplc="7D4099A8">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5900B49"/>
    <w:multiLevelType w:val="hybridMultilevel"/>
    <w:tmpl w:val="540A6EA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C7126"/>
    <w:multiLevelType w:val="hybridMultilevel"/>
    <w:tmpl w:val="24145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A01F5C"/>
    <w:multiLevelType w:val="hybridMultilevel"/>
    <w:tmpl w:val="904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580DF7"/>
    <w:multiLevelType w:val="hybridMultilevel"/>
    <w:tmpl w:val="BD4C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B10491"/>
    <w:multiLevelType w:val="multilevel"/>
    <w:tmpl w:val="0809001F"/>
    <w:name w:val="0,109167"/>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29041EA"/>
    <w:multiLevelType w:val="hybridMultilevel"/>
    <w:tmpl w:val="2656171A"/>
    <w:lvl w:ilvl="0" w:tplc="AEF68F90">
      <w:start w:val="1"/>
      <w:numFmt w:val="bullet"/>
      <w:pStyle w:val="Bullet"/>
      <w:lvlText w:val=""/>
      <w:lvlJc w:val="left"/>
      <w:pPr>
        <w:tabs>
          <w:tab w:val="num" w:pos="1134"/>
        </w:tabs>
        <w:ind w:left="1134" w:hanging="283"/>
      </w:pPr>
      <w:rPr>
        <w:rFonts w:ascii="Symbol" w:hAnsi="Symbol" w:hint="default"/>
        <w:sz w:val="22"/>
      </w:rPr>
    </w:lvl>
    <w:lvl w:ilvl="1" w:tplc="04090003">
      <w:start w:val="1"/>
      <w:numFmt w:val="bullet"/>
      <w:pStyle w:val="IndentedHeading2"/>
      <w:lvlText w:val="o"/>
      <w:lvlJc w:val="left"/>
      <w:pPr>
        <w:tabs>
          <w:tab w:val="num" w:pos="2007"/>
        </w:tabs>
        <w:ind w:left="2007" w:hanging="360"/>
      </w:pPr>
      <w:rPr>
        <w:rFonts w:ascii="Courier New" w:hAnsi="Courier New" w:cs="Times New Roman" w:hint="default"/>
      </w:rPr>
    </w:lvl>
    <w:lvl w:ilvl="2" w:tplc="04090005">
      <w:start w:val="1"/>
      <w:numFmt w:val="bullet"/>
      <w:pStyle w:val="IndentedHeading3"/>
      <w:lvlText w:val=""/>
      <w:lvlJc w:val="left"/>
      <w:pPr>
        <w:tabs>
          <w:tab w:val="num" w:pos="2727"/>
        </w:tabs>
        <w:ind w:left="2727" w:hanging="360"/>
      </w:pPr>
      <w:rPr>
        <w:rFonts w:ascii="Wingdings" w:hAnsi="Wingdings" w:hint="default"/>
      </w:rPr>
    </w:lvl>
    <w:lvl w:ilvl="3" w:tplc="04090001">
      <w:start w:val="1"/>
      <w:numFmt w:val="bullet"/>
      <w:pStyle w:val="IndentedHeading4"/>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547533"/>
    <w:multiLevelType w:val="hybridMultilevel"/>
    <w:tmpl w:val="F05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3197E"/>
    <w:multiLevelType w:val="hybridMultilevel"/>
    <w:tmpl w:val="6B587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734306"/>
    <w:multiLevelType w:val="multilevel"/>
    <w:tmpl w:val="20D27972"/>
    <w:lvl w:ilvl="0">
      <w:start w:val="1"/>
      <w:numFmt w:val="decimal"/>
      <w:pStyle w:val="Heading1"/>
      <w:lvlText w:val="%1."/>
      <w:lvlJc w:val="left"/>
      <w:pPr>
        <w:tabs>
          <w:tab w:val="num" w:pos="480"/>
        </w:tabs>
        <w:ind w:left="480" w:hanging="480"/>
      </w:pPr>
      <w:rPr>
        <w:rFonts w:ascii="Times New Roman Bold" w:hAnsi="Times New Roman Bold" w:hint="default"/>
        <w:b/>
        <w:i w:val="0"/>
        <w:sz w:val="24"/>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ind w:left="0" w:firstLine="0"/>
      </w:pPr>
      <w:rPr>
        <w:rFonts w:hint="default"/>
      </w:rPr>
    </w:lvl>
    <w:lvl w:ilvl="3">
      <w:numFmt w:val="none"/>
      <w:pStyle w:val="Heading4"/>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C46615"/>
    <w:multiLevelType w:val="hybridMultilevel"/>
    <w:tmpl w:val="478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A50438"/>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50111"/>
    <w:multiLevelType w:val="hybridMultilevel"/>
    <w:tmpl w:val="7A06CBF2"/>
    <w:lvl w:ilvl="0" w:tplc="0809000F">
      <w:start w:val="1"/>
      <w:numFmt w:val="decimal"/>
      <w:lvlText w:val="%1."/>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nsid w:val="21FA2835"/>
    <w:multiLevelType w:val="hybridMultilevel"/>
    <w:tmpl w:val="6CEAAE8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nsid w:val="22DD3599"/>
    <w:multiLevelType w:val="multilevel"/>
    <w:tmpl w:val="4EAA5BA6"/>
    <w:lvl w:ilvl="0">
      <w:numFmt w:val="decimal"/>
      <w:pStyle w:val="ListNumber"/>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0D6688"/>
    <w:multiLevelType w:val="hybridMultilevel"/>
    <w:tmpl w:val="5F3E5A7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282C4A6E"/>
    <w:multiLevelType w:val="hybridMultilevel"/>
    <w:tmpl w:val="31B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F76E7A"/>
    <w:multiLevelType w:val="singleLevel"/>
    <w:tmpl w:val="C74C5A32"/>
    <w:lvl w:ilvl="0">
      <w:numFmt w:val="decimal"/>
      <w:pStyle w:val="Bullet1"/>
      <w:lvlText w:val=""/>
      <w:lvlJc w:val="left"/>
    </w:lvl>
  </w:abstractNum>
  <w:abstractNum w:abstractNumId="24">
    <w:nsid w:val="2B75631B"/>
    <w:multiLevelType w:val="singleLevel"/>
    <w:tmpl w:val="A4DC141A"/>
    <w:lvl w:ilvl="0">
      <w:numFmt w:val="decimal"/>
      <w:pStyle w:val="ListBullet1"/>
      <w:lvlText w:val=""/>
      <w:lvlJc w:val="left"/>
    </w:lvl>
  </w:abstractNum>
  <w:abstractNum w:abstractNumId="25">
    <w:nsid w:val="2CAB4527"/>
    <w:multiLevelType w:val="multilevel"/>
    <w:tmpl w:val="26C24C12"/>
    <w:lvl w:ilvl="0">
      <w:numFmt w:val="decimal"/>
      <w:pStyle w:val="ListNumber3"/>
      <w:lvlText w:val=""/>
      <w:lvlJc w:val="left"/>
    </w:lvl>
    <w:lvl w:ilvl="1">
      <w:numFmt w:val="decimal"/>
      <w:pStyle w:val="ListNumber3Level2"/>
      <w:lvlText w:val=""/>
      <w:lvlJc w:val="left"/>
    </w:lvl>
    <w:lvl w:ilvl="2">
      <w:numFmt w:val="decimal"/>
      <w:pStyle w:val="ListNumber3Level3"/>
      <w:lvlText w:val=""/>
      <w:lvlJc w:val="left"/>
    </w:lvl>
    <w:lvl w:ilvl="3">
      <w:numFmt w:val="decimal"/>
      <w:pStyle w:val="ListNumber3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D84BD9"/>
    <w:multiLevelType w:val="hybridMultilevel"/>
    <w:tmpl w:val="0C9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7567BD"/>
    <w:multiLevelType w:val="hybridMultilevel"/>
    <w:tmpl w:val="F236C958"/>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9F7BBE"/>
    <w:multiLevelType w:val="hybridMultilevel"/>
    <w:tmpl w:val="027A660A"/>
    <w:lvl w:ilvl="0" w:tplc="217E480C">
      <w:start w:val="1"/>
      <w:numFmt w:val="bullet"/>
      <w:lvlText w:val="•"/>
      <w:lvlJc w:val="left"/>
      <w:pPr>
        <w:tabs>
          <w:tab w:val="num" w:pos="720"/>
        </w:tabs>
        <w:ind w:left="720" w:hanging="360"/>
      </w:pPr>
      <w:rPr>
        <w:rFonts w:ascii="Times New Roman" w:hAnsi="Times New Roman" w:hint="default"/>
      </w:rPr>
    </w:lvl>
    <w:lvl w:ilvl="1" w:tplc="61124670" w:tentative="1">
      <w:start w:val="1"/>
      <w:numFmt w:val="bullet"/>
      <w:lvlText w:val="•"/>
      <w:lvlJc w:val="left"/>
      <w:pPr>
        <w:tabs>
          <w:tab w:val="num" w:pos="1440"/>
        </w:tabs>
        <w:ind w:left="1440" w:hanging="360"/>
      </w:pPr>
      <w:rPr>
        <w:rFonts w:ascii="Times New Roman" w:hAnsi="Times New Roman" w:hint="default"/>
      </w:rPr>
    </w:lvl>
    <w:lvl w:ilvl="2" w:tplc="AE66FFA4" w:tentative="1">
      <w:start w:val="1"/>
      <w:numFmt w:val="bullet"/>
      <w:lvlText w:val="•"/>
      <w:lvlJc w:val="left"/>
      <w:pPr>
        <w:tabs>
          <w:tab w:val="num" w:pos="2160"/>
        </w:tabs>
        <w:ind w:left="2160" w:hanging="360"/>
      </w:pPr>
      <w:rPr>
        <w:rFonts w:ascii="Times New Roman" w:hAnsi="Times New Roman" w:hint="default"/>
      </w:rPr>
    </w:lvl>
    <w:lvl w:ilvl="3" w:tplc="0382E67C" w:tentative="1">
      <w:start w:val="1"/>
      <w:numFmt w:val="bullet"/>
      <w:lvlText w:val="•"/>
      <w:lvlJc w:val="left"/>
      <w:pPr>
        <w:tabs>
          <w:tab w:val="num" w:pos="2880"/>
        </w:tabs>
        <w:ind w:left="2880" w:hanging="360"/>
      </w:pPr>
      <w:rPr>
        <w:rFonts w:ascii="Times New Roman" w:hAnsi="Times New Roman" w:hint="default"/>
      </w:rPr>
    </w:lvl>
    <w:lvl w:ilvl="4" w:tplc="CBBEDCD2" w:tentative="1">
      <w:start w:val="1"/>
      <w:numFmt w:val="bullet"/>
      <w:lvlText w:val="•"/>
      <w:lvlJc w:val="left"/>
      <w:pPr>
        <w:tabs>
          <w:tab w:val="num" w:pos="3600"/>
        </w:tabs>
        <w:ind w:left="3600" w:hanging="360"/>
      </w:pPr>
      <w:rPr>
        <w:rFonts w:ascii="Times New Roman" w:hAnsi="Times New Roman" w:hint="default"/>
      </w:rPr>
    </w:lvl>
    <w:lvl w:ilvl="5" w:tplc="1BE2FBEA" w:tentative="1">
      <w:start w:val="1"/>
      <w:numFmt w:val="bullet"/>
      <w:lvlText w:val="•"/>
      <w:lvlJc w:val="left"/>
      <w:pPr>
        <w:tabs>
          <w:tab w:val="num" w:pos="4320"/>
        </w:tabs>
        <w:ind w:left="4320" w:hanging="360"/>
      </w:pPr>
      <w:rPr>
        <w:rFonts w:ascii="Times New Roman" w:hAnsi="Times New Roman" w:hint="default"/>
      </w:rPr>
    </w:lvl>
    <w:lvl w:ilvl="6" w:tplc="EDBE42C0" w:tentative="1">
      <w:start w:val="1"/>
      <w:numFmt w:val="bullet"/>
      <w:lvlText w:val="•"/>
      <w:lvlJc w:val="left"/>
      <w:pPr>
        <w:tabs>
          <w:tab w:val="num" w:pos="5040"/>
        </w:tabs>
        <w:ind w:left="5040" w:hanging="360"/>
      </w:pPr>
      <w:rPr>
        <w:rFonts w:ascii="Times New Roman" w:hAnsi="Times New Roman" w:hint="default"/>
      </w:rPr>
    </w:lvl>
    <w:lvl w:ilvl="7" w:tplc="0DDE61CE" w:tentative="1">
      <w:start w:val="1"/>
      <w:numFmt w:val="bullet"/>
      <w:lvlText w:val="•"/>
      <w:lvlJc w:val="left"/>
      <w:pPr>
        <w:tabs>
          <w:tab w:val="num" w:pos="5760"/>
        </w:tabs>
        <w:ind w:left="5760" w:hanging="360"/>
      </w:pPr>
      <w:rPr>
        <w:rFonts w:ascii="Times New Roman" w:hAnsi="Times New Roman" w:hint="default"/>
      </w:rPr>
    </w:lvl>
    <w:lvl w:ilvl="8" w:tplc="A7A4B3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2897D54"/>
    <w:multiLevelType w:val="hybridMultilevel"/>
    <w:tmpl w:val="BB5C5C7E"/>
    <w:lvl w:ilvl="0" w:tplc="0809000F">
      <w:numFmt w:val="decimal"/>
      <w:lvlText w:val=""/>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293F3F"/>
    <w:multiLevelType w:val="singleLevel"/>
    <w:tmpl w:val="B074E4EC"/>
    <w:lvl w:ilvl="0">
      <w:numFmt w:val="decimal"/>
      <w:pStyle w:val="ListDash"/>
      <w:lvlText w:val=""/>
      <w:lvlJc w:val="left"/>
    </w:lvl>
  </w:abstractNum>
  <w:abstractNum w:abstractNumId="32">
    <w:nsid w:val="343E59FC"/>
    <w:multiLevelType w:val="hybridMultilevel"/>
    <w:tmpl w:val="CFFC80F8"/>
    <w:lvl w:ilvl="0" w:tplc="BE44C856">
      <w:start w:val="1"/>
      <w:numFmt w:val="lowerRoman"/>
      <w:lvlText w:val="(%1)"/>
      <w:lvlJc w:val="left"/>
      <w:pPr>
        <w:ind w:left="1353"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33">
    <w:nsid w:val="358B6119"/>
    <w:multiLevelType w:val="multilevel"/>
    <w:tmpl w:val="A8BA546C"/>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C6F57"/>
    <w:multiLevelType w:val="multilevel"/>
    <w:tmpl w:val="9822F168"/>
    <w:lvl w:ilvl="0">
      <w:start w:val="1"/>
      <w:numFmt w:val="decimal"/>
      <w:lvlText w:val="%1."/>
      <w:lvlJc w:val="left"/>
      <w:pPr>
        <w:tabs>
          <w:tab w:val="num" w:pos="851"/>
        </w:tabs>
        <w:ind w:left="851" w:hanging="851"/>
      </w:pPr>
      <w:rPr>
        <w:rFonts w:ascii="Times New Roman Bold" w:hAnsi="Times New Roman Bold" w:cs="Courier" w:hint="default"/>
        <w:b/>
        <w:bCs w:val="0"/>
        <w:i w:val="0"/>
        <w: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lvlText w:val="%1.%2"/>
      <w:lvlJc w:val="left"/>
      <w:pPr>
        <w:tabs>
          <w:tab w:val="num" w:pos="851"/>
        </w:tabs>
        <w:ind w:left="851" w:hanging="851"/>
      </w:pPr>
      <w:rPr>
        <w:rFonts w:ascii="Times New Roman Bold" w:hAnsi="Times New Roman Bold" w:cs="Courier" w:hint="default"/>
        <w:b/>
        <w:i w:val="0"/>
        <w:color w:val="auto"/>
        <w:sz w:val="24"/>
      </w:rPr>
    </w:lvl>
    <w:lvl w:ilvl="2">
      <w:start w:val="1"/>
      <w:numFmt w:val="decimal"/>
      <w:lvlText w:val="%1.%2.%3"/>
      <w:lvlJc w:val="left"/>
      <w:pPr>
        <w:tabs>
          <w:tab w:val="num" w:pos="851"/>
        </w:tabs>
        <w:ind w:left="851" w:hanging="851"/>
      </w:pPr>
      <w:rPr>
        <w:rFonts w:ascii="Times New Roman Bold" w:hAnsi="Times New Roman Bold" w:cs="Courier" w:hint="default"/>
        <w:b/>
        <w:i/>
        <w:sz w:val="24"/>
      </w:rPr>
    </w:lvl>
    <w:lvl w:ilvl="3">
      <w:start w:val="1"/>
      <w:numFmt w:val="decimal"/>
      <w:lvlText w:val="%1.%2.%3.%4"/>
      <w:lvlJc w:val="left"/>
      <w:pPr>
        <w:tabs>
          <w:tab w:val="num" w:pos="851"/>
        </w:tabs>
        <w:ind w:left="851" w:hanging="851"/>
      </w:pPr>
      <w:rPr>
        <w:rFonts w:ascii="Courier" w:hAnsi="Courier" w:cs="Courier" w:hint="default"/>
        <w:b w:val="0"/>
        <w:i/>
        <w:sz w:val="24"/>
      </w:rPr>
    </w:lvl>
    <w:lvl w:ilvl="4">
      <w:start w:val="1"/>
      <w:numFmt w:val="decimal"/>
      <w:lvlText w:val="%1.%2.%3.%4.%5"/>
      <w:lvlJc w:val="left"/>
      <w:pPr>
        <w:tabs>
          <w:tab w:val="num" w:pos="1008"/>
        </w:tabs>
        <w:ind w:left="1008" w:hanging="1008"/>
      </w:pPr>
      <w:rPr>
        <w:rFonts w:cs="Courier"/>
      </w:rPr>
    </w:lvl>
    <w:lvl w:ilvl="5">
      <w:start w:val="1"/>
      <w:numFmt w:val="decimal"/>
      <w:lvlText w:val="%1.%2.%3.%4.%5.%6"/>
      <w:lvlJc w:val="left"/>
      <w:pPr>
        <w:tabs>
          <w:tab w:val="num" w:pos="1152"/>
        </w:tabs>
        <w:ind w:left="1152" w:hanging="1152"/>
      </w:pPr>
      <w:rPr>
        <w:rFonts w:cs="Courier"/>
      </w:rPr>
    </w:lvl>
    <w:lvl w:ilvl="6">
      <w:start w:val="1"/>
      <w:numFmt w:val="decimal"/>
      <w:lvlText w:val="%1.%2.%3.%4.%5.%6.%7"/>
      <w:lvlJc w:val="left"/>
      <w:pPr>
        <w:tabs>
          <w:tab w:val="num" w:pos="1296"/>
        </w:tabs>
        <w:ind w:left="1296" w:hanging="1296"/>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584"/>
        </w:tabs>
        <w:ind w:left="1584" w:hanging="1584"/>
      </w:pPr>
      <w:rPr>
        <w:rFonts w:cs="Courier"/>
      </w:rPr>
    </w:lvl>
  </w:abstractNum>
  <w:abstractNum w:abstractNumId="35">
    <w:nsid w:val="3AFB6DC8"/>
    <w:multiLevelType w:val="singleLevel"/>
    <w:tmpl w:val="D97CFDF8"/>
    <w:lvl w:ilvl="0">
      <w:numFmt w:val="decimal"/>
      <w:pStyle w:val="ListBullet2"/>
      <w:lvlText w:val=""/>
      <w:lvlJc w:val="left"/>
    </w:lvl>
  </w:abstractNum>
  <w:abstractNum w:abstractNumId="36">
    <w:nsid w:val="3B4F780D"/>
    <w:multiLevelType w:val="multilevel"/>
    <w:tmpl w:val="B10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F00E18"/>
    <w:multiLevelType w:val="singleLevel"/>
    <w:tmpl w:val="4E1A982C"/>
    <w:lvl w:ilvl="0">
      <w:numFmt w:val="decimal"/>
      <w:pStyle w:val="ListBullet"/>
      <w:lvlText w:val=""/>
      <w:lvlJc w:val="left"/>
    </w:lvl>
  </w:abstractNum>
  <w:abstractNum w:abstractNumId="38">
    <w:nsid w:val="46113D4F"/>
    <w:multiLevelType w:val="singleLevel"/>
    <w:tmpl w:val="A3323CB8"/>
    <w:lvl w:ilvl="0">
      <w:numFmt w:val="decimal"/>
      <w:pStyle w:val="ListDash3"/>
      <w:lvlText w:val=""/>
      <w:lvlJc w:val="left"/>
    </w:lvl>
  </w:abstractNum>
  <w:abstractNum w:abstractNumId="39">
    <w:nsid w:val="46CC47E1"/>
    <w:multiLevelType w:val="hybridMultilevel"/>
    <w:tmpl w:val="A01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6207CF"/>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BD76B2"/>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593082"/>
    <w:multiLevelType w:val="singleLevel"/>
    <w:tmpl w:val="EDE069AC"/>
    <w:name w:val="Bullet 1"/>
    <w:lvl w:ilvl="0">
      <w:numFmt w:val="decimal"/>
      <w:pStyle w:val="Bullet0"/>
      <w:lvlText w:val=""/>
      <w:lvlJc w:val="left"/>
    </w:lvl>
  </w:abstractNum>
  <w:abstractNum w:abstractNumId="43">
    <w:nsid w:val="54D10AB0"/>
    <w:multiLevelType w:val="singleLevel"/>
    <w:tmpl w:val="5B50620E"/>
    <w:lvl w:ilvl="0">
      <w:numFmt w:val="decimal"/>
      <w:pStyle w:val="ListDash4"/>
      <w:lvlText w:val=""/>
      <w:lvlJc w:val="left"/>
    </w:lvl>
  </w:abstractNum>
  <w:abstractNum w:abstractNumId="44">
    <w:nsid w:val="55BF3D2E"/>
    <w:multiLevelType w:val="hybridMultilevel"/>
    <w:tmpl w:val="8A66D5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76B6C27"/>
    <w:multiLevelType w:val="hybridMultilevel"/>
    <w:tmpl w:val="D68EA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94B6127"/>
    <w:multiLevelType w:val="hybridMultilevel"/>
    <w:tmpl w:val="DD4420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7">
    <w:nsid w:val="5B2C6F90"/>
    <w:multiLevelType w:val="hybridMultilevel"/>
    <w:tmpl w:val="591ACF9E"/>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D6286"/>
    <w:multiLevelType w:val="singleLevel"/>
    <w:tmpl w:val="B0567122"/>
    <w:lvl w:ilvl="0">
      <w:numFmt w:val="decimal"/>
      <w:pStyle w:val="ListDash2"/>
      <w:lvlText w:val=""/>
      <w:lvlJc w:val="left"/>
    </w:lvl>
  </w:abstractNum>
  <w:abstractNum w:abstractNumId="49">
    <w:nsid w:val="6057433F"/>
    <w:multiLevelType w:val="singleLevel"/>
    <w:tmpl w:val="3D5ECD48"/>
    <w:lvl w:ilvl="0">
      <w:numFmt w:val="decimal"/>
      <w:pStyle w:val="ListDash1"/>
      <w:lvlText w:val=""/>
      <w:lvlJc w:val="left"/>
    </w:lvl>
  </w:abstractNum>
  <w:abstractNum w:abstractNumId="50">
    <w:nsid w:val="620F2440"/>
    <w:multiLevelType w:val="singleLevel"/>
    <w:tmpl w:val="6860A420"/>
    <w:lvl w:ilvl="0">
      <w:numFmt w:val="decimal"/>
      <w:pStyle w:val="ListBullet3"/>
      <w:lvlText w:val=""/>
      <w:lvlJc w:val="left"/>
    </w:lvl>
  </w:abstractNum>
  <w:abstractNum w:abstractNumId="51">
    <w:nsid w:val="64987A49"/>
    <w:multiLevelType w:val="hybridMultilevel"/>
    <w:tmpl w:val="1E28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numFmt w:val="decimal"/>
      <w:pStyle w:val="ListBullet4"/>
      <w:lvlText w:val=""/>
      <w:lvlJc w:val="left"/>
    </w:lvl>
  </w:abstractNum>
  <w:abstractNum w:abstractNumId="53">
    <w:nsid w:val="706B072C"/>
    <w:multiLevelType w:val="hybridMultilevel"/>
    <w:tmpl w:val="B7BC1D9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4">
    <w:nsid w:val="712144E3"/>
    <w:multiLevelType w:val="hybridMultilevel"/>
    <w:tmpl w:val="0FDE0F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5">
    <w:nsid w:val="722304D7"/>
    <w:multiLevelType w:val="multilevel"/>
    <w:tmpl w:val="9DE2758E"/>
    <w:lvl w:ilvl="0">
      <w:numFmt w:val="decimal"/>
      <w:pStyle w:val="ListNumber4"/>
      <w:lvlText w:val=""/>
      <w:lvlJc w:val="left"/>
    </w:lvl>
    <w:lvl w:ilvl="1">
      <w:numFmt w:val="decimal"/>
      <w:pStyle w:val="ListNumber4Level2"/>
      <w:lvlText w:val=""/>
      <w:lvlJc w:val="left"/>
    </w:lvl>
    <w:lvl w:ilvl="2">
      <w:numFmt w:val="decimal"/>
      <w:pStyle w:val="ListNumber4Level3"/>
      <w:lvlText w:val=""/>
      <w:lvlJc w:val="left"/>
    </w:lvl>
    <w:lvl w:ilvl="3">
      <w:numFmt w:val="decimal"/>
      <w:pStyle w:val="ListNumber4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362880"/>
    <w:multiLevelType w:val="hybridMultilevel"/>
    <w:tmpl w:val="D0D0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783A2A"/>
    <w:multiLevelType w:val="hybridMultilevel"/>
    <w:tmpl w:val="3B44074E"/>
    <w:lvl w:ilvl="0" w:tplc="08090019">
      <w:start w:val="1"/>
      <w:numFmt w:val="lowerLetter"/>
      <w:lvlText w:val="%1."/>
      <w:lvlJc w:val="left"/>
      <w:pPr>
        <w:ind w:left="786"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8">
    <w:nsid w:val="76C40A01"/>
    <w:multiLevelType w:val="hybridMultilevel"/>
    <w:tmpl w:val="0CAC6F2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9">
    <w:nsid w:val="7CB20CD3"/>
    <w:multiLevelType w:val="hybridMultilevel"/>
    <w:tmpl w:val="8518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7"/>
  </w:num>
  <w:num w:numId="5">
    <w:abstractNumId w:val="24"/>
  </w:num>
  <w:num w:numId="6">
    <w:abstractNumId w:val="35"/>
  </w:num>
  <w:num w:numId="7">
    <w:abstractNumId w:val="50"/>
  </w:num>
  <w:num w:numId="8">
    <w:abstractNumId w:val="52"/>
  </w:num>
  <w:num w:numId="9">
    <w:abstractNumId w:val="31"/>
  </w:num>
  <w:num w:numId="10">
    <w:abstractNumId w:val="49"/>
  </w:num>
  <w:num w:numId="11">
    <w:abstractNumId w:val="48"/>
  </w:num>
  <w:num w:numId="12">
    <w:abstractNumId w:val="38"/>
  </w:num>
  <w:num w:numId="13">
    <w:abstractNumId w:val="43"/>
  </w:num>
  <w:num w:numId="14">
    <w:abstractNumId w:val="20"/>
  </w:num>
  <w:num w:numId="15">
    <w:abstractNumId w:val="33"/>
  </w:num>
  <w:num w:numId="16">
    <w:abstractNumId w:val="12"/>
  </w:num>
  <w:num w:numId="17">
    <w:abstractNumId w:val="25"/>
  </w:num>
  <w:num w:numId="18">
    <w:abstractNumId w:val="55"/>
  </w:num>
  <w:num w:numId="19">
    <w:abstractNumId w:val="23"/>
  </w:num>
  <w:num w:numId="20">
    <w:abstractNumId w:val="10"/>
  </w:num>
  <w:num w:numId="21">
    <w:abstractNumId w:val="42"/>
  </w:num>
  <w:num w:numId="22">
    <w:abstractNumId w:val="58"/>
  </w:num>
  <w:num w:numId="23">
    <w:abstractNumId w:val="17"/>
  </w:num>
  <w:num w:numId="24">
    <w:abstractNumId w:val="17"/>
  </w:num>
  <w:num w:numId="25">
    <w:abstractNumId w:val="41"/>
  </w:num>
  <w:num w:numId="26">
    <w:abstractNumId w:val="15"/>
  </w:num>
  <w:num w:numId="27">
    <w:abstractNumId w:val="53"/>
  </w:num>
  <w:num w:numId="28">
    <w:abstractNumId w:val="18"/>
  </w:num>
  <w:num w:numId="29">
    <w:abstractNumId w:val="4"/>
  </w:num>
  <w:num w:numId="30">
    <w:abstractNumId w:val="40"/>
  </w:num>
  <w:num w:numId="31">
    <w:abstractNumId w:val="2"/>
  </w:num>
  <w:num w:numId="32">
    <w:abstractNumId w:val="9"/>
  </w:num>
  <w:num w:numId="33">
    <w:abstractNumId w:val="21"/>
  </w:num>
  <w:num w:numId="34">
    <w:abstractNumId w:val="19"/>
  </w:num>
  <w:num w:numId="35">
    <w:abstractNumId w:val="59"/>
  </w:num>
  <w:num w:numId="36">
    <w:abstractNumId w:val="29"/>
  </w:num>
  <w:num w:numId="37">
    <w:abstractNumId w:val="15"/>
  </w:num>
  <w:num w:numId="38">
    <w:abstractNumId w:val="8"/>
  </w:num>
  <w:num w:numId="39">
    <w:abstractNumId w:val="27"/>
  </w:num>
  <w:num w:numId="40">
    <w:abstractNumId w:val="13"/>
  </w:num>
  <w:num w:numId="41">
    <w:abstractNumId w:val="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0"/>
  </w:num>
  <w:num w:numId="48">
    <w:abstractNumId w:val="15"/>
  </w:num>
  <w:num w:numId="49">
    <w:abstractNumId w:val="28"/>
  </w:num>
  <w:num w:numId="50">
    <w:abstractNumId w:val="47"/>
  </w:num>
  <w:num w:numId="51">
    <w:abstractNumId w:val="3"/>
  </w:num>
  <w:num w:numId="52">
    <w:abstractNumId w:val="46"/>
  </w:num>
  <w:num w:numId="53">
    <w:abstractNumId w:val="54"/>
  </w:num>
  <w:num w:numId="54">
    <w:abstractNumId w:val="6"/>
  </w:num>
  <w:num w:numId="55">
    <w:abstractNumId w:val="15"/>
  </w:num>
  <w:num w:numId="56">
    <w:abstractNumId w:val="16"/>
  </w:num>
  <w:num w:numId="57">
    <w:abstractNumId w:val="11"/>
  </w:num>
  <w:num w:numId="58">
    <w:abstractNumId w:val="51"/>
  </w:num>
  <w:num w:numId="59">
    <w:abstractNumId w:val="57"/>
  </w:num>
  <w:num w:numId="60">
    <w:abstractNumId w:val="56"/>
  </w:num>
  <w:num w:numId="61">
    <w:abstractNumId w:val="36"/>
  </w:num>
  <w:num w:numId="62">
    <w:abstractNumId w:val="44"/>
  </w:num>
  <w:num w:numId="6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5"/>
  </w:num>
  <w:num w:numId="65">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66">
    <w:abstractNumId w:val="15"/>
  </w:num>
  <w:num w:numId="67">
    <w:abstractNumId w:val="4"/>
  </w:num>
  <w:num w:numId="68">
    <w:abstractNumId w:val="4"/>
  </w:num>
  <w:num w:numId="69">
    <w:abstractNumId w:val="4"/>
  </w:num>
  <w:num w:numId="70">
    <w:abstractNumId w:val="15"/>
  </w:num>
  <w:num w:numId="71">
    <w:abstractNumId w:val="4"/>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4"/>
  </w:num>
  <w:num w:numId="82">
    <w:abstractNumId w:val="15"/>
  </w:num>
  <w:num w:numId="83">
    <w:abstractNumId w:val="26"/>
  </w:num>
  <w:num w:numId="84">
    <w:abstractNumId w:val="26"/>
  </w:num>
  <w:num w:numId="85">
    <w:abstractNumId w:val="26"/>
  </w:num>
  <w:num w:numId="8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20"/>
  </w:num>
  <w:num w:numId="88">
    <w:abstractNumId w:val="20"/>
  </w:num>
  <w:num w:numId="89">
    <w:abstractNumId w:val="14"/>
  </w:num>
  <w:num w:numId="90">
    <w:abstractNumId w:val="39"/>
  </w:num>
  <w:num w:numId="91">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LW_ACCOMPAGNANT.CP" w:val="Följedokument till"/>
    <w:docVar w:name="LW_CONFIDENCE" w:val=" "/>
    <w:docVar w:name="LW_CONST_RESTREINT_UE" w:val="RESTREINT UE"/>
    <w:docVar w:name="LW_CORRIGENDUM" w:val="&lt;UNUSED&gt;"/>
    <w:docVar w:name="LW_COVERPAGE_GUID" w:val="961A619007D543D892814CB55C3B9878"/>
    <w:docVar w:name="LW_CROSSREFERENCE" w:val="{COM(2017) 331 final}_x000b_{SWD(2017) 246 final}"/>
    <w:docVar w:name="LW_DocType" w:val="REP"/>
    <w:docVar w:name="LW_EMISSION" w:val="13.6.2017"/>
    <w:docVar w:name="LW_EMISSION_ISODATE" w:val="2017-06-13"/>
    <w:docVar w:name="LW_EMISSION_LOCATION" w:val="STR"/>
    <w:docVar w:name="LW_EMISSION_PREFIX" w:val="Strasbourg den "/>
    <w:docVar w:name="LW_EMISSION_SUFFIX" w:val=" "/>
    <w:docVar w:name="LW_ID_DOCTYPE_NONLW" w:val="CP-027"/>
    <w:docVar w:name="LW_LANGUE" w:val="SV"/>
    <w:docVar w:name="LW_MARKING" w:val="&lt;UNUSED&gt;"/>
    <w:docVar w:name="LW_NOM.INST" w:val="EUROPEISKA KOMMISSIONEN"/>
    <w:docVar w:name="LW_NOM.INST_JOINTDOC" w:val="&lt;EMPTY&gt;"/>
    <w:docVar w:name="LW_OBJETACTEPRINCIPAL.CP" w:val="om ändring av förordning (EU) nr 1095/2010 om inrättande av en europeisk tillsynsmyndighet (Europeiska värdepappers- och marknadsmyndigheten) och om ändring av förordning (EU) nr 648/2012 vad gäller förfarandena för och de myndigheter som ska delta i auktorisationen av centrala motparter samt om kraven för godkännande av centrala motparter från tredjeland   _x000b_"/>
    <w:docVar w:name="LW_PART_NBR" w:val="1"/>
    <w:docVar w:name="LW_PART_NBR_TOTAL" w:val="1"/>
    <w:docVar w:name="LW_REF.INST.NEW" w:val="SWD"/>
    <w:docVar w:name="LW_REF.INST.NEW_ADOPTED" w:val="final"/>
    <w:docVar w:name="LW_REF.INST.NEW_TEXT" w:val="(2017) 247"/>
    <w:docVar w:name="LW_REF.INTERNE" w:val="&lt;UNUSED&gt;"/>
    <w:docVar w:name="LW_SUPERTITRE" w:val="&lt;UNUSED&gt;"/>
    <w:docVar w:name="LW_TITRE.OBJ.CP" w:val="&lt;UNUSED&gt;"/>
    <w:docVar w:name="LW_TYPE.DOC.CP" w:val="ARBETSDOKUMENT FRÅN KOMMISSIONENS AVDELNINGAR_x000b__x000b_SAMMANFATTNING AV KONSEKVENSBEDÖMNINGEN_x000b_"/>
    <w:docVar w:name="LW_TYPEACTEPRINCIPAL.CP" w:val="Förslag till Europaparlamentets och rådets förordning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sv-SE"/>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sv-SE"/>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sv-SE"/>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sv-SE"/>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sv-SE"/>
    </w:rPr>
  </w:style>
  <w:style w:type="character" w:customStyle="1" w:styleId="CommentSubjectChar">
    <w:name w:val="Comment Subject Char"/>
    <w:link w:val="CommentSubject"/>
    <w:uiPriority w:val="99"/>
    <w:semiHidden/>
    <w:rPr>
      <w:b/>
      <w:bCs/>
      <w:lang w:eastAsia="sv-SE"/>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sv-SE"/>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sv-SE" w:eastAsia="sv-SE"/>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sv-SE"/>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sv-SE"/>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sv-SE"/>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sv-SE"/>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sv-SE"/>
    </w:rPr>
  </w:style>
  <w:style w:type="character" w:customStyle="1" w:styleId="CommentSubjectChar">
    <w:name w:val="Comment Subject Char"/>
    <w:link w:val="CommentSubject"/>
    <w:uiPriority w:val="99"/>
    <w:semiHidden/>
    <w:rPr>
      <w:b/>
      <w:bCs/>
      <w:lang w:eastAsia="sv-SE"/>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sv-SE"/>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sv-SE" w:eastAsia="sv-SE"/>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210">
      <w:bodyDiv w:val="1"/>
      <w:marLeft w:val="0"/>
      <w:marRight w:val="0"/>
      <w:marTop w:val="0"/>
      <w:marBottom w:val="0"/>
      <w:divBdr>
        <w:top w:val="none" w:sz="0" w:space="0" w:color="auto"/>
        <w:left w:val="none" w:sz="0" w:space="0" w:color="auto"/>
        <w:bottom w:val="none" w:sz="0" w:space="0" w:color="auto"/>
        <w:right w:val="none" w:sz="0" w:space="0" w:color="auto"/>
      </w:divBdr>
    </w:div>
    <w:div w:id="92017296">
      <w:bodyDiv w:val="1"/>
      <w:marLeft w:val="0"/>
      <w:marRight w:val="0"/>
      <w:marTop w:val="0"/>
      <w:marBottom w:val="0"/>
      <w:divBdr>
        <w:top w:val="none" w:sz="0" w:space="0" w:color="auto"/>
        <w:left w:val="none" w:sz="0" w:space="0" w:color="auto"/>
        <w:bottom w:val="none" w:sz="0" w:space="0" w:color="auto"/>
        <w:right w:val="none" w:sz="0" w:space="0" w:color="auto"/>
      </w:divBdr>
    </w:div>
    <w:div w:id="443888823">
      <w:bodyDiv w:val="1"/>
      <w:marLeft w:val="0"/>
      <w:marRight w:val="0"/>
      <w:marTop w:val="0"/>
      <w:marBottom w:val="0"/>
      <w:divBdr>
        <w:top w:val="none" w:sz="0" w:space="0" w:color="auto"/>
        <w:left w:val="none" w:sz="0" w:space="0" w:color="auto"/>
        <w:bottom w:val="none" w:sz="0" w:space="0" w:color="auto"/>
        <w:right w:val="none" w:sz="0" w:space="0" w:color="auto"/>
      </w:divBdr>
    </w:div>
    <w:div w:id="637304363">
      <w:bodyDiv w:val="1"/>
      <w:marLeft w:val="0"/>
      <w:marRight w:val="0"/>
      <w:marTop w:val="0"/>
      <w:marBottom w:val="0"/>
      <w:divBdr>
        <w:top w:val="none" w:sz="0" w:space="0" w:color="auto"/>
        <w:left w:val="none" w:sz="0" w:space="0" w:color="auto"/>
        <w:bottom w:val="none" w:sz="0" w:space="0" w:color="auto"/>
        <w:right w:val="none" w:sz="0" w:space="0" w:color="auto"/>
      </w:divBdr>
    </w:div>
    <w:div w:id="654577874">
      <w:bodyDiv w:val="1"/>
      <w:marLeft w:val="0"/>
      <w:marRight w:val="0"/>
      <w:marTop w:val="0"/>
      <w:marBottom w:val="0"/>
      <w:divBdr>
        <w:top w:val="none" w:sz="0" w:space="0" w:color="auto"/>
        <w:left w:val="none" w:sz="0" w:space="0" w:color="auto"/>
        <w:bottom w:val="none" w:sz="0" w:space="0" w:color="auto"/>
        <w:right w:val="none" w:sz="0" w:space="0" w:color="auto"/>
      </w:divBdr>
    </w:div>
    <w:div w:id="655300944">
      <w:bodyDiv w:val="1"/>
      <w:marLeft w:val="0"/>
      <w:marRight w:val="0"/>
      <w:marTop w:val="0"/>
      <w:marBottom w:val="0"/>
      <w:divBdr>
        <w:top w:val="none" w:sz="0" w:space="0" w:color="auto"/>
        <w:left w:val="none" w:sz="0" w:space="0" w:color="auto"/>
        <w:bottom w:val="none" w:sz="0" w:space="0" w:color="auto"/>
        <w:right w:val="none" w:sz="0" w:space="0" w:color="auto"/>
      </w:divBdr>
    </w:div>
    <w:div w:id="677191716">
      <w:bodyDiv w:val="1"/>
      <w:marLeft w:val="1134"/>
      <w:marRight w:val="1134"/>
      <w:marTop w:val="0"/>
      <w:marBottom w:val="0"/>
      <w:divBdr>
        <w:top w:val="none" w:sz="0" w:space="0" w:color="auto"/>
        <w:left w:val="none" w:sz="0" w:space="0" w:color="auto"/>
        <w:bottom w:val="none" w:sz="0" w:space="0" w:color="auto"/>
        <w:right w:val="none" w:sz="0" w:space="0" w:color="auto"/>
      </w:divBdr>
      <w:divsChild>
        <w:div w:id="1068573432">
          <w:marLeft w:val="0"/>
          <w:marRight w:val="0"/>
          <w:marTop w:val="0"/>
          <w:marBottom w:val="0"/>
          <w:divBdr>
            <w:top w:val="none" w:sz="0" w:space="0" w:color="auto"/>
            <w:left w:val="none" w:sz="0" w:space="0" w:color="auto"/>
            <w:bottom w:val="none" w:sz="0" w:space="0" w:color="auto"/>
            <w:right w:val="none" w:sz="0" w:space="0" w:color="auto"/>
          </w:divBdr>
          <w:divsChild>
            <w:div w:id="1836610406">
              <w:marLeft w:val="2700"/>
              <w:marRight w:val="2250"/>
              <w:marTop w:val="600"/>
              <w:marBottom w:val="0"/>
              <w:divBdr>
                <w:top w:val="none" w:sz="0" w:space="0" w:color="auto"/>
                <w:left w:val="none" w:sz="0" w:space="0" w:color="auto"/>
                <w:bottom w:val="none" w:sz="0" w:space="0" w:color="auto"/>
                <w:right w:val="none" w:sz="0" w:space="0" w:color="auto"/>
              </w:divBdr>
              <w:divsChild>
                <w:div w:id="1306622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8041160">
      <w:bodyDiv w:val="1"/>
      <w:marLeft w:val="0"/>
      <w:marRight w:val="0"/>
      <w:marTop w:val="0"/>
      <w:marBottom w:val="0"/>
      <w:divBdr>
        <w:top w:val="none" w:sz="0" w:space="0" w:color="auto"/>
        <w:left w:val="none" w:sz="0" w:space="0" w:color="auto"/>
        <w:bottom w:val="none" w:sz="0" w:space="0" w:color="auto"/>
        <w:right w:val="none" w:sz="0" w:space="0" w:color="auto"/>
      </w:divBdr>
      <w:divsChild>
        <w:div w:id="1256597685">
          <w:marLeft w:val="547"/>
          <w:marRight w:val="0"/>
          <w:marTop w:val="86"/>
          <w:marBottom w:val="0"/>
          <w:divBdr>
            <w:top w:val="none" w:sz="0" w:space="0" w:color="auto"/>
            <w:left w:val="none" w:sz="0" w:space="0" w:color="auto"/>
            <w:bottom w:val="none" w:sz="0" w:space="0" w:color="auto"/>
            <w:right w:val="none" w:sz="0" w:space="0" w:color="auto"/>
          </w:divBdr>
        </w:div>
        <w:div w:id="2089227261">
          <w:marLeft w:val="547"/>
          <w:marRight w:val="0"/>
          <w:marTop w:val="86"/>
          <w:marBottom w:val="0"/>
          <w:divBdr>
            <w:top w:val="none" w:sz="0" w:space="0" w:color="auto"/>
            <w:left w:val="none" w:sz="0" w:space="0" w:color="auto"/>
            <w:bottom w:val="none" w:sz="0" w:space="0" w:color="auto"/>
            <w:right w:val="none" w:sz="0" w:space="0" w:color="auto"/>
          </w:divBdr>
        </w:div>
      </w:divsChild>
    </w:div>
    <w:div w:id="1018773427">
      <w:bodyDiv w:val="1"/>
      <w:marLeft w:val="0"/>
      <w:marRight w:val="0"/>
      <w:marTop w:val="0"/>
      <w:marBottom w:val="0"/>
      <w:divBdr>
        <w:top w:val="none" w:sz="0" w:space="0" w:color="auto"/>
        <w:left w:val="none" w:sz="0" w:space="0" w:color="auto"/>
        <w:bottom w:val="none" w:sz="0" w:space="0" w:color="auto"/>
        <w:right w:val="none" w:sz="0" w:space="0" w:color="auto"/>
      </w:divBdr>
    </w:div>
    <w:div w:id="1031877622">
      <w:bodyDiv w:val="1"/>
      <w:marLeft w:val="0"/>
      <w:marRight w:val="0"/>
      <w:marTop w:val="0"/>
      <w:marBottom w:val="0"/>
      <w:divBdr>
        <w:top w:val="none" w:sz="0" w:space="0" w:color="auto"/>
        <w:left w:val="none" w:sz="0" w:space="0" w:color="auto"/>
        <w:bottom w:val="none" w:sz="0" w:space="0" w:color="auto"/>
        <w:right w:val="none" w:sz="0" w:space="0" w:color="auto"/>
      </w:divBdr>
    </w:div>
    <w:div w:id="1033119742">
      <w:bodyDiv w:val="1"/>
      <w:marLeft w:val="0"/>
      <w:marRight w:val="0"/>
      <w:marTop w:val="0"/>
      <w:marBottom w:val="0"/>
      <w:divBdr>
        <w:top w:val="none" w:sz="0" w:space="0" w:color="auto"/>
        <w:left w:val="none" w:sz="0" w:space="0" w:color="auto"/>
        <w:bottom w:val="none" w:sz="0" w:space="0" w:color="auto"/>
        <w:right w:val="none" w:sz="0" w:space="0" w:color="auto"/>
      </w:divBdr>
    </w:div>
    <w:div w:id="1064329025">
      <w:bodyDiv w:val="1"/>
      <w:marLeft w:val="0"/>
      <w:marRight w:val="0"/>
      <w:marTop w:val="0"/>
      <w:marBottom w:val="0"/>
      <w:divBdr>
        <w:top w:val="none" w:sz="0" w:space="0" w:color="auto"/>
        <w:left w:val="none" w:sz="0" w:space="0" w:color="auto"/>
        <w:bottom w:val="none" w:sz="0" w:space="0" w:color="auto"/>
        <w:right w:val="none" w:sz="0" w:space="0" w:color="auto"/>
      </w:divBdr>
    </w:div>
    <w:div w:id="1076123918">
      <w:bodyDiv w:val="1"/>
      <w:marLeft w:val="0"/>
      <w:marRight w:val="0"/>
      <w:marTop w:val="0"/>
      <w:marBottom w:val="0"/>
      <w:divBdr>
        <w:top w:val="none" w:sz="0" w:space="0" w:color="auto"/>
        <w:left w:val="none" w:sz="0" w:space="0" w:color="auto"/>
        <w:bottom w:val="none" w:sz="0" w:space="0" w:color="auto"/>
        <w:right w:val="none" w:sz="0" w:space="0" w:color="auto"/>
      </w:divBdr>
    </w:div>
    <w:div w:id="1113131218">
      <w:bodyDiv w:val="1"/>
      <w:marLeft w:val="1134"/>
      <w:marRight w:val="1134"/>
      <w:marTop w:val="0"/>
      <w:marBottom w:val="0"/>
      <w:divBdr>
        <w:top w:val="none" w:sz="0" w:space="0" w:color="auto"/>
        <w:left w:val="none" w:sz="0" w:space="0" w:color="auto"/>
        <w:bottom w:val="none" w:sz="0" w:space="0" w:color="auto"/>
        <w:right w:val="none" w:sz="0" w:space="0" w:color="auto"/>
      </w:divBdr>
      <w:divsChild>
        <w:div w:id="1920677383">
          <w:marLeft w:val="0"/>
          <w:marRight w:val="0"/>
          <w:marTop w:val="0"/>
          <w:marBottom w:val="0"/>
          <w:divBdr>
            <w:top w:val="none" w:sz="0" w:space="0" w:color="auto"/>
            <w:left w:val="none" w:sz="0" w:space="0" w:color="auto"/>
            <w:bottom w:val="none" w:sz="0" w:space="0" w:color="auto"/>
            <w:right w:val="none" w:sz="0" w:space="0" w:color="auto"/>
          </w:divBdr>
          <w:divsChild>
            <w:div w:id="540290721">
              <w:marLeft w:val="2700"/>
              <w:marRight w:val="2250"/>
              <w:marTop w:val="600"/>
              <w:marBottom w:val="0"/>
              <w:divBdr>
                <w:top w:val="none" w:sz="0" w:space="0" w:color="auto"/>
                <w:left w:val="none" w:sz="0" w:space="0" w:color="auto"/>
                <w:bottom w:val="none" w:sz="0" w:space="0" w:color="auto"/>
                <w:right w:val="none" w:sz="0" w:space="0" w:color="auto"/>
              </w:divBdr>
              <w:divsChild>
                <w:div w:id="42677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9616526">
      <w:bodyDiv w:val="1"/>
      <w:marLeft w:val="0"/>
      <w:marRight w:val="0"/>
      <w:marTop w:val="0"/>
      <w:marBottom w:val="0"/>
      <w:divBdr>
        <w:top w:val="none" w:sz="0" w:space="0" w:color="auto"/>
        <w:left w:val="none" w:sz="0" w:space="0" w:color="auto"/>
        <w:bottom w:val="none" w:sz="0" w:space="0" w:color="auto"/>
        <w:right w:val="none" w:sz="0" w:space="0" w:color="auto"/>
      </w:divBdr>
    </w:div>
    <w:div w:id="1164583892">
      <w:bodyDiv w:val="1"/>
      <w:marLeft w:val="0"/>
      <w:marRight w:val="0"/>
      <w:marTop w:val="0"/>
      <w:marBottom w:val="0"/>
      <w:divBdr>
        <w:top w:val="none" w:sz="0" w:space="0" w:color="auto"/>
        <w:left w:val="none" w:sz="0" w:space="0" w:color="auto"/>
        <w:bottom w:val="none" w:sz="0" w:space="0" w:color="auto"/>
        <w:right w:val="none" w:sz="0" w:space="0" w:color="auto"/>
      </w:divBdr>
    </w:div>
    <w:div w:id="1211460841">
      <w:bodyDiv w:val="1"/>
      <w:marLeft w:val="0"/>
      <w:marRight w:val="0"/>
      <w:marTop w:val="0"/>
      <w:marBottom w:val="0"/>
      <w:divBdr>
        <w:top w:val="none" w:sz="0" w:space="0" w:color="auto"/>
        <w:left w:val="none" w:sz="0" w:space="0" w:color="auto"/>
        <w:bottom w:val="none" w:sz="0" w:space="0" w:color="auto"/>
        <w:right w:val="none" w:sz="0" w:space="0" w:color="auto"/>
      </w:divBdr>
    </w:div>
    <w:div w:id="1246572626">
      <w:bodyDiv w:val="1"/>
      <w:marLeft w:val="0"/>
      <w:marRight w:val="0"/>
      <w:marTop w:val="0"/>
      <w:marBottom w:val="0"/>
      <w:divBdr>
        <w:top w:val="none" w:sz="0" w:space="0" w:color="auto"/>
        <w:left w:val="none" w:sz="0" w:space="0" w:color="auto"/>
        <w:bottom w:val="none" w:sz="0" w:space="0" w:color="auto"/>
        <w:right w:val="none" w:sz="0" w:space="0" w:color="auto"/>
      </w:divBdr>
    </w:div>
    <w:div w:id="1267814202">
      <w:bodyDiv w:val="1"/>
      <w:marLeft w:val="1134"/>
      <w:marRight w:val="1134"/>
      <w:marTop w:val="0"/>
      <w:marBottom w:val="0"/>
      <w:divBdr>
        <w:top w:val="none" w:sz="0" w:space="0" w:color="auto"/>
        <w:left w:val="none" w:sz="0" w:space="0" w:color="auto"/>
        <w:bottom w:val="none" w:sz="0" w:space="0" w:color="auto"/>
        <w:right w:val="none" w:sz="0" w:space="0" w:color="auto"/>
      </w:divBdr>
      <w:divsChild>
        <w:div w:id="1020820287">
          <w:marLeft w:val="0"/>
          <w:marRight w:val="0"/>
          <w:marTop w:val="0"/>
          <w:marBottom w:val="0"/>
          <w:divBdr>
            <w:top w:val="none" w:sz="0" w:space="0" w:color="auto"/>
            <w:left w:val="none" w:sz="0" w:space="0" w:color="auto"/>
            <w:bottom w:val="none" w:sz="0" w:space="0" w:color="auto"/>
            <w:right w:val="none" w:sz="0" w:space="0" w:color="auto"/>
          </w:divBdr>
          <w:divsChild>
            <w:div w:id="625355831">
              <w:marLeft w:val="2700"/>
              <w:marRight w:val="2250"/>
              <w:marTop w:val="600"/>
              <w:marBottom w:val="0"/>
              <w:divBdr>
                <w:top w:val="none" w:sz="0" w:space="0" w:color="auto"/>
                <w:left w:val="none" w:sz="0" w:space="0" w:color="auto"/>
                <w:bottom w:val="none" w:sz="0" w:space="0" w:color="auto"/>
                <w:right w:val="none" w:sz="0" w:space="0" w:color="auto"/>
              </w:divBdr>
              <w:divsChild>
                <w:div w:id="878665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1282363">
      <w:bodyDiv w:val="1"/>
      <w:marLeft w:val="0"/>
      <w:marRight w:val="0"/>
      <w:marTop w:val="0"/>
      <w:marBottom w:val="0"/>
      <w:divBdr>
        <w:top w:val="none" w:sz="0" w:space="0" w:color="auto"/>
        <w:left w:val="none" w:sz="0" w:space="0" w:color="auto"/>
        <w:bottom w:val="none" w:sz="0" w:space="0" w:color="auto"/>
        <w:right w:val="none" w:sz="0" w:space="0" w:color="auto"/>
      </w:divBdr>
    </w:div>
    <w:div w:id="1296989924">
      <w:bodyDiv w:val="1"/>
      <w:marLeft w:val="0"/>
      <w:marRight w:val="0"/>
      <w:marTop w:val="0"/>
      <w:marBottom w:val="0"/>
      <w:divBdr>
        <w:top w:val="none" w:sz="0" w:space="0" w:color="auto"/>
        <w:left w:val="none" w:sz="0" w:space="0" w:color="auto"/>
        <w:bottom w:val="none" w:sz="0" w:space="0" w:color="auto"/>
        <w:right w:val="none" w:sz="0" w:space="0" w:color="auto"/>
      </w:divBdr>
    </w:div>
    <w:div w:id="1537155038">
      <w:bodyDiv w:val="1"/>
      <w:marLeft w:val="0"/>
      <w:marRight w:val="0"/>
      <w:marTop w:val="0"/>
      <w:marBottom w:val="0"/>
      <w:divBdr>
        <w:top w:val="none" w:sz="0" w:space="0" w:color="auto"/>
        <w:left w:val="none" w:sz="0" w:space="0" w:color="auto"/>
        <w:bottom w:val="none" w:sz="0" w:space="0" w:color="auto"/>
        <w:right w:val="none" w:sz="0" w:space="0" w:color="auto"/>
      </w:divBdr>
    </w:div>
    <w:div w:id="1686244330">
      <w:bodyDiv w:val="1"/>
      <w:marLeft w:val="0"/>
      <w:marRight w:val="0"/>
      <w:marTop w:val="0"/>
      <w:marBottom w:val="0"/>
      <w:divBdr>
        <w:top w:val="none" w:sz="0" w:space="0" w:color="auto"/>
        <w:left w:val="none" w:sz="0" w:space="0" w:color="auto"/>
        <w:bottom w:val="none" w:sz="0" w:space="0" w:color="auto"/>
        <w:right w:val="none" w:sz="0" w:space="0" w:color="auto"/>
      </w:divBdr>
    </w:div>
    <w:div w:id="1709528369">
      <w:bodyDiv w:val="1"/>
      <w:marLeft w:val="0"/>
      <w:marRight w:val="0"/>
      <w:marTop w:val="0"/>
      <w:marBottom w:val="0"/>
      <w:divBdr>
        <w:top w:val="none" w:sz="0" w:space="0" w:color="auto"/>
        <w:left w:val="none" w:sz="0" w:space="0" w:color="auto"/>
        <w:bottom w:val="none" w:sz="0" w:space="0" w:color="auto"/>
        <w:right w:val="none" w:sz="0" w:space="0" w:color="auto"/>
      </w:divBdr>
    </w:div>
    <w:div w:id="1767261610">
      <w:bodyDiv w:val="1"/>
      <w:marLeft w:val="0"/>
      <w:marRight w:val="0"/>
      <w:marTop w:val="0"/>
      <w:marBottom w:val="0"/>
      <w:divBdr>
        <w:top w:val="none" w:sz="0" w:space="0" w:color="auto"/>
        <w:left w:val="none" w:sz="0" w:space="0" w:color="auto"/>
        <w:bottom w:val="none" w:sz="0" w:space="0" w:color="auto"/>
        <w:right w:val="none" w:sz="0" w:space="0" w:color="auto"/>
      </w:divBdr>
    </w:div>
    <w:div w:id="1801410804">
      <w:bodyDiv w:val="1"/>
      <w:marLeft w:val="0"/>
      <w:marRight w:val="0"/>
      <w:marTop w:val="0"/>
      <w:marBottom w:val="0"/>
      <w:divBdr>
        <w:top w:val="none" w:sz="0" w:space="0" w:color="auto"/>
        <w:left w:val="none" w:sz="0" w:space="0" w:color="auto"/>
        <w:bottom w:val="none" w:sz="0" w:space="0" w:color="auto"/>
        <w:right w:val="none" w:sz="0" w:space="0" w:color="auto"/>
      </w:divBdr>
    </w:div>
    <w:div w:id="1856915198">
      <w:bodyDiv w:val="1"/>
      <w:marLeft w:val="0"/>
      <w:marRight w:val="0"/>
      <w:marTop w:val="0"/>
      <w:marBottom w:val="0"/>
      <w:divBdr>
        <w:top w:val="none" w:sz="0" w:space="0" w:color="auto"/>
        <w:left w:val="none" w:sz="0" w:space="0" w:color="auto"/>
        <w:bottom w:val="none" w:sz="0" w:space="0" w:color="auto"/>
        <w:right w:val="none" w:sz="0" w:space="0" w:color="auto"/>
      </w:divBdr>
    </w:div>
    <w:div w:id="1923754512">
      <w:bodyDiv w:val="1"/>
      <w:marLeft w:val="0"/>
      <w:marRight w:val="0"/>
      <w:marTop w:val="0"/>
      <w:marBottom w:val="0"/>
      <w:divBdr>
        <w:top w:val="none" w:sz="0" w:space="0" w:color="auto"/>
        <w:left w:val="none" w:sz="0" w:space="0" w:color="auto"/>
        <w:bottom w:val="none" w:sz="0" w:space="0" w:color="auto"/>
        <w:right w:val="none" w:sz="0" w:space="0" w:color="auto"/>
      </w:divBdr>
    </w:div>
    <w:div w:id="1971323417">
      <w:bodyDiv w:val="1"/>
      <w:marLeft w:val="0"/>
      <w:marRight w:val="0"/>
      <w:marTop w:val="0"/>
      <w:marBottom w:val="0"/>
      <w:divBdr>
        <w:top w:val="none" w:sz="0" w:space="0" w:color="auto"/>
        <w:left w:val="none" w:sz="0" w:space="0" w:color="auto"/>
        <w:bottom w:val="none" w:sz="0" w:space="0" w:color="auto"/>
        <w:right w:val="none" w:sz="0" w:space="0" w:color="auto"/>
      </w:divBdr>
    </w:div>
    <w:div w:id="1979067369">
      <w:bodyDiv w:val="1"/>
      <w:marLeft w:val="0"/>
      <w:marRight w:val="0"/>
      <w:marTop w:val="0"/>
      <w:marBottom w:val="0"/>
      <w:divBdr>
        <w:top w:val="none" w:sz="0" w:space="0" w:color="auto"/>
        <w:left w:val="none" w:sz="0" w:space="0" w:color="auto"/>
        <w:bottom w:val="none" w:sz="0" w:space="0" w:color="auto"/>
        <w:right w:val="none" w:sz="0" w:space="0" w:color="auto"/>
      </w:divBdr>
    </w:div>
    <w:div w:id="2087993385">
      <w:bodyDiv w:val="1"/>
      <w:marLeft w:val="0"/>
      <w:marRight w:val="0"/>
      <w:marTop w:val="0"/>
      <w:marBottom w:val="0"/>
      <w:divBdr>
        <w:top w:val="none" w:sz="0" w:space="0" w:color="auto"/>
        <w:left w:val="none" w:sz="0" w:space="0" w:color="auto"/>
        <w:bottom w:val="none" w:sz="0" w:space="0" w:color="auto"/>
        <w:right w:val="none" w:sz="0" w:space="0" w:color="auto"/>
      </w:divBdr>
      <w:divsChild>
        <w:div w:id="163131326">
          <w:marLeft w:val="547"/>
          <w:marRight w:val="0"/>
          <w:marTop w:val="86"/>
          <w:marBottom w:val="0"/>
          <w:divBdr>
            <w:top w:val="none" w:sz="0" w:space="0" w:color="auto"/>
            <w:left w:val="none" w:sz="0" w:space="0" w:color="auto"/>
            <w:bottom w:val="none" w:sz="0" w:space="0" w:color="auto"/>
            <w:right w:val="none" w:sz="0" w:space="0" w:color="auto"/>
          </w:divBdr>
        </w:div>
        <w:div w:id="2002855411">
          <w:marLeft w:val="547"/>
          <w:marRight w:val="0"/>
          <w:marTop w:val="86"/>
          <w:marBottom w:val="0"/>
          <w:divBdr>
            <w:top w:val="none" w:sz="0" w:space="0" w:color="auto"/>
            <w:left w:val="none" w:sz="0" w:space="0" w:color="auto"/>
            <w:bottom w:val="none" w:sz="0" w:space="0" w:color="auto"/>
            <w:right w:val="none" w:sz="0" w:space="0" w:color="auto"/>
          </w:divBdr>
        </w:div>
      </w:divsChild>
    </w:div>
    <w:div w:id="210456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7534-AAF1-4242-8EA6-12DAFB3B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TotalTime>
  <Pages>4</Pages>
  <Words>1702</Words>
  <Characters>10761</Characters>
  <Application>Microsoft Office Word</Application>
  <DocSecurity>0</DocSecurity>
  <PresentationFormat>Microsoft Word 14.0</PresentationFormat>
  <Lines>137</Lines>
  <Paragraphs>39</Paragraphs>
  <ScaleCrop>false</ScaleCrop>
  <HeadingPairs>
    <vt:vector size="2" baseType="variant">
      <vt:variant>
        <vt:lpstr>Title</vt:lpstr>
      </vt:variant>
      <vt:variant>
        <vt:i4>1</vt:i4>
      </vt:variant>
    </vt:vector>
  </HeadingPairs>
  <TitlesOfParts>
    <vt:vector size="1" baseType="lpstr">
      <vt:lpstr>28082015 Impact Assessment for CCP recovery and resolution proposal</vt:lpstr>
    </vt:vector>
  </TitlesOfParts>
  <Manager/>
  <Company/>
  <LinksUpToDate>false</LinksUpToDate>
  <CharactersWithSpaces>12424</CharactersWithSpaces>
  <SharedDoc>false</SharedDoc>
  <HLinks>
    <vt:vector size="606" baseType="variant">
      <vt:variant>
        <vt:i4>1900559</vt:i4>
      </vt:variant>
      <vt:variant>
        <vt:i4>264</vt:i4>
      </vt:variant>
      <vt:variant>
        <vt:i4>0</vt:i4>
      </vt:variant>
      <vt:variant>
        <vt:i4>5</vt:i4>
      </vt:variant>
      <vt:variant>
        <vt:lpwstr>http://www.bis.org/press/p140901.htm</vt:lpwstr>
      </vt:variant>
      <vt:variant>
        <vt:lpwstr/>
      </vt:variant>
      <vt:variant>
        <vt:i4>1179697</vt:i4>
      </vt:variant>
      <vt:variant>
        <vt:i4>248</vt:i4>
      </vt:variant>
      <vt:variant>
        <vt:i4>0</vt:i4>
      </vt:variant>
      <vt:variant>
        <vt:i4>5</vt:i4>
      </vt:variant>
      <vt:variant>
        <vt:lpwstr/>
      </vt:variant>
      <vt:variant>
        <vt:lpwstr>_Toc412736457</vt:lpwstr>
      </vt:variant>
      <vt:variant>
        <vt:i4>1179697</vt:i4>
      </vt:variant>
      <vt:variant>
        <vt:i4>242</vt:i4>
      </vt:variant>
      <vt:variant>
        <vt:i4>0</vt:i4>
      </vt:variant>
      <vt:variant>
        <vt:i4>5</vt:i4>
      </vt:variant>
      <vt:variant>
        <vt:lpwstr/>
      </vt:variant>
      <vt:variant>
        <vt:lpwstr>_Toc412736456</vt:lpwstr>
      </vt:variant>
      <vt:variant>
        <vt:i4>1179697</vt:i4>
      </vt:variant>
      <vt:variant>
        <vt:i4>236</vt:i4>
      </vt:variant>
      <vt:variant>
        <vt:i4>0</vt:i4>
      </vt:variant>
      <vt:variant>
        <vt:i4>5</vt:i4>
      </vt:variant>
      <vt:variant>
        <vt:lpwstr/>
      </vt:variant>
      <vt:variant>
        <vt:lpwstr>_Toc412736455</vt:lpwstr>
      </vt:variant>
      <vt:variant>
        <vt:i4>1179697</vt:i4>
      </vt:variant>
      <vt:variant>
        <vt:i4>230</vt:i4>
      </vt:variant>
      <vt:variant>
        <vt:i4>0</vt:i4>
      </vt:variant>
      <vt:variant>
        <vt:i4>5</vt:i4>
      </vt:variant>
      <vt:variant>
        <vt:lpwstr/>
      </vt:variant>
      <vt:variant>
        <vt:lpwstr>_Toc412736454</vt:lpwstr>
      </vt:variant>
      <vt:variant>
        <vt:i4>1179697</vt:i4>
      </vt:variant>
      <vt:variant>
        <vt:i4>224</vt:i4>
      </vt:variant>
      <vt:variant>
        <vt:i4>0</vt:i4>
      </vt:variant>
      <vt:variant>
        <vt:i4>5</vt:i4>
      </vt:variant>
      <vt:variant>
        <vt:lpwstr/>
      </vt:variant>
      <vt:variant>
        <vt:lpwstr>_Toc412736453</vt:lpwstr>
      </vt:variant>
      <vt:variant>
        <vt:i4>1179697</vt:i4>
      </vt:variant>
      <vt:variant>
        <vt:i4>218</vt:i4>
      </vt:variant>
      <vt:variant>
        <vt:i4>0</vt:i4>
      </vt:variant>
      <vt:variant>
        <vt:i4>5</vt:i4>
      </vt:variant>
      <vt:variant>
        <vt:lpwstr/>
      </vt:variant>
      <vt:variant>
        <vt:lpwstr>_Toc412736452</vt:lpwstr>
      </vt:variant>
      <vt:variant>
        <vt:i4>1179697</vt:i4>
      </vt:variant>
      <vt:variant>
        <vt:i4>212</vt:i4>
      </vt:variant>
      <vt:variant>
        <vt:i4>0</vt:i4>
      </vt:variant>
      <vt:variant>
        <vt:i4>5</vt:i4>
      </vt:variant>
      <vt:variant>
        <vt:lpwstr/>
      </vt:variant>
      <vt:variant>
        <vt:lpwstr>_Toc412736451</vt:lpwstr>
      </vt:variant>
      <vt:variant>
        <vt:i4>1179697</vt:i4>
      </vt:variant>
      <vt:variant>
        <vt:i4>206</vt:i4>
      </vt:variant>
      <vt:variant>
        <vt:i4>0</vt:i4>
      </vt:variant>
      <vt:variant>
        <vt:i4>5</vt:i4>
      </vt:variant>
      <vt:variant>
        <vt:lpwstr/>
      </vt:variant>
      <vt:variant>
        <vt:lpwstr>_Toc412736450</vt:lpwstr>
      </vt:variant>
      <vt:variant>
        <vt:i4>1245233</vt:i4>
      </vt:variant>
      <vt:variant>
        <vt:i4>200</vt:i4>
      </vt:variant>
      <vt:variant>
        <vt:i4>0</vt:i4>
      </vt:variant>
      <vt:variant>
        <vt:i4>5</vt:i4>
      </vt:variant>
      <vt:variant>
        <vt:lpwstr/>
      </vt:variant>
      <vt:variant>
        <vt:lpwstr>_Toc412736449</vt:lpwstr>
      </vt:variant>
      <vt:variant>
        <vt:i4>1245233</vt:i4>
      </vt:variant>
      <vt:variant>
        <vt:i4>194</vt:i4>
      </vt:variant>
      <vt:variant>
        <vt:i4>0</vt:i4>
      </vt:variant>
      <vt:variant>
        <vt:i4>5</vt:i4>
      </vt:variant>
      <vt:variant>
        <vt:lpwstr/>
      </vt:variant>
      <vt:variant>
        <vt:lpwstr>_Toc412736448</vt:lpwstr>
      </vt:variant>
      <vt:variant>
        <vt:i4>1245233</vt:i4>
      </vt:variant>
      <vt:variant>
        <vt:i4>188</vt:i4>
      </vt:variant>
      <vt:variant>
        <vt:i4>0</vt:i4>
      </vt:variant>
      <vt:variant>
        <vt:i4>5</vt:i4>
      </vt:variant>
      <vt:variant>
        <vt:lpwstr/>
      </vt:variant>
      <vt:variant>
        <vt:lpwstr>_Toc412736447</vt:lpwstr>
      </vt:variant>
      <vt:variant>
        <vt:i4>1245233</vt:i4>
      </vt:variant>
      <vt:variant>
        <vt:i4>182</vt:i4>
      </vt:variant>
      <vt:variant>
        <vt:i4>0</vt:i4>
      </vt:variant>
      <vt:variant>
        <vt:i4>5</vt:i4>
      </vt:variant>
      <vt:variant>
        <vt:lpwstr/>
      </vt:variant>
      <vt:variant>
        <vt:lpwstr>_Toc412736446</vt:lpwstr>
      </vt:variant>
      <vt:variant>
        <vt:i4>1245233</vt:i4>
      </vt:variant>
      <vt:variant>
        <vt:i4>176</vt:i4>
      </vt:variant>
      <vt:variant>
        <vt:i4>0</vt:i4>
      </vt:variant>
      <vt:variant>
        <vt:i4>5</vt:i4>
      </vt:variant>
      <vt:variant>
        <vt:lpwstr/>
      </vt:variant>
      <vt:variant>
        <vt:lpwstr>_Toc412736445</vt:lpwstr>
      </vt:variant>
      <vt:variant>
        <vt:i4>1245233</vt:i4>
      </vt:variant>
      <vt:variant>
        <vt:i4>170</vt:i4>
      </vt:variant>
      <vt:variant>
        <vt:i4>0</vt:i4>
      </vt:variant>
      <vt:variant>
        <vt:i4>5</vt:i4>
      </vt:variant>
      <vt:variant>
        <vt:lpwstr/>
      </vt:variant>
      <vt:variant>
        <vt:lpwstr>_Toc412736444</vt:lpwstr>
      </vt:variant>
      <vt:variant>
        <vt:i4>1245233</vt:i4>
      </vt:variant>
      <vt:variant>
        <vt:i4>164</vt:i4>
      </vt:variant>
      <vt:variant>
        <vt:i4>0</vt:i4>
      </vt:variant>
      <vt:variant>
        <vt:i4>5</vt:i4>
      </vt:variant>
      <vt:variant>
        <vt:lpwstr/>
      </vt:variant>
      <vt:variant>
        <vt:lpwstr>_Toc412736443</vt:lpwstr>
      </vt:variant>
      <vt:variant>
        <vt:i4>1245233</vt:i4>
      </vt:variant>
      <vt:variant>
        <vt:i4>158</vt:i4>
      </vt:variant>
      <vt:variant>
        <vt:i4>0</vt:i4>
      </vt:variant>
      <vt:variant>
        <vt:i4>5</vt:i4>
      </vt:variant>
      <vt:variant>
        <vt:lpwstr/>
      </vt:variant>
      <vt:variant>
        <vt:lpwstr>_Toc412736442</vt:lpwstr>
      </vt:variant>
      <vt:variant>
        <vt:i4>1245233</vt:i4>
      </vt:variant>
      <vt:variant>
        <vt:i4>152</vt:i4>
      </vt:variant>
      <vt:variant>
        <vt:i4>0</vt:i4>
      </vt:variant>
      <vt:variant>
        <vt:i4>5</vt:i4>
      </vt:variant>
      <vt:variant>
        <vt:lpwstr/>
      </vt:variant>
      <vt:variant>
        <vt:lpwstr>_Toc412736441</vt:lpwstr>
      </vt:variant>
      <vt:variant>
        <vt:i4>1245233</vt:i4>
      </vt:variant>
      <vt:variant>
        <vt:i4>146</vt:i4>
      </vt:variant>
      <vt:variant>
        <vt:i4>0</vt:i4>
      </vt:variant>
      <vt:variant>
        <vt:i4>5</vt:i4>
      </vt:variant>
      <vt:variant>
        <vt:lpwstr/>
      </vt:variant>
      <vt:variant>
        <vt:lpwstr>_Toc412736440</vt:lpwstr>
      </vt:variant>
      <vt:variant>
        <vt:i4>1310769</vt:i4>
      </vt:variant>
      <vt:variant>
        <vt:i4>140</vt:i4>
      </vt:variant>
      <vt:variant>
        <vt:i4>0</vt:i4>
      </vt:variant>
      <vt:variant>
        <vt:i4>5</vt:i4>
      </vt:variant>
      <vt:variant>
        <vt:lpwstr/>
      </vt:variant>
      <vt:variant>
        <vt:lpwstr>_Toc412736439</vt:lpwstr>
      </vt:variant>
      <vt:variant>
        <vt:i4>1310769</vt:i4>
      </vt:variant>
      <vt:variant>
        <vt:i4>134</vt:i4>
      </vt:variant>
      <vt:variant>
        <vt:i4>0</vt:i4>
      </vt:variant>
      <vt:variant>
        <vt:i4>5</vt:i4>
      </vt:variant>
      <vt:variant>
        <vt:lpwstr/>
      </vt:variant>
      <vt:variant>
        <vt:lpwstr>_Toc412736438</vt:lpwstr>
      </vt:variant>
      <vt:variant>
        <vt:i4>1310769</vt:i4>
      </vt:variant>
      <vt:variant>
        <vt:i4>128</vt:i4>
      </vt:variant>
      <vt:variant>
        <vt:i4>0</vt:i4>
      </vt:variant>
      <vt:variant>
        <vt:i4>5</vt:i4>
      </vt:variant>
      <vt:variant>
        <vt:lpwstr/>
      </vt:variant>
      <vt:variant>
        <vt:lpwstr>_Toc412736437</vt:lpwstr>
      </vt:variant>
      <vt:variant>
        <vt:i4>1310769</vt:i4>
      </vt:variant>
      <vt:variant>
        <vt:i4>122</vt:i4>
      </vt:variant>
      <vt:variant>
        <vt:i4>0</vt:i4>
      </vt:variant>
      <vt:variant>
        <vt:i4>5</vt:i4>
      </vt:variant>
      <vt:variant>
        <vt:lpwstr/>
      </vt:variant>
      <vt:variant>
        <vt:lpwstr>_Toc412736435</vt:lpwstr>
      </vt:variant>
      <vt:variant>
        <vt:i4>1310769</vt:i4>
      </vt:variant>
      <vt:variant>
        <vt:i4>116</vt:i4>
      </vt:variant>
      <vt:variant>
        <vt:i4>0</vt:i4>
      </vt:variant>
      <vt:variant>
        <vt:i4>5</vt:i4>
      </vt:variant>
      <vt:variant>
        <vt:lpwstr/>
      </vt:variant>
      <vt:variant>
        <vt:lpwstr>_Toc412736434</vt:lpwstr>
      </vt:variant>
      <vt:variant>
        <vt:i4>1310769</vt:i4>
      </vt:variant>
      <vt:variant>
        <vt:i4>110</vt:i4>
      </vt:variant>
      <vt:variant>
        <vt:i4>0</vt:i4>
      </vt:variant>
      <vt:variant>
        <vt:i4>5</vt:i4>
      </vt:variant>
      <vt:variant>
        <vt:lpwstr/>
      </vt:variant>
      <vt:variant>
        <vt:lpwstr>_Toc412736433</vt:lpwstr>
      </vt:variant>
      <vt:variant>
        <vt:i4>1310769</vt:i4>
      </vt:variant>
      <vt:variant>
        <vt:i4>104</vt:i4>
      </vt:variant>
      <vt:variant>
        <vt:i4>0</vt:i4>
      </vt:variant>
      <vt:variant>
        <vt:i4>5</vt:i4>
      </vt:variant>
      <vt:variant>
        <vt:lpwstr/>
      </vt:variant>
      <vt:variant>
        <vt:lpwstr>_Toc412736432</vt:lpwstr>
      </vt:variant>
      <vt:variant>
        <vt:i4>1310769</vt:i4>
      </vt:variant>
      <vt:variant>
        <vt:i4>98</vt:i4>
      </vt:variant>
      <vt:variant>
        <vt:i4>0</vt:i4>
      </vt:variant>
      <vt:variant>
        <vt:i4>5</vt:i4>
      </vt:variant>
      <vt:variant>
        <vt:lpwstr/>
      </vt:variant>
      <vt:variant>
        <vt:lpwstr>_Toc412736431</vt:lpwstr>
      </vt:variant>
      <vt:variant>
        <vt:i4>1310769</vt:i4>
      </vt:variant>
      <vt:variant>
        <vt:i4>92</vt:i4>
      </vt:variant>
      <vt:variant>
        <vt:i4>0</vt:i4>
      </vt:variant>
      <vt:variant>
        <vt:i4>5</vt:i4>
      </vt:variant>
      <vt:variant>
        <vt:lpwstr/>
      </vt:variant>
      <vt:variant>
        <vt:lpwstr>_Toc412736430</vt:lpwstr>
      </vt:variant>
      <vt:variant>
        <vt:i4>1376305</vt:i4>
      </vt:variant>
      <vt:variant>
        <vt:i4>86</vt:i4>
      </vt:variant>
      <vt:variant>
        <vt:i4>0</vt:i4>
      </vt:variant>
      <vt:variant>
        <vt:i4>5</vt:i4>
      </vt:variant>
      <vt:variant>
        <vt:lpwstr/>
      </vt:variant>
      <vt:variant>
        <vt:lpwstr>_Toc412736429</vt:lpwstr>
      </vt:variant>
      <vt:variant>
        <vt:i4>1376305</vt:i4>
      </vt:variant>
      <vt:variant>
        <vt:i4>80</vt:i4>
      </vt:variant>
      <vt:variant>
        <vt:i4>0</vt:i4>
      </vt:variant>
      <vt:variant>
        <vt:i4>5</vt:i4>
      </vt:variant>
      <vt:variant>
        <vt:lpwstr/>
      </vt:variant>
      <vt:variant>
        <vt:lpwstr>_Toc412736425</vt:lpwstr>
      </vt:variant>
      <vt:variant>
        <vt:i4>1376305</vt:i4>
      </vt:variant>
      <vt:variant>
        <vt:i4>74</vt:i4>
      </vt:variant>
      <vt:variant>
        <vt:i4>0</vt:i4>
      </vt:variant>
      <vt:variant>
        <vt:i4>5</vt:i4>
      </vt:variant>
      <vt:variant>
        <vt:lpwstr/>
      </vt:variant>
      <vt:variant>
        <vt:lpwstr>_Toc412736424</vt:lpwstr>
      </vt:variant>
      <vt:variant>
        <vt:i4>1376305</vt:i4>
      </vt:variant>
      <vt:variant>
        <vt:i4>68</vt:i4>
      </vt:variant>
      <vt:variant>
        <vt:i4>0</vt:i4>
      </vt:variant>
      <vt:variant>
        <vt:i4>5</vt:i4>
      </vt:variant>
      <vt:variant>
        <vt:lpwstr/>
      </vt:variant>
      <vt:variant>
        <vt:lpwstr>_Toc412736423</vt:lpwstr>
      </vt:variant>
      <vt:variant>
        <vt:i4>1376305</vt:i4>
      </vt:variant>
      <vt:variant>
        <vt:i4>62</vt:i4>
      </vt:variant>
      <vt:variant>
        <vt:i4>0</vt:i4>
      </vt:variant>
      <vt:variant>
        <vt:i4>5</vt:i4>
      </vt:variant>
      <vt:variant>
        <vt:lpwstr/>
      </vt:variant>
      <vt:variant>
        <vt:lpwstr>_Toc412736422</vt:lpwstr>
      </vt:variant>
      <vt:variant>
        <vt:i4>1376305</vt:i4>
      </vt:variant>
      <vt:variant>
        <vt:i4>56</vt:i4>
      </vt:variant>
      <vt:variant>
        <vt:i4>0</vt:i4>
      </vt:variant>
      <vt:variant>
        <vt:i4>5</vt:i4>
      </vt:variant>
      <vt:variant>
        <vt:lpwstr/>
      </vt:variant>
      <vt:variant>
        <vt:lpwstr>_Toc412736421</vt:lpwstr>
      </vt:variant>
      <vt:variant>
        <vt:i4>1376305</vt:i4>
      </vt:variant>
      <vt:variant>
        <vt:i4>50</vt:i4>
      </vt:variant>
      <vt:variant>
        <vt:i4>0</vt:i4>
      </vt:variant>
      <vt:variant>
        <vt:i4>5</vt:i4>
      </vt:variant>
      <vt:variant>
        <vt:lpwstr/>
      </vt:variant>
      <vt:variant>
        <vt:lpwstr>_Toc412736420</vt:lpwstr>
      </vt:variant>
      <vt:variant>
        <vt:i4>1441841</vt:i4>
      </vt:variant>
      <vt:variant>
        <vt:i4>44</vt:i4>
      </vt:variant>
      <vt:variant>
        <vt:i4>0</vt:i4>
      </vt:variant>
      <vt:variant>
        <vt:i4>5</vt:i4>
      </vt:variant>
      <vt:variant>
        <vt:lpwstr/>
      </vt:variant>
      <vt:variant>
        <vt:lpwstr>_Toc412736418</vt:lpwstr>
      </vt:variant>
      <vt:variant>
        <vt:i4>1441841</vt:i4>
      </vt:variant>
      <vt:variant>
        <vt:i4>38</vt:i4>
      </vt:variant>
      <vt:variant>
        <vt:i4>0</vt:i4>
      </vt:variant>
      <vt:variant>
        <vt:i4>5</vt:i4>
      </vt:variant>
      <vt:variant>
        <vt:lpwstr/>
      </vt:variant>
      <vt:variant>
        <vt:lpwstr>_Toc412736417</vt:lpwstr>
      </vt:variant>
      <vt:variant>
        <vt:i4>1441841</vt:i4>
      </vt:variant>
      <vt:variant>
        <vt:i4>32</vt:i4>
      </vt:variant>
      <vt:variant>
        <vt:i4>0</vt:i4>
      </vt:variant>
      <vt:variant>
        <vt:i4>5</vt:i4>
      </vt:variant>
      <vt:variant>
        <vt:lpwstr/>
      </vt:variant>
      <vt:variant>
        <vt:lpwstr>_Toc412736416</vt:lpwstr>
      </vt:variant>
      <vt:variant>
        <vt:i4>1441841</vt:i4>
      </vt:variant>
      <vt:variant>
        <vt:i4>26</vt:i4>
      </vt:variant>
      <vt:variant>
        <vt:i4>0</vt:i4>
      </vt:variant>
      <vt:variant>
        <vt:i4>5</vt:i4>
      </vt:variant>
      <vt:variant>
        <vt:lpwstr/>
      </vt:variant>
      <vt:variant>
        <vt:lpwstr>_Toc412736415</vt:lpwstr>
      </vt:variant>
      <vt:variant>
        <vt:i4>1441841</vt:i4>
      </vt:variant>
      <vt:variant>
        <vt:i4>20</vt:i4>
      </vt:variant>
      <vt:variant>
        <vt:i4>0</vt:i4>
      </vt:variant>
      <vt:variant>
        <vt:i4>5</vt:i4>
      </vt:variant>
      <vt:variant>
        <vt:lpwstr/>
      </vt:variant>
      <vt:variant>
        <vt:lpwstr>_Toc412736414</vt:lpwstr>
      </vt:variant>
      <vt:variant>
        <vt:i4>1441841</vt:i4>
      </vt:variant>
      <vt:variant>
        <vt:i4>14</vt:i4>
      </vt:variant>
      <vt:variant>
        <vt:i4>0</vt:i4>
      </vt:variant>
      <vt:variant>
        <vt:i4>5</vt:i4>
      </vt:variant>
      <vt:variant>
        <vt:lpwstr/>
      </vt:variant>
      <vt:variant>
        <vt:lpwstr>_Toc412736412</vt:lpwstr>
      </vt:variant>
      <vt:variant>
        <vt:i4>1441841</vt:i4>
      </vt:variant>
      <vt:variant>
        <vt:i4>8</vt:i4>
      </vt:variant>
      <vt:variant>
        <vt:i4>0</vt:i4>
      </vt:variant>
      <vt:variant>
        <vt:i4>5</vt:i4>
      </vt:variant>
      <vt:variant>
        <vt:lpwstr/>
      </vt:variant>
      <vt:variant>
        <vt:lpwstr>_Toc412736411</vt:lpwstr>
      </vt:variant>
      <vt:variant>
        <vt:i4>1441841</vt:i4>
      </vt:variant>
      <vt:variant>
        <vt:i4>2</vt:i4>
      </vt:variant>
      <vt:variant>
        <vt:i4>0</vt:i4>
      </vt:variant>
      <vt:variant>
        <vt:i4>5</vt:i4>
      </vt:variant>
      <vt:variant>
        <vt:lpwstr/>
      </vt:variant>
      <vt:variant>
        <vt:lpwstr>_Toc412736410</vt:lpwstr>
      </vt:variant>
      <vt:variant>
        <vt:i4>8061028</vt:i4>
      </vt:variant>
      <vt:variant>
        <vt:i4>195</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524318</vt:i4>
      </vt:variant>
      <vt:variant>
        <vt:i4>192</vt:i4>
      </vt:variant>
      <vt:variant>
        <vt:i4>0</vt:i4>
      </vt:variant>
      <vt:variant>
        <vt:i4>5</vt:i4>
      </vt:variant>
      <vt:variant>
        <vt:lpwstr>http://ec.europa.eu/internal_market/consultations/2012/nonbanks_en.htm</vt:lpwstr>
      </vt:variant>
      <vt:variant>
        <vt:lpwstr/>
      </vt:variant>
      <vt:variant>
        <vt:i4>5111819</vt:i4>
      </vt:variant>
      <vt:variant>
        <vt:i4>189</vt:i4>
      </vt:variant>
      <vt:variant>
        <vt:i4>0</vt:i4>
      </vt:variant>
      <vt:variant>
        <vt:i4>5</vt:i4>
      </vt:variant>
      <vt:variant>
        <vt:lpwstr>http://www2.isda.org/attachment/NTc5Nw==/CCP_loss_allocation_waterfall_0807.pdf</vt:lpwstr>
      </vt:variant>
      <vt:variant>
        <vt:lpwstr/>
      </vt:variant>
      <vt:variant>
        <vt:i4>5111819</vt:i4>
      </vt:variant>
      <vt:variant>
        <vt:i4>186</vt:i4>
      </vt:variant>
      <vt:variant>
        <vt:i4>0</vt:i4>
      </vt:variant>
      <vt:variant>
        <vt:i4>5</vt:i4>
      </vt:variant>
      <vt:variant>
        <vt:lpwstr>http://www2.isda.org/attachment/NTc5Nw==/CCP_loss_allocation_waterfall_0807.pdf</vt:lpwstr>
      </vt:variant>
      <vt:variant>
        <vt:lpwstr/>
      </vt:variant>
      <vt:variant>
        <vt:i4>4587545</vt:i4>
      </vt:variant>
      <vt:variant>
        <vt:i4>183</vt:i4>
      </vt:variant>
      <vt:variant>
        <vt:i4>0</vt:i4>
      </vt:variant>
      <vt:variant>
        <vt:i4>5</vt:i4>
      </vt:variant>
      <vt:variant>
        <vt:lpwstr>http://www.financialstabilityboard.org/publications/c_131025_1.htm</vt:lpwstr>
      </vt:variant>
      <vt:variant>
        <vt:lpwstr/>
      </vt:variant>
      <vt:variant>
        <vt:i4>4653075</vt:i4>
      </vt:variant>
      <vt:variant>
        <vt:i4>180</vt:i4>
      </vt:variant>
      <vt:variant>
        <vt:i4>0</vt:i4>
      </vt:variant>
      <vt:variant>
        <vt:i4>5</vt:i4>
      </vt:variant>
      <vt:variant>
        <vt:lpwstr>http://www.imf.org/external/pubs/ft/gfsr/2010/01/</vt:lpwstr>
      </vt:variant>
      <vt:variant>
        <vt:lpwstr/>
      </vt:variant>
      <vt:variant>
        <vt:i4>327800</vt:i4>
      </vt:variant>
      <vt:variant>
        <vt:i4>177</vt:i4>
      </vt:variant>
      <vt:variant>
        <vt:i4>0</vt:i4>
      </vt:variant>
      <vt:variant>
        <vt:i4>5</vt:i4>
      </vt:variant>
      <vt:variant>
        <vt:lpwstr>http://www.bankofengland.co.uk/publications/Pages/fsr/fs_paper19.aspx</vt:lpwstr>
      </vt:variant>
      <vt:variant>
        <vt:lpwstr/>
      </vt:variant>
      <vt:variant>
        <vt:i4>1835009</vt:i4>
      </vt:variant>
      <vt:variant>
        <vt:i4>174</vt:i4>
      </vt:variant>
      <vt:variant>
        <vt:i4>0</vt:i4>
      </vt:variant>
      <vt:variant>
        <vt:i4>5</vt:i4>
      </vt:variant>
      <vt:variant>
        <vt:lpwstr>http://ec.europa.eu/internal_market/securities/isd/mifid2/index_en.htm</vt:lpwstr>
      </vt:variant>
      <vt:variant>
        <vt:lpwstr/>
      </vt:variant>
      <vt:variant>
        <vt:i4>3997759</vt:i4>
      </vt:variant>
      <vt:variant>
        <vt:i4>171</vt:i4>
      </vt:variant>
      <vt:variant>
        <vt:i4>0</vt:i4>
      </vt:variant>
      <vt:variant>
        <vt:i4>5</vt:i4>
      </vt:variant>
      <vt:variant>
        <vt:lpwstr>http://ec.europa.eu/internal_market/finances/docs/general/20140515-erfra-working-document_en.pdf</vt:lpwstr>
      </vt:variant>
      <vt:variant>
        <vt:lpwstr/>
      </vt:variant>
      <vt:variant>
        <vt:i4>7078014</vt:i4>
      </vt:variant>
      <vt:variant>
        <vt:i4>168</vt:i4>
      </vt:variant>
      <vt:variant>
        <vt:i4>0</vt:i4>
      </vt:variant>
      <vt:variant>
        <vt:i4>5</vt:i4>
      </vt:variant>
      <vt:variant>
        <vt:lpwstr>http://www.ecb.europa.eu/press/key/date/2014/html/sp140917.en.html</vt:lpwstr>
      </vt:variant>
      <vt:variant>
        <vt:lpwstr/>
      </vt:variant>
      <vt:variant>
        <vt:i4>4063268</vt:i4>
      </vt:variant>
      <vt:variant>
        <vt:i4>165</vt:i4>
      </vt:variant>
      <vt:variant>
        <vt:i4>0</vt:i4>
      </vt:variant>
      <vt:variant>
        <vt:i4>5</vt:i4>
      </vt:variant>
      <vt:variant>
        <vt:lpwstr>http://www.bankofengland.co.uk/publications/Documents/fsr/2013/fsrfull1306.pdf</vt:lpwstr>
      </vt:variant>
      <vt:variant>
        <vt:lpwstr/>
      </vt:variant>
      <vt:variant>
        <vt:i4>7995489</vt:i4>
      </vt:variant>
      <vt:variant>
        <vt:i4>162</vt:i4>
      </vt:variant>
      <vt:variant>
        <vt:i4>0</vt:i4>
      </vt:variant>
      <vt:variant>
        <vt:i4>5</vt:i4>
      </vt:variant>
      <vt:variant>
        <vt:lpwstr>http://www2.isda.org/functional-areas/research/studies/</vt:lpwstr>
      </vt:variant>
      <vt:variant>
        <vt:lpwstr/>
      </vt:variant>
      <vt:variant>
        <vt:i4>4587605</vt:i4>
      </vt:variant>
      <vt:variant>
        <vt:i4>159</vt:i4>
      </vt:variant>
      <vt:variant>
        <vt:i4>0</vt:i4>
      </vt:variant>
      <vt:variant>
        <vt:i4>5</vt:i4>
      </vt:variant>
      <vt:variant>
        <vt:lpwstr>http://www.bis.org/statistics/dt1920a.pdf</vt:lpwstr>
      </vt:variant>
      <vt:variant>
        <vt:lpwstr/>
      </vt:variant>
      <vt:variant>
        <vt:i4>3276901</vt:i4>
      </vt:variant>
      <vt:variant>
        <vt:i4>156</vt:i4>
      </vt:variant>
      <vt:variant>
        <vt:i4>0</vt:i4>
      </vt:variant>
      <vt:variant>
        <vt:i4>5</vt:i4>
      </vt:variant>
      <vt:variant>
        <vt:lpwstr>http://www.bis.org/</vt:lpwstr>
      </vt:variant>
      <vt:variant>
        <vt:lpwstr/>
      </vt:variant>
      <vt:variant>
        <vt:i4>7602285</vt:i4>
      </vt:variant>
      <vt:variant>
        <vt:i4>153</vt:i4>
      </vt:variant>
      <vt:variant>
        <vt:i4>0</vt:i4>
      </vt:variant>
      <vt:variant>
        <vt:i4>5</vt:i4>
      </vt:variant>
      <vt:variant>
        <vt:lpwstr>http://www.treasury.gov/initiatives/Documents/Finalruledisclaimer7-18-2011.pdf</vt:lpwstr>
      </vt:variant>
      <vt:variant>
        <vt:lpwstr/>
      </vt:variant>
      <vt:variant>
        <vt:i4>7995495</vt:i4>
      </vt:variant>
      <vt:variant>
        <vt:i4>150</vt:i4>
      </vt:variant>
      <vt:variant>
        <vt:i4>0</vt:i4>
      </vt:variant>
      <vt:variant>
        <vt:i4>5</vt:i4>
      </vt:variant>
      <vt:variant>
        <vt:lpwstr>http://www.federalreserve.gov/newsevents/press/bcreg/bcreg20130403a.pdf</vt:lpwstr>
      </vt:variant>
      <vt:variant>
        <vt:lpwstr/>
      </vt:variant>
      <vt:variant>
        <vt:i4>852062</vt:i4>
      </vt:variant>
      <vt:variant>
        <vt:i4>147</vt:i4>
      </vt:variant>
      <vt:variant>
        <vt:i4>0</vt:i4>
      </vt:variant>
      <vt:variant>
        <vt:i4>5</vt:i4>
      </vt:variant>
      <vt:variant>
        <vt:lpwstr>http://www.treasury.gov/initiatives/fsoc/Documents/Nonbank Designations - Final Rule and Guidance.pdf</vt:lpwstr>
      </vt:variant>
      <vt:variant>
        <vt:lpwstr/>
      </vt:variant>
      <vt:variant>
        <vt:i4>6619169</vt:i4>
      </vt:variant>
      <vt:variant>
        <vt:i4>123</vt:i4>
      </vt:variant>
      <vt:variant>
        <vt:i4>0</vt:i4>
      </vt:variant>
      <vt:variant>
        <vt:i4>5</vt:i4>
      </vt:variant>
      <vt:variant>
        <vt:lpwstr>http://www.bis.org/publ/bcbs200.pdf</vt:lpwstr>
      </vt:variant>
      <vt:variant>
        <vt:lpwstr/>
      </vt:variant>
      <vt:variant>
        <vt:i4>3670046</vt:i4>
      </vt:variant>
      <vt:variant>
        <vt:i4>120</vt:i4>
      </vt:variant>
      <vt:variant>
        <vt:i4>0</vt:i4>
      </vt:variant>
      <vt:variant>
        <vt:i4>5</vt:i4>
      </vt:variant>
      <vt:variant>
        <vt:lpwstr>http://www.financialstabilityboard.org/publications/r_130411a.pdf</vt:lpwstr>
      </vt:variant>
      <vt:variant>
        <vt:lpwstr/>
      </vt:variant>
      <vt:variant>
        <vt:i4>4915209</vt:i4>
      </vt:variant>
      <vt:variant>
        <vt:i4>117</vt:i4>
      </vt:variant>
      <vt:variant>
        <vt:i4>0</vt:i4>
      </vt:variant>
      <vt:variant>
        <vt:i4>5</vt:i4>
      </vt:variant>
      <vt:variant>
        <vt:lpwstr>http://www.bis.org/publ/cpss101a.pdf</vt:lpwstr>
      </vt:variant>
      <vt:variant>
        <vt:lpwstr/>
      </vt:variant>
      <vt:variant>
        <vt:i4>7078015</vt:i4>
      </vt:variant>
      <vt:variant>
        <vt:i4>114</vt:i4>
      </vt:variant>
      <vt:variant>
        <vt:i4>0</vt:i4>
      </vt:variant>
      <vt:variant>
        <vt:i4>5</vt:i4>
      </vt:variant>
      <vt:variant>
        <vt:lpwstr>http://www.financialstabilityboard.org/wp-content/uploads/FSB-Chair-letter-to-G20-February-2015.pdf</vt:lpwstr>
      </vt:variant>
      <vt:variant>
        <vt:lpwstr/>
      </vt:variant>
      <vt:variant>
        <vt:i4>1704015</vt:i4>
      </vt:variant>
      <vt:variant>
        <vt:i4>111</vt:i4>
      </vt:variant>
      <vt:variant>
        <vt:i4>0</vt:i4>
      </vt:variant>
      <vt:variant>
        <vt:i4>5</vt:i4>
      </vt:variant>
      <vt:variant>
        <vt:lpwstr>http://www.cmegroup.com/education/files/balancing-ccp-and-member-contributions-with-exposures.pdf</vt:lpwstr>
      </vt:variant>
      <vt:variant>
        <vt:lpwstr/>
      </vt:variant>
      <vt:variant>
        <vt:i4>2686999</vt:i4>
      </vt:variant>
      <vt:variant>
        <vt:i4>108</vt:i4>
      </vt:variant>
      <vt:variant>
        <vt:i4>0</vt:i4>
      </vt:variant>
      <vt:variant>
        <vt:i4>5</vt:i4>
      </vt:variant>
      <vt:variant>
        <vt:lpwstr>http://secure-area.lchclearnet.com/images/CCP_Risk_Management_Recovery_-_Resolution.pdf</vt:lpwstr>
      </vt:variant>
      <vt:variant>
        <vt:lpwstr/>
      </vt:variant>
      <vt:variant>
        <vt:i4>2359338</vt:i4>
      </vt:variant>
      <vt:variant>
        <vt:i4>105</vt:i4>
      </vt:variant>
      <vt:variant>
        <vt:i4>0</vt:i4>
      </vt:variant>
      <vt:variant>
        <vt:i4>5</vt:i4>
      </vt:variant>
      <vt:variant>
        <vt:lpwstr>http://www.financialstabilityboard.org/wp-content/uploads/TLAC-Condoc-6-Nov-2014-FINAL.pdf</vt:lpwstr>
      </vt:variant>
      <vt:variant>
        <vt:lpwstr/>
      </vt:variant>
      <vt:variant>
        <vt:i4>1441822</vt:i4>
      </vt:variant>
      <vt:variant>
        <vt:i4>102</vt:i4>
      </vt:variant>
      <vt:variant>
        <vt:i4>0</vt:i4>
      </vt:variant>
      <vt:variant>
        <vt:i4>5</vt:i4>
      </vt:variant>
      <vt:variant>
        <vt:lpwstr>http://www.bis.org/cpmi/publ/d121.pdf</vt:lpwstr>
      </vt:variant>
      <vt:variant>
        <vt:lpwstr/>
      </vt:variant>
      <vt:variant>
        <vt:i4>327729</vt:i4>
      </vt:variant>
      <vt:variant>
        <vt:i4>99</vt:i4>
      </vt:variant>
      <vt:variant>
        <vt:i4>0</vt:i4>
      </vt:variant>
      <vt:variant>
        <vt:i4>5</vt:i4>
      </vt:variant>
      <vt:variant>
        <vt:lpwstr>http://www.financialstabilityboard.org/wp-content/uploads/r_141015.pdf</vt:lpwstr>
      </vt:variant>
      <vt:variant>
        <vt:lpwstr/>
      </vt:variant>
      <vt:variant>
        <vt:i4>4915209</vt:i4>
      </vt:variant>
      <vt:variant>
        <vt:i4>96</vt:i4>
      </vt:variant>
      <vt:variant>
        <vt:i4>0</vt:i4>
      </vt:variant>
      <vt:variant>
        <vt:i4>5</vt:i4>
      </vt:variant>
      <vt:variant>
        <vt:lpwstr>http://www.bis.org/publ/cpss101a.pdf</vt:lpwstr>
      </vt:variant>
      <vt:variant>
        <vt:lpwstr/>
      </vt:variant>
      <vt:variant>
        <vt:i4>5111899</vt:i4>
      </vt:variant>
      <vt:variant>
        <vt:i4>93</vt:i4>
      </vt:variant>
      <vt:variant>
        <vt:i4>0</vt:i4>
      </vt:variant>
      <vt:variant>
        <vt:i4>5</vt:i4>
      </vt:variant>
      <vt:variant>
        <vt:lpwstr>https://www.eba.europa.eu/documents/10180/751477/EBA-CP-2014-16++%28CP+on+draft+RTS+on+Content+Res++Plans+and+Assessment+of+Resolvability%29.docx.pdf</vt:lpwstr>
      </vt:variant>
      <vt:variant>
        <vt:lpwstr/>
      </vt:variant>
      <vt:variant>
        <vt:i4>3997759</vt:i4>
      </vt:variant>
      <vt:variant>
        <vt:i4>90</vt:i4>
      </vt:variant>
      <vt:variant>
        <vt:i4>0</vt:i4>
      </vt:variant>
      <vt:variant>
        <vt:i4>5</vt:i4>
      </vt:variant>
      <vt:variant>
        <vt:lpwstr>http://ec.europa.eu/internal_market/finances/docs/general/20140515-erfra-working-document_en.pdf</vt:lpwstr>
      </vt:variant>
      <vt:variant>
        <vt:lpwstr/>
      </vt:variant>
      <vt:variant>
        <vt:i4>6225953</vt:i4>
      </vt:variant>
      <vt:variant>
        <vt:i4>84</vt:i4>
      </vt:variant>
      <vt:variant>
        <vt:i4>0</vt:i4>
      </vt:variant>
      <vt:variant>
        <vt:i4>5</vt:i4>
      </vt:variant>
      <vt:variant>
        <vt:lpwstr>http://www.ecb.europa.eu/press/key/date/2014/html/sp140519_1.en.html</vt:lpwstr>
      </vt:variant>
      <vt:variant>
        <vt:lpwstr/>
      </vt:variant>
      <vt:variant>
        <vt:i4>7995433</vt:i4>
      </vt:variant>
      <vt:variant>
        <vt:i4>81</vt:i4>
      </vt:variant>
      <vt:variant>
        <vt:i4>0</vt:i4>
      </vt:variant>
      <vt:variant>
        <vt:i4>5</vt:i4>
      </vt:variant>
      <vt:variant>
        <vt:lpwstr>http://www.bankofengland.co.uk/publications/Documents/fmi/fmiap1403.pdf</vt:lpwstr>
      </vt:variant>
      <vt:variant>
        <vt:lpwstr/>
      </vt:variant>
      <vt:variant>
        <vt:i4>2687085</vt:i4>
      </vt:variant>
      <vt:variant>
        <vt:i4>78</vt:i4>
      </vt:variant>
      <vt:variant>
        <vt:i4>0</vt:i4>
      </vt:variant>
      <vt:variant>
        <vt:i4>5</vt:i4>
      </vt:variant>
      <vt:variant>
        <vt:lpwstr>http://www.bankofengland.co.uk/financialstability/Documents/fmi/fmisupervision.pdf</vt:lpwstr>
      </vt:variant>
      <vt:variant>
        <vt:lpwstr/>
      </vt:variant>
      <vt:variant>
        <vt:i4>7471145</vt:i4>
      </vt:variant>
      <vt:variant>
        <vt:i4>75</vt:i4>
      </vt:variant>
      <vt:variant>
        <vt:i4>0</vt:i4>
      </vt:variant>
      <vt:variant>
        <vt:i4>5</vt:i4>
      </vt:variant>
      <vt:variant>
        <vt:lpwstr>http://ec.europa.eu/internal_market/bank/docs/crisis-management/2012_eu_framework/impact_assessment_final_en.pdf</vt:lpwstr>
      </vt:variant>
      <vt:variant>
        <vt:lpwstr/>
      </vt:variant>
      <vt:variant>
        <vt:i4>3997759</vt:i4>
      </vt:variant>
      <vt:variant>
        <vt:i4>72</vt:i4>
      </vt:variant>
      <vt:variant>
        <vt:i4>0</vt:i4>
      </vt:variant>
      <vt:variant>
        <vt:i4>5</vt:i4>
      </vt:variant>
      <vt:variant>
        <vt:lpwstr>http://ec.europa.eu/internal_market/finances/docs/general/20140515-erfra-working-document_en.pdf</vt:lpwstr>
      </vt:variant>
      <vt:variant>
        <vt:lpwstr/>
      </vt:variant>
      <vt:variant>
        <vt:i4>2883620</vt:i4>
      </vt:variant>
      <vt:variant>
        <vt:i4>69</vt:i4>
      </vt:variant>
      <vt:variant>
        <vt:i4>0</vt:i4>
      </vt:variant>
      <vt:variant>
        <vt:i4>5</vt:i4>
      </vt:variant>
      <vt:variant>
        <vt:lpwstr>http://www.jpmorganchase.com/corporate/About-JPMC/document/resolution-plan-ccps.pdf?M=22b2d037-ca48-42e1-a49e-53a5e0667db4</vt:lpwstr>
      </vt:variant>
      <vt:variant>
        <vt:lpwstr/>
      </vt:variant>
      <vt:variant>
        <vt:i4>3997759</vt:i4>
      </vt:variant>
      <vt:variant>
        <vt:i4>66</vt:i4>
      </vt:variant>
      <vt:variant>
        <vt:i4>0</vt:i4>
      </vt:variant>
      <vt:variant>
        <vt:i4>5</vt:i4>
      </vt:variant>
      <vt:variant>
        <vt:lpwstr>http://ec.europa.eu/internal_market/finances/docs/general/20140515-erfra-working-document_en.pdf</vt:lpwstr>
      </vt:variant>
      <vt:variant>
        <vt:lpwstr/>
      </vt:variant>
      <vt:variant>
        <vt:i4>8061028</vt:i4>
      </vt:variant>
      <vt:variant>
        <vt:i4>63</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3997759</vt:i4>
      </vt:variant>
      <vt:variant>
        <vt:i4>60</vt:i4>
      </vt:variant>
      <vt:variant>
        <vt:i4>0</vt:i4>
      </vt:variant>
      <vt:variant>
        <vt:i4>5</vt:i4>
      </vt:variant>
      <vt:variant>
        <vt:lpwstr>http://ec.europa.eu/internal_market/finances/docs/general/20140515-erfra-working-document_en.pdf</vt:lpwstr>
      </vt:variant>
      <vt:variant>
        <vt:lpwstr/>
      </vt:variant>
      <vt:variant>
        <vt:i4>4915209</vt:i4>
      </vt:variant>
      <vt:variant>
        <vt:i4>57</vt:i4>
      </vt:variant>
      <vt:variant>
        <vt:i4>0</vt:i4>
      </vt:variant>
      <vt:variant>
        <vt:i4>5</vt:i4>
      </vt:variant>
      <vt:variant>
        <vt:lpwstr>http://www.bis.org/publ/cpss101a.pdf</vt:lpwstr>
      </vt:variant>
      <vt:variant>
        <vt:lpwstr/>
      </vt:variant>
      <vt:variant>
        <vt:i4>2949239</vt:i4>
      </vt:variant>
      <vt:variant>
        <vt:i4>54</vt:i4>
      </vt:variant>
      <vt:variant>
        <vt:i4>0</vt:i4>
      </vt:variant>
      <vt:variant>
        <vt:i4>5</vt:i4>
      </vt:variant>
      <vt:variant>
        <vt:lpwstr>http://www.bankofcanada.ca/wp-content/uploads/2012/11/wp2012-35.pdf</vt:lpwstr>
      </vt:variant>
      <vt:variant>
        <vt:lpwstr/>
      </vt:variant>
      <vt:variant>
        <vt:i4>2621488</vt:i4>
      </vt:variant>
      <vt:variant>
        <vt:i4>51</vt:i4>
      </vt:variant>
      <vt:variant>
        <vt:i4>0</vt:i4>
      </vt:variant>
      <vt:variant>
        <vt:i4>5</vt:i4>
      </vt:variant>
      <vt:variant>
        <vt:lpwstr>http://www.bis.org/publ/cpss92.pdf</vt:lpwstr>
      </vt:variant>
      <vt:variant>
        <vt:lpwstr/>
      </vt:variant>
      <vt:variant>
        <vt:i4>8257586</vt:i4>
      </vt:variant>
      <vt:variant>
        <vt:i4>48</vt:i4>
      </vt:variant>
      <vt:variant>
        <vt:i4>0</vt:i4>
      </vt:variant>
      <vt:variant>
        <vt:i4>5</vt:i4>
      </vt:variant>
      <vt:variant>
        <vt:lpwstr>http://sdw.ecb.europa.eu/reports.do?node=1000001583</vt:lpwstr>
      </vt:variant>
      <vt:variant>
        <vt:lpwstr/>
      </vt:variant>
      <vt:variant>
        <vt:i4>7143539</vt:i4>
      </vt:variant>
      <vt:variant>
        <vt:i4>45</vt:i4>
      </vt:variant>
      <vt:variant>
        <vt:i4>0</vt:i4>
      </vt:variant>
      <vt:variant>
        <vt:i4>5</vt:i4>
      </vt:variant>
      <vt:variant>
        <vt:lpwstr>http://mifiddatabase.esma.europa.eu/Index.aspx?sectionlinks_id=24&amp;language=0&amp;pageName=CENTRAL_COUNTERPARTIES_Display&amp;subsection_id=0</vt:lpwstr>
      </vt:variant>
      <vt:variant>
        <vt:lpwstr/>
      </vt:variant>
      <vt:variant>
        <vt:i4>68</vt:i4>
      </vt:variant>
      <vt:variant>
        <vt:i4>42</vt:i4>
      </vt:variant>
      <vt:variant>
        <vt:i4>0</vt:i4>
      </vt:variant>
      <vt:variant>
        <vt:i4>5</vt:i4>
      </vt:variant>
      <vt:variant>
        <vt:lpwstr>http://www.chicagofed.org/digital_assets/publications/economic_perspectives/2006/ep_4qtr2006_part2_bliss_steigerwald.pdf</vt:lpwstr>
      </vt:variant>
      <vt:variant>
        <vt:lpwstr/>
      </vt:variant>
      <vt:variant>
        <vt:i4>6160500</vt:i4>
      </vt:variant>
      <vt:variant>
        <vt:i4>39</vt:i4>
      </vt:variant>
      <vt:variant>
        <vt:i4>0</vt:i4>
      </vt:variant>
      <vt:variant>
        <vt:i4>5</vt:i4>
      </vt:variant>
      <vt:variant>
        <vt:lpwstr>https://www.financialstabilityboard.org/publications/c_131121.htm</vt:lpwstr>
      </vt:variant>
      <vt:variant>
        <vt:lpwstr/>
      </vt:variant>
      <vt:variant>
        <vt:i4>589838</vt:i4>
      </vt:variant>
      <vt:variant>
        <vt:i4>36</vt:i4>
      </vt:variant>
      <vt:variant>
        <vt:i4>0</vt:i4>
      </vt:variant>
      <vt:variant>
        <vt:i4>5</vt:i4>
      </vt:variant>
      <vt:variant>
        <vt:lpwstr>http://www.bis.org/publ/cpss109/comments.htm</vt:lpwstr>
      </vt:variant>
      <vt:variant>
        <vt:lpwstr/>
      </vt:variant>
      <vt:variant>
        <vt:i4>2490431</vt:i4>
      </vt:variant>
      <vt:variant>
        <vt:i4>33</vt:i4>
      </vt:variant>
      <vt:variant>
        <vt:i4>0</vt:i4>
      </vt:variant>
      <vt:variant>
        <vt:i4>5</vt:i4>
      </vt:variant>
      <vt:variant>
        <vt:lpwstr>http://ec.europa.eu/internal_market/consultations/2012/nonbanks/consultation-document_en.pdf</vt:lpwstr>
      </vt:variant>
      <vt:variant>
        <vt:lpwstr/>
      </vt:variant>
      <vt:variant>
        <vt:i4>917539</vt:i4>
      </vt:variant>
      <vt:variant>
        <vt:i4>30</vt:i4>
      </vt:variant>
      <vt:variant>
        <vt:i4>0</vt:i4>
      </vt:variant>
      <vt:variant>
        <vt:i4>5</vt:i4>
      </vt:variant>
      <vt:variant>
        <vt:lpwstr>http://ec.europa.eu/atwork/key-documents/index_en.htm</vt:lpwstr>
      </vt:variant>
      <vt:variant>
        <vt:lpwstr/>
      </vt:variant>
      <vt:variant>
        <vt:i4>5505088</vt:i4>
      </vt:variant>
      <vt:variant>
        <vt:i4>27</vt:i4>
      </vt:variant>
      <vt:variant>
        <vt:i4>0</vt:i4>
      </vt:variant>
      <vt:variant>
        <vt:i4>5</vt:i4>
      </vt:variant>
      <vt:variant>
        <vt:lpwstr>http://www.europarl.europa.eu/sides/getDoc.do?pubRef=-//EP//TEXT+TA+P7-TA-2013-0533+0+DOC+XML+V0//EN</vt:lpwstr>
      </vt:variant>
      <vt:variant>
        <vt:lpwstr/>
      </vt:variant>
      <vt:variant>
        <vt:i4>327729</vt:i4>
      </vt:variant>
      <vt:variant>
        <vt:i4>24</vt:i4>
      </vt:variant>
      <vt:variant>
        <vt:i4>0</vt:i4>
      </vt:variant>
      <vt:variant>
        <vt:i4>5</vt:i4>
      </vt:variant>
      <vt:variant>
        <vt:lpwstr>http://www.financialstabilityboard.org/wp-content/uploads/r_141015.pdf</vt:lpwstr>
      </vt:variant>
      <vt:variant>
        <vt:lpwstr/>
      </vt:variant>
      <vt:variant>
        <vt:i4>1441822</vt:i4>
      </vt:variant>
      <vt:variant>
        <vt:i4>21</vt:i4>
      </vt:variant>
      <vt:variant>
        <vt:i4>0</vt:i4>
      </vt:variant>
      <vt:variant>
        <vt:i4>5</vt:i4>
      </vt:variant>
      <vt:variant>
        <vt:lpwstr>http://www.bis.org/cpmi/publ/d121.pdf</vt:lpwstr>
      </vt:variant>
      <vt:variant>
        <vt:lpwstr/>
      </vt:variant>
      <vt:variant>
        <vt:i4>327729</vt:i4>
      </vt:variant>
      <vt:variant>
        <vt:i4>18</vt:i4>
      </vt:variant>
      <vt:variant>
        <vt:i4>0</vt:i4>
      </vt:variant>
      <vt:variant>
        <vt:i4>5</vt:i4>
      </vt:variant>
      <vt:variant>
        <vt:lpwstr>http://www.financialstabilityboard.org/wp-content/uploads/r_141015.pdf</vt:lpwstr>
      </vt:variant>
      <vt:variant>
        <vt:lpwstr/>
      </vt:variant>
      <vt:variant>
        <vt:i4>327718</vt:i4>
      </vt:variant>
      <vt:variant>
        <vt:i4>15</vt:i4>
      </vt:variant>
      <vt:variant>
        <vt:i4>0</vt:i4>
      </vt:variant>
      <vt:variant>
        <vt:i4>5</vt:i4>
      </vt:variant>
      <vt:variant>
        <vt:lpwstr>http://www.financialstabilityboard.org/publications/r_111104cc.pdf</vt:lpwstr>
      </vt:variant>
      <vt:variant>
        <vt:lpwstr/>
      </vt:variant>
      <vt:variant>
        <vt:i4>3080288</vt:i4>
      </vt:variant>
      <vt:variant>
        <vt:i4>12</vt:i4>
      </vt:variant>
      <vt:variant>
        <vt:i4>0</vt:i4>
      </vt:variant>
      <vt:variant>
        <vt:i4>5</vt:i4>
      </vt:variant>
      <vt:variant>
        <vt:lpwstr>http://ec.europa.eu/internal_market/finances/banking-union/index_en.htm</vt:lpwstr>
      </vt:variant>
      <vt:variant>
        <vt:lpwstr/>
      </vt:variant>
      <vt:variant>
        <vt:i4>327730</vt:i4>
      </vt:variant>
      <vt:variant>
        <vt:i4>9</vt:i4>
      </vt:variant>
      <vt:variant>
        <vt:i4>0</vt:i4>
      </vt:variant>
      <vt:variant>
        <vt:i4>5</vt:i4>
      </vt:variant>
      <vt:variant>
        <vt:lpwstr>http://ec.europa.eu/internal_market/bank/crisis_management/index_en.htm</vt:lpwstr>
      </vt:variant>
      <vt:variant>
        <vt:lpwstr/>
      </vt:variant>
      <vt:variant>
        <vt:i4>2490431</vt:i4>
      </vt:variant>
      <vt:variant>
        <vt:i4>6</vt:i4>
      </vt:variant>
      <vt:variant>
        <vt:i4>0</vt:i4>
      </vt:variant>
      <vt:variant>
        <vt:i4>5</vt:i4>
      </vt:variant>
      <vt:variant>
        <vt:lpwstr>http://ec.europa.eu/internal_market/consultations/2012/nonbanks/consultation-document_en.pdf</vt:lpwstr>
      </vt:variant>
      <vt:variant>
        <vt:lpwstr/>
      </vt:variant>
      <vt:variant>
        <vt:i4>2621494</vt:i4>
      </vt:variant>
      <vt:variant>
        <vt:i4>3</vt:i4>
      </vt:variant>
      <vt:variant>
        <vt:i4>0</vt:i4>
      </vt:variant>
      <vt:variant>
        <vt:i4>5</vt:i4>
      </vt:variant>
      <vt:variant>
        <vt:lpwstr>http://eur-lex.europa.eu/legal-content/EN/TXT/;ELX_SESSIONID=2hCkTyTNGyHG1hNnQmvLry3rTZt5TTSkrM1LLv12RFZ9hNy9lbl7!-1897320616?uri=uriserv:OJ.L_.2014.173.01.0190.01.ENG</vt:lpwstr>
      </vt:variant>
      <vt:variant>
        <vt:lpwstr/>
      </vt:variant>
      <vt:variant>
        <vt:i4>7078015</vt:i4>
      </vt:variant>
      <vt:variant>
        <vt:i4>0</vt:i4>
      </vt:variant>
      <vt:variant>
        <vt:i4>0</vt:i4>
      </vt:variant>
      <vt:variant>
        <vt:i4>5</vt:i4>
      </vt:variant>
      <vt:variant>
        <vt:lpwstr>http://www.financialstabilityboard.org/wp-content/uploads/FSB-Chair-letter-to-G20-February-2015.pdf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28082015 Impact Assessment for CCP recovery and resolution proposal</dc:title>
  <dc:creator/>
  <cp:keywords>EL4</cp:keywords>
  <cp:lastModifiedBy>DIGIT/A3</cp:lastModifiedBy>
  <cp:revision>32</cp:revision>
  <cp:lastPrinted>2017-05-19T14:04:00Z</cp:lastPrinted>
  <dcterms:created xsi:type="dcterms:W3CDTF">2017-06-12T09:57:00Z</dcterms:created>
  <dcterms:modified xsi:type="dcterms:W3CDTF">2017-07-14T07:16:00Z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GG</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lassification">
    <vt:lpwstr> </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