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7BDDE4655CB4BE7929B247D2B3465F8" style="width:450.75pt;height:461.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ANEXĂ</w:t>
      </w:r>
    </w:p>
    <w:p>
      <w:pPr>
        <w:pStyle w:val="Text1"/>
        <w:rPr>
          <w:noProof/>
        </w:rPr>
      </w:pPr>
      <w:r>
        <w:rPr>
          <w:noProof/>
        </w:rPr>
        <w:t>Următorul text se adaugă la Regulamentul (UE) nr. 648/2012, reprezentând anexele III și IV la acesta.</w:t>
      </w:r>
    </w:p>
    <w:p>
      <w:pPr>
        <w:pStyle w:val="NormalCentered"/>
        <w:rPr>
          <w:noProof/>
        </w:rPr>
      </w:pPr>
      <w:r>
        <w:rPr>
          <w:noProof/>
        </w:rPr>
        <w:t>„ANEXA III</w:t>
      </w:r>
    </w:p>
    <w:p>
      <w:pPr>
        <w:pStyle w:val="NormalCentered"/>
        <w:rPr>
          <w:bCs/>
          <w:noProof/>
        </w:rPr>
      </w:pPr>
      <w:r>
        <w:rPr>
          <w:noProof/>
        </w:rPr>
        <w:t>Lista încălcărilor menționate la articolul 25g alineatul (1)</w:t>
      </w:r>
    </w:p>
    <w:p>
      <w:pPr>
        <w:pStyle w:val="Text1"/>
        <w:rPr>
          <w:bCs/>
          <w:noProof/>
        </w:rPr>
      </w:pPr>
      <w:r>
        <w:rPr>
          <w:noProof/>
        </w:rPr>
        <w:t>I.</w:t>
      </w:r>
      <w:r>
        <w:rPr>
          <w:noProof/>
        </w:rPr>
        <w:tab/>
        <w:t>Încălcări legate de cerințe de capital:</w:t>
      </w:r>
    </w:p>
    <w:p>
      <w:pPr>
        <w:pStyle w:val="Text2"/>
        <w:rPr>
          <w:bCs/>
          <w:noProof/>
        </w:rPr>
      </w:pPr>
      <w:r>
        <w:rPr>
          <w:noProof/>
        </w:rPr>
        <w:t>(a) CPC de nivel 2 încalcă articolul 16 alineatul (1) dacă nu dispun de un capital inițial permanent și disponibil de cel puțin 7,5 milioane EUR;</w:t>
      </w:r>
    </w:p>
    <w:p>
      <w:pPr>
        <w:pStyle w:val="Text2"/>
        <w:rPr>
          <w:bCs/>
          <w:noProof/>
        </w:rPr>
      </w:pPr>
      <w:r>
        <w:rPr>
          <w:noProof/>
        </w:rPr>
        <w:t>(b) CPC de nivel 2 încalcă articolul 16 alineatul (2) dacă nu dispun de un capital, inclusiv rezultatul reportat și rezervele, care să fie proporțional cu riscul generat de activitățile lor și suficient în orice moment pentru a asigura lichidarea sau restructurarea ordonată a activităților într-un interval de timp adecvat, precum și de o protecție corespunzătoare a CPC împotriva riscurilor de credit, de contraparte, de piață, operaționale, juridice și comerciale care nu sunt deja acoperite prin resurse financiare specifice, astfel cum sunt menționate la articolele 41, 42, 43 și 44.</w:t>
      </w:r>
    </w:p>
    <w:p>
      <w:pPr>
        <w:pStyle w:val="Text1"/>
        <w:rPr>
          <w:bCs/>
          <w:noProof/>
        </w:rPr>
      </w:pPr>
      <w:r>
        <w:rPr>
          <w:noProof/>
        </w:rPr>
        <w:t>II.</w:t>
      </w:r>
      <w:r>
        <w:rPr>
          <w:noProof/>
        </w:rPr>
        <w:tab/>
        <w:t>Încălcări legate de cerințe organizatorice sau de conflicte de interese:</w:t>
      </w:r>
    </w:p>
    <w:p>
      <w:pPr>
        <w:pStyle w:val="Text2"/>
        <w:rPr>
          <w:bCs/>
          <w:noProof/>
        </w:rPr>
      </w:pPr>
      <w:r>
        <w:rPr>
          <w:noProof/>
        </w:rPr>
        <w:t>(a)</w:t>
      </w:r>
      <w:r>
        <w:rPr>
          <w:noProof/>
        </w:rPr>
        <w:tab/>
        <w:t>CPC de nivel 2 încalcă articolul 26 alineatul (1) dacă nu dispun de un sistem robust de guvernanță care să includă o structură organizatorică clară, cu responsabilități bine definite, transparente și coerente, procese eficace de identificare, gestionare, monitorizare și raportare a riscurilor la care sunt sau pot fi expuse, precum și mecanisme adecvate de control intern, inclusiv proceduri administrative și contabile solide;</w:t>
      </w:r>
    </w:p>
    <w:p>
      <w:pPr>
        <w:pStyle w:val="Text2"/>
        <w:rPr>
          <w:bCs/>
          <w:noProof/>
        </w:rPr>
      </w:pPr>
      <w:r>
        <w:rPr>
          <w:noProof/>
        </w:rPr>
        <w:t>(b)</w:t>
      </w:r>
      <w:r>
        <w:rPr>
          <w:noProof/>
        </w:rPr>
        <w:tab/>
        <w:t>CPC de nivel 2 încalcă articolul 26 alineatul (2) dacă nu adoptă politici și proceduri adecvate care să fie suficient de eficace pentru a asigura respectarea tuturor dispozițiilor prezentului regulament, inclusiv de către proprii manageri și angajați;</w:t>
      </w:r>
    </w:p>
    <w:p>
      <w:pPr>
        <w:pStyle w:val="Text2"/>
        <w:rPr>
          <w:bCs/>
          <w:noProof/>
        </w:rPr>
      </w:pPr>
      <w:r>
        <w:rPr>
          <w:noProof/>
        </w:rPr>
        <w:t>(c)</w:t>
      </w:r>
      <w:r>
        <w:rPr>
          <w:noProof/>
        </w:rPr>
        <w:tab/>
        <w:t>CPC de nivel 2 încalcă articolul 26 alineatul (3) dacă nu mențin și nu utilizează o structură organizatorică adecvată pentru a le asigura continuitatea și funcționarea corespunzătoare în cursul prestării serviciilor și al desfășurării activităților, sau dacă nu utilizează sisteme, resurse sau proceduri adecvate și proporționale;</w:t>
      </w:r>
    </w:p>
    <w:p>
      <w:pPr>
        <w:pStyle w:val="Text2"/>
        <w:rPr>
          <w:bCs/>
          <w:noProof/>
        </w:rPr>
      </w:pPr>
      <w:r>
        <w:rPr>
          <w:noProof/>
        </w:rPr>
        <w:t>(d)</w:t>
      </w:r>
      <w:r>
        <w:rPr>
          <w:noProof/>
        </w:rPr>
        <w:tab/>
        <w:t>CPC de nivel 2 încalcă articolul 26 alineatul (4) dacă nu mențin o separare clară între organizarea ierarhică pentru gestionarea riscului și cea pentru celelalte operațiuni pe care le desfășoară;</w:t>
      </w:r>
    </w:p>
    <w:p>
      <w:pPr>
        <w:pStyle w:val="Text2"/>
        <w:rPr>
          <w:bCs/>
          <w:noProof/>
        </w:rPr>
      </w:pPr>
      <w:r>
        <w:rPr>
          <w:noProof/>
        </w:rPr>
        <w:t>(e)</w:t>
      </w:r>
      <w:r>
        <w:rPr>
          <w:noProof/>
        </w:rPr>
        <w:tab/>
        <w:t>CPC de nivel 2 încalcă articolul 26 alineatul (5) dacă nu adoptă, aplică sau mențin o politică de remunerare care să promoveze o gestionare a riscurilor eficace și solidă, care să nu creeze stimulente pentru relaxarea standardelor în materie de riscuri;</w:t>
      </w:r>
    </w:p>
    <w:p>
      <w:pPr>
        <w:pStyle w:val="Text2"/>
        <w:rPr>
          <w:bCs/>
          <w:noProof/>
        </w:rPr>
      </w:pPr>
      <w:r>
        <w:rPr>
          <w:noProof/>
        </w:rPr>
        <w:t>(f)</w:t>
      </w:r>
      <w:r>
        <w:rPr>
          <w:noProof/>
        </w:rPr>
        <w:tab/>
        <w:t>CPC de nivel 2 încalcă articolul 26 alineatul (6) dacă nu mențin sisteme informatice adecvate pentru a face față complexității, diversității și tipului de servicii prestate și activități desfășurate, astfel încât să asigure standarde ridicate de siguranță și integritatea și confidențialitatea informațiilor păstrate;</w:t>
      </w:r>
    </w:p>
    <w:p>
      <w:pPr>
        <w:pStyle w:val="Text2"/>
        <w:rPr>
          <w:bCs/>
          <w:noProof/>
        </w:rPr>
      </w:pPr>
      <w:r>
        <w:rPr>
          <w:noProof/>
        </w:rPr>
        <w:t>(g)</w:t>
      </w:r>
      <w:r>
        <w:rPr>
          <w:noProof/>
        </w:rPr>
        <w:tab/>
        <w:t>CPC de nivel 2 încalcă articolul 26 alineatul (7) dacă nu fac publice în mod gratuit sistemul lor de guvernanță, regulile care le sunt aplicabile și criteriile de eligibilitate pentru membrii compensatori;</w:t>
      </w:r>
    </w:p>
    <w:p>
      <w:pPr>
        <w:pStyle w:val="Text2"/>
        <w:rPr>
          <w:bCs/>
          <w:noProof/>
        </w:rPr>
      </w:pPr>
      <w:r>
        <w:rPr>
          <w:noProof/>
        </w:rPr>
        <w:lastRenderedPageBreak/>
        <w:t>(h)</w:t>
      </w:r>
      <w:r>
        <w:rPr>
          <w:noProof/>
        </w:rPr>
        <w:tab/>
        <w:t>CPC de nivel 2 încalcă articolul 26 alineatul (8) dacă nu sunt supuse unor audituri frecvente și independente sau dacă nu transmit rezultatele acestor audituri consiliilor lor de administrație sau nu le pun la dispoziția ESMA;</w:t>
      </w:r>
    </w:p>
    <w:p>
      <w:pPr>
        <w:pStyle w:val="Text2"/>
        <w:rPr>
          <w:bCs/>
          <w:noProof/>
        </w:rPr>
      </w:pPr>
      <w:r>
        <w:rPr>
          <w:noProof/>
        </w:rPr>
        <w:t>(i)</w:t>
      </w:r>
      <w:r>
        <w:rPr>
          <w:noProof/>
        </w:rPr>
        <w:tab/>
        <w:t>CPC de nivel 2 încalcă articolul 27 alineatul (1) sau articolul 27 alineatul (2) al doilea paragraf dacă nu se asigură că personalul lor de conducere și membrii consiliului lor de administrație au o bună reputație și o experiență suficientă pentru a asigura administrarea solidă și prudentă a CPC;</w:t>
      </w:r>
    </w:p>
    <w:p>
      <w:pPr>
        <w:pStyle w:val="Text2"/>
        <w:rPr>
          <w:bCs/>
          <w:noProof/>
        </w:rPr>
      </w:pPr>
      <w:r>
        <w:rPr>
          <w:noProof/>
        </w:rPr>
        <w:t>(j)</w:t>
      </w:r>
      <w:r>
        <w:rPr>
          <w:noProof/>
        </w:rPr>
        <w:tab/>
        <w:t>CPC de nivel 2 încalcă articolul 27 alineatul (2) dacă nu garantează că cel puțin o treime, și nu mai puțin de doi membri ai consiliului de administrație respectiv sunt independenți sau dacă nu invită reprezentanți ai clienților membrilor compensatori la reuniunile consiliului de administrație pentru chestiunile legate de articolele 38 și 39 sau nu asigură corelarea remunerării membrilor independenți și a celorlalți membri fără funcție executivă ai consiliului de administrație cu rezultatele CPC;</w:t>
      </w:r>
    </w:p>
    <w:p>
      <w:pPr>
        <w:pStyle w:val="Text2"/>
        <w:rPr>
          <w:bCs/>
          <w:noProof/>
        </w:rPr>
      </w:pPr>
      <w:r>
        <w:rPr>
          <w:noProof/>
        </w:rPr>
        <w:t>(k)</w:t>
      </w:r>
      <w:r>
        <w:rPr>
          <w:noProof/>
        </w:rPr>
        <w:tab/>
        <w:t>CPC de nivel 2 încalcă articolul 27 alineatul (3) dacă nu stabilesc cu claritate rolurile și responsabilitățile consiliului de administrație și nu pun procesul-verbal al ședințelor consiliului de administrație la dispoziția ESMA și a auditorilor;</w:t>
      </w:r>
    </w:p>
    <w:p>
      <w:pPr>
        <w:pStyle w:val="Text2"/>
        <w:rPr>
          <w:bCs/>
          <w:noProof/>
        </w:rPr>
      </w:pPr>
      <w:r>
        <w:rPr>
          <w:noProof/>
        </w:rPr>
        <w:t>(l)</w:t>
      </w:r>
      <w:r>
        <w:rPr>
          <w:noProof/>
        </w:rPr>
        <w:tab/>
        <w:t>CPC de nivel 2 încalcă articolul 28 alineatul (1) dacă nu instituie un comitet de risc sau dacă acest comitet de risc nu este compus din reprezentanți ai membrilor lor compensatori, din membri independenți ai consiliului de administrație și din reprezentanți ai clienților lor, dacă acest comitet de risc este compus astfel încât unul dintre aceste grupuri de reprezentanți deține majoritatea în comitetul de risc sau dacă nu informează ESMA în mod corespunzător cu privire la activitățile și deciziile comitetului de risc, în cazul în care ESMA a solicitat să fie informată în mod corespunzător;</w:t>
      </w:r>
    </w:p>
    <w:p>
      <w:pPr>
        <w:pStyle w:val="Text2"/>
        <w:rPr>
          <w:bCs/>
          <w:noProof/>
        </w:rPr>
      </w:pPr>
      <w:r>
        <w:rPr>
          <w:noProof/>
        </w:rPr>
        <w:t>(m)</w:t>
      </w:r>
      <w:r>
        <w:rPr>
          <w:noProof/>
        </w:rPr>
        <w:tab/>
        <w:t>CPC de nivel 2 încalcă articolul 28 alineatul (2) dacă nu stabilesc cu claritate mandatul comitetului de risc, sistemul de guvernanță adoptat pentru a-i garanta independența, procedurile operaționale, criteriile de admitere sau mecanismul de alegere a membrilor comitetului de risc, dacă nu pun la dispoziția publicului sistemul de guvernanță respectiv sau dacă nu au prevăzut ca acest comitet să fie prezidat de un membru independent al consiliului de administrație, să fie în subordinea directă a consiliului de administrație și să se reunească în ședințe regulate.</w:t>
      </w:r>
    </w:p>
    <w:p>
      <w:pPr>
        <w:pStyle w:val="Text2"/>
        <w:rPr>
          <w:bCs/>
          <w:noProof/>
        </w:rPr>
      </w:pPr>
      <w:r>
        <w:rPr>
          <w:noProof/>
        </w:rPr>
        <w:t>(n)</w:t>
      </w:r>
      <w:r>
        <w:rPr>
          <w:noProof/>
        </w:rPr>
        <w:tab/>
        <w:t>CPC de nivel 2 încalcă articolul 28 alineatul (3) dacă nu permit comitetului de risc să adreseze recomandări consiliului de administrație cu privire la măsurile care pot afecta gestionarea riscurilor CPC sau dacă nu depun eforturi rezonabile pentru a consulta comitetul de risc cu privire la evoluțiile care au un impact asupra gestionării riscurilor CPC în situații de urgență;</w:t>
      </w:r>
    </w:p>
    <w:p>
      <w:pPr>
        <w:pStyle w:val="Text2"/>
        <w:rPr>
          <w:bCs/>
          <w:noProof/>
        </w:rPr>
      </w:pPr>
      <w:r>
        <w:rPr>
          <w:noProof/>
        </w:rPr>
        <w:t>(o)</w:t>
      </w:r>
      <w:r>
        <w:rPr>
          <w:noProof/>
        </w:rPr>
        <w:tab/>
        <w:t>CPC de nivel 2 încalcă articolul 28 alineatul (5) dacă nu informează de îndată ESMA în legătură cu orice decizie a consiliului de administrație de a nu urma recomandările făcute de comitetul de risc;</w:t>
      </w:r>
    </w:p>
    <w:p>
      <w:pPr>
        <w:pStyle w:val="Text2"/>
        <w:rPr>
          <w:bCs/>
          <w:noProof/>
        </w:rPr>
      </w:pPr>
      <w:r>
        <w:rPr>
          <w:noProof/>
        </w:rPr>
        <w:t>(p)</w:t>
      </w:r>
      <w:r>
        <w:rPr>
          <w:noProof/>
        </w:rPr>
        <w:tab/>
        <w:t>CPC de nivel 2 încalcă articolul 29 alineatul (1) dacă nu păstrează pentru o perioadă de cel puțin zece ani toate datele referitoare la serviciile prestate și la activitățile desfășurate, care sunt necesare pentru a permite ESMA să monitorizeze respectarea de către CPC a prezentului regulament;</w:t>
      </w:r>
    </w:p>
    <w:p>
      <w:pPr>
        <w:pStyle w:val="Text2"/>
        <w:rPr>
          <w:bCs/>
          <w:noProof/>
        </w:rPr>
      </w:pPr>
      <w:r>
        <w:rPr>
          <w:noProof/>
        </w:rPr>
        <w:t>(q)</w:t>
      </w:r>
      <w:r>
        <w:rPr>
          <w:noProof/>
        </w:rPr>
        <w:tab/>
        <w:t>CPC de nivel 2 încalcă articolul 29 alineatul (2) dacă nu păstrează, pentru o perioadă de cel puțin zece ani de la încetarea contractelor, toate informațiile referitoare la contractele pe care le-au procesat într-un mod care să permită identificarea clauzelor inițiale ale unei tranzacții înainte de compensarea acesteia de către CPC în cauză;</w:t>
      </w:r>
    </w:p>
    <w:p>
      <w:pPr>
        <w:pStyle w:val="Text2"/>
        <w:rPr>
          <w:bCs/>
          <w:noProof/>
        </w:rPr>
      </w:pPr>
      <w:r>
        <w:rPr>
          <w:noProof/>
        </w:rPr>
        <w:t>(r)</w:t>
      </w:r>
      <w:r>
        <w:rPr>
          <w:noProof/>
        </w:rPr>
        <w:tab/>
        <w:t>CPC de nivel 2 încalcă articolul 29 alineatul (3) dacă nu pun la dispoziția ESMA și a membrilor relevanți ai SEBC, la cerere, evidențele și informațiile menționate la articolul 29 alineatele (1) și (2) sau toate informațiile referitoare la pozițiile contractelor compensate, indiferent de locul de executare a tranzacțiilor;</w:t>
      </w:r>
    </w:p>
    <w:p>
      <w:pPr>
        <w:pStyle w:val="Text2"/>
        <w:rPr>
          <w:bCs/>
          <w:noProof/>
        </w:rPr>
      </w:pPr>
      <w:r>
        <w:rPr>
          <w:noProof/>
        </w:rPr>
        <w:t>(s)</w:t>
      </w:r>
      <w:r>
        <w:rPr>
          <w:noProof/>
        </w:rPr>
        <w:tab/>
        <w:t>CPC de nivel 2 încalcă articolul 30 alineatul (1) dacă nu comunică sau comunică în mod fals ori incomplet către ESMA identitatea acționarilor sau a asociaților, direcți ori indirecți, persoane fizice ori juridice, care dețin o participație calificată sau valoarea acestor participații;</w:t>
      </w:r>
    </w:p>
    <w:p>
      <w:pPr>
        <w:pStyle w:val="Text2"/>
        <w:rPr>
          <w:bCs/>
          <w:noProof/>
        </w:rPr>
      </w:pPr>
      <w:r>
        <w:rPr>
          <w:noProof/>
        </w:rPr>
        <w:t>(t)</w:t>
      </w:r>
      <w:r>
        <w:rPr>
          <w:noProof/>
        </w:rPr>
        <w:tab/>
        <w:t>CPC de nivel 2 încalcă articolul 30 alineatul (4) dacă permit persoanelor menționate la articolul 30 alineatul (1) să exercite o influență care poate prejudicia administrarea solidă și prudentă a CPC;</w:t>
      </w:r>
    </w:p>
    <w:p>
      <w:pPr>
        <w:pStyle w:val="Text2"/>
        <w:rPr>
          <w:bCs/>
          <w:noProof/>
        </w:rPr>
      </w:pPr>
      <w:r>
        <w:rPr>
          <w:noProof/>
        </w:rPr>
        <w:t>(u)</w:t>
      </w:r>
      <w:r>
        <w:rPr>
          <w:noProof/>
        </w:rPr>
        <w:tab/>
        <w:t>CPC de nivel 2 încalcă articolul 31 alineatul (1) dacă nu notifică sau notifică în mod fals ori incomplet ESMA modificările intervenite la nivelul conducerii sau dacă nu furnizează ESMA toate informațiile necesare pentru a evalua respectarea dispozițiilor articolului 27 alineatul (1) ori ale articolului 27 alineatul (2) al doilea paragraf;</w:t>
      </w:r>
    </w:p>
    <w:p>
      <w:pPr>
        <w:pStyle w:val="Text2"/>
        <w:rPr>
          <w:bCs/>
          <w:noProof/>
        </w:rPr>
      </w:pPr>
      <w:r>
        <w:rPr>
          <w:noProof/>
        </w:rPr>
        <w:t>(v)</w:t>
      </w:r>
      <w:r>
        <w:rPr>
          <w:noProof/>
        </w:rPr>
        <w:tab/>
        <w:t>CPC de nivel 2 încalcă articolul 33 alineatul (1) dacă nu mențin sau aplică proceduri organizaționale și administrative scrise eficace pentru identificarea și gestionarea conflictelor de interese care pot apărea între ele, inclusiv între managerii și personalul lor sau orice persoană legată de ele direct sau indirect prin capacități de control sau legături strânse, pe de o parte, și membrii lor compensatori sau clienții acestora care le sunt cunoscuți CPC, pe de altă parte, sau dacă nu mențin sau aplică proceduri adecvate pentru a soluționa posibilele conflicte de interese;</w:t>
      </w:r>
    </w:p>
    <w:p>
      <w:pPr>
        <w:pStyle w:val="Text2"/>
        <w:rPr>
          <w:bCs/>
          <w:noProof/>
        </w:rPr>
      </w:pPr>
      <w:r>
        <w:rPr>
          <w:noProof/>
        </w:rPr>
        <w:t>(w)</w:t>
      </w:r>
      <w:r>
        <w:rPr>
          <w:noProof/>
        </w:rPr>
        <w:tab/>
        <w:t>CPC de nivel 2 încalcă articolul 33 alineatul (2) dacă nu descriu cu claritate unui membru compensator sau unui client vizat al respectivului membru compensator care le este cunoscut CPC natura generală sau sursele conflictelor de interese înainte de a accepta noi tranzacții din partea respectivului membru compensator, atunci când procedurile organizaționale sau administrative ale respectivei CPC în materie de gestionare a conflictelor de interese nu sunt suficiente pentru a garanta, cu un grad rezonabil de certitudine, prevenirea riscurilor de prejudiciere a intereselor unui membru compensator sau ale unui client;</w:t>
      </w:r>
    </w:p>
    <w:p>
      <w:pPr>
        <w:pStyle w:val="Text2"/>
        <w:rPr>
          <w:bCs/>
          <w:noProof/>
        </w:rPr>
      </w:pPr>
      <w:r>
        <w:rPr>
          <w:noProof/>
        </w:rPr>
        <w:t>(x)</w:t>
      </w:r>
      <w:r>
        <w:rPr>
          <w:noProof/>
        </w:rPr>
        <w:tab/>
        <w:t>CPC de nivel 2 încalcă articolul 33 alineatul (3) dacă nu iau în considerare în procedurile lor scrise toate circumstanțele de care au sau ar trebui să aibă cunoștință și care pot duce la un conflict de interese ce decurge din structura și activitățile altor întreprinderi cu care CPC au o relație de întreprindere-mamă sau de filială;</w:t>
      </w:r>
    </w:p>
    <w:p>
      <w:pPr>
        <w:pStyle w:val="Text2"/>
        <w:rPr>
          <w:bCs/>
          <w:noProof/>
        </w:rPr>
      </w:pPr>
      <w:r>
        <w:rPr>
          <w:noProof/>
        </w:rPr>
        <w:t>(y)</w:t>
      </w:r>
      <w:r>
        <w:rPr>
          <w:noProof/>
        </w:rPr>
        <w:tab/>
        <w:t>CPC de nivel 2 încalcă articolul 33 alineatul (5) dacă nu iau toate măsurile rezonabile pentru a preveni utilizarea abuzivă a informațiilor păstrate în sistemele sale sau dacă împiedică utilizarea acestor informații pentru alte activități economice sau de către o persoană fizică care are legături strânse cu CPC ori o persoană juridică care are o relație de întreprindere-mamă sau de filială cu CPC care utilizează informațiile confidențiale înregistrate de CPC în cauză în scop comercial fără acordul prealabil al clientului căruia îi aparțin informațiile confidențiale respective;</w:t>
      </w:r>
    </w:p>
    <w:p>
      <w:pPr>
        <w:pStyle w:val="Text2"/>
        <w:rPr>
          <w:bCs/>
          <w:noProof/>
        </w:rPr>
      </w:pPr>
      <w:r>
        <w:rPr>
          <w:noProof/>
        </w:rPr>
        <w:t>(z)</w:t>
      </w:r>
      <w:r>
        <w:rPr>
          <w:noProof/>
        </w:rPr>
        <w:tab/>
        <w:t>CPC de nivel 2 încalcă articolul 36 alineatul (1) dacă nu acționează corect și cu profesionalism pentru a servi interesele membrilor compensatori și ale clienților acestora;</w:t>
      </w:r>
    </w:p>
    <w:p>
      <w:pPr>
        <w:pStyle w:val="Text2"/>
        <w:rPr>
          <w:bCs/>
          <w:noProof/>
        </w:rPr>
      </w:pPr>
      <w:r>
        <w:rPr>
          <w:noProof/>
        </w:rPr>
        <w:t>(aa)</w:t>
      </w:r>
      <w:r>
        <w:rPr>
          <w:noProof/>
        </w:rPr>
        <w:tab/>
        <w:t>CPC de nivelul 2 încalcă articolul 36 alineatul (2) dacă nu dispun de reguli accesibile, transparente și echitabile pentru gestionarea promptă a reclamațiilor;</w:t>
      </w:r>
    </w:p>
    <w:p>
      <w:pPr>
        <w:pStyle w:val="Text2"/>
        <w:rPr>
          <w:bCs/>
          <w:noProof/>
        </w:rPr>
      </w:pPr>
      <w:r>
        <w:rPr>
          <w:noProof/>
        </w:rPr>
        <w:t>(bb)</w:t>
      </w:r>
      <w:r>
        <w:rPr>
          <w:noProof/>
        </w:rPr>
        <w:tab/>
        <w:t>CPC de nivel 2 încalcă articolul 37 alineatul (1) sau (2) dacă utilizează, în permanență, criterii de admitere discriminatorii, netransparente, dacă nu asigură în permanență, în alte moduri, accesul deschis și echitabil la CPC, dacă nu garantează că membrii compensatori dispun de o capacitate operațională și de resurse financiare suficiente pentru a-și îndeplini obligațiile care decurg din participarea la CPC sau dacă nu efectuează, cel puțin o dată pe an, o examinare completă a respectării respectivului articol de către membrii lor compensatori;</w:t>
      </w:r>
    </w:p>
    <w:p>
      <w:pPr>
        <w:pStyle w:val="Text2"/>
        <w:rPr>
          <w:bCs/>
          <w:noProof/>
        </w:rPr>
      </w:pPr>
      <w:r>
        <w:rPr>
          <w:noProof/>
        </w:rPr>
        <w:t>(cc)</w:t>
      </w:r>
      <w:r>
        <w:rPr>
          <w:noProof/>
        </w:rPr>
        <w:tab/>
        <w:t>CPC de nivel 2 încalcă articolul 37 alineatul (4) dacă nu dispun de proceduri obiective și transparente pentru suspendarea și pentru retragerea în mod ordonat a membrilor compensatori care nu mai îndeplinesc criteriile menționate la articolul 37 alineatul (1);</w:t>
      </w:r>
    </w:p>
    <w:p>
      <w:pPr>
        <w:pStyle w:val="Text2"/>
        <w:rPr>
          <w:bCs/>
          <w:noProof/>
        </w:rPr>
      </w:pPr>
      <w:r>
        <w:rPr>
          <w:noProof/>
        </w:rPr>
        <w:t>(dd)</w:t>
      </w:r>
      <w:r>
        <w:rPr>
          <w:noProof/>
        </w:rPr>
        <w:tab/>
        <w:t>CPC de nivel 2 încalcă articolul 37 alineatul (5) dacă le refuză accesul membrilor compensatori care îndeplinesc criteriile menționate la articolul 37 alineatul (1) fără ca refuzul accesului să fie motivat în scris în mod corespunzător și bazat pe o analiză exhaustivă a riscurilor;</w:t>
      </w:r>
    </w:p>
    <w:p>
      <w:pPr>
        <w:pStyle w:val="Text2"/>
        <w:rPr>
          <w:bCs/>
          <w:noProof/>
        </w:rPr>
      </w:pPr>
      <w:r>
        <w:rPr>
          <w:noProof/>
        </w:rPr>
        <w:t>(ee)</w:t>
      </w:r>
      <w:r>
        <w:rPr>
          <w:noProof/>
        </w:rPr>
        <w:tab/>
        <w:t>CPC de nivel 2 încalcă articolul 38 alineatul (1) dacă nu permit accesul separat al clienților membrilor lor compensatori la serviciile specifice prestate;</w:t>
      </w:r>
    </w:p>
    <w:p>
      <w:pPr>
        <w:pStyle w:val="Text2"/>
        <w:rPr>
          <w:bCs/>
          <w:noProof/>
        </w:rPr>
      </w:pPr>
      <w:r>
        <w:rPr>
          <w:noProof/>
        </w:rPr>
        <w:t>(ff)</w:t>
      </w:r>
      <w:r>
        <w:rPr>
          <w:noProof/>
        </w:rPr>
        <w:tab/>
        <w:t>CPC de nivel 2 încalcă articolul 39 alineatul (7) dacă nu oferă diferitele niveluri de segregare menționate la alineatul respectiv în condiții comerciale rezonabile;</w:t>
      </w:r>
    </w:p>
    <w:p>
      <w:pPr>
        <w:rPr>
          <w:noProof/>
        </w:rPr>
      </w:pPr>
    </w:p>
    <w:p>
      <w:pPr>
        <w:pStyle w:val="Text1"/>
        <w:rPr>
          <w:bCs/>
          <w:noProof/>
        </w:rPr>
      </w:pPr>
      <w:r>
        <w:rPr>
          <w:noProof/>
        </w:rPr>
        <w:t>III.</w:t>
      </w:r>
      <w:r>
        <w:rPr>
          <w:noProof/>
        </w:rPr>
        <w:tab/>
        <w:t>Încălcări legate de cerințe operaționale:</w:t>
      </w:r>
    </w:p>
    <w:p>
      <w:pPr>
        <w:pStyle w:val="Text2"/>
        <w:rPr>
          <w:bCs/>
          <w:noProof/>
        </w:rPr>
      </w:pPr>
      <w:r>
        <w:rPr>
          <w:noProof/>
        </w:rPr>
        <w:t>(a) CPC de nivel 2 încalcă articolul 34 alineatul (1) dacă nu prevăd, aplică sau mențin o politică adecvată de continuitate a activității și un plan de redresare în caz de dezastru cu scopul de a asigura conservarea funcțiilor lor, reluarea rapidă a operațiunilor și îndeplinirea obligațiilor CPC, care să permită cel puțin reluarea tuturor tranzacțiilor aflate în curs în momentul întreruperii, astfel încât CPC să poată continua să funcționeze în condiții de certitudine și să efectueze decontarea la data stabilită;</w:t>
      </w:r>
    </w:p>
    <w:p>
      <w:pPr>
        <w:pStyle w:val="Text2"/>
        <w:rPr>
          <w:bCs/>
          <w:noProof/>
        </w:rPr>
      </w:pPr>
      <w:r>
        <w:rPr>
          <w:noProof/>
        </w:rPr>
        <w:t>(2) CPC de nivel 2 încalcă articolul 34 alineatul (2) dacă nu stabilesc, aplică sau mențin o procedură adecvată pentru a asigura decontarea corectă și la timp sau transferul activelor și pozițiilor clienților și ale membrilor compensatori în caz de retragere a autorizației în urma unei decizii luate în temeiul articolului 25;</w:t>
      </w:r>
    </w:p>
    <w:p>
      <w:pPr>
        <w:pStyle w:val="Text2"/>
        <w:rPr>
          <w:bCs/>
          <w:noProof/>
        </w:rPr>
      </w:pPr>
      <w:r>
        <w:rPr>
          <w:noProof/>
        </w:rPr>
        <w:t>(c) CPC de nivel 2 încalcă articolul 35 alineatul (1) al doilea paragraf dacă externalizează activități importante legate de gestionarea riscurilor CPC în cauză;</w:t>
      </w:r>
    </w:p>
    <w:p>
      <w:pPr>
        <w:pStyle w:val="Text2"/>
        <w:rPr>
          <w:bCs/>
          <w:noProof/>
        </w:rPr>
      </w:pPr>
      <w:r>
        <w:rPr>
          <w:noProof/>
        </w:rPr>
        <w:t>(d) CPC de nivel 2 încalcă articolul 39 alineatul (1) dacă nu țin o evidență și o contabilitate separate care să le permită, în orice moment și fără întârziere, să facă distincția, în conturile deținute la CPC, între activele și pozițiile deținute pentru contul unui membru compensator și activele și pozițiile deținute pentru contul oricărui alt membru compensator, precum și în raport cu activele proprii;</w:t>
      </w:r>
    </w:p>
    <w:p>
      <w:pPr>
        <w:pStyle w:val="Text2"/>
        <w:rPr>
          <w:bCs/>
          <w:noProof/>
        </w:rPr>
      </w:pPr>
      <w:r>
        <w:rPr>
          <w:noProof/>
        </w:rPr>
        <w:t>(2) CPC de nivel 2 încalcă articolul 39 alineatul (2) dacă nu se oferă să țină o evidență și o contabilitate separate care să permită fiecărui membru compensator să facă distincția, în conturile deținute la CPC, între activele și pozițiile membrului compensator respectiv și cele deținute pentru conturile membrilor săi compensatori;</w:t>
      </w:r>
    </w:p>
    <w:p>
      <w:pPr>
        <w:pStyle w:val="Text2"/>
        <w:rPr>
          <w:bCs/>
          <w:noProof/>
        </w:rPr>
      </w:pPr>
      <w:r>
        <w:rPr>
          <w:noProof/>
        </w:rPr>
        <w:t>(f) CPC de nivel 2 încalcă articolul 39 alineatul (3) dacă nu se oferă să țină o evidență și o contabilitate separate care să permită fiecărui membru compensator să facă distincția, în conturile deținute la CPC, între activele și pozițiile deținute pentru contul unui client și cele deținute pentru conturile altor clienți sau dacă nu oferă membrilor compensatori posibilitatea de a deschide mai multe conturi în numele lor sau în numele clienților lor, în cazul în care se solicită acest lucru;</w:t>
      </w:r>
    </w:p>
    <w:p>
      <w:pPr>
        <w:pStyle w:val="Text2"/>
        <w:rPr>
          <w:bCs/>
          <w:noProof/>
        </w:rPr>
      </w:pPr>
      <w:r>
        <w:rPr>
          <w:noProof/>
        </w:rPr>
        <w:t>(g) CPC de nivel 2 încalcă articolul 40 dacă nu măsoară și nu evaluează lichiditatea și expunerile de credit față de fiecare membru compensator și, dacă este cazul, față de o altă CPC cu care au încheiat un acord de interoperabilitate, în timp cvasi-real, sau dacă nu au un acces rapid și pe bază nediscriminatorie la sursele adecvate de stabilire a prețurilor pentru a-și evalua expunerile în mod eficace, la costuri rezonabile;</w:t>
      </w:r>
    </w:p>
    <w:p>
      <w:pPr>
        <w:pStyle w:val="Text2"/>
        <w:rPr>
          <w:bCs/>
          <w:noProof/>
        </w:rPr>
      </w:pPr>
      <w:r>
        <w:rPr>
          <w:noProof/>
        </w:rPr>
        <w:t>(h) CPC de nivel 2 încalcă articolul 41 alineatul (1) dacă nu impun, solicită sau colectează marje de la membrii lor compensatori sau, dacă este cazul, de la CPC cu care au încheiat acorduri de interoperabilitate, pentru a-și limita expunerile de credit, sau dacă impun, solicită sau colectează marje care nu sunt suficiente pentru a acoperi expunerile posibile despre care CPC estimează că vor apărea până la lichidarea pozițiilor corespondente sau pentru a acoperi pierderile rezultate din cel puțin 99 % dintre variațiile expunerilor într-un interval de timp adecvat ori marje care nu sunt suficiente pentru a garanta că CPC își acoperă integral cu garanții expunerile față de toți membrii lor compensatori, iar dacă este cazul, și față de toate CPC cu care au încheiat acorduri de interoperabilitate, cel puțin zilnic sau, dacă este necesar, pentru a ține seama de eventualele efecte prociclice;</w:t>
      </w:r>
    </w:p>
    <w:p>
      <w:pPr>
        <w:pStyle w:val="Text2"/>
        <w:rPr>
          <w:bCs/>
          <w:noProof/>
        </w:rPr>
      </w:pPr>
      <w:r>
        <w:rPr>
          <w:noProof/>
        </w:rPr>
        <w:t>(i) CPC de nivel 2 încalcă articolul 41 alineatul (2) dacă nu adoptă, pentru fixarea marjelor, modele și parametri care să surprindă caracteristicile de risc ale produselor compensate și să ia în calcul intervalul dintre colectările marjelor, lichiditatea pieței și posibilitatea apariției unor modificări pe durata tranzacției;</w:t>
      </w:r>
    </w:p>
    <w:p>
      <w:pPr>
        <w:pStyle w:val="Text2"/>
        <w:rPr>
          <w:bCs/>
          <w:noProof/>
        </w:rPr>
      </w:pPr>
      <w:r>
        <w:rPr>
          <w:noProof/>
        </w:rPr>
        <w:t>(j) CPC de nivel 2 încalcă articolul 41 alineatul (3) dacă nu cer sau nu colectează marjele pe durata unei zile (</w:t>
      </w:r>
      <w:r>
        <w:rPr>
          <w:i/>
          <w:noProof/>
        </w:rPr>
        <w:t>intraday</w:t>
      </w:r>
      <w:r>
        <w:rPr>
          <w:noProof/>
        </w:rPr>
        <w:t>), cel puțin atunci când pragurile predefinite sunt depășite;</w:t>
      </w:r>
    </w:p>
    <w:p>
      <w:pPr>
        <w:pStyle w:val="Text2"/>
        <w:rPr>
          <w:bCs/>
          <w:noProof/>
        </w:rPr>
      </w:pPr>
      <w:r>
        <w:rPr>
          <w:noProof/>
        </w:rPr>
        <w:t>(k) CPC de nivel 2 încalcă articolul 42 alineatul (3) dacă nu mențin un fond de garantare care să le permită cel puțin să reziste, în condiții de piață extreme, dar plauzibile, la situația de neîndeplinire a obligațiilor de plată a membrului compensator față de care au cea mai mare expunere sau la situația de neîndeplinire a obligațiilor de plată a celui de al doilea și a celui de al treilea membru compensator în ordinea mărimii expunerii, dacă suma expunerilor față de aceștia este mai mare, sau dacă elaborează scenarii care nu iau în calcul și perioadele cele mai volatile prin care au trecut piețele pentru care CPC își oferă serviciile, precum și o gamă de scenarii viitoare potențiale, care iau în considerare vânzarea neașteptată a resurselor financiare și reducerea rapidă a lichidităților de pe piață;</w:t>
      </w:r>
    </w:p>
    <w:p>
      <w:pPr>
        <w:pStyle w:val="Text2"/>
        <w:rPr>
          <w:bCs/>
          <w:noProof/>
        </w:rPr>
      </w:pPr>
      <w:r>
        <w:rPr>
          <w:noProof/>
        </w:rPr>
        <w:t>(l) CPC de nivel 2 încalcă articolul 43 alineatul (2) dacă fondul lor de garantare menționat la articolul 42 și celelalte resurse financiare menționate la articolul 43 alineatul (1) nu le permit în orice moment să reziste situației de neîndeplinire a obligațiilor de plată de către cel puțin cei doi membri compensatori față de care au cele mai mari expuneri în condiții de piață extreme, dar plauzibile;</w:t>
      </w:r>
    </w:p>
    <w:p>
      <w:pPr>
        <w:pStyle w:val="Text2"/>
        <w:rPr>
          <w:bCs/>
          <w:noProof/>
        </w:rPr>
      </w:pPr>
      <w:r>
        <w:rPr>
          <w:noProof/>
        </w:rPr>
        <w:t>(m) CPC de nivel 2 încalcă articolul 44 alineatul (1) dacă nu au în permanență acces la un nivel adecvat de lichidități pentru a-și desfășura serviciile și activitățile sau dacă nu își evaluează zilnic necesitățile potențiale de lichidități;</w:t>
      </w:r>
    </w:p>
    <w:p>
      <w:pPr>
        <w:pStyle w:val="Text2"/>
        <w:rPr>
          <w:bCs/>
          <w:noProof/>
        </w:rPr>
      </w:pPr>
      <w:r>
        <w:rPr>
          <w:noProof/>
        </w:rPr>
        <w:t>(o) CPC de nivel 2 încalcă articolul 45 alineatele (1), (2) și (3) dacă nu utilizează marjele depuse de membrul compensator aflat în situație de neîndeplinire a obligațiilor de plată cu prioritate față de celelalte resurse financiare pentru acoperirea pierderilor;</w:t>
      </w:r>
    </w:p>
    <w:p>
      <w:pPr>
        <w:pStyle w:val="Text2"/>
        <w:rPr>
          <w:bCs/>
          <w:noProof/>
        </w:rPr>
      </w:pPr>
      <w:r>
        <w:rPr>
          <w:noProof/>
        </w:rPr>
        <w:t>(p) CPC de nivel 2 încalcă articolul 45 alineatul (4) dacă nu utilizează resursele proprii dedicate înainte de a utiliza contribuțiile la fondul de garantare ale membrilor compensatori care nu se află în situație de neîndeplinire a obligațiilor de plată;</w:t>
      </w:r>
    </w:p>
    <w:p>
      <w:pPr>
        <w:pStyle w:val="Text2"/>
        <w:rPr>
          <w:bCs/>
          <w:noProof/>
        </w:rPr>
      </w:pPr>
      <w:r>
        <w:rPr>
          <w:noProof/>
        </w:rPr>
        <w:t>(q) CPC de nivel 2 încalcă articolul 46 alineatul (1) dacă acceptă altceva decât garanții foarte lichide cu un risc de credit și de piață minim pentru acoperirea expunerilor inițiale și curente față de membrii compensatori, în situații în care nu sunt permise alte garanții reale în conformitate cu actul delegat adoptat de Comisie în temeiul articolului 46 alineatul (3);</w:t>
      </w:r>
    </w:p>
    <w:p>
      <w:pPr>
        <w:pStyle w:val="Text2"/>
        <w:rPr>
          <w:bCs/>
          <w:noProof/>
        </w:rPr>
      </w:pPr>
      <w:r>
        <w:rPr>
          <w:noProof/>
        </w:rPr>
        <w:t>(r) CPC de nivel 2 încalcă articolul 47 alineatul (1) dacă își investesc resursele financiare în altceva decât în numerar sau instrumente financiare foarte lichide, cu un risc de piață și de credit minim și care pot fi lichidate rapid cu un efect negativ minim asupra prețurilor;</w:t>
      </w:r>
    </w:p>
    <w:p>
      <w:pPr>
        <w:pStyle w:val="Text2"/>
        <w:rPr>
          <w:bCs/>
          <w:noProof/>
        </w:rPr>
      </w:pPr>
      <w:r>
        <w:rPr>
          <w:noProof/>
        </w:rPr>
        <w:t>(s) CPC de nivel 2 încalcă articolul 47 alineatul (3) dacă nu depozitează instrumentele financiare depuse ca marje sau drept contribuții la fondul de garantare la operatori ai sistemelor de decontare a titlurilor de valoare care garantează protecția deplină a instrumentelor financiare respective, în cazul în care acestea sunt disponibile, sau dacă nu utilizează alte mecanisme cu grad mare de siguranță convenite cu instituții financiare autorizate;</w:t>
      </w:r>
    </w:p>
    <w:p>
      <w:pPr>
        <w:pStyle w:val="Text2"/>
        <w:rPr>
          <w:bCs/>
          <w:noProof/>
        </w:rPr>
      </w:pPr>
      <w:r>
        <w:rPr>
          <w:noProof/>
        </w:rPr>
        <w:t>(t) CPC de nivel 2 încalcă articolul 47 alineatul (4) dacă realizează depuneri de fonduri bănești altfel decât prin mecanisme cu grad mare de siguranță convenite cu instituții financiare autorizate sau prin recurgerea la facilități de depozit permanent oferite de băncile centrale ori la alte mijloace comparabile asigurate de băncile centrale;</w:t>
      </w:r>
    </w:p>
    <w:p>
      <w:pPr>
        <w:pStyle w:val="Text2"/>
        <w:rPr>
          <w:bCs/>
          <w:noProof/>
        </w:rPr>
      </w:pPr>
      <w:r>
        <w:rPr>
          <w:noProof/>
        </w:rPr>
        <w:t>(u) CPC de nivel 2 încalcă articolul 47 alineatul (5) dacă efectuează depozite de active pe lângă o parte terță fără să se asigure că activele aparținând membrilor compensatori pot fi identificate separat de activele aparținând CPC și de activele aparținând respectivei părți terțe, prin intermediul unor conturi intitulate diferit în registrele contabile ale părții terțe sau prin orice alte măsuri echivalente care să ducă la asigurarea aceluiași nivel de protecție;</w:t>
      </w:r>
    </w:p>
    <w:p>
      <w:pPr>
        <w:pStyle w:val="Text2"/>
        <w:rPr>
          <w:bCs/>
          <w:noProof/>
        </w:rPr>
      </w:pPr>
      <w:r>
        <w:rPr>
          <w:noProof/>
        </w:rPr>
        <w:t xml:space="preserve">(v) CPC de nivel 2 încalcă articolul 47 alineatul (6) dacă își investesc capitalul sau sumele care rezultă din cerințele prevăzute la articolele 41, 42, 43 sau 44 în propriile lor titluri de valoare sau în cele ale întreprinderilor-mamă sau ale filialelor lor; </w:t>
      </w:r>
    </w:p>
    <w:p>
      <w:pPr>
        <w:pStyle w:val="Text2"/>
        <w:rPr>
          <w:bCs/>
          <w:noProof/>
        </w:rPr>
      </w:pPr>
      <w:r>
        <w:rPr>
          <w:noProof/>
        </w:rPr>
        <w:t>(w) CPC de nivel 2 încalcă articolul 48 alineatul (1) dacă nu instituie procedurile detaliate care trebuie urmate atunci când un membru compensator nu îndeplinește cerințele de participare prevăzute la articolul 37 în termenul și în conformitate cu procedurile pe care le-au stabilit, dacă nu definesc în detaliu procedurile care trebuie urmate în cazul în care situația de neîndeplinire a obligațiilor de plată a unui membru compensator nu este declarată de CPC sau dacă nu revizuiesc anual procedurile respective;</w:t>
      </w:r>
    </w:p>
    <w:p>
      <w:pPr>
        <w:pStyle w:val="Text2"/>
        <w:rPr>
          <w:bCs/>
          <w:noProof/>
        </w:rPr>
      </w:pPr>
      <w:r>
        <w:rPr>
          <w:noProof/>
        </w:rPr>
        <w:t>(x) CPC de nivel 2 încalcă articolul 48 alineatul (2) dacă nu intervin rapid pentru a limita pierderile și presiunile asupra lichidității care apar în situațiile de neîndeplinire a obligațiilor de plată ale unui membru compensator și nu se asigură că închiderea pozițiilor unui membru compensator nu îi perturbă operațiunile și nu îi expune pe membrii compensatori care nu se află în situație de neîndeplinire a obligațiilor de plată la pierderi pe care aceștia nu le pot anticipa sau controla;</w:t>
      </w:r>
    </w:p>
    <w:p>
      <w:pPr>
        <w:pStyle w:val="Text2"/>
        <w:rPr>
          <w:bCs/>
          <w:noProof/>
        </w:rPr>
      </w:pPr>
      <w:r>
        <w:rPr>
          <w:noProof/>
        </w:rPr>
        <w:t>(y) CPC de nivel 2 încalcă articolul 48 alineatul (3) dacă nu informează imediat ESMA înainte ca procedura de neîndeplinire a obligațiilor de plată să fie declarată sau declanșată;</w:t>
      </w:r>
    </w:p>
    <w:p>
      <w:pPr>
        <w:pStyle w:val="Text2"/>
        <w:rPr>
          <w:bCs/>
          <w:noProof/>
        </w:rPr>
      </w:pPr>
      <w:r>
        <w:rPr>
          <w:noProof/>
        </w:rPr>
        <w:t>(z) CPC de nivelul 2 încalcă articolul 48 alineatul (4) dacă nu verifică caracterul executoriu al procedurilor pentru situațiile de neîndeplinire a obligațiilor de plată și nu iau toate măsurile rezonabile pentru a se asigura că dispun de competența juridică necesară pentru a lichida pozițiile proprii ale membrului compensator aflat în situație de neîndeplinire a obligațiilor de plată și a transfera sau a lichida pozițiile clienților membrului respectiv;</w:t>
      </w:r>
    </w:p>
    <w:p>
      <w:pPr>
        <w:pStyle w:val="Text2"/>
        <w:rPr>
          <w:bCs/>
          <w:noProof/>
        </w:rPr>
      </w:pPr>
      <w:r>
        <w:rPr>
          <w:noProof/>
        </w:rPr>
        <w:t>(aa) CPC de nivel 2 încalcă articolul 49 alineatul (1) dacă nu examinează periodic modelele și parametrii adoptați pentru calcularea cerințelor de marjă, a contribuțiilor la fondul de garantare, a cerințelor în materie de garanții sau a altor mecanisme de control al riscului, nu supun modelele unor teste de rezistență periodice și riguroase pentru a le evalua reziliența în condiții de piață extreme, dar plauzibile, nu efectuează testări ex post pentru a evalua fiabilitatea metodei adoptate, nu obțin validarea independentă sau nu informează ESMA în legătură cu rezultatele testelor efectuate pentru obținerea validării ESMA înainte de a adopta orice modificare semnificativă a modelelor sau parametrilor;</w:t>
      </w:r>
    </w:p>
    <w:p>
      <w:pPr>
        <w:pStyle w:val="Text2"/>
        <w:rPr>
          <w:bCs/>
          <w:noProof/>
        </w:rPr>
      </w:pPr>
      <w:r>
        <w:rPr>
          <w:noProof/>
        </w:rPr>
        <w:t>(bb) CPC de nivel 2 încalcă articolul 49 alineatul (2) dacă nu testează periodic aspectele esențiale ale procedurilor pentru situațiile de neîndeplinire a obligațiilor de plată sau nu iau toate măsurile rezonabile pentru a se asigura că toți membrii compensatori le înțeleg și dispun de mecanismele adecvate pentru a reacționa în eventualitatea apariției unei situații de neîndeplinire a obligațiilor de plată;</w:t>
      </w:r>
    </w:p>
    <w:p>
      <w:pPr>
        <w:pStyle w:val="Text2"/>
        <w:rPr>
          <w:bCs/>
          <w:noProof/>
        </w:rPr>
      </w:pPr>
      <w:r>
        <w:rPr>
          <w:noProof/>
        </w:rPr>
        <w:t>(cc) CPC de nivel 2 încalcă articolul 49 alineatul (1a) dacă adoptă modificări semnificative ale modelelor și parametrilor menționați la articolul 49 alineatul (1) înainte de a obține validarea de către ESMA a modificărilor respective;</w:t>
      </w:r>
    </w:p>
    <w:p>
      <w:pPr>
        <w:pStyle w:val="Text2"/>
        <w:rPr>
          <w:bCs/>
          <w:noProof/>
        </w:rPr>
      </w:pPr>
      <w:r>
        <w:rPr>
          <w:noProof/>
        </w:rPr>
        <w:t>(dd) CPC de nivel 2 încalcă articolul 50 alineatul (1) dacă nu utilizează, atunci când este practic și posibil, banii băncii centrale pentru decontarea tranzacțiilor sau nu iau măsuri pentru limitarea strictă a riscului decontării fondurilor bănești în cazurile în care nu sunt utilizați banii băncii centrale;</w:t>
      </w:r>
    </w:p>
    <w:p>
      <w:pPr>
        <w:pStyle w:val="Text2"/>
        <w:rPr>
          <w:bCs/>
          <w:noProof/>
        </w:rPr>
      </w:pPr>
      <w:r>
        <w:rPr>
          <w:noProof/>
        </w:rPr>
        <w:t>(ee) CPC de nivel 2 încalcă articolul 50 alineatul (3) dacă nu elimină principalele riscuri prin utilizarea mecanismelor „livrare contra plată”, în măsura posibilului, atunci când au obligația de a efectua sau primi livrări de instrumente financiare;</w:t>
      </w:r>
    </w:p>
    <w:p>
      <w:pPr>
        <w:pStyle w:val="Text2"/>
        <w:rPr>
          <w:bCs/>
          <w:noProof/>
        </w:rPr>
      </w:pPr>
      <w:r>
        <w:rPr>
          <w:noProof/>
        </w:rPr>
        <w:t>(ff) CPC de nivel 2 încalcă articolul 50a sau articolul 50b dacă nu calculează K</w:t>
      </w:r>
      <w:r>
        <w:rPr>
          <w:noProof/>
          <w:vertAlign w:val="subscript"/>
        </w:rPr>
        <w:t>CCP</w:t>
      </w:r>
      <w:r>
        <w:rPr>
          <w:noProof/>
        </w:rPr>
        <w:t xml:space="preserve"> astfel cum se specifică în respectivul articol sau dacă nu respectă normele pentru calculul K</w:t>
      </w:r>
      <w:r>
        <w:rPr>
          <w:noProof/>
          <w:vertAlign w:val="subscript"/>
        </w:rPr>
        <w:t>CCP</w:t>
      </w:r>
      <w:r>
        <w:rPr>
          <w:noProof/>
        </w:rPr>
        <w:t xml:space="preserve"> prevăzute la articolul 50a alineatul (2), la articolul 50b și la articolul 50d;</w:t>
      </w:r>
    </w:p>
    <w:p>
      <w:pPr>
        <w:pStyle w:val="Text2"/>
        <w:rPr>
          <w:bCs/>
          <w:noProof/>
        </w:rPr>
      </w:pPr>
      <w:r>
        <w:rPr>
          <w:noProof/>
        </w:rPr>
        <w:t>(gg) CPC de nivel 2 încalcă articolul 50a alineatul (3) dacă nu efectuează calculul K</w:t>
      </w:r>
      <w:r>
        <w:rPr>
          <w:noProof/>
          <w:vertAlign w:val="subscript"/>
        </w:rPr>
        <w:t>CCP</w:t>
      </w:r>
      <w:r>
        <w:rPr>
          <w:noProof/>
        </w:rPr>
        <w:t xml:space="preserve"> cel puțin trimestrial sau îl efectuează mai rar decât solicită ESMA în conformitate cu articolul 50a alineatul (3);</w:t>
      </w:r>
    </w:p>
    <w:p>
      <w:pPr>
        <w:pStyle w:val="Text2"/>
        <w:rPr>
          <w:bCs/>
          <w:noProof/>
        </w:rPr>
      </w:pPr>
      <w:r>
        <w:rPr>
          <w:noProof/>
        </w:rPr>
        <w:t>(hh) CPC de nivel 2 încalcă articolul 51 alineatul (2) dacă nu au acces nediscriminatoriu atât la datele de care au nevoie pentru îndeplinirea funcțiilor lor de la locul de tranzacționare respectiv, în măsura în care CPC respectă cerințele operaționale și tehnice stabilite de locul de tranzacționare, cât și la sistemul de decontare corespunzător;</w:t>
      </w:r>
    </w:p>
    <w:p>
      <w:pPr>
        <w:pStyle w:val="Text2"/>
        <w:rPr>
          <w:bCs/>
          <w:noProof/>
        </w:rPr>
      </w:pPr>
      <w:r>
        <w:rPr>
          <w:noProof/>
        </w:rPr>
        <w:t>(ii) CPC de nivel 2 încalcă articolul 52 alineatul (1) dacă încheie un acord de interoperabilitate fără să îndeplinească cerințele prevăzute la litera (a), litera (b), litera (c) și litera (d) de la respectivul alineat;</w:t>
      </w:r>
    </w:p>
    <w:p>
      <w:pPr>
        <w:pStyle w:val="Text2"/>
        <w:rPr>
          <w:bCs/>
          <w:noProof/>
        </w:rPr>
      </w:pPr>
      <w:r>
        <w:rPr>
          <w:noProof/>
        </w:rPr>
        <w:t>(jj) CPC de nivel 2 încalcă articolul 53 alineatul (1) dacă nu disting în conturile lor activele și pozițiile deținute pentru contul unei alte CPC cu care au încheiat un acord de interoperabilitate;</w:t>
      </w:r>
    </w:p>
    <w:p>
      <w:pPr>
        <w:pStyle w:val="Text2"/>
        <w:rPr>
          <w:bCs/>
          <w:noProof/>
        </w:rPr>
      </w:pPr>
      <w:r>
        <w:rPr>
          <w:noProof/>
        </w:rPr>
        <w:t>(kk) CPC de nivel 2 încalcă articolul 54 alineatul (1) dacă încheie un acord de interoperabilitate fără aprobarea prealabilă a ESMA;</w:t>
      </w:r>
    </w:p>
    <w:p>
      <w:pPr>
        <w:pStyle w:val="Text1"/>
        <w:rPr>
          <w:bCs/>
          <w:noProof/>
        </w:rPr>
      </w:pPr>
      <w:r>
        <w:rPr>
          <w:noProof/>
        </w:rPr>
        <w:t>IV.</w:t>
      </w:r>
      <w:r>
        <w:rPr>
          <w:noProof/>
        </w:rPr>
        <w:tab/>
        <w:t>Încălcări legate de transparență și disponibilitatea informațiilor:</w:t>
      </w:r>
    </w:p>
    <w:p>
      <w:pPr>
        <w:pStyle w:val="Text2"/>
        <w:rPr>
          <w:bCs/>
          <w:noProof/>
        </w:rPr>
      </w:pPr>
      <w:r>
        <w:rPr>
          <w:noProof/>
        </w:rPr>
        <w:t>(a) CPC de nivel 2 încalcă articolul 38 alineatul (1) dacă nu fac publice prețurile și comisioanele aferente fiecărui serviciu prestat separat, inclusiv reducerile și rabaturile și condițiile pentru a beneficia de acestea;</w:t>
      </w:r>
    </w:p>
    <w:p>
      <w:pPr>
        <w:pStyle w:val="Text2"/>
        <w:rPr>
          <w:bCs/>
          <w:noProof/>
        </w:rPr>
      </w:pPr>
      <w:r>
        <w:rPr>
          <w:noProof/>
        </w:rPr>
        <w:t>(b) CPC de nivel 2 încalcă articolul 38 alineatul (1) dacă nu pun informațiile privind costurile și veniturile aferente serviciilor prestate la dispoziția ESMA;</w:t>
      </w:r>
    </w:p>
    <w:p>
      <w:pPr>
        <w:pStyle w:val="Text2"/>
        <w:rPr>
          <w:bCs/>
          <w:noProof/>
        </w:rPr>
      </w:pPr>
      <w:r>
        <w:rPr>
          <w:noProof/>
        </w:rPr>
        <w:t>(c) CPC de nivel 2 încalcă articolul 38 alineatul (2) dacă nu informează membrii compensatori și clienții în legătură cu riscurile aferente serviciilor furnizate;</w:t>
      </w:r>
    </w:p>
    <w:p>
      <w:pPr>
        <w:pStyle w:val="Text2"/>
        <w:rPr>
          <w:bCs/>
          <w:noProof/>
        </w:rPr>
      </w:pPr>
      <w:r>
        <w:rPr>
          <w:noProof/>
        </w:rPr>
        <w:t>(d) CPC de nivel 2 încalcă articolul 38 alineatul (3) dacă nu pun la dispoziția membrilor compensatori sau a ESMA informațiile legate de prețuri utilizate la calcularea expunerilor la sfârșitul zilei față de membrii compensatori sau dacă nu fac public volumul agregat al tranzacțiilor compensate pentru fiecare instrument compensat de CPC în cauză;</w:t>
      </w:r>
    </w:p>
    <w:p>
      <w:pPr>
        <w:pStyle w:val="Text2"/>
        <w:rPr>
          <w:bCs/>
          <w:noProof/>
        </w:rPr>
      </w:pPr>
      <w:r>
        <w:rPr>
          <w:noProof/>
        </w:rPr>
        <w:t>(f) CPC de nivel 2 încalcă articolul 38 alineatul (4) dacă nu fac publice cerințele operaționale și tehnice legate de protocoalele de comunicare care cuprind conținutul și formatul mesajelor folosite pentru a interacționa cu părți terțe, inclusiv cerințele operaționale și tehnice menționate la articolul 7;</w:t>
      </w:r>
    </w:p>
    <w:p>
      <w:pPr>
        <w:pStyle w:val="Text2"/>
        <w:rPr>
          <w:bCs/>
          <w:noProof/>
        </w:rPr>
      </w:pPr>
      <w:r>
        <w:rPr>
          <w:noProof/>
        </w:rPr>
        <w:t>(g) CPC de nivel 2 încalcă articolul 38 alineatul (5) dacă nu fac publice situațiile de încălcare de către membrii compensatori a criteriilor menționate la articolul 37 alineatul (1) și a cerințelor prevăzute la articolul 38 alineatul (5), cu excepția cazurilor în care ESMA a considerat că divulgarea acestor informații ar putea constitui o amenințare la adresa stabilității financiare sau a încrederii în piețe sau ar pune grav în pericol piețele financiare ori ar cauza prejudicii disproporționate părților implicate;</w:t>
      </w:r>
    </w:p>
    <w:p>
      <w:pPr>
        <w:pStyle w:val="Text2"/>
        <w:rPr>
          <w:bCs/>
          <w:noProof/>
        </w:rPr>
      </w:pPr>
      <w:r>
        <w:rPr>
          <w:noProof/>
        </w:rPr>
        <w:t xml:space="preserve">(h) CPC de nivel 2 încalcă articolul 39 alineatul (7) dacă nu fac publice nivelurile de protecție și costurile aferente diferitelor niveluri de segregare pe care le oferă; </w:t>
      </w:r>
    </w:p>
    <w:p>
      <w:pPr>
        <w:pStyle w:val="Text2"/>
        <w:rPr>
          <w:bCs/>
          <w:noProof/>
        </w:rPr>
      </w:pPr>
      <w:r>
        <w:rPr>
          <w:noProof/>
        </w:rPr>
        <w:t>(i) CPC de nivel 2 încalcă articolul 49 alineatul (3) dacă nu fac publice informațiile esențiale referitoare la modelul de gestionare a riscurilor și la ipotezele adoptate pentru efectuarea testelor de rezistență menționate la articolul 49 alineatul (1);</w:t>
      </w:r>
    </w:p>
    <w:p>
      <w:pPr>
        <w:pStyle w:val="Text2"/>
        <w:rPr>
          <w:bCs/>
          <w:noProof/>
        </w:rPr>
      </w:pPr>
      <w:r>
        <w:rPr>
          <w:noProof/>
        </w:rPr>
        <w:t>(j) CPC de nivel 2 încalcă articolul 50 alineatul (2) dacă nu precizează cu claritate obligațiile proprii cu privire la livrările instrumentelor financiare, menționând inclusiv dacă au obligația de a efectua sau de a primi livrarea unui instrument financiar ori dacă despăgubesc participanții pentru pierderile suferite în cursul procesului de livrare;</w:t>
      </w:r>
    </w:p>
    <w:p>
      <w:pPr>
        <w:pStyle w:val="Text2"/>
        <w:rPr>
          <w:bCs/>
          <w:noProof/>
        </w:rPr>
      </w:pPr>
      <w:r>
        <w:rPr>
          <w:noProof/>
        </w:rPr>
        <w:t>(k) CPC de nivel 2 încalcă articolul 50c alineatul (1) dacă nu raportează informațiile menționate la articolul 50c alineatul (1) literele (a), (b), (c), (d) și (e) membrilor lor compensatori care sunt instituții sau autorităților competente ale acestora;</w:t>
      </w:r>
    </w:p>
    <w:p>
      <w:pPr>
        <w:pStyle w:val="Text2"/>
        <w:rPr>
          <w:bCs/>
          <w:noProof/>
        </w:rPr>
      </w:pPr>
      <w:r>
        <w:rPr>
          <w:noProof/>
        </w:rPr>
        <w:t>(l) CPC de nivel 2 încalcă articolul 50c alineatul (2) dacă nu transmit notificări membrilor lor compensatori care sunt instituții cel puțin trimestrial sau transmit notificări mai rar decât solicită ESMA în conformitate cu articolul 50c alineatul (2);</w:t>
      </w:r>
    </w:p>
    <w:p>
      <w:pPr>
        <w:pStyle w:val="Text1"/>
        <w:rPr>
          <w:bCs/>
          <w:noProof/>
        </w:rPr>
      </w:pPr>
      <w:r>
        <w:rPr>
          <w:noProof/>
        </w:rPr>
        <w:t>V.</w:t>
      </w:r>
      <w:r>
        <w:rPr>
          <w:noProof/>
        </w:rPr>
        <w:tab/>
        <w:t>Încălcări legate de obstacolele din calea activităților de supraveghere:</w:t>
      </w:r>
    </w:p>
    <w:p>
      <w:pPr>
        <w:pStyle w:val="Text2"/>
        <w:rPr>
          <w:bCs/>
          <w:noProof/>
        </w:rPr>
      </w:pPr>
      <w:r>
        <w:rPr>
          <w:noProof/>
        </w:rPr>
        <w:t>(a) CPC încalcă articolul 25c prin faptul că furnizează informații incorecte sau care induc în eroare drept răspuns la o cerere simplă de informații înaintată de ESMA în temeiul articolului 25c sau la o decizie a ESMA prin care se solicită furnizarea de informații în temeiul articolului 25n;</w:t>
      </w:r>
    </w:p>
    <w:p>
      <w:pPr>
        <w:pStyle w:val="Text2"/>
        <w:rPr>
          <w:bCs/>
          <w:noProof/>
        </w:rPr>
      </w:pPr>
      <w:r>
        <w:rPr>
          <w:noProof/>
        </w:rPr>
        <w:t>(b) CPC oferă răspunsuri incorecte sau care induc în eroare la întrebările adresate în temeiul articolului 25d alineatul (1) litera (d);</w:t>
      </w:r>
    </w:p>
    <w:p>
      <w:pPr>
        <w:pStyle w:val="Text2"/>
        <w:rPr>
          <w:bCs/>
          <w:noProof/>
        </w:rPr>
      </w:pPr>
      <w:r>
        <w:rPr>
          <w:noProof/>
        </w:rPr>
        <w:t>(c) CPC de nivel 2 nu se conformează în termenul stabilit unei măsuri de supraveghere adoptate de ESMA în temeiul articolului 25n;</w:t>
      </w:r>
    </w:p>
    <w:p>
      <w:pPr>
        <w:pStyle w:val="Text2"/>
        <w:rPr>
          <w:bCs/>
          <w:noProof/>
        </w:rPr>
      </w:pPr>
      <w:r>
        <w:rPr>
          <w:noProof/>
        </w:rPr>
        <w:t>(d) CPC de nivel 2 nu se supun unei inspecții la fața locului impuse prin intermediul unei decizii de investigație adoptate de ESMA în conformitate cu articolul 25e.”</w:t>
      </w:r>
    </w:p>
    <w:p>
      <w:pPr>
        <w:pStyle w:val="Text1"/>
        <w:jc w:val="center"/>
        <w:rPr>
          <w:noProof/>
        </w:rPr>
      </w:pPr>
    </w:p>
    <w:p>
      <w:pPr>
        <w:pStyle w:val="NumPar1"/>
        <w:rPr>
          <w:bCs/>
          <w:noProof/>
        </w:rPr>
      </w:pPr>
      <w:r>
        <w:rPr>
          <w:noProof/>
        </w:rPr>
        <w:t>Se introduce următoarea anexă IV:</w:t>
      </w:r>
    </w:p>
    <w:p>
      <w:pPr>
        <w:pStyle w:val="NumPar1"/>
        <w:keepNext/>
        <w:numPr>
          <w:ilvl w:val="0"/>
          <w:numId w:val="0"/>
        </w:numPr>
        <w:ind w:left="851"/>
        <w:jc w:val="center"/>
        <w:rPr>
          <w:noProof/>
        </w:rPr>
      </w:pPr>
      <w:r>
        <w:rPr>
          <w:noProof/>
        </w:rPr>
        <w:t>„ANEXA IV</w:t>
      </w:r>
    </w:p>
    <w:p>
      <w:pPr>
        <w:pStyle w:val="Text1"/>
        <w:jc w:val="center"/>
        <w:rPr>
          <w:rFonts w:eastAsia="Times New Roman"/>
          <w:bCs/>
          <w:noProof/>
          <w:color w:val="000000"/>
          <w:szCs w:val="24"/>
        </w:rPr>
      </w:pPr>
      <w:r>
        <w:rPr>
          <w:noProof/>
          <w:color w:val="000000"/>
        </w:rPr>
        <w:t>Lista coeficienților legați de anumite circumstanțe agravante sau atenuante, în vederea aplicării articolului 25g alineatul (3)</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Următorii coeficienți se aplică în mod cumulativ la cuantumurile de bază menționate la articolul 25g alineatul (2):</w:t>
      </w:r>
    </w:p>
    <w:p>
      <w:pPr>
        <w:pStyle w:val="Text1"/>
        <w:rPr>
          <w:bCs/>
          <w:noProof/>
        </w:rPr>
      </w:pPr>
      <w:r>
        <w:rPr>
          <w:noProof/>
        </w:rPr>
        <w:t>I.</w:t>
      </w:r>
      <w:r>
        <w:rPr>
          <w:noProof/>
        </w:rPr>
        <w:tab/>
        <w:t>Coeficienți de ajustare legați de circumstanțe agravante:</w:t>
      </w:r>
    </w:p>
    <w:p>
      <w:pPr>
        <w:pStyle w:val="Text2"/>
        <w:rPr>
          <w:bCs/>
          <w:noProof/>
        </w:rPr>
      </w:pPr>
      <w:r>
        <w:rPr>
          <w:noProof/>
        </w:rPr>
        <w:t>(a) în cazul în care încălcarea a fost săvârșită în mod repetat, se aplică un coeficient suplimentar de 1,1 pentru fiecare dată când a fost repetată;</w:t>
      </w:r>
    </w:p>
    <w:p>
      <w:pPr>
        <w:pStyle w:val="Text2"/>
        <w:rPr>
          <w:bCs/>
          <w:noProof/>
        </w:rPr>
      </w:pPr>
      <w:r>
        <w:rPr>
          <w:noProof/>
        </w:rPr>
        <w:t>(b) în cazul în care încălcarea a fost săvârșită pe o perioadă mai mare de șase luni, se aplică un coeficient de 1,5;</w:t>
      </w:r>
    </w:p>
    <w:p>
      <w:pPr>
        <w:pStyle w:val="Text2"/>
        <w:rPr>
          <w:rFonts w:eastAsia="Times New Roman"/>
          <w:noProof/>
          <w:color w:val="000000"/>
          <w:szCs w:val="24"/>
        </w:rPr>
      </w:pPr>
      <w:r>
        <w:rPr>
          <w:noProof/>
          <w:color w:val="000000"/>
        </w:rPr>
        <w:t>(c) în cazul în care încălcarea a evidențiat deficiențe sistemice în organizarea CPC, în special în ceea ce privește procedurile, sistemele de gestionare sau mecanismele de control intern, se aplică un coeficient de 2,2;</w:t>
      </w:r>
    </w:p>
    <w:p>
      <w:pPr>
        <w:pStyle w:val="Text2"/>
        <w:rPr>
          <w:rFonts w:eastAsia="Times New Roman"/>
          <w:noProof/>
          <w:color w:val="000000"/>
          <w:sz w:val="22"/>
          <w:szCs w:val="24"/>
        </w:rPr>
      </w:pPr>
      <w:r>
        <w:rPr>
          <w:noProof/>
          <w:color w:val="000000"/>
        </w:rPr>
        <w:t>(d) în cazul în care încălcarea are un impact negativ asupra calității activităților și serviciilor CPC, se aplică un coeficient de 1,5;</w:t>
      </w:r>
    </w:p>
    <w:p>
      <w:pPr>
        <w:pStyle w:val="Text2"/>
        <w:rPr>
          <w:rFonts w:eastAsia="Times New Roman"/>
          <w:noProof/>
          <w:color w:val="000000"/>
          <w:sz w:val="22"/>
          <w:szCs w:val="24"/>
        </w:rPr>
      </w:pPr>
      <w:r>
        <w:rPr>
          <w:noProof/>
          <w:color w:val="000000"/>
        </w:rPr>
        <w:t>(e) în cazul în care încălcarea a fost săvârșită în mod intenționat, se aplică un coeficient de 2;</w:t>
      </w:r>
    </w:p>
    <w:p>
      <w:pPr>
        <w:pStyle w:val="Text2"/>
        <w:rPr>
          <w:rFonts w:eastAsia="Times New Roman"/>
          <w:noProof/>
          <w:color w:val="000000"/>
          <w:sz w:val="22"/>
          <w:szCs w:val="24"/>
        </w:rPr>
      </w:pPr>
      <w:r>
        <w:rPr>
          <w:noProof/>
        </w:rPr>
        <w:t>(f) în cazul în care nu s-a luat nicio măsură corectoare după ce s-a identificat încălcarea, se aplică un coeficient de 1,7;</w:t>
      </w:r>
    </w:p>
    <w:p>
      <w:pPr>
        <w:pStyle w:val="Text2"/>
        <w:rPr>
          <w:bCs/>
          <w:noProof/>
        </w:rPr>
      </w:pPr>
      <w:r>
        <w:rPr>
          <w:noProof/>
        </w:rPr>
        <w:t>(g) în cazul în care personalul de conducere al CPC nu a cooperat cu ESMA în cadrul desfășurării investigațiilor acesteia, se aplică un coeficient de 1,5.</w:t>
      </w:r>
    </w:p>
    <w:p>
      <w:pPr>
        <w:pStyle w:val="Text1"/>
        <w:rPr>
          <w:bCs/>
          <w:noProof/>
        </w:rPr>
      </w:pPr>
      <w:r>
        <w:rPr>
          <w:noProof/>
        </w:rPr>
        <w:t>II.</w:t>
      </w:r>
      <w:r>
        <w:rPr>
          <w:noProof/>
        </w:rPr>
        <w:tab/>
        <w:t>Coeficienți de ajustare legați de circumstanțe atenuante:</w:t>
      </w:r>
    </w:p>
    <w:p>
      <w:pPr>
        <w:pStyle w:val="Text2"/>
        <w:rPr>
          <w:bCs/>
          <w:noProof/>
        </w:rPr>
      </w:pPr>
      <w:r>
        <w:rPr>
          <w:noProof/>
        </w:rPr>
        <w:t>(a) în cazul în care încălcarea a fost săvârșită timp de mai puțin de 10 zile lucrătoare, se aplică un coeficient de 0,9;</w:t>
      </w:r>
    </w:p>
    <w:p>
      <w:pPr>
        <w:pStyle w:val="Text2"/>
        <w:rPr>
          <w:rFonts w:eastAsia="Times New Roman"/>
          <w:noProof/>
          <w:color w:val="000000"/>
          <w:szCs w:val="24"/>
        </w:rPr>
      </w:pPr>
      <w:r>
        <w:rPr>
          <w:noProof/>
        </w:rPr>
        <w:t>(b) în cazul în care personalul de conducere al CPC poate demonstra că a luat toate măsurile necesare pentru a preveni încălcarea, se aplică un coeficient de 0,7;</w:t>
      </w:r>
    </w:p>
    <w:p>
      <w:pPr>
        <w:pStyle w:val="Text2"/>
        <w:rPr>
          <w:rFonts w:eastAsia="Times New Roman"/>
          <w:noProof/>
          <w:color w:val="000000"/>
          <w:szCs w:val="24"/>
        </w:rPr>
      </w:pPr>
      <w:r>
        <w:rPr>
          <w:noProof/>
        </w:rPr>
        <w:t>(c) în cazul în care CPC a furnizat ESMA, fără întârziere și în mod eficace, informații complete cu privire la încălcare, se aplică un coeficient de 0,4;</w:t>
      </w:r>
    </w:p>
    <w:p>
      <w:pPr>
        <w:pStyle w:val="Text2"/>
        <w:rPr>
          <w:bCs/>
          <w:noProof/>
        </w:rPr>
      </w:pPr>
      <w:r>
        <w:rPr>
          <w:noProof/>
        </w:rPr>
        <w:t>(d) în cazul în care CPC a luat de bunăvoie măsuri pentru a se asigura că astfel de încălcări nu mai pot fi săvârșite în viitor, se aplică un coeficient de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a Propunerea de"/>
    <w:docVar w:name="LW_ANNEX_NBR_FIRST" w:val="1"/>
    <w:docVar w:name="LW_ANNEX_NBR_LAST" w:val="1"/>
    <w:docVar w:name="LW_CONFIDENCE" w:val=" "/>
    <w:docVar w:name="LW_CONST_RESTREINT_UE" w:val="RESTREINT UE"/>
    <w:docVar w:name="LW_CORRIGENDUM" w:val="&lt;UNUSED&gt;"/>
    <w:docVar w:name="LW_COVERPAGE_GUID" w:val="27BDDE4655CB4BE7929B247D2B3465F8"/>
    <w:docVar w:name="LW_CROSSREFERENCE" w:val="{SWD(2017) 246 final}_x000b_{SWD(2017) 247 final}"/>
    <w:docVar w:name="LW_DocType" w:val="NORMAL"/>
    <w:docVar w:name="LW_EMISSION" w:val="13.6.2017"/>
    <w:docVar w:name="LW_EMISSION_ISODATE" w:val="2017-06-13"/>
    <w:docVar w:name="LW_EMISSION_LOCATION" w:val="BRX"/>
    <w:docVar w:name="LW_EMISSION_PREFIX" w:val="Bruxelles, "/>
    <w:docVar w:name="LW_EMISSION_SUFFIX" w:val=" "/>
    <w:docVar w:name="LW_ID_DOCTYPE_NONLW" w:val="CP-036"/>
    <w:docVar w:name="LW_LANGUE" w:val="RO"/>
    <w:docVar w:name="LW_MARKING" w:val="&lt;UNUSED&gt;"/>
    <w:docVar w:name="LW_NOM.INST" w:val="COMISIA EUROPEAN\u258?"/>
    <w:docVar w:name="LW_NOM.INST_JOINTDOC" w:val="&lt;EMPTY&gt;"/>
    <w:docVar w:name="LW_OBJETACTEPRINCIPAL.CP" w:val="de modificare a Regulamentului (UE) nr. 1095/2010 de instituire a Autorit\u259?\u539?ii europene de supraveghere (Autoritatea european\u259? pentru valori mobiliare \u537?i pie\u539?e) \u537?i a Regulamentului (UE) nr. 648/2012 în ceea ce prive\u537?te procedurile \u537?i autorit\u259?\u539?ile implicate în autorizarea contrap\u259?r\u539?ilor centrale \u537?i cerin\u539?ele pentru recunoa\u537?terea contrap\u259?r\u539?ilor centrale din \u539?\u259?ri ter\u539?e_x000b_"/>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ANEX\u258?_x000b_"/>
    <w:docVar w:name="LW_TYPEACTEPRINCIPAL.CP" w:val="REGULAMENT AL PARLAMENTULUI EUROPEAN \u536?I AL CONSILIULUI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4805</Words>
  <Characters>26191</Characters>
  <Application>Microsoft Office Word</Application>
  <DocSecurity>0</DocSecurity>
  <Lines>459</Lines>
  <Paragraphs>131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15</cp:revision>
  <dcterms:created xsi:type="dcterms:W3CDTF">2017-06-12T09:57:00Z</dcterms:created>
  <dcterms:modified xsi:type="dcterms:W3CDTF">2017-07-14T07:17:00Z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