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D8B9924FD57438F993BA0B41B55BFB4" style="width:450.75pt;height:48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MELLÉKLET</w:t>
      </w:r>
    </w:p>
    <w:p>
      <w:pPr>
        <w:pStyle w:val="Text1"/>
        <w:rPr>
          <w:noProof/>
        </w:rPr>
      </w:pPr>
      <w:r>
        <w:rPr>
          <w:noProof/>
        </w:rPr>
        <w:t>A 648/2012/EU rendelet a következő III. és IV. melléklettel egészül ki.</w:t>
      </w:r>
    </w:p>
    <w:p>
      <w:pPr>
        <w:pStyle w:val="NormalCentered"/>
        <w:rPr>
          <w:noProof/>
        </w:rPr>
      </w:pPr>
      <w:r>
        <w:rPr>
          <w:noProof/>
        </w:rPr>
        <w:t>„III. MELLÉKLET</w:t>
      </w:r>
    </w:p>
    <w:p>
      <w:pPr>
        <w:pStyle w:val="NormalCentered"/>
        <w:rPr>
          <w:bCs/>
          <w:noProof/>
        </w:rPr>
      </w:pPr>
      <w:r>
        <w:rPr>
          <w:noProof/>
        </w:rPr>
        <w:t>A 25g. cikk (1) bekezdésében említett jogsértések listája</w:t>
      </w:r>
    </w:p>
    <w:p>
      <w:pPr>
        <w:pStyle w:val="Text1"/>
        <w:rPr>
          <w:bCs/>
          <w:noProof/>
        </w:rPr>
      </w:pPr>
      <w:r>
        <w:rPr>
          <w:noProof/>
        </w:rPr>
        <w:t>I.</w:t>
      </w:r>
      <w:r>
        <w:rPr>
          <w:noProof/>
        </w:rPr>
        <w:tab/>
        <w:t>A tőkekövetelményekhez kapcsolódó jogsértések:</w:t>
      </w:r>
    </w:p>
    <w:p>
      <w:pPr>
        <w:pStyle w:val="Text2"/>
        <w:rPr>
          <w:bCs/>
          <w:noProof/>
        </w:rPr>
      </w:pPr>
      <w:r>
        <w:rPr>
          <w:noProof/>
        </w:rPr>
        <w:t>a) a 2. szintű központi szerződő fél megsérti a 16. cikk (1) bekezdését azáltal, hogy nem rendelkezik legalább 7,5 millió EUR összegű állandó és rendelkezésre álló indulótőkével;</w:t>
      </w:r>
    </w:p>
    <w:p>
      <w:pPr>
        <w:pStyle w:val="Text2"/>
        <w:rPr>
          <w:bCs/>
          <w:noProof/>
        </w:rPr>
      </w:pPr>
      <w:r>
        <w:rPr>
          <w:noProof/>
        </w:rPr>
        <w:t>b) a 2. szintű központi szerződő fél megsérti a 16. cikk (2) bekezdését azáltal, hogy nem rendelkezik olyan összegű tőkével – beleértve az eredménytartalékokat és a tartalékokat is –, amely arányban áll a tevékenységeiből eredő kockázattal, és mindenkor elegendő annak biztosítására, hogy a tevékenységek felszámolása vagy átstrukturálása megfelelő időn belül, rendezett módon megvalósulhasson, valamint hogy a központi szerződő fél kellően feltőkésített legyen mindazon hitel-, partner-, piaci, működési, jogi és üzleti kockázatokkal szemben, amelyeket nem fedeznek a 41–44. cikkben említett célirányos pénzügyi források.</w:t>
      </w:r>
    </w:p>
    <w:p>
      <w:pPr>
        <w:pStyle w:val="Text1"/>
        <w:rPr>
          <w:bCs/>
          <w:noProof/>
        </w:rPr>
      </w:pPr>
      <w:r>
        <w:rPr>
          <w:noProof/>
        </w:rPr>
        <w:t>II.</w:t>
      </w:r>
      <w:r>
        <w:rPr>
          <w:noProof/>
        </w:rPr>
        <w:tab/>
        <w:t>Szervezeti követelményekkel, illetve összeférhetetlenséggel kapcsolatos jogsértések:</w:t>
      </w:r>
    </w:p>
    <w:p>
      <w:pPr>
        <w:pStyle w:val="Text2"/>
        <w:rPr>
          <w:bCs/>
          <w:noProof/>
        </w:rPr>
      </w:pPr>
      <w:r>
        <w:rPr>
          <w:noProof/>
        </w:rPr>
        <w:t>a)</w:t>
      </w:r>
      <w:r>
        <w:rPr>
          <w:noProof/>
        </w:rPr>
        <w:tab/>
        <w:t>a 2. szintű központi szerződő fél megsérti a 26. cikk (1) bekezdését, azáltal, hogy nem rendelkezik olyan megbízható vállalatirányítási rendszerrel, amely magában foglalja a következőket: egymástól jól elhatárolt, átlátható és következetes felelősségi köröket előíró áttekinthető szervezeti felépítés, hatékony eljárások azoknak a kockázatoknak az azonosítására, kezelésére, felügyeletére és jelentésére, amelyeknek a központi szerződő fél ki van vagy ki lehet téve, valamint megbízható adminisztratív és számviteli eljárásokat is tartalmazó megfelelő belső ellenőrzési mechanizmusok;</w:t>
      </w:r>
    </w:p>
    <w:p>
      <w:pPr>
        <w:pStyle w:val="Text2"/>
        <w:rPr>
          <w:bCs/>
          <w:noProof/>
        </w:rPr>
      </w:pPr>
      <w:r>
        <w:rPr>
          <w:noProof/>
        </w:rPr>
        <w:t>b)</w:t>
      </w:r>
      <w:r>
        <w:rPr>
          <w:noProof/>
        </w:rPr>
        <w:tab/>
        <w:t>a 2. szintű központi szerződő fél megsérti a 26. cikk (2) bekezdését, azáltal, hogy nem fogad el olyan megfelelő szabályzatokat és eljárásokat, amelyek kellően hatékonyak az e rendeletnek való megfelelés biztosítására, ideértve vezetői és alkalmazottai megfelelését e rendelet valamennyi rendelkezésének;</w:t>
      </w:r>
    </w:p>
    <w:p>
      <w:pPr>
        <w:pStyle w:val="Text2"/>
        <w:rPr>
          <w:bCs/>
          <w:noProof/>
        </w:rPr>
      </w:pPr>
      <w:r>
        <w:rPr>
          <w:noProof/>
        </w:rPr>
        <w:t>c)</w:t>
      </w:r>
      <w:r>
        <w:rPr>
          <w:noProof/>
        </w:rPr>
        <w:tab/>
        <w:t>a 2. szintű központi szerződő fél megsérti a 26. cikk (3) bekezdését, azáltal, hogy nem tart fenn, illetve nem működtet olyan szervezeti struktúrát, amely biztosítja szolgáltatásainak és tevékenységeinek folyamatosságát és szabályos működését, illetőleg nem alkalmaz megfelelő és arányos rendszereket, erőforrásokat vagy eljárásokat;</w:t>
      </w:r>
    </w:p>
    <w:p>
      <w:pPr>
        <w:pStyle w:val="Text2"/>
        <w:rPr>
          <w:bCs/>
          <w:noProof/>
        </w:rPr>
      </w:pPr>
      <w:r>
        <w:rPr>
          <w:noProof/>
        </w:rPr>
        <w:t>d)</w:t>
      </w:r>
      <w:r>
        <w:rPr>
          <w:noProof/>
        </w:rPr>
        <w:tab/>
        <w:t>a 2. szintű központi szerződő fél megsérti a 26. cikk (4) bekezdését azáltal, hogy nem választja el egymástól egyértelműen a kockázatkezelési beszámolási láncot és a működésének más területei tekintetében érvényes beszámolási láncot;</w:t>
      </w:r>
    </w:p>
    <w:p>
      <w:pPr>
        <w:pStyle w:val="Text2"/>
        <w:rPr>
          <w:bCs/>
          <w:noProof/>
        </w:rPr>
      </w:pPr>
      <w:r>
        <w:rPr>
          <w:noProof/>
        </w:rPr>
        <w:t>e)</w:t>
      </w:r>
      <w:r>
        <w:rPr>
          <w:noProof/>
        </w:rPr>
        <w:tab/>
        <w:t>a 2. szintű központi szerződő fél megsérti a 26. cikk (5) bekezdését azáltal, hogy nem fogad el, hajt végre vagy tart fenn olyan javadalmazási politikát, amely elősegíti a hatékony és eredményes kockázatkezelést, amely nem hoz létre a kockázati előírások lazítása irányába ható ösztönzőket;</w:t>
      </w:r>
    </w:p>
    <w:p>
      <w:pPr>
        <w:pStyle w:val="Text2"/>
        <w:rPr>
          <w:bCs/>
          <w:noProof/>
        </w:rPr>
      </w:pPr>
      <w:r>
        <w:rPr>
          <w:noProof/>
        </w:rPr>
        <w:t>f)</w:t>
      </w:r>
      <w:r>
        <w:rPr>
          <w:noProof/>
        </w:rPr>
        <w:tab/>
        <w:t>a 2. szintű központi szerződő fél megsérti a 26. cikk (6) bekezdését azáltal, hogy nem tart fenn az általa nyújtott szolgáltatások és végzett tevékenységek komplexitásának, változatosságának és jellegének kezelésére alkalmas információtechnológiai rendszereket szigorú biztonsági előírások, valamint a kezelt információk integritásának és bizalmas jellegének biztosítása érdekében;</w:t>
      </w:r>
    </w:p>
    <w:p>
      <w:pPr>
        <w:pStyle w:val="Text2"/>
        <w:rPr>
          <w:bCs/>
          <w:noProof/>
        </w:rPr>
      </w:pPr>
      <w:r>
        <w:rPr>
          <w:noProof/>
        </w:rPr>
        <w:t>g)</w:t>
      </w:r>
      <w:r>
        <w:rPr>
          <w:noProof/>
        </w:rPr>
        <w:tab/>
        <w:t>a 2. szintű központi szerződő fél megsérti a 26. cikk (7) bekezdését azáltal, hogy nem teszi nyilvánosan és ingyenesen hozzáférhetővé irányítási rendszerét, a rá irányadó szabályokat és a klíringtagság felvételi kritériumait;</w:t>
      </w:r>
    </w:p>
    <w:p>
      <w:pPr>
        <w:pStyle w:val="Text2"/>
        <w:rPr>
          <w:bCs/>
          <w:noProof/>
        </w:rPr>
      </w:pPr>
      <w:r>
        <w:rPr>
          <w:noProof/>
        </w:rPr>
        <w:t>h)</w:t>
      </w:r>
      <w:r>
        <w:rPr>
          <w:noProof/>
        </w:rPr>
        <w:tab/>
        <w:t>a 2. szintű központi szerződő fél megsérti a 26. cikk (8) bekezdését azáltal, hogy nem képezi gyakori független audit tárgyát, vagy az említett auditok eredményeit nem közli az igazgatósággal, vagy az eredményeket nem bocsátja az Európai Értékpapírpiaci Hatóság rendelkezésére;</w:t>
      </w:r>
    </w:p>
    <w:p>
      <w:pPr>
        <w:pStyle w:val="Text2"/>
        <w:rPr>
          <w:bCs/>
          <w:noProof/>
        </w:rPr>
      </w:pPr>
      <w:r>
        <w:rPr>
          <w:noProof/>
        </w:rPr>
        <w:t>i)</w:t>
      </w:r>
      <w:r>
        <w:rPr>
          <w:noProof/>
        </w:rPr>
        <w:tab/>
        <w:t>a 2. szintű központi szerződő fél megsérti a 27. cikk (1) bekezdését vagy a 27. cikk (2) bekezdésének második albekezdését, mivel nem ügyel arra, hogy stabil és prudens irányításának biztosítása érdekében a felső vezetés és az igazgatóság tagjai kellően jó hírnévvel és elegendő tapasztalattal rendelkezzenek;</w:t>
      </w:r>
    </w:p>
    <w:p>
      <w:pPr>
        <w:pStyle w:val="Text2"/>
        <w:rPr>
          <w:bCs/>
          <w:noProof/>
        </w:rPr>
      </w:pPr>
      <w:r>
        <w:rPr>
          <w:noProof/>
        </w:rPr>
        <w:t>j)</w:t>
      </w:r>
      <w:r>
        <w:rPr>
          <w:noProof/>
        </w:rPr>
        <w:tab/>
        <w:t>a 2. szintű központi szerződő fél megsérti a 27. cikk (2) bekezdését, mivel nem biztosítja, hogy az igazgatóság tagjainak legalább egyharmada, de legalább két tag független legyen, vagy hogy a klíringtagok ügyfeleinek képviselőit meghívják a 38. és 39. cikk hatálya alá tartozó ügyekkel kapcsolatos igazgatósági ülésekre, vagy a központi szerződő fél független és más, nem ügyvezető funkciót betöltő tagjainak díjazását a központi szerződő fél üzleti teljesítményéhez köti;</w:t>
      </w:r>
    </w:p>
    <w:p>
      <w:pPr>
        <w:pStyle w:val="Text2"/>
        <w:rPr>
          <w:bCs/>
          <w:noProof/>
        </w:rPr>
      </w:pPr>
      <w:r>
        <w:rPr>
          <w:noProof/>
        </w:rPr>
        <w:t>k)</w:t>
      </w:r>
      <w:r>
        <w:rPr>
          <w:noProof/>
        </w:rPr>
        <w:tab/>
        <w:t>a 2. szintű központi szerződő fél megsérti a 27. cikk (3) bekezdését azáltal, hogy nem határozza meg egyértelműen az igazgatóság szerepét és felelősségi körét, vagy az igazgatóság ülésének jegyzőkönyvét nem bocsátja az Európai Értékpapírpiaci Hatóság vagy az ellenőrök rendelkezésére;</w:t>
      </w:r>
    </w:p>
    <w:p>
      <w:pPr>
        <w:pStyle w:val="Text2"/>
        <w:rPr>
          <w:bCs/>
          <w:noProof/>
        </w:rPr>
      </w:pPr>
      <w:r>
        <w:rPr>
          <w:noProof/>
        </w:rPr>
        <w:t>l)</w:t>
      </w:r>
      <w:r>
        <w:rPr>
          <w:noProof/>
        </w:rPr>
        <w:tab/>
        <w:t>a 2. szintű központi szerződő fél megsérti a 28. cikk (1) bekezdését azáltal, hogy nem hoz létre kockázatkezelési bizottságot, vagy a kockázatkezelési bizottságot nem klíringtagjaiból, a független igazgatósági tagokból és a központi szerződő fél ügyfeleinek képviselőiből állítja össze; vagy a kockázatkezelési bizottságot oly módon hozza létre, hogy a képviselők valamely említett csoportja többséget alkot a kockázatkezelési bizottságban; vagy ha nem tájékoztatja megfelelően az Európai Értékpapírpiaci Hatóságot a kockázatkezelési bizottság azon tevékenységeiről és határozatairól, amelyek kapcsán az Európai Értékpapírpiaci Hatóság megfelelő tájékoztatást kért;</w:t>
      </w:r>
    </w:p>
    <w:p>
      <w:pPr>
        <w:pStyle w:val="Text2"/>
        <w:rPr>
          <w:bCs/>
          <w:noProof/>
        </w:rPr>
      </w:pPr>
      <w:r>
        <w:rPr>
          <w:noProof/>
        </w:rPr>
        <w:t>m)</w:t>
      </w:r>
      <w:r>
        <w:rPr>
          <w:noProof/>
        </w:rPr>
        <w:tab/>
        <w:t>a 2. szintű központi szerződő fél megsérti a 28. cikk (2) bekezdését azáltal, hogy nem határozza meg egyértelműen megbízatását és a függetlenségét biztosító irányítási rendelkezéseket, az operatív eljárásokat, a kockázatkezelési bizottság tagjaira vonatkozó felvételi kritériumokat vagy kiválasztási mechanizmust, vagy nem teszi nyilvánosan hozzáférhetővé ezeket az irányítási rendelkezéseket, vagy nem határozza meg, hogy a kockázatkezelési bizottság elnökségét egy független igazgatósági tag látja el, a bizottság közvetlenül az igazgatóságnak tartozik beszámolni, és rendszeresen ülésezik;</w:t>
      </w:r>
    </w:p>
    <w:p>
      <w:pPr>
        <w:pStyle w:val="Text2"/>
        <w:rPr>
          <w:bCs/>
          <w:noProof/>
        </w:rPr>
      </w:pPr>
      <w:r>
        <w:rPr>
          <w:noProof/>
        </w:rPr>
        <w:t>n)</w:t>
      </w:r>
      <w:r>
        <w:rPr>
          <w:noProof/>
        </w:rPr>
        <w:tab/>
        <w:t>a 2. szintű központi szerződő fél megsérti a 28. cikk (3) bekezdését, mivel nem teszi lehetővé a kockázatkezelési bizottság számára, hogy tanáccsal lássa el az igazgatóságot olyan intézkedésekkel összefüggésben, amelyek hatással lehetnek a központi szerződő fél kockázatkezelésére, vagy vészhelyzetben nem tesz észszerű erőfeszítéseket a kockázatkezelési bizottsággal való konzultációra a központi szerződő fél kockázatkezelésére hatást gyakorló fejleményekkel kapcsolatban;</w:t>
      </w:r>
    </w:p>
    <w:p>
      <w:pPr>
        <w:pStyle w:val="Text2"/>
        <w:rPr>
          <w:bCs/>
          <w:noProof/>
        </w:rPr>
      </w:pPr>
      <w:r>
        <w:rPr>
          <w:noProof/>
        </w:rPr>
        <w:t>o)</w:t>
      </w:r>
      <w:r>
        <w:rPr>
          <w:noProof/>
        </w:rPr>
        <w:tab/>
        <w:t>a 2. szintű központi szerződő fél megsérti a 28. cikk (5) bekezdését azáltal, hogy nem tájékoztatja haladéktalanul az Európai Értékpapírpiaci Hatóságot minden olyan döntésről, amelyben az igazgatóság nem követi a kockázatkezelési bizottság tanácsát;</w:t>
      </w:r>
    </w:p>
    <w:p>
      <w:pPr>
        <w:pStyle w:val="Text2"/>
        <w:rPr>
          <w:bCs/>
          <w:noProof/>
        </w:rPr>
      </w:pPr>
      <w:r>
        <w:rPr>
          <w:noProof/>
        </w:rPr>
        <w:t>p)</w:t>
      </w:r>
      <w:r>
        <w:rPr>
          <w:noProof/>
        </w:rPr>
        <w:tab/>
        <w:t>a 2. szintű központi szerződő fél megsérti a 29. cikk (1) bekezdését azáltal, hogy nem őrzi meg legalább tíz éven keresztül az általa nyújtott szolgáltatásokra és végzett tevékenységekre vonatkozó azon adatokat, amelyek szükségesek ahhoz, hogy az Európai Értékpapírpiaci Hatóság ellenőrizhesse a központi szerződő fél e rendeletnek való megfelelését;</w:t>
      </w:r>
    </w:p>
    <w:p>
      <w:pPr>
        <w:pStyle w:val="Text2"/>
        <w:rPr>
          <w:bCs/>
          <w:noProof/>
        </w:rPr>
      </w:pPr>
      <w:r>
        <w:rPr>
          <w:noProof/>
        </w:rPr>
        <w:t>q)</w:t>
      </w:r>
      <w:r>
        <w:rPr>
          <w:noProof/>
        </w:rPr>
        <w:tab/>
        <w:t>a 2. szintű központi szerződő fél megsérti a 29. cikk (2) bekezdését azáltal, hogy egy ügylet lezárását követően nem őrzi meg legalább tíz éven keresztül az általa feldolgozott ügyletre vonatkozó valamennyi információt úgy, hogy lehetséges legyen a tranzakció eredeti, a központi szerződő fél általi elszámolást megelőző feltételeinek azonosítása;</w:t>
      </w:r>
    </w:p>
    <w:p>
      <w:pPr>
        <w:pStyle w:val="Text2"/>
        <w:rPr>
          <w:bCs/>
          <w:noProof/>
        </w:rPr>
      </w:pPr>
      <w:r>
        <w:rPr>
          <w:noProof/>
        </w:rPr>
        <w:t>r)</w:t>
      </w:r>
      <w:r>
        <w:rPr>
          <w:noProof/>
        </w:rPr>
        <w:tab/>
        <w:t>a 2. szintű központi szerződő fél megsérti a 29. cikk (3) bekezdését azáltal, hogy kérés ellenére sem bocsátja az Európai Értékpapírpiaci Hatóság és a KBER érintett tagjai rendelkezésére a 29. cikk (1) és (2) bekezdésében említett adatokat és információkat, vagy – a tranzakció végrehajtásának helyszínétől függetlenül – az elszámolt ügyletek pozíciójára vonatkozó minden információt;</w:t>
      </w:r>
    </w:p>
    <w:p>
      <w:pPr>
        <w:pStyle w:val="Text2"/>
        <w:rPr>
          <w:bCs/>
          <w:noProof/>
        </w:rPr>
      </w:pPr>
      <w:r>
        <w:rPr>
          <w:noProof/>
        </w:rPr>
        <w:t>s)</w:t>
      </w:r>
      <w:r>
        <w:rPr>
          <w:noProof/>
        </w:rPr>
        <w:tab/>
        <w:t>a 2. szintű központi szerződő fél megsérti a 30. cikk (1) bekezdését azáltal, hogy nem tájékoztatja, illetőleg hibásan vagy nem teljes körűen tájékoztatja az Európai Értékpapírpiaci Hatóságot a minősített részesedéssel rendelkező közvetlen vagy közvetett részvényeseinek vagy tagjainak kilétéről, legyenek akár természetes vagy jogi személyek, és arról, hogy milyen mértékű tulajdonrésszel rendelkeznek;</w:t>
      </w:r>
    </w:p>
    <w:p>
      <w:pPr>
        <w:pStyle w:val="Text2"/>
        <w:rPr>
          <w:bCs/>
          <w:noProof/>
        </w:rPr>
      </w:pPr>
      <w:r>
        <w:rPr>
          <w:noProof/>
        </w:rPr>
        <w:t>t)</w:t>
      </w:r>
      <w:r>
        <w:rPr>
          <w:noProof/>
        </w:rPr>
        <w:tab/>
        <w:t>a 2. szintű központi szerződő fél megsérti a 30. cikk (4) bekezdését azáltal, hogy lehetővé teszi a 30. cikk (1) bekezdésében említett személyek számára olyan befolyás gyakorlását, amely káros hatással lehet a központi szerződő fél megbízható és prudens irányítására;</w:t>
      </w:r>
    </w:p>
    <w:p>
      <w:pPr>
        <w:pStyle w:val="Text2"/>
        <w:rPr>
          <w:bCs/>
          <w:noProof/>
        </w:rPr>
      </w:pPr>
      <w:r>
        <w:rPr>
          <w:noProof/>
        </w:rPr>
        <w:t>u)</w:t>
      </w:r>
      <w:r>
        <w:rPr>
          <w:noProof/>
        </w:rPr>
        <w:tab/>
        <w:t>a 2. szintű központi szerződő fél megsérti a 31. cikk (1) bekezdését azáltal, hogy nem tájékoztatja, illetőleg hibásan vagy nem teljes körűen tájékoztatja az Európai Értékpapírpiaci Hatóságot a vezetésében bekövetkező minden változásról, vagy nem bocsátja az Európai Értékpapírpiaci Hatóság rendelkezésére a 27. cikk (1) bekezdésének vagy a 27. cikk (2) bekezdése második albekezdésének való megfelelés értékeléséhez szükséges valamennyi információt;</w:t>
      </w:r>
    </w:p>
    <w:p>
      <w:pPr>
        <w:pStyle w:val="Text2"/>
        <w:rPr>
          <w:bCs/>
          <w:noProof/>
        </w:rPr>
      </w:pPr>
      <w:r>
        <w:rPr>
          <w:noProof/>
        </w:rPr>
        <w:t>v)</w:t>
      </w:r>
      <w:r>
        <w:rPr>
          <w:noProof/>
        </w:rPr>
        <w:tab/>
        <w:t>a 2. szintű központi szerződő fél megsérti a 33. cikk (1) bekezdését azáltal, hogy nem tart fenn vagy nem működtet hatékony, írásban rögzített szervezeti és adminisztratív szabályokat a közötte (ideértve vezetőit, alkalmazottait, valamint a közvetlen vagy közvetett ellenőrzés vagy szoros kapcsolat révén hozzá kapcsolódó más személyeket) és klíringtagjai vagy azoknak a központi szerződő fél számára ismert ügyfelei között felmerülő potenciális összeférhetetlenségek azonosítására és kezelésére, illetve nem tart fenn vagy nem hajt végre az esetleges összeférhetetlenségek megoldását célzó megfelelő eljárásokat;</w:t>
      </w:r>
    </w:p>
    <w:p>
      <w:pPr>
        <w:pStyle w:val="Text2"/>
        <w:rPr>
          <w:bCs/>
          <w:noProof/>
        </w:rPr>
      </w:pPr>
      <w:r>
        <w:rPr>
          <w:noProof/>
        </w:rPr>
        <w:t>w)</w:t>
      </w:r>
      <w:r>
        <w:rPr>
          <w:noProof/>
        </w:rPr>
        <w:tab/>
        <w:t>a 2. szintű központi szerződő fél megsérti a 33. cikk (2) bekezdését azáltal, hogy – mielőtt újabb tranzakciókat fogadna el az adott klíringtagtól – nem hozza világosan a klíringtag, vagy – amennyiben a központi szerződő fél előtt ismert az ügyfél – az adott klíringtaghoz tartozó érintett ügyfél tudomására az összeférhetetlenség általános jellegét vagy forrását, amennyiben az összeférhetetlenség kezelésére szolgáló szervezeti vagy adminisztratív szabályai nem tudják kellő megbízhatósággal elkerülni a klíringtagok vagy azok ügyfelei érdeksérülésének kockázatát;</w:t>
      </w:r>
    </w:p>
    <w:p>
      <w:pPr>
        <w:pStyle w:val="Text2"/>
        <w:rPr>
          <w:bCs/>
          <w:noProof/>
        </w:rPr>
      </w:pPr>
      <w:r>
        <w:rPr>
          <w:noProof/>
        </w:rPr>
        <w:t>x)</w:t>
      </w:r>
      <w:r>
        <w:rPr>
          <w:noProof/>
        </w:rPr>
        <w:tab/>
        <w:t>a 2. szintű központi szerződő fél megsérti a 33. cikk (3) bekezdését azáltal, hogy írott szabályaiban nem vesz figyelembe minden olyan körülményt, amelyről tudomása van vagy tudomása kellene, hogy legyen, és amely a vele anya- vagy leányvállalati kapcsolatban lévő más vállalkozások struktúrájából vagy üzleti tevékenységéből adódóan összeférhetetlenséget eredményezhet;</w:t>
      </w:r>
    </w:p>
    <w:p>
      <w:pPr>
        <w:pStyle w:val="Text2"/>
        <w:rPr>
          <w:bCs/>
          <w:noProof/>
        </w:rPr>
      </w:pPr>
      <w:r>
        <w:rPr>
          <w:noProof/>
        </w:rPr>
        <w:t>y)</w:t>
      </w:r>
      <w:r>
        <w:rPr>
          <w:noProof/>
        </w:rPr>
        <w:tab/>
        <w:t>a 2. szintű központi szerződő fél megsérti a 33. cikk (5) bekezdését, mivel nem tesz meg minden észszerű lépést annak érdekében, hogy megakadályozza a rendszereiben tárolt információkkal való bármely visszaélést vagy ezen információk más üzleti tevékenységekhez való felhasználását, illetőleg a központi szerződő félnél nyilvántartott bizalmas információknak a központi szerződő féllel szoros kapcsolatban álló természetes személy vagy a központi szerződő féllel anya- vagy leányvállalati kapcsolatban lévő jogi személy általi kereskedelmi célra történő felhasználását (kivéve, ha az az ügyfél, amelyre a bizalmas információ vonatkozik, ehhez előzetesen hozzájárul);</w:t>
      </w:r>
    </w:p>
    <w:p>
      <w:pPr>
        <w:pStyle w:val="Text2"/>
        <w:rPr>
          <w:bCs/>
          <w:noProof/>
        </w:rPr>
      </w:pPr>
      <w:r>
        <w:rPr>
          <w:noProof/>
        </w:rPr>
        <w:t>z)</w:t>
      </w:r>
      <w:r>
        <w:rPr>
          <w:noProof/>
        </w:rPr>
        <w:tab/>
        <w:t>a 2. szintű központi szerződő fél megsérti a 36. cikk (1) bekezdését azáltal, hogy nem jár el tisztességesen és szakszerűen, klíringtagjainak és azok ügyfeleinek legfőbb érdekeivel összhangban;</w:t>
      </w:r>
    </w:p>
    <w:p>
      <w:pPr>
        <w:pStyle w:val="Text2"/>
        <w:rPr>
          <w:bCs/>
          <w:noProof/>
        </w:rPr>
      </w:pPr>
      <w:r>
        <w:rPr>
          <w:noProof/>
        </w:rPr>
        <w:t>aa)</w:t>
      </w:r>
      <w:r>
        <w:rPr>
          <w:noProof/>
        </w:rPr>
        <w:tab/>
        <w:t>a 2. szintű központi szerződő fél megsérti a 36. cikk (2) bekezdését azáltal, hogy nem rendelkezik hozzáférhető, átlátható és tisztességes szabályokkal a panaszok időben történő kezeléséhez;</w:t>
      </w:r>
    </w:p>
    <w:p>
      <w:pPr>
        <w:pStyle w:val="Text2"/>
        <w:rPr>
          <w:bCs/>
          <w:noProof/>
        </w:rPr>
      </w:pPr>
      <w:r>
        <w:rPr>
          <w:noProof/>
        </w:rPr>
        <w:t>bb)</w:t>
      </w:r>
      <w:r>
        <w:rPr>
          <w:noProof/>
        </w:rPr>
        <w:tab/>
        <w:t>a 2. szintű központi szerződő fél megsérti a 37. cikk (1) vagy (2) bekezdését azáltal, hogy folyamatosan megkülönböztető, nem átlátható vagy szubjektív felvételi kritériumokat alkalmaz, vagy egyéb módon nem biztosít folyamatosan méltányos és nyílt hozzáférést szolgáltatásaihoz, vagy nem biztosítja folyamatosan, hogy klíringtagjai elegendő pénzügyi forrással és működési kapacitással rendelkezzenek a részvételből eredő kötelezettségeik teljesítéséhez, illetőleg nem végez évente a klíringtagjai megfelelésére vonatkozó átfogó felülvizsgálatot;</w:t>
      </w:r>
    </w:p>
    <w:p>
      <w:pPr>
        <w:pStyle w:val="Text2"/>
        <w:rPr>
          <w:bCs/>
          <w:noProof/>
        </w:rPr>
      </w:pPr>
      <w:r>
        <w:rPr>
          <w:noProof/>
        </w:rPr>
        <w:t>cc)</w:t>
      </w:r>
      <w:r>
        <w:rPr>
          <w:noProof/>
        </w:rPr>
        <w:tab/>
        <w:t>a 2. szintű központi szerződő fél megsérti a 37. cikk (4) bekezdését azáltal, hogy nem rendelkezik objektív és átlátható eljárásokkal azon klíringtagok felfüggesztésére és rendezett kizárására, amelyek már nem teljesítik a 37. cikk (1) bekezdésében említett kritériumokat;</w:t>
      </w:r>
    </w:p>
    <w:p>
      <w:pPr>
        <w:pStyle w:val="Text2"/>
        <w:rPr>
          <w:bCs/>
          <w:noProof/>
        </w:rPr>
      </w:pPr>
      <w:r>
        <w:rPr>
          <w:noProof/>
        </w:rPr>
        <w:t>dd)</w:t>
      </w:r>
      <w:r>
        <w:rPr>
          <w:noProof/>
        </w:rPr>
        <w:tab/>
        <w:t>a 2. szintű központi szerződő fél megsérti a 37. cikk (5) bekezdését azáltal, hogy megtagadja a 37. cikk (1) bekezdésében említett kritériumokat teljesítő klíringtag számára a részvételt, amennyiben a hozzáférés megtagadását nem átfogó kockázatelemzésre alapozza, és nem indokolja meg megfelelően írásban;</w:t>
      </w:r>
    </w:p>
    <w:p>
      <w:pPr>
        <w:pStyle w:val="Text2"/>
        <w:rPr>
          <w:bCs/>
          <w:noProof/>
        </w:rPr>
      </w:pPr>
      <w:r>
        <w:rPr>
          <w:noProof/>
        </w:rPr>
        <w:t>ee)</w:t>
      </w:r>
      <w:r>
        <w:rPr>
          <w:noProof/>
        </w:rPr>
        <w:tab/>
        <w:t>a 2. szintű központi szerződő fél megsérti a 38. cikk (1) bekezdését azáltal, hogy nem teszi lehetővé klíringtagjainak ügyfelei számára az általa nyújtott konkrét szolgáltatások külön-külön történő igénybevételét;</w:t>
      </w:r>
    </w:p>
    <w:p>
      <w:pPr>
        <w:pStyle w:val="Text2"/>
        <w:rPr>
          <w:bCs/>
          <w:noProof/>
        </w:rPr>
      </w:pPr>
      <w:r>
        <w:rPr>
          <w:noProof/>
        </w:rPr>
        <w:t>ff)</w:t>
      </w:r>
      <w:r>
        <w:rPr>
          <w:noProof/>
        </w:rPr>
        <w:tab/>
        <w:t>a 2. szintű központi szerződő fél megsérti a 39. cikk (7) bekezdését azáltal, hogy nem kínál észszerű kereskedelmi feltételek mellett az adott bekezdésben említett különböző szintű elkülönítést.</w:t>
      </w:r>
    </w:p>
    <w:p>
      <w:pPr>
        <w:rPr>
          <w:noProof/>
        </w:rPr>
      </w:pPr>
    </w:p>
    <w:p>
      <w:pPr>
        <w:pStyle w:val="Text1"/>
        <w:rPr>
          <w:bCs/>
          <w:noProof/>
        </w:rPr>
      </w:pPr>
      <w:r>
        <w:rPr>
          <w:noProof/>
        </w:rPr>
        <w:t>III.</w:t>
      </w:r>
      <w:r>
        <w:rPr>
          <w:noProof/>
        </w:rPr>
        <w:tab/>
        <w:t>A működési követelményekhez kapcsolódó jogsértések:</w:t>
      </w:r>
    </w:p>
    <w:p>
      <w:pPr>
        <w:pStyle w:val="Text2"/>
        <w:rPr>
          <w:bCs/>
          <w:noProof/>
        </w:rPr>
      </w:pPr>
      <w:r>
        <w:rPr>
          <w:noProof/>
        </w:rPr>
        <w:t>a) a 2. szintű központi szerződő fél megsérti a 34. cikk (1) bekezdését azáltal, hogy nem dolgoz ki, hajt végre vagy tart fenn olyan megfelelő üzletmenet-folytonossági politikát és vészhelyzeti helyreállítási tervet, amelynek célja működőképességének fenntartása, a műveletek időben történő helyreállítása és a központi szerződő fél kötelezettségeinek teljesítése, és amely terv lehetővé teszi legalább a fennakadás bekövetkezésekor folyamatban lévő valamennyi tranzakció helyreállítását, hogy a központi szerződő fél biztonsággal folytatni tudja működését, és a tervezett időpontban le tudja zárni az ügyleteket;</w:t>
      </w:r>
    </w:p>
    <w:p>
      <w:pPr>
        <w:pStyle w:val="Text2"/>
        <w:rPr>
          <w:bCs/>
          <w:noProof/>
        </w:rPr>
      </w:pPr>
      <w:r>
        <w:rPr>
          <w:noProof/>
        </w:rPr>
        <w:t>b) a 2. szintű központi szerződő fél megsérti a 34. cikk (2) bekezdését azáltal, hogy nem hoz létre, hajt végre vagy tart fenn olyan megfelelő eljárást, amely biztosítja az ügyfél és a klíringtagok eszközeinek és pozícióinak időben történő és szabályos elszámolását vagy átruházását, amennyiben az elismerést a 25. cikk szerinti határozatnak megfelelően visszavonják;</w:t>
      </w:r>
    </w:p>
    <w:p>
      <w:pPr>
        <w:pStyle w:val="Text2"/>
        <w:rPr>
          <w:bCs/>
          <w:noProof/>
        </w:rPr>
      </w:pPr>
      <w:r>
        <w:rPr>
          <w:noProof/>
        </w:rPr>
        <w:t>c) a 2. szintű központi szerződő fél megsérti a 35. cikk (1) bekezdésének második albekezdését azáltal, hogy az adott központi szerződő fél kockázatkezeléséhez kapcsolódó fontosabb tevékenységeket kiszervez;</w:t>
      </w:r>
    </w:p>
    <w:p>
      <w:pPr>
        <w:pStyle w:val="Text2"/>
        <w:rPr>
          <w:bCs/>
          <w:noProof/>
        </w:rPr>
      </w:pPr>
      <w:r>
        <w:rPr>
          <w:noProof/>
        </w:rPr>
        <w:t>d) a 2. szintű központi szerződő fél megsérti a 39. cikk (1) bekezdését azáltal, hogy nem vezet olyan elkülönített nyilvántartást és számlákat, amelyek lehetővé teszik számára, hogy mindenkor és késedelem nélkül egyértelműen megkülönböztesse a nála vezetett számlákon egy klíringtag javára tartott eszközöket és pozíciókat a más klíringtagok javára tartott eszközöktől és pozícióktól, valamint a saját eszközeitől;</w:t>
      </w:r>
    </w:p>
    <w:p>
      <w:pPr>
        <w:pStyle w:val="Text2"/>
        <w:rPr>
          <w:bCs/>
          <w:noProof/>
        </w:rPr>
      </w:pPr>
      <w:r>
        <w:rPr>
          <w:noProof/>
        </w:rPr>
        <w:t>e) a 2. szintű központi szerződő fél megsérti a 39. cikk (2) bekezdését azáltal, hogy nem kínál, illetőleg kérés esetén nem biztosít olyan elkülönített nyilvántartást és számlavezetést, amellyel minden klíringtag számára lehetővé válik a központi szerződő félnél vezetett számlákon tartott eszközeinek és pozícióinak egyértelmű megkülönböztetése a más klíringtagok javára tartott eszközöktől és pozícióktól;</w:t>
      </w:r>
    </w:p>
    <w:p>
      <w:pPr>
        <w:pStyle w:val="Text2"/>
        <w:rPr>
          <w:bCs/>
          <w:noProof/>
        </w:rPr>
      </w:pPr>
      <w:r>
        <w:rPr>
          <w:noProof/>
        </w:rPr>
        <w:t>f) a 2. szintű központi szerződő fél megsérti a 39. cikk (3) bekezdését azáltal, hogy nem kínál, illetőleg kérés esetén nem biztosít olyan elkülönített nyilvántartást és számlavezetést, amellyel minden klíringtag számára lehetővé válik a központi szerződő félnél vezetett számlákon az ügyfél javára tartott eszközök és pozíciók egyértelmű megkülönböztetése a más ügyfelek javára tartott eszközöktől és pozícióktól, vagy nem kínálja fel klíringtagjainak, hogy kérés esetén több, saját nevükre szóló számlát nyithassanak ügyfeleik javára;</w:t>
      </w:r>
    </w:p>
    <w:p>
      <w:pPr>
        <w:pStyle w:val="Text2"/>
        <w:rPr>
          <w:bCs/>
          <w:noProof/>
        </w:rPr>
      </w:pPr>
      <w:r>
        <w:rPr>
          <w:noProof/>
        </w:rPr>
        <w:t>g) a 2. szintű központi szerződő fél megsérti a 40. cikket azáltal, hogy nem méri és értékeli közel valós időben az egyes klíringtagokkal és adott esetben más olyan központi szerződő felekkel szembeni likviditási és hitelkockázatát, amelyekkel interoperabilitási megállapodást kötött, vagy nincs hozzáférése azon releváns árazási forrásokhoz, amelyek révén a kitettségeit észszerű költségalapon hatékonyan mérni tudja;</w:t>
      </w:r>
    </w:p>
    <w:p>
      <w:pPr>
        <w:pStyle w:val="Text2"/>
        <w:rPr>
          <w:bCs/>
          <w:noProof/>
        </w:rPr>
      </w:pPr>
      <w:r>
        <w:rPr>
          <w:noProof/>
        </w:rPr>
        <w:t>h) a 2. szintű központi szerződő fél megsérti a 41. cikk (1) bekezdését azáltal, hogy a hitelkockázati kitettség korlátozására nem ír elő, hív le és gyűjt be biztosítékot a klíringtagoktól vagy adott esetben az interoperabilitási megállapodással rendelkező központi szerződő felektől, vagy nem ír elő, hív le és gyűjt be olyan biztosítékot, amely elegendő azon potenciális kockázatok fedezésére, amelyek a központi szerződő fél becslése szerint az érintett pozíciók lezárásáig felmerülhetnek, vagy a kitettség megfelelő időszak alatti változásainak legalább 99 %-ából eredő veszteségek fedezésére, vagy annak biztosításához, hogy a központi szerződő fél legalább napi szinten teljes egészében biztosítékeszközzel fedezze kitettségét valamennyi klíringtagjával, és adott esetben azon központi szerződő felekkel szemben, amelyekkel interoperabilitási megállapodást kötött, illetőleg hogy szükség esetén figyelembe vegye a lehetséges prociklikus hatásokat;</w:t>
      </w:r>
    </w:p>
    <w:p>
      <w:pPr>
        <w:pStyle w:val="Text2"/>
        <w:rPr>
          <w:bCs/>
          <w:noProof/>
        </w:rPr>
      </w:pPr>
      <w:r>
        <w:rPr>
          <w:noProof/>
        </w:rPr>
        <w:t>i) a 2. szintű központi szerződő fél megsérti a 41. cikk (2) bekezdését azáltal, hogy biztosítéki követelményeinek kidolgozása során nem alkalmaz olyan modelleket és paramétereket, amelyek megfelelnek az elszámolt termékek kockázati jellemzőinek, és figyelembe veszik a biztosítékok beszedése között eltelt időszakokat, a piac likviditását, és a tranzakciók időtartama során bekövetkező változások lehetőségét;</w:t>
      </w:r>
    </w:p>
    <w:p>
      <w:pPr>
        <w:pStyle w:val="Text2"/>
        <w:rPr>
          <w:bCs/>
          <w:noProof/>
        </w:rPr>
      </w:pPr>
      <w:r>
        <w:rPr>
          <w:noProof/>
        </w:rPr>
        <w:t>j) a 2. szintű központi szerződő fél megsérti a 41. cikk (3) bekezdését azáltal, hogy nem napközbeni alapon hívja le és szedi be a biztosítékokat, legalább az előre meghatározott értékhatárok átlépésekor;</w:t>
      </w:r>
    </w:p>
    <w:p>
      <w:pPr>
        <w:pStyle w:val="Text2"/>
        <w:rPr>
          <w:bCs/>
          <w:noProof/>
        </w:rPr>
      </w:pPr>
      <w:r>
        <w:rPr>
          <w:noProof/>
        </w:rPr>
        <w:t>k) a 2. szintű központi szerződő fél megsérti a 42. cikk (3) bekezdését azáltal, hogy nem tart fenn olyan garanciaalapot, amely legalább azt lehetővé teszi, hogy a központi szerződő fél – rendkívüli, de valószerű piaci körülmények között is – képes legyen ellensúlyozni azon klíringtag nemteljesítését, amellyel szemben a kitettsége a legnagyobb, illetve a második és harmadik legnagyobb klíringtag nemteljesítését, amennyiben az azokkal szembeni összkitettsége nagyobb, vagy azáltal, hogy olyan forgatókönyvet dolgoz ki, amely nem tartalmazza azokat az időszakokat, amikor a legnagyobb volatilitás volt tapasztalható azokon a piacokon, amelyek számára a központi szerződő fél szolgáltatásokat nyújt, sem azokat a különböző lehetséges jövőbeli forgatókönyveket, amelyek figyelembe veszik a pénzügyi erőforrások hirtelen értékesítésének és a piaci likviditás gyors csökkenéseinek lehetőségét;</w:t>
      </w:r>
    </w:p>
    <w:p>
      <w:pPr>
        <w:pStyle w:val="Text2"/>
        <w:rPr>
          <w:bCs/>
          <w:noProof/>
        </w:rPr>
      </w:pPr>
      <w:r>
        <w:rPr>
          <w:noProof/>
        </w:rPr>
        <w:t>l) a 2. szintű központi szerződő fél megsérti a 43. cikk (2) bekezdését azáltal, hogy a 42. cikkben említett garanciaalapja és a 43. cikk (1) bekezdésében említett egyéb pénzügyi forrásai nem elegendőek arra, hogy a központi szerződő fél rendkívüli, de valószerű piaci körülmények között ellensúlyozni tudja legalább azon két klíringtag nemteljesítését, amelyekkel szemben a legnagyobb a kitettsége;</w:t>
      </w:r>
    </w:p>
    <w:p>
      <w:pPr>
        <w:pStyle w:val="Text2"/>
        <w:rPr>
          <w:bCs/>
          <w:noProof/>
        </w:rPr>
      </w:pPr>
      <w:r>
        <w:rPr>
          <w:noProof/>
        </w:rPr>
        <w:t>m) a 2. szintű központi szerződő fél megsérti a 44. cikk (1) bekezdését azáltal, hogy nem tud mindenkor hozzájutni a szolgáltatásai és tevékenységei teljesítéséhez szükséges megfelelő likviditáshoz vagy nem méri napi szinten potenciális likviditási szükségletét;</w:t>
      </w:r>
    </w:p>
    <w:p>
      <w:pPr>
        <w:pStyle w:val="Text2"/>
        <w:rPr>
          <w:bCs/>
          <w:noProof/>
        </w:rPr>
      </w:pPr>
      <w:r>
        <w:rPr>
          <w:noProof/>
        </w:rPr>
        <w:t>o) a 2. szintű központi szerződő fél megsérti a 45. cikk (1), (2) és (3) bekezdését azáltal, hogy a veszteségek fedezésére nem a nemteljesítő klíringtag által befizetett biztosítékot használja fel először, más pénzügyi források igénybevétele előtt;</w:t>
      </w:r>
    </w:p>
    <w:p>
      <w:pPr>
        <w:pStyle w:val="Text2"/>
        <w:rPr>
          <w:bCs/>
          <w:noProof/>
        </w:rPr>
      </w:pPr>
      <w:r>
        <w:rPr>
          <w:noProof/>
        </w:rPr>
        <w:t>p) a 2. szintű központi szerződő fél megsérti a 45. cikk (4) bekezdését azáltal, hogy a teljesítő klíringtagok garanciaalaphoz való hozzájárulásainak igénybevétele előtt nem használja fel elkülönített saját forrásait;</w:t>
      </w:r>
    </w:p>
    <w:p>
      <w:pPr>
        <w:pStyle w:val="Text2"/>
        <w:rPr>
          <w:bCs/>
          <w:noProof/>
        </w:rPr>
      </w:pPr>
      <w:r>
        <w:rPr>
          <w:noProof/>
        </w:rPr>
        <w:t>q) a 2. szintű központi szerződő fél megsérti a 46. cikk (1) bekezdését azáltal, hogy a nagymértékben likvid, minimális piaci és hitelkockázatú biztosítékeszközöktől eltérő eszközt fogad el a klíringtagokkal szembeni kezdeti vagy folyamatos kitettség fedezésére, amennyiben a 46. cikk (3) bekezdése szerinti felhatalmazáson alapuló bizottsági jogi aktus keretében más biztosíték nem megengedett;</w:t>
      </w:r>
    </w:p>
    <w:p>
      <w:pPr>
        <w:pStyle w:val="Text2"/>
        <w:rPr>
          <w:bCs/>
          <w:noProof/>
        </w:rPr>
      </w:pPr>
      <w:r>
        <w:rPr>
          <w:noProof/>
        </w:rPr>
        <w:t>r) a 2. szintű központi szerződő fél megsérti a 47. cikk (1) bekezdését azáltal, hogy pénzügyi forrásait pénzeszközöktől vagy magas likviditású és minimális piaci és hitelkockázatú, gyorsan, minimális negatív árhatással értékesíthető pénzügyi instrumentumoktól eltérő eszközökbe fekteti;</w:t>
      </w:r>
    </w:p>
    <w:p>
      <w:pPr>
        <w:pStyle w:val="Text2"/>
        <w:rPr>
          <w:bCs/>
          <w:noProof/>
        </w:rPr>
      </w:pPr>
      <w:r>
        <w:rPr>
          <w:noProof/>
        </w:rPr>
        <w:t>s) a 2. szintű központi szerződő fél megsérti a 47. cikk (3) bekezdését azáltal, hogy a biztosítékként, illetve a garanciaalaphoz való hozzájárulásként befizetett pénzügyi eszközöket nem olyan értékpapírkiegyenlítésirendszer-üzemeltetőknél helyezi el biztosítékként, amelyek biztosítják ezen pénzügyi eszközök teljes körű védelmét, amennyiben ilyenek rendelkezésre állnak, vagy nem alkalmaz engedélyezett pénzügyi intézményekkel kialakított más, nagy fokú biztonságot nyújtó megállapodásokat;</w:t>
      </w:r>
    </w:p>
    <w:p>
      <w:pPr>
        <w:pStyle w:val="Text2"/>
        <w:rPr>
          <w:bCs/>
          <w:noProof/>
        </w:rPr>
      </w:pPr>
      <w:r>
        <w:rPr>
          <w:noProof/>
        </w:rPr>
        <w:t>t) a 2. szintű központi szerződő fél megsérti a 47. cikk (4) bekezdését azáltal, hogy készpénzletéteit az engedélyezett pénzügyi intézményekkel kialakított, nagy fokú biztonságot nyújtó megállapodásoktól, vagy a központi bankok által biztosított letéti rendelkezésre állástól, illetve a központi bankok által kínált más hasonló eszközök igénybevételétől eltérő módon helyezi el;</w:t>
      </w:r>
    </w:p>
    <w:p>
      <w:pPr>
        <w:pStyle w:val="Text2"/>
        <w:rPr>
          <w:bCs/>
          <w:noProof/>
        </w:rPr>
      </w:pPr>
      <w:r>
        <w:rPr>
          <w:noProof/>
        </w:rPr>
        <w:t>u) a 2. szintű központi szerződő fél megsérti a 47. cikk (5) bekezdését azáltal, hogy úgy helyez el harmadik félnél biztosítékba eszközöket, hogy nem biztosítja a klíringtagok által biztosítékba helyezett eszközök megkülönböztethetőségét a központi szerződő fél eszközeitől és az említett harmadik fél eszközeitől, úgy, hogy a harmadik fél könyveiben eltérő névvel ellátott számlán vezeti azokat, vagy nem alkalmaz más egyenértékű, azonos szintű védelmet biztosító intézkedéseket, vagy szükség esetén nem jut hozzá azonnal a pénzügyi eszközökhöz;</w:t>
      </w:r>
    </w:p>
    <w:p>
      <w:pPr>
        <w:pStyle w:val="Text2"/>
        <w:rPr>
          <w:bCs/>
          <w:noProof/>
        </w:rPr>
      </w:pPr>
      <w:r>
        <w:rPr>
          <w:noProof/>
        </w:rPr>
        <w:t>v) a 2. szintű központi szerződő fél megsérti a 47. cikk (6) bekezdését azáltal, hogy tőkéjét vagy a 41., 42., 43., illetve 44. cikkben meghatározott követelményekből származó összegeket saját értékpapírjaiba, illetve anya- vagy leányvállalatának értékpapírjaiba fekteti be;</w:t>
      </w:r>
    </w:p>
    <w:p>
      <w:pPr>
        <w:pStyle w:val="Text2"/>
        <w:rPr>
          <w:bCs/>
          <w:noProof/>
        </w:rPr>
      </w:pPr>
      <w:r>
        <w:rPr>
          <w:noProof/>
        </w:rPr>
        <w:t>w) a 2. szintű központi szerződő fél megsérti a 48. cikk (1) bekezdését azáltal, hogy nem rendelkezik részletes eljárásokkal arra az esetre, ha valamely klíringtag nem teljesíti a 37. cikkben meghatározott, részvételre vonatkozó követelményeket az előírt határidőn belül és a központi szerződő fél által kidolgozott eljárásoknak megfelelően, vagy nem határozza meg részletesen az abban az esetben követendő eljárásokat, ha a klíringtag nemteljesítését nem a központi szerződő fél állapítja meg, vagy évente nem vizsgálja felül az említett eljárásokat;</w:t>
      </w:r>
    </w:p>
    <w:p>
      <w:pPr>
        <w:pStyle w:val="Text2"/>
        <w:rPr>
          <w:bCs/>
          <w:noProof/>
        </w:rPr>
      </w:pPr>
      <w:r>
        <w:rPr>
          <w:noProof/>
        </w:rPr>
        <w:t>x) a 2. szintű központi szerződő fél megsérti a 48. cikk (2) bekezdését azáltal, hogy nem hoz haladéktalanul intézkedéseket a klíringtag nemteljesítéséből származó veszteségek és likviditási nyomás korlátozására, és annak biztosítására, hogy bármely klíringtag pozícióinak zárása ne okozzon zavart a működésben, és ne tegye ki a teljesítő tagokat olyan veszteségeknek, amelyeket azok nem tudnak előre jelezni vagy kezelni;</w:t>
      </w:r>
    </w:p>
    <w:p>
      <w:pPr>
        <w:pStyle w:val="Text2"/>
        <w:rPr>
          <w:bCs/>
          <w:noProof/>
        </w:rPr>
      </w:pPr>
      <w:r>
        <w:rPr>
          <w:noProof/>
        </w:rPr>
        <w:t>y) a 2. szintű központi szerződő fél megsérti a 48. cikk (3) bekezdését azáltal, hogy nem tájékoztatja az Európai Értékpapírpiaci Hatóságot haladéktalanul, még a nemteljesítési eljárás bejelentése vagy megindítása előtt;</w:t>
      </w:r>
    </w:p>
    <w:p>
      <w:pPr>
        <w:pStyle w:val="Text2"/>
        <w:rPr>
          <w:bCs/>
          <w:noProof/>
        </w:rPr>
      </w:pPr>
      <w:r>
        <w:rPr>
          <w:noProof/>
        </w:rPr>
        <w:t>z) a 2. szintű központi szerződő fél megsérti a 48. cikk (4) bekezdését azáltal, hogy nem ellenőrzi nemteljesítési eljárásainak végrehajthatóságát, és nem tesz meg minden észszerű lépést annak biztosítására, hogy törvényes jogkörrel rendelkezzen a nemteljesítő klíringtag saját számlás pozícióinak likviddé tételéhez, valamint a nemteljesítő klíringtag ügyfélpozícióinak áthelyezéséhez vagy likviddé tételéhez;</w:t>
      </w:r>
    </w:p>
    <w:p>
      <w:pPr>
        <w:pStyle w:val="Text2"/>
        <w:rPr>
          <w:bCs/>
          <w:noProof/>
        </w:rPr>
      </w:pPr>
      <w:r>
        <w:rPr>
          <w:noProof/>
        </w:rPr>
        <w:t>aa) a 2. szintű központi szerződő fél megsérti a 49. cikk (1) bekezdését azáltal, hogy nem vizsgálja felül rendszeresen a biztosítéki követelmények, a garanciaalaphoz való hozzájárulások, a biztosítékeszközökre vonatkozó követelmények kiszámításához alkalmazott modelleket és paramétereket, továbbá a kockázat kézben tartására szolgáló többi mechanizmust, és nem veti alá a modelleket szigorú és gyakori stressztesztnek, hogy értékelni tudja rendkívüli, de valószerű piaci körülményekhez való alkalmazkodóképességüket, vagy nem hajt végre visszamérést az elfogadott módszertan megbízhatóságának értékelésére, vagy nem szerez be érvényességre vonatkozó független jóváhagyást, illetőleg nem tájékoztatja az Európai Értékpapírpiaci Hatóságot az elvégzett tesztek eredményeiről, vagy nem szerzi meg a jóváhagyását a modellek és paraméterek bármely jelentős módosításának elfogadása előtt;</w:t>
      </w:r>
    </w:p>
    <w:p>
      <w:pPr>
        <w:pStyle w:val="Text2"/>
        <w:rPr>
          <w:bCs/>
          <w:noProof/>
        </w:rPr>
      </w:pPr>
      <w:r>
        <w:rPr>
          <w:noProof/>
        </w:rPr>
        <w:t>bb) a 2. szintű központi szerződő fél megsérti a 49. cikk (2) bekezdését azáltal, hogy nem teszteli rendszeresen nemteljesítési eljárásainak alapvető aspektusait, vagy nem tesz meg minden észszerű lépést annak biztosítására, hogy valamennyi klíringtag tisztában legyen azokkal, és nem rendelkezik megfelelő eljárásokkal a nemteljesítés esetére való reagáláshoz;</w:t>
      </w:r>
    </w:p>
    <w:p>
      <w:pPr>
        <w:pStyle w:val="Text2"/>
        <w:rPr>
          <w:bCs/>
          <w:noProof/>
        </w:rPr>
      </w:pPr>
      <w:r>
        <w:rPr>
          <w:noProof/>
        </w:rPr>
        <w:t>cc) a 2. szintű központi szerződő fél megsérti a 49. cikk (1a) bekezdését azáltal, hogy jelentősen módosítja a 49. cikk (1) bekezdésében említett modelleket és paramétereket a szóban forgó módosítás Európai Értékpapírpiaci Hatóság általi validálását megelőzően;</w:t>
      </w:r>
    </w:p>
    <w:p>
      <w:pPr>
        <w:pStyle w:val="Text2"/>
        <w:rPr>
          <w:bCs/>
          <w:noProof/>
        </w:rPr>
      </w:pPr>
      <w:r>
        <w:rPr>
          <w:noProof/>
        </w:rPr>
        <w:t>dd) a 2. szintű központi szerződő fél megsérti az 50. cikk (1) bekezdését azáltal, hogy – amennyiben lehetőség lenne rá – nem használ központi banki pénzt a tranzakciók kiegyenlítéséhez, illetőleg, ha nem használ központi banki pénzt, nem teszi meg a készpénz-kiegyenlítési kockázat szigorú korlátozásához szükséges lépéseket;</w:t>
      </w:r>
    </w:p>
    <w:p>
      <w:pPr>
        <w:pStyle w:val="Text2"/>
        <w:rPr>
          <w:bCs/>
          <w:noProof/>
        </w:rPr>
      </w:pPr>
      <w:r>
        <w:rPr>
          <w:noProof/>
        </w:rPr>
        <w:t>ee) a 2. szintű központi szerződő fél megsérti az 50. cikk (3) bekezdését azáltal, hogy – amennyiben pénzügyi eszközök átadásának megtételére vagy fogadására vonatkozó kötelezettsége van – „fizetés ellenében történő átadás” mechanizmusa révén nem küszöböli ki a lehető legnagyobb mértékben az elsődleges kockázatot;</w:t>
      </w:r>
    </w:p>
    <w:p>
      <w:pPr>
        <w:pStyle w:val="Text2"/>
        <w:rPr>
          <w:bCs/>
          <w:noProof/>
        </w:rPr>
      </w:pPr>
      <w:r>
        <w:rPr>
          <w:noProof/>
        </w:rPr>
        <w:t>ff) a 2. szintű központi szerződő fél megsérti az 50a vagy 50b. cikket azáltal, hogy a K</w:t>
      </w:r>
      <w:r>
        <w:rPr>
          <w:noProof/>
          <w:vertAlign w:val="subscript"/>
        </w:rPr>
        <w:t>CCP</w:t>
      </w:r>
      <w:r>
        <w:rPr>
          <w:noProof/>
        </w:rPr>
        <w:t>-t nem az említett cikkben meghatározottak szerint számítja ki, vagy nem tartja be a K</w:t>
      </w:r>
      <w:r>
        <w:rPr>
          <w:noProof/>
          <w:vertAlign w:val="subscript"/>
        </w:rPr>
        <w:t>CCP</w:t>
      </w:r>
      <w:r>
        <w:rPr>
          <w:noProof/>
        </w:rPr>
        <w:t xml:space="preserve"> kiszámítására vonatkozóan az 50a. cikk (2) bekezdésében, az 50b. cikkben és az 50d. cikkben meghatározott szabályokat;</w:t>
      </w:r>
    </w:p>
    <w:p>
      <w:pPr>
        <w:pStyle w:val="Text2"/>
        <w:rPr>
          <w:bCs/>
          <w:noProof/>
        </w:rPr>
      </w:pPr>
      <w:r>
        <w:rPr>
          <w:noProof/>
        </w:rPr>
        <w:t>gg) a 2. szintű központi szerződő fél megsérti az 50a. cikk (3) bekezdését azáltal, hogy a K</w:t>
      </w:r>
      <w:r>
        <w:rPr>
          <w:noProof/>
          <w:vertAlign w:val="subscript"/>
        </w:rPr>
        <w:t xml:space="preserve">CCP </w:t>
      </w:r>
      <w:r>
        <w:rPr>
          <w:noProof/>
        </w:rPr>
        <w:t>-t a negyedéves vagy az Európai Értékpapírpiaci Hatóság által az 50a. cikk (3) bekezdésével összhangban előírt gyakoriságnál ritkábban számítja ki;</w:t>
      </w:r>
    </w:p>
    <w:p>
      <w:pPr>
        <w:pStyle w:val="Text2"/>
        <w:rPr>
          <w:bCs/>
          <w:noProof/>
        </w:rPr>
      </w:pPr>
      <w:r>
        <w:rPr>
          <w:noProof/>
        </w:rPr>
        <w:t>hh) a 2. szintű központi szerződő fél megsérti az 51. cikk (2) bekezdését azáltal, hogy nem rendelkezik megkülönböztetésmentes hozzáféréssel sem az adott kereskedési helyszíntől származó, feladatainak ellátásához szükséges adatokhoz, amennyiben megfelel az adott kereskedési helyszín által megállapított működési és technikai követelményeknek, sem az érintett kiegyenlítési rendszerhez;</w:t>
      </w:r>
    </w:p>
    <w:p>
      <w:pPr>
        <w:pStyle w:val="Text2"/>
        <w:rPr>
          <w:bCs/>
          <w:noProof/>
        </w:rPr>
      </w:pPr>
      <w:r>
        <w:rPr>
          <w:noProof/>
        </w:rPr>
        <w:t>ii) a 2. szintű központi szerződő fél megsérti az 52. cikk (1) bekezdését azáltal, hogy úgy köt interoperabilitási megállapodást, hogy nem teljesíti az említett bekezdés a), b), c) és d) pontjában meghatározott követelmények bármelyikét;</w:t>
      </w:r>
    </w:p>
    <w:p>
      <w:pPr>
        <w:pStyle w:val="Text2"/>
        <w:rPr>
          <w:bCs/>
          <w:noProof/>
        </w:rPr>
      </w:pPr>
      <w:r>
        <w:rPr>
          <w:noProof/>
        </w:rPr>
        <w:t>jj) a 2. szintű központi szerződő fél megsérti az 53. cikk (1) bekezdését azáltal, hogy nem különbözteti meg a számlákon az azon központi szerződő felek javára tartott eszközöket és pozíciókat, amelyekkel interoperabilitási megállapodást kötött;</w:t>
      </w:r>
    </w:p>
    <w:p>
      <w:pPr>
        <w:pStyle w:val="Text2"/>
        <w:rPr>
          <w:bCs/>
          <w:noProof/>
        </w:rPr>
      </w:pPr>
      <w:r>
        <w:rPr>
          <w:noProof/>
        </w:rPr>
        <w:t>kk) a 2. szintű központi szerződő fél megsérti az 54. cikk (1) bekezdését azáltal, hogy az Európai Értékpapírpiaci Hatóság előzetes jóváhagyása nélkül köt interoperabilitási megállapodást.</w:t>
      </w:r>
    </w:p>
    <w:p>
      <w:pPr>
        <w:pStyle w:val="Text1"/>
        <w:rPr>
          <w:bCs/>
          <w:noProof/>
        </w:rPr>
      </w:pPr>
      <w:r>
        <w:rPr>
          <w:noProof/>
        </w:rPr>
        <w:t>IV.</w:t>
      </w:r>
      <w:r>
        <w:rPr>
          <w:noProof/>
        </w:rPr>
        <w:tab/>
        <w:t>Az átláthatósággal és az információk rendelkezésre állásával összefüggő jogsértések:</w:t>
      </w:r>
    </w:p>
    <w:p>
      <w:pPr>
        <w:pStyle w:val="Text2"/>
        <w:rPr>
          <w:bCs/>
          <w:noProof/>
        </w:rPr>
      </w:pPr>
      <w:r>
        <w:rPr>
          <w:noProof/>
        </w:rPr>
        <w:t>a) a 2. szintű központi szerződő fél megsérti a 38. cikk (1) bekezdését azáltal, hogy nem teszi közzé elkülönítve az általa nyújtott szolgáltatások árait és díjait, ideértve az árengedményeket és kedvezményeket, továbbá nem teszi közzé az említett árengedmények és kedvezmények igénybevételének feltételeit;</w:t>
      </w:r>
    </w:p>
    <w:p>
      <w:pPr>
        <w:pStyle w:val="Text2"/>
        <w:rPr>
          <w:bCs/>
          <w:noProof/>
        </w:rPr>
      </w:pPr>
      <w:r>
        <w:rPr>
          <w:noProof/>
        </w:rPr>
        <w:t>b) a 2. szintű központi szerződő fél megsérti a 38. cikk (1) bekezdését azáltal, hogy nem közli az Európai Értékpapírpiaci Hatósággal az általa nyújtott szolgáltatások költségeire és bevételeire vonatkozó adatokat;</w:t>
      </w:r>
    </w:p>
    <w:p>
      <w:pPr>
        <w:pStyle w:val="Text2"/>
        <w:rPr>
          <w:bCs/>
          <w:noProof/>
        </w:rPr>
      </w:pPr>
      <w:r>
        <w:rPr>
          <w:noProof/>
        </w:rPr>
        <w:t>c) a 2. szintű központi szerződő fél megsérti a 38. cikk (2) bekezdését azáltal, hogy nem tájékoztatja a klíringtagokat és az ügyfeleket a nyújtott szolgáltatásokhoz kapcsolódó kockázatokról;</w:t>
      </w:r>
    </w:p>
    <w:p>
      <w:pPr>
        <w:pStyle w:val="Text2"/>
        <w:rPr>
          <w:bCs/>
          <w:noProof/>
        </w:rPr>
      </w:pPr>
      <w:r>
        <w:rPr>
          <w:noProof/>
        </w:rPr>
        <w:t>d) a 2. szintű központi szerződő fél megsérti a 38. cikk (3) bekezdését azáltal, hogy nem ismerteti klíringtagjaival vagy az Európai Értékpapírpiaci Hatósággal a klíringtagokkal szembeni nap végi kitettségeinek kiszámításához használt árinformációkat, vagy nem hozza nyilvánosságra az egyes eszközök esetében a központi szerződő fél által összesítve elszámolt tranzakciók volumenét;</w:t>
      </w:r>
    </w:p>
    <w:p>
      <w:pPr>
        <w:pStyle w:val="Text2"/>
        <w:rPr>
          <w:bCs/>
          <w:noProof/>
        </w:rPr>
      </w:pPr>
      <w:r>
        <w:rPr>
          <w:noProof/>
        </w:rPr>
        <w:t>f) a 2. szintű központi szerződő fél megsérti a 38. cikk (4) bekezdését azáltal, hogy nem teszi nyilvánossá a harmadik felekkel való kapcsolattartásban általa használt tartalmi és üzenetformátumokra vonatkozó kommunikációs protokollokkal kapcsolatos működési és technikai követelményeket, beleértve a 7. cikkben említetteket is;</w:t>
      </w:r>
    </w:p>
    <w:p>
      <w:pPr>
        <w:pStyle w:val="Text2"/>
        <w:rPr>
          <w:bCs/>
          <w:noProof/>
        </w:rPr>
      </w:pPr>
      <w:r>
        <w:rPr>
          <w:noProof/>
        </w:rPr>
        <w:t>g) a 2. szintű központi szerződő fél megsérti a 38. cikk (5) bekezdését azáltal, hogy nem hozza nyilvánosságra, ha a klíringtagok megsértik a 37. cikk (1) bekezdésében említett kritériumokat vagy a 38. cikk (5) bekezdésében meghatározott követelményeket, kivéve, ha az Európai Értékpapírpiaci Hatóság úgy ítéli meg, hogy a nyilvánosságra hozatal fenyegetné a pénzügyi stabilitást vagy a piacba vetett bizalmat, illetőleg súlyosan veszélyeztetné a pénzügyi piacokat, vagy aránytalan károkat okozna az érintett feleknek;</w:t>
      </w:r>
    </w:p>
    <w:p>
      <w:pPr>
        <w:pStyle w:val="Text2"/>
        <w:rPr>
          <w:bCs/>
          <w:noProof/>
        </w:rPr>
      </w:pPr>
      <w:r>
        <w:rPr>
          <w:noProof/>
        </w:rPr>
        <w:t>h) a 2. szintű központi szerződő fél megsérti a 39. cikk (7) bekezdését azáltal, hogy nem teszi nyilvánossá az általa biztosított egyes elkülönítési szinteknek megfelelő védelmi szintet és költségeket;</w:t>
      </w:r>
    </w:p>
    <w:p>
      <w:pPr>
        <w:pStyle w:val="Text2"/>
        <w:rPr>
          <w:bCs/>
          <w:noProof/>
        </w:rPr>
      </w:pPr>
      <w:r>
        <w:rPr>
          <w:noProof/>
        </w:rPr>
        <w:t>i) a 2. szintű központi szerződő fél megsérti a 49. cikk (3) bekezdését azáltal, hogy nem hozza nyilvánosságra a kockázatkezelési modelljével kapcsolatos kulcsfontosságú szempontokat vagy a 49. cikk (1) bekezdésében említett stresszteszt elvégzésénél alkalmazott feltételezéseket;</w:t>
      </w:r>
    </w:p>
    <w:p>
      <w:pPr>
        <w:pStyle w:val="Text2"/>
        <w:rPr>
          <w:bCs/>
          <w:noProof/>
        </w:rPr>
      </w:pPr>
      <w:r>
        <w:rPr>
          <w:noProof/>
        </w:rPr>
        <w:t>j) a 2. szintű központi szerződő fél megsérti az 50. cikk (2) bekezdését azáltal, hogy nem mutatja be egyértelműen a pénzügyi eszközök átadására vonatkozó kötelezettségeit, ideértve azt is, hogy kötelezettsége a pénzügyi eszköz átadásának megtételére vagy fogadására vonatkozik-e, illetve, hogy kártalanítja-e a résztvevőket az átadási folyamat során keletkezett veszteségekért;</w:t>
      </w:r>
    </w:p>
    <w:p>
      <w:pPr>
        <w:pStyle w:val="Text2"/>
        <w:rPr>
          <w:bCs/>
          <w:noProof/>
        </w:rPr>
      </w:pPr>
      <w:r>
        <w:rPr>
          <w:noProof/>
        </w:rPr>
        <w:t>k) a 2. szintű központi szerződő fél megsérti az 50c. cikk (1) bekezdését azáltal, hogy nem közli az 50c. cikk (1) bekezdésének a), b), c), d) és e) pontjában említett adatokat az intézménynek minősülő klíringtagjaival, vagy azok illetékes hatóságaival;</w:t>
      </w:r>
    </w:p>
    <w:p>
      <w:pPr>
        <w:pStyle w:val="Text2"/>
        <w:rPr>
          <w:bCs/>
          <w:noProof/>
        </w:rPr>
      </w:pPr>
      <w:r>
        <w:rPr>
          <w:noProof/>
        </w:rPr>
        <w:t>l) a 2. szintű központi szerződő fél megsérti az 50c. cikk (2) bekezdését azáltal, hogy intézménynek minősülő klíringtagjait a negyedéves vagy az 50c. cikk (2) bekezdésének megfelelően az Európai Értékpapírpiaci Hatóság által előírt gyakoriságnál ritkábban tájékoztatja;</w:t>
      </w:r>
    </w:p>
    <w:p>
      <w:pPr>
        <w:pStyle w:val="Text1"/>
        <w:rPr>
          <w:bCs/>
          <w:noProof/>
        </w:rPr>
      </w:pPr>
      <w:r>
        <w:rPr>
          <w:noProof/>
        </w:rPr>
        <w:t>V.</w:t>
      </w:r>
      <w:r>
        <w:rPr>
          <w:noProof/>
        </w:rPr>
        <w:tab/>
        <w:t>A felügyeleti tevékenységek akadályozásával összefüggő jogsértések:</w:t>
      </w:r>
    </w:p>
    <w:p>
      <w:pPr>
        <w:pStyle w:val="Text2"/>
        <w:rPr>
          <w:bCs/>
          <w:noProof/>
        </w:rPr>
      </w:pPr>
      <w:r>
        <w:rPr>
          <w:noProof/>
        </w:rPr>
        <w:t>a) a 2. szintű központi szerződő fél megsérti a 25c. cikket azáltal, hogy az Európai Értékpapírpiaci Hatóság 25c. cikk szerinti egyszerű információkérésére vagy a 25n. cikk szerinti, információnyújtást előíró határozatára adott válaszában a valóságnak nem megfelelő vagy félrevezető információt szolgáltat;</w:t>
      </w:r>
    </w:p>
    <w:p>
      <w:pPr>
        <w:pStyle w:val="Text2"/>
        <w:rPr>
          <w:bCs/>
          <w:noProof/>
        </w:rPr>
      </w:pPr>
      <w:r>
        <w:rPr>
          <w:noProof/>
        </w:rPr>
        <w:t>b) a központi szerződő fél a valóságnak nem megfelelő vagy félrevezető választ ad a 25d. cikk (1) bekezdésének d) pontja alapján feltett kérdésekre;</w:t>
      </w:r>
    </w:p>
    <w:p>
      <w:pPr>
        <w:pStyle w:val="Text2"/>
        <w:rPr>
          <w:bCs/>
          <w:noProof/>
        </w:rPr>
      </w:pPr>
      <w:r>
        <w:rPr>
          <w:noProof/>
        </w:rPr>
        <w:t>c) a 2. szintű központi szerződő fél nem teljesíti időben az Európai Értékpapírpiaci Hatóság által a 25n. cikk szerint elfogadott határozatban előírt felügyeleti intézkedést;</w:t>
      </w:r>
    </w:p>
    <w:p>
      <w:pPr>
        <w:pStyle w:val="Text2"/>
        <w:rPr>
          <w:bCs/>
          <w:noProof/>
        </w:rPr>
      </w:pPr>
      <w:r>
        <w:rPr>
          <w:noProof/>
        </w:rPr>
        <w:t>d) a 2. szintű központi szerződő fél nem veti alá magát az Európai Értékpapírpiaci Hatóság által a 25e. cikk szerint elfogadott vizsgálati határozatban előírt helyszíni ellenőrzésnek.”</w:t>
      </w:r>
    </w:p>
    <w:p>
      <w:pPr>
        <w:pStyle w:val="Text1"/>
        <w:jc w:val="center"/>
        <w:rPr>
          <w:noProof/>
        </w:rPr>
      </w:pPr>
    </w:p>
    <w:p>
      <w:pPr>
        <w:pStyle w:val="NumPar1"/>
        <w:rPr>
          <w:bCs/>
          <w:noProof/>
        </w:rPr>
      </w:pPr>
      <w:r>
        <w:rPr>
          <w:noProof/>
        </w:rPr>
        <w:t>A rendelet a következő IV. melléklettel egészül ki:</w:t>
      </w:r>
    </w:p>
    <w:p>
      <w:pPr>
        <w:pStyle w:val="NumPar1"/>
        <w:numPr>
          <w:ilvl w:val="0"/>
          <w:numId w:val="0"/>
        </w:numPr>
        <w:ind w:left="850"/>
        <w:jc w:val="center"/>
        <w:rPr>
          <w:noProof/>
        </w:rPr>
      </w:pPr>
      <w:r>
        <w:rPr>
          <w:noProof/>
        </w:rPr>
        <w:t>„IV. MELLÉKLET</w:t>
      </w:r>
    </w:p>
    <w:p>
      <w:pPr>
        <w:pStyle w:val="Text1"/>
        <w:jc w:val="center"/>
        <w:rPr>
          <w:rFonts w:eastAsia="Times New Roman"/>
          <w:bCs/>
          <w:noProof/>
          <w:color w:val="000000"/>
          <w:szCs w:val="24"/>
        </w:rPr>
      </w:pPr>
      <w:r>
        <w:rPr>
          <w:noProof/>
          <w:color w:val="000000"/>
        </w:rPr>
        <w:t>A 25g. cikk (3) bekezdésének alkalmazására vonatkozó súlyosbító és enyhítő tényezőkhöz kapcsolódó együtthatók listája</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A 25g. cikk (2) bekezdésében említett alapösszegekre kumulatív módon az alábbi korrekciós együtthatókat kell alkalmazni:</w:t>
      </w:r>
    </w:p>
    <w:p>
      <w:pPr>
        <w:pStyle w:val="Text1"/>
        <w:rPr>
          <w:bCs/>
          <w:noProof/>
        </w:rPr>
      </w:pPr>
      <w:r>
        <w:rPr>
          <w:noProof/>
        </w:rPr>
        <w:t>I.</w:t>
      </w:r>
      <w:r>
        <w:rPr>
          <w:noProof/>
        </w:rPr>
        <w:tab/>
        <w:t>Súlyosbító tényezőkhöz kapcsolódó korrekciós együtthatók:</w:t>
      </w:r>
    </w:p>
    <w:p>
      <w:pPr>
        <w:pStyle w:val="Text2"/>
        <w:rPr>
          <w:bCs/>
          <w:noProof/>
        </w:rPr>
      </w:pPr>
      <w:r>
        <w:rPr>
          <w:noProof/>
        </w:rPr>
        <w:t>a) amennyiben a jogsértést többször elkövették, minden elkövetés esetére további 1,1-szeres korrekciós együttható alkalmazandó;</w:t>
      </w:r>
    </w:p>
    <w:p>
      <w:pPr>
        <w:pStyle w:val="Text2"/>
        <w:rPr>
          <w:bCs/>
          <w:noProof/>
        </w:rPr>
      </w:pPr>
      <w:r>
        <w:rPr>
          <w:noProof/>
        </w:rPr>
        <w:t>b) ha a jogsértés elkövetésének időtartama meghaladja a hat hónapot, az alkalmazandó korrekciós együttható 1,5;</w:t>
      </w:r>
    </w:p>
    <w:p>
      <w:pPr>
        <w:pStyle w:val="Text2"/>
        <w:rPr>
          <w:rFonts w:eastAsia="Times New Roman"/>
          <w:noProof/>
          <w:color w:val="000000"/>
          <w:szCs w:val="24"/>
        </w:rPr>
      </w:pPr>
      <w:r>
        <w:rPr>
          <w:noProof/>
          <w:color w:val="000000"/>
        </w:rPr>
        <w:t>c) ha a jogsértés rendszerszintű hiányosságot tárt fel a központi szerződő fél szervezetében, különösen annak eljárásaiban, az irányítási rendszereiben vagy belső ellenőrzési mechanizmusaiban, az alkalmazandó korrekciós együttható 2,2;</w:t>
      </w:r>
    </w:p>
    <w:p>
      <w:pPr>
        <w:pStyle w:val="Text2"/>
        <w:rPr>
          <w:rFonts w:eastAsia="Times New Roman"/>
          <w:noProof/>
          <w:color w:val="000000"/>
          <w:sz w:val="22"/>
          <w:szCs w:val="24"/>
        </w:rPr>
      </w:pPr>
      <w:r>
        <w:rPr>
          <w:noProof/>
          <w:color w:val="000000"/>
        </w:rPr>
        <w:t>d) ha a jogsértés negatív hatással van a központi szerződő fél tevékenységeinek és szolgáltatásainak minőségére, az alkalmazandó korrekciós együttható 1,5;</w:t>
      </w:r>
    </w:p>
    <w:p>
      <w:pPr>
        <w:pStyle w:val="Text2"/>
        <w:rPr>
          <w:rFonts w:eastAsia="Times New Roman"/>
          <w:noProof/>
          <w:color w:val="000000"/>
          <w:sz w:val="22"/>
          <w:szCs w:val="24"/>
        </w:rPr>
      </w:pPr>
      <w:r>
        <w:rPr>
          <w:noProof/>
          <w:color w:val="000000"/>
        </w:rPr>
        <w:t>e) a jogsértés szándékos elkövetése esetén alkalmazandó korrekciós együttható 2;</w:t>
      </w:r>
    </w:p>
    <w:p>
      <w:pPr>
        <w:pStyle w:val="Text2"/>
        <w:rPr>
          <w:rFonts w:eastAsia="Times New Roman"/>
          <w:noProof/>
          <w:color w:val="000000"/>
          <w:sz w:val="22"/>
          <w:szCs w:val="24"/>
        </w:rPr>
      </w:pPr>
      <w:r>
        <w:rPr>
          <w:noProof/>
        </w:rPr>
        <w:t>f) ha a jogsértés azonosítása óta nem tettek semmilyen lépést annak orvoslására, az alkalmazandó korrekciós együttható 1,7;</w:t>
      </w:r>
    </w:p>
    <w:p>
      <w:pPr>
        <w:pStyle w:val="Text2"/>
        <w:rPr>
          <w:bCs/>
          <w:noProof/>
        </w:rPr>
      </w:pPr>
      <w:r>
        <w:rPr>
          <w:noProof/>
        </w:rPr>
        <w:t>g) ha a központi szerződő fél felső vezetése nem működött együtt az Európai Értékpapírpiaci Hatósággal annak vizsgálatai lefolytatásában, az alkalmazandó korrekciós együttható 1,5.</w:t>
      </w:r>
    </w:p>
    <w:p>
      <w:pPr>
        <w:pStyle w:val="Text1"/>
        <w:rPr>
          <w:bCs/>
          <w:noProof/>
        </w:rPr>
      </w:pPr>
      <w:r>
        <w:rPr>
          <w:noProof/>
        </w:rPr>
        <w:t>II.</w:t>
      </w:r>
      <w:r>
        <w:rPr>
          <w:noProof/>
        </w:rPr>
        <w:tab/>
        <w:t>Enyhítő tényezőkhöz kapcsolódó korrekciós együtthatók:</w:t>
      </w:r>
    </w:p>
    <w:p>
      <w:pPr>
        <w:pStyle w:val="Text2"/>
        <w:rPr>
          <w:bCs/>
          <w:noProof/>
        </w:rPr>
      </w:pPr>
      <w:r>
        <w:rPr>
          <w:noProof/>
        </w:rPr>
        <w:t>a) ha a jogsértés elkövetésének időtartama nem éri el a 10 munkanapot, az alkalmazandó korrekciós együttható 0,9;</w:t>
      </w:r>
    </w:p>
    <w:p>
      <w:pPr>
        <w:pStyle w:val="Text2"/>
        <w:rPr>
          <w:rFonts w:eastAsia="Times New Roman"/>
          <w:noProof/>
          <w:color w:val="000000"/>
          <w:szCs w:val="24"/>
        </w:rPr>
      </w:pPr>
      <w:r>
        <w:rPr>
          <w:noProof/>
        </w:rPr>
        <w:t>b) ha a központi szerződő fél felső vezetése bizonyítani tudja, hogy minden szükséges lépést megtett a jogsértés megakadályozására, az alkalmazandó korrekciós együttható 0,7;</w:t>
      </w:r>
    </w:p>
    <w:p>
      <w:pPr>
        <w:pStyle w:val="Text2"/>
        <w:rPr>
          <w:rFonts w:eastAsia="Times New Roman"/>
          <w:noProof/>
          <w:color w:val="000000"/>
          <w:szCs w:val="24"/>
        </w:rPr>
      </w:pPr>
      <w:r>
        <w:rPr>
          <w:noProof/>
        </w:rPr>
        <w:t>c) ha a központi szerződő fél gyorsan, hatékonyan és maradéktalanul az Európai Értékpapírpiaci Hatóság tudomására hozta a jogsértést, az alkalmazandó korrekciós együttható 0,4;</w:t>
      </w:r>
    </w:p>
    <w:p>
      <w:pPr>
        <w:pStyle w:val="Text2"/>
        <w:rPr>
          <w:bCs/>
          <w:noProof/>
        </w:rPr>
      </w:pPr>
      <w:r>
        <w:rPr>
          <w:noProof/>
        </w:rPr>
        <w:t>d) ha a központi szerződő fél önkéntes intézkedéseket hozott annak biztosítására, hogy a jövőben ne kerülhessen sor hasonló jogsértés elkövetésére, az alkalmazandó korrekciós együttható 0,6.”</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CD8B9924FD57438F993BA0B41B55BFB4"/>
    <w:docVar w:name="LW_CROSSREFERENCE" w:val="{SWD(2017) 246 final}_x000b_{SWD(2017) 247 final}"/>
    <w:docVar w:name="LW_DocType" w:val="NORMAL"/>
    <w:docVar w:name="LW_EMISSION" w:val="2017.6.13."/>
    <w:docVar w:name="LW_EMISSION_ISODATE" w:val="2017-06-13"/>
    <w:docVar w:name="LW_EMISSION_LOCATION" w:val="BRX"/>
    <w:docVar w:name="LW_EMISSION_PREFIX" w:val="Brüsszel, "/>
    <w:docVar w:name="LW_EMISSION_SUFFIX" w:val=" "/>
    <w:docVar w:name="LW_ID_DOCTYPE_NONLW" w:val="CP-036"/>
    <w:docVar w:name="LW_LANGUE" w:val="HU"/>
    <w:docVar w:name="LW_MARKING" w:val="&lt;UNUSED&gt;"/>
    <w:docVar w:name="LW_NOM.INST" w:val="EURÓPAI BIZOTTSÁG"/>
    <w:docVar w:name="LW_NOM.INST_JOINTDOC" w:val="&lt;EMPTY&gt;"/>
    <w:docVar w:name="LW_OBJETACTEPRINCIPAL.CP" w:val="az európai felügyeleti hatóság (Európai Értékpapírpiaci Hatóság) létrehozásáról szóló 1095/2010/EU rendeletnek és a 648/2012/EU rendeletnek a központi szerz\u337?d\u337? felek engedélyezésére vonatkozó eljárások és az érintett hatóságok, valamint a harmadik országbeli központi szerz\u337?d\u337? felek elismerésére vonatkozó követelmények tekintetében történ\u337? módosításáról_x000b_"/>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MELLÉKLET_x000b_"/>
    <w:docVar w:name="LW_TYPEACTEPRINCIPAL.CP" w:val="Javaslat_x000b__x000b_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4492</Words>
  <Characters>29516</Characters>
  <Application>Microsoft Office Word</Application>
  <DocSecurity>0</DocSecurity>
  <Lines>517</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15</cp:revision>
  <dcterms:created xsi:type="dcterms:W3CDTF">2017-06-12T09:57:00Z</dcterms:created>
  <dcterms:modified xsi:type="dcterms:W3CDTF">2017-07-14T07:17:00Z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