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1D5B9ECFAE944429FEBA443491AA09E"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EXPOSÉ DES MOTIFS</w:t>
      </w:r>
    </w:p>
    <w:p>
      <w:pPr>
        <w:pStyle w:val="ManualHeading1"/>
        <w:tabs>
          <w:tab w:val="clear" w:pos="850"/>
        </w:tabs>
        <w:spacing w:before="0" w:after="240"/>
        <w:ind w:left="426" w:hanging="426"/>
        <w:rPr>
          <w:noProof/>
        </w:rPr>
      </w:pPr>
      <w:r>
        <w:rPr>
          <w:noProof/>
        </w:rPr>
        <w:t>1.</w:t>
      </w:r>
      <w:r>
        <w:rPr>
          <w:noProof/>
        </w:rPr>
        <w:tab/>
        <w:t>CONTEXTE DE LA PROPOSITION</w:t>
      </w:r>
    </w:p>
    <w:p>
      <w:pPr>
        <w:spacing w:before="0" w:after="240"/>
        <w:rPr>
          <w:rFonts w:eastAsia="Times New Roman"/>
          <w:noProof/>
          <w:szCs w:val="24"/>
        </w:rPr>
      </w:pPr>
      <w:r>
        <w:rPr>
          <w:noProof/>
        </w:rPr>
        <w:t>L’Orchestre des jeunes de l’Union européenne (EUYO), qui a été créé en 1976 à la suite d’une résolution du Parlement européen</w:t>
      </w:r>
      <w:r>
        <w:rPr>
          <w:rStyle w:val="FootnoteReference"/>
          <w:noProof/>
        </w:rPr>
        <w:footnoteReference w:id="1"/>
      </w:r>
      <w:r>
        <w:rPr>
          <w:noProof/>
        </w:rPr>
        <w:t xml:space="preserve">, se produit au nom de l’Union européenne depuis quarante ans. Son président d’honneur est le président du Parlement européen et ses parrains d’honneur sont les chefs d’État ou de gouvernement des États membres, sous la conduite du président de la Commission européenne. </w:t>
      </w:r>
    </w:p>
    <w:p>
      <w:pPr>
        <w:spacing w:before="0" w:after="240"/>
        <w:rPr>
          <w:rFonts w:eastAsia="Times New Roman"/>
          <w:noProof/>
          <w:szCs w:val="24"/>
        </w:rPr>
      </w:pPr>
      <w:r>
        <w:rPr>
          <w:noProof/>
        </w:rPr>
        <w:t>L’EUYO est composé de jeunes musiciens de tous les États membres de l’Union, qui sont sélectionnés en fonction de critères de qualité exigeants. Il réunit de jeunes musiciens très talentueux de toute l’Europe au sein d’un orchestre européen d’envergure mondiale qui transcende les frontières culturelles.</w:t>
      </w:r>
    </w:p>
    <w:p>
      <w:pPr>
        <w:spacing w:before="0" w:after="240"/>
        <w:rPr>
          <w:rFonts w:eastAsia="Times New Roman"/>
          <w:noProof/>
          <w:szCs w:val="24"/>
        </w:rPr>
      </w:pPr>
      <w:r>
        <w:rPr>
          <w:noProof/>
        </w:rPr>
        <w:t xml:space="preserve">Depuis sa création, l’EUYO joue un rôle unique dans la promotion du dialogue interculturel et du respect et de la compréhension mutuels par la culture. Il s’est produit dans de grandes villes et de grands festivals en Europe et dans le monde, dans différents cadres formels et informels en utilisant des formats et des techniques traditionnels et innovants pour des publics variés. L’EUYO sert d’ambassadeur culturel de l’Union en exposant par ses activités la richesse et la diversité des cultures européennes et des nouveaux talents. </w:t>
      </w:r>
    </w:p>
    <w:p>
      <w:pPr>
        <w:spacing w:before="0" w:after="240"/>
        <w:rPr>
          <w:rFonts w:eastAsia="Times New Roman"/>
          <w:noProof/>
          <w:szCs w:val="24"/>
        </w:rPr>
      </w:pPr>
      <w:r>
        <w:rPr>
          <w:noProof/>
        </w:rPr>
        <w:t>Ce groupe de jeunes musiciens d’exception qui collaborent pour exécuter des œuvres de très haut niveau forme un orchestre unique sur la scène européenne. Ses représentations devant des publics variés au sein de l’Union européenne et au-delà mettent en valeur la musique et le talent européens.</w:t>
      </w:r>
    </w:p>
    <w:p>
      <w:pPr>
        <w:spacing w:before="0" w:after="240"/>
        <w:rPr>
          <w:rFonts w:eastAsia="Times New Roman"/>
          <w:noProof/>
          <w:szCs w:val="24"/>
        </w:rPr>
      </w:pPr>
      <w:r>
        <w:rPr>
          <w:noProof/>
        </w:rPr>
        <w:t>Alors que l’Union européenne est actuellement confrontée à de nombreux défis et a besoin de se rapprocher de ses citoyens, l’EUYO a un rôle encore plus important à jouer pour véhiculer les valeurs fondamentales de l’Europe, créer des passerelles entre les peuples par la musique classique et tisser des liens avec la jeune génération en Europe en rassemblant de jeunes interprètes de musique classique issus d’horizons variés autour de concerts et de programmes de parrainage.</w:t>
      </w:r>
    </w:p>
    <w:p>
      <w:pPr>
        <w:spacing w:before="0" w:after="240"/>
        <w:rPr>
          <w:rFonts w:eastAsia="Times New Roman"/>
          <w:noProof/>
          <w:szCs w:val="24"/>
        </w:rPr>
      </w:pPr>
      <w:r>
        <w:rPr>
          <w:noProof/>
        </w:rPr>
        <w:t xml:space="preserve">Le financement européen est essentiel à la survie de l’EUYO en tant qu’organisme œuvrant à la promotion des valeurs européennes, de la diversité et des jeunes talents. Sans ce soutien, il ne pourrait pas mener ces activités émancipatrices et les jeunes musiciens seraient privés d’une occasion unique de se produire à l’échelle internationale, de bâtir leur carrière et de développer leur talent sous la direction de chefs d’orchestre réputés. Ses 3 000 élèves, qui ont tous été sélectionnés au moyen d’un processus rigoureux d’audition annuelle mené dans tous les États membres, forment un réseau de chefs d’orchestre, de solistes, d’enseignants et d’instrumentistes de haut vol qui collaborent avec de grands orchestres dans le monde entier. </w:t>
      </w:r>
    </w:p>
    <w:p>
      <w:pPr>
        <w:spacing w:before="0" w:after="240"/>
        <w:rPr>
          <w:rFonts w:eastAsia="Times New Roman"/>
          <w:noProof/>
          <w:szCs w:val="24"/>
        </w:rPr>
      </w:pPr>
      <w:r>
        <w:rPr>
          <w:noProof/>
        </w:rPr>
        <w:t xml:space="preserve">Le programme «Europe créative» et ses programmes de financement antérieurs ont soutenu l’EUYO de différentes façons. En 2016, l’EUYO a reçu une subvention de fonctionnement en </w:t>
      </w:r>
      <w:r>
        <w:rPr>
          <w:noProof/>
        </w:rPr>
        <w:lastRenderedPageBreak/>
        <w:t>vertu du règlement (UE, Euratom) nº 966/2012</w:t>
      </w:r>
      <w:r>
        <w:rPr>
          <w:rStyle w:val="FootnoteReference"/>
          <w:noProof/>
        </w:rPr>
        <w:footnoteReference w:id="2"/>
      </w:r>
      <w:r>
        <w:rPr>
          <w:noProof/>
        </w:rPr>
        <w:t xml:space="preserve"> en tant qu’organisme poursuivant un but d’intérêt général de l’Union ou un objectif qui s’inscrit dans le cadre d’une politique culturelle de l’Union et la soutient. En 2017, il sera financé de la même façon.</w:t>
      </w:r>
    </w:p>
    <w:p>
      <w:pPr>
        <w:spacing w:before="0" w:after="240"/>
        <w:rPr>
          <w:rFonts w:eastAsia="Times New Roman"/>
          <w:noProof/>
          <w:szCs w:val="24"/>
        </w:rPr>
      </w:pPr>
      <w:r>
        <w:rPr>
          <w:noProof/>
        </w:rPr>
        <w:t>Pour soutenir de manière durable le maintien des activités de l’EUYO et compte tenu de son statut, de ses objectifs stratégiques et de ses activités spécifiques, la Commission propose qu’il soit reconnu en tant qu’«organisme identifié par un acte de base» au sens de l’article 190, paragraphe 1, point d), du règlement délégué (UE) nº 1268/2012</w:t>
      </w:r>
      <w:r>
        <w:rPr>
          <w:rStyle w:val="FootnoteReference"/>
          <w:noProof/>
        </w:rPr>
        <w:footnoteReference w:id="3"/>
      </w:r>
      <w:r>
        <w:rPr>
          <w:noProof/>
        </w:rPr>
        <w:t xml:space="preserve"> et que l’article 13, paragraphe 1, du règlement (UE) nº 1295/2013</w:t>
      </w:r>
      <w:r>
        <w:rPr>
          <w:rStyle w:val="FootnoteReference"/>
          <w:noProof/>
        </w:rPr>
        <w:footnoteReference w:id="4"/>
      </w:r>
      <w:r>
        <w:rPr>
          <w:noProof/>
        </w:rPr>
        <w:t xml:space="preserve"> soit modifié en conséquence.</w:t>
      </w:r>
    </w:p>
    <w:p>
      <w:pPr>
        <w:pStyle w:val="ManualHeading1"/>
        <w:tabs>
          <w:tab w:val="clear" w:pos="850"/>
          <w:tab w:val="left" w:pos="426"/>
        </w:tabs>
        <w:ind w:left="426" w:hanging="426"/>
        <w:rPr>
          <w:noProof/>
        </w:rPr>
      </w:pPr>
      <w:r>
        <w:rPr>
          <w:noProof/>
        </w:rPr>
        <w:t>2.    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rFonts w:eastAsia="Times New Roman"/>
          <w:noProof/>
          <w:szCs w:val="24"/>
        </w:rPr>
      </w:pPr>
      <w:r>
        <w:rPr>
          <w:noProof/>
        </w:rPr>
        <w:t xml:space="preserve">La présente proposition modifie le règlement (UE) nº 1295/2013 au titre du sous-programme Culture du programme «Europe créative» et est par conséquent basée sur l’article 167, paragraphe 5, premier tiret, du traité sur le fonctionnement de l’Union européenne (TFUE). </w:t>
      </w:r>
    </w:p>
    <w:p>
      <w:pPr>
        <w:pStyle w:val="ManualHeading2"/>
        <w:rPr>
          <w:rFonts w:eastAsia="Arial Unicode MS"/>
          <w:noProof/>
          <w:u w:color="000000"/>
          <w:bdr w:val="nil"/>
        </w:rPr>
      </w:pPr>
      <w:r>
        <w:rPr>
          <w:noProof/>
        </w:rPr>
        <w:t>•</w:t>
      </w:r>
      <w:r>
        <w:rPr>
          <w:noProof/>
        </w:rPr>
        <w:tab/>
        <w:t>Subsidiarité</w:t>
      </w:r>
    </w:p>
    <w:p>
      <w:pPr>
        <w:pStyle w:val="Text1"/>
        <w:spacing w:before="0" w:after="240"/>
        <w:ind w:left="0"/>
        <w:rPr>
          <w:noProof/>
        </w:rPr>
      </w:pPr>
      <w:r>
        <w:rPr>
          <w:noProof/>
        </w:rPr>
        <w:t xml:space="preserve">En vertu de l’article 167 du TFUE, l’Union prend des mesures pour soutenir et compléter les actions menées par les États membres. Comme les objectifs et les activités de l’EUYO vont au-delà des seuls intérêts et bénéfices d’un ou de plusieurs États membres et que l’orchestre a été créé à la suite d’une résolution du Parlement européen, il s’avère clairement complémentaire d’en faire un «organisme identifié par un acte de base» au sens de l’article 190, paragraphe 1, point d), du règlement délégué (UE) nº 1268/2012 de la Commission. Ses activités participent à la création d’une valeur ajoutée européenne importante. </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noProof/>
        </w:rPr>
      </w:pPr>
      <w:r>
        <w:rPr>
          <w:noProof/>
        </w:rPr>
        <w:t>La modification proposée se limite à ce qui est strictement nécessaire pour régler le problème et ne va pas au-delà de ce qui est nécessaire pour atteindre les objectifs poursuivis. Elle est limitée aux modifications visant à inclure une référence à l’EUYO à l’article 13, paragraphe 1, du règlement (UE) nº 1295/2013.</w:t>
      </w:r>
    </w:p>
    <w:p>
      <w:pPr>
        <w:pStyle w:val="ManualHeading1"/>
        <w:tabs>
          <w:tab w:val="clear" w:pos="850"/>
        </w:tabs>
        <w:spacing w:before="0" w:after="240"/>
        <w:ind w:left="426" w:hanging="426"/>
        <w:rPr>
          <w:smallCaps w:val="0"/>
          <w:noProof/>
        </w:rPr>
      </w:pPr>
      <w:r>
        <w:rPr>
          <w:noProof/>
        </w:rPr>
        <w:t>3.</w:t>
      </w:r>
      <w:r>
        <w:rPr>
          <w:noProof/>
        </w:rPr>
        <w:tab/>
        <w:t xml:space="preserve">RÉSULTATS DE L’ÉVALUATION EX POST, DES CONSULTATIONS DES PARTIES INTÉRESSÉES ET DES ANALYSES D’IMPACT </w:t>
      </w:r>
    </w:p>
    <w:p>
      <w:pPr>
        <w:pStyle w:val="Text1"/>
        <w:spacing w:before="0" w:after="240"/>
        <w:ind w:left="0"/>
        <w:rPr>
          <w:noProof/>
        </w:rPr>
      </w:pPr>
      <w:r>
        <w:rPr>
          <w:noProof/>
        </w:rPr>
        <w:t xml:space="preserve">Au printemps 2016, dans le cadre d’une campagne publique (SaveEUYO) visant à soutenir l’EUYO qui était confronté à des problèmes financiers menaçant son existence même, plusieurs parties prenantes du monde de la culture et de la musique ont exprimé leur soutien </w:t>
      </w:r>
      <w:r>
        <w:rPr>
          <w:noProof/>
        </w:rPr>
        <w:lastRenderedPageBreak/>
        <w:t>en faveur de cet orchestre en faisant des déclarations dans la presse et en contactant la Commission. Les États membres (notamment lors du Conseil des ministres de la culture en mai 2016) et les députés au Parlement européen ont soutenu l’idée visant à trouver une solution pour son financement.</w:t>
      </w:r>
    </w:p>
    <w:p>
      <w:pPr>
        <w:pStyle w:val="Text1"/>
        <w:spacing w:before="0" w:after="240"/>
        <w:ind w:left="0"/>
        <w:rPr>
          <w:noProof/>
        </w:rPr>
      </w:pPr>
      <w:r>
        <w:rPr>
          <w:noProof/>
        </w:rPr>
        <w:t xml:space="preserve">Compte tenu du champ d’application limité de la proposition de modification, qui n’a pas d’incidence économique, environnementale et sociale important en soi, il n’est pas nécessaire d’effectuer une analyse d’impact ni de procéder à de nouvelles consultations. </w:t>
      </w:r>
    </w:p>
    <w:p>
      <w:pPr>
        <w:pStyle w:val="ManualHeading1"/>
        <w:tabs>
          <w:tab w:val="clear" w:pos="850"/>
        </w:tabs>
        <w:spacing w:before="0" w:after="240"/>
        <w:ind w:left="426" w:hanging="426"/>
        <w:rPr>
          <w:noProof/>
        </w:rPr>
      </w:pPr>
      <w:r>
        <w:rPr>
          <w:noProof/>
        </w:rPr>
        <w:t>4.</w:t>
      </w:r>
      <w:r>
        <w:rPr>
          <w:noProof/>
        </w:rPr>
        <w:tab/>
        <w:t>INCIDENCE BUDGÉTAIRE</w:t>
      </w:r>
    </w:p>
    <w:p>
      <w:pPr>
        <w:spacing w:before="0" w:after="240"/>
        <w:rPr>
          <w:noProof/>
        </w:rPr>
      </w:pPr>
      <w:r>
        <w:rPr>
          <w:noProof/>
        </w:rPr>
        <w:t>L’enveloppe financière existante du programme «Europe créative» servira à financer l’EUYO, qui n’aura pas besoin d’autres ressources budgétaires de l’Union. La «fiche financière législative» ci-jointe présente l’incidence budgétaire et les ressources humaines et administratives requises qui démontrent la neutralité budgétaire de cette initiative.</w:t>
      </w:r>
    </w:p>
    <w:p>
      <w:pPr>
        <w:pStyle w:val="ManualHeading1"/>
        <w:tabs>
          <w:tab w:val="clear" w:pos="850"/>
          <w:tab w:val="left" w:pos="426"/>
        </w:tabs>
        <w:rPr>
          <w:noProof/>
        </w:rPr>
      </w:pPr>
      <w:r>
        <w:rPr>
          <w:noProof/>
        </w:rPr>
        <w:t>5.</w:t>
      </w:r>
      <w:r>
        <w:rPr>
          <w:noProof/>
        </w:rPr>
        <w:tab/>
        <w:t>AUTRES ÉLÉMENTS</w:t>
      </w:r>
    </w:p>
    <w:p>
      <w:pPr>
        <w:spacing w:before="0"/>
        <w:rPr>
          <w:noProof/>
        </w:rPr>
      </w:pPr>
      <w:r>
        <w:rPr>
          <w:noProof/>
        </w:rPr>
        <w:t xml:space="preserve">Dans sa proposition, la Commission propose: </w:t>
      </w:r>
    </w:p>
    <w:p>
      <w:pPr>
        <w:pStyle w:val="Bullet0"/>
        <w:numPr>
          <w:ilvl w:val="0"/>
          <w:numId w:val="17"/>
        </w:numPr>
        <w:rPr>
          <w:noProof/>
        </w:rPr>
      </w:pPr>
      <w:r>
        <w:rPr>
          <w:noProof/>
        </w:rPr>
        <w:t xml:space="preserve">de créer une solution transparente et solide sur le plan juridique pour garantir un soutien durable de l’EUYO, qui tienne compte de ses caractéristiques spécifiques, en le reconnaissant en tant qu’«organisme identifié par un acte de base» au sens de l’article 190, paragraphe 1, point d), du règlement délégué (UE) nº 1268/2012 de la Commission; </w:t>
      </w:r>
    </w:p>
    <w:p>
      <w:pPr>
        <w:pStyle w:val="Bullet0"/>
        <w:numPr>
          <w:ilvl w:val="0"/>
          <w:numId w:val="20"/>
        </w:numPr>
        <w:rPr>
          <w:noProof/>
        </w:rPr>
      </w:pPr>
      <w:r>
        <w:rPr>
          <w:noProof/>
        </w:rPr>
        <w:t>d’ajouter en conséquence un nouveau point f) à l’article 13, paragraphe 1, du règlement (UE) nº 1295/2013.</w:t>
      </w:r>
    </w:p>
    <w:p>
      <w:pPr>
        <w:pStyle w:val="Bulle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2017/0163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 xml:space="preserve">portant modification du règlement (UE) nº 1295/2013 établissant le programme «Europe créative» (2014 à 2020) </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167, paragraphe 5, premier tiret,</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5"/>
      </w:r>
      <w:r>
        <w:rPr>
          <w:noProof/>
        </w:rPr>
        <w:t xml:space="preserve">, </w:t>
      </w:r>
    </w:p>
    <w:p>
      <w:pPr>
        <w:rPr>
          <w:noProof/>
        </w:rPr>
      </w:pPr>
      <w:r>
        <w:rPr>
          <w:noProof/>
        </w:rPr>
        <w:t>vu l’avis du Comité des régions</w:t>
      </w:r>
      <w:r>
        <w:rPr>
          <w:rStyle w:val="FootnoteReference"/>
          <w:noProof/>
        </w:rPr>
        <w:footnoteReference w:id="6"/>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 règlement (UE) nº 1295/2013 du Parlement européen et du Conseil</w:t>
      </w:r>
      <w:r>
        <w:rPr>
          <w:rStyle w:val="FootnoteReference"/>
          <w:noProof/>
        </w:rPr>
        <w:footnoteReference w:id="7"/>
      </w:r>
      <w:r>
        <w:rPr>
          <w:noProof/>
        </w:rPr>
        <w:t xml:space="preserve"> a établi le programme «Europe créative» (2014 à 2020) pour soutenir les secteurs européens de la culture et de la création. </w:t>
      </w:r>
    </w:p>
    <w:p>
      <w:pPr>
        <w:pStyle w:val="ManualConsidrant"/>
        <w:rPr>
          <w:noProof/>
        </w:rPr>
      </w:pPr>
      <w:r>
        <w:t>(2)</w:t>
      </w:r>
      <w:r>
        <w:tab/>
      </w:r>
      <w:r>
        <w:rPr>
          <w:noProof/>
        </w:rPr>
        <w:t>L’Orchestre des jeunes de l’Union européenne (EUYO) est composé de jeunes musiciens qui sont sélectionnés en fonction de critères de qualité exigeants au moyen d’un processus rigoureux d’audition annuelle qui se déroule dans tous les États membres.</w:t>
      </w:r>
    </w:p>
    <w:p>
      <w:pPr>
        <w:pStyle w:val="ManualConsidrant"/>
        <w:rPr>
          <w:noProof/>
        </w:rPr>
      </w:pPr>
      <w:r>
        <w:t>(3)</w:t>
      </w:r>
      <w:r>
        <w:tab/>
      </w:r>
      <w:r>
        <w:rPr>
          <w:noProof/>
        </w:rPr>
        <w:t xml:space="preserve">Il réunit de jeunes musiciens très talentueux de toute l’Europe au sein d’un orchestre européen d’envergure mondiale qui transcende les frontières culturelles. Depuis sa création, l’EUYO joue un rôle unique dans la promotion du dialogue interculturel et du respect et de la compréhension mutuels par la culture. L’EUYO sert ainsi d’ambassadeur culturel de l’Union en exposant la richesse et la diversité des cultures européennes et des nouveaux talents. Il contribue également à la diffusion des œuvres européennes et à la mobilité des jeunes talents européens au-delà des frontières nationales et européennes, en fournissant aux jeunes musiciens des États membres l’occasion de bâtir leur carrière et de développer leurs compétences sous la direction de chefs d’orchestre réputés. </w:t>
      </w:r>
    </w:p>
    <w:p>
      <w:pPr>
        <w:pStyle w:val="ManualConsidrant"/>
        <w:rPr>
          <w:noProof/>
        </w:rPr>
      </w:pPr>
      <w:r>
        <w:t>(4)</w:t>
      </w:r>
      <w:r>
        <w:tab/>
      </w:r>
      <w:r>
        <w:rPr>
          <w:noProof/>
        </w:rPr>
        <w:t xml:space="preserve">Les activités de l’EUYO s’inscrivent dans le droit fil des objectifs du programme «Europe créative» et des objectifs spécifiques du sous-programme Culture. </w:t>
      </w:r>
    </w:p>
    <w:p>
      <w:pPr>
        <w:pStyle w:val="ManualConsidrant"/>
        <w:rPr>
          <w:noProof/>
        </w:rPr>
      </w:pPr>
      <w:r>
        <w:lastRenderedPageBreak/>
        <w:t>(5)</w:t>
      </w:r>
      <w:r>
        <w:tab/>
      </w:r>
      <w:r>
        <w:rPr>
          <w:noProof/>
        </w:rPr>
        <w:t>L’EUYO a été créé à la suite d’une résolution du Parlement européen datant de 1976</w:t>
      </w:r>
      <w:r>
        <w:rPr>
          <w:rStyle w:val="FootnoteReference"/>
          <w:noProof/>
        </w:rPr>
        <w:footnoteReference w:id="8"/>
      </w:r>
      <w:r>
        <w:rPr>
          <w:noProof/>
        </w:rPr>
        <w:t xml:space="preserve"> et est donc un orchestre unique en Europe. Compte tenu de son statut, de ses objectifs stratégiques et de ses activités spécifiques, l’EUYO peut être considéré comme un «organisme identifié par un acte de base» au sens de l’article 190, paragraphe 1, point d), du règlement délégué (UE) nº 1268/2012</w:t>
      </w:r>
      <w:r>
        <w:rPr>
          <w:rStyle w:val="FootnoteReference"/>
          <w:noProof/>
        </w:rPr>
        <w:footnoteReference w:id="9"/>
      </w:r>
      <w:r>
        <w:rPr>
          <w:noProof/>
        </w:rPr>
        <w:t xml:space="preserve"> de la Commission. Par conséquent, des subventions peuvent être octroyées sans appel à propositions. </w:t>
      </w:r>
    </w:p>
    <w:p>
      <w:pPr>
        <w:pStyle w:val="ManualConsidrant"/>
        <w:rPr>
          <w:noProof/>
        </w:rPr>
      </w:pPr>
      <w:r>
        <w:t>(6)</w:t>
      </w:r>
      <w:r>
        <w:tab/>
      </w:r>
      <w:r>
        <w:rPr>
          <w:noProof/>
        </w:rPr>
        <w:t>L’EUYO devrait par conséquent figurer au rang des mesures bénéficiant d’un soutien au titre du sous-programme Culture.</w:t>
      </w:r>
    </w:p>
    <w:p>
      <w:pPr>
        <w:pStyle w:val="ManualConsidrant"/>
        <w:rPr>
          <w:rFonts w:eastAsia="Times New Roman"/>
          <w:noProof/>
          <w:szCs w:val="24"/>
        </w:rPr>
      </w:pPr>
      <w:r>
        <w:t>(7)</w:t>
      </w:r>
      <w:r>
        <w:tab/>
      </w:r>
      <w:r>
        <w:rPr>
          <w:noProof/>
        </w:rPr>
        <w:t>Il convient dès lors de modifier le règlement (UE) nº 1295/2013 en conséquence,</w:t>
      </w:r>
    </w:p>
    <w:p>
      <w:pPr>
        <w:pStyle w:val="Formuledadoption"/>
        <w:rPr>
          <w:noProof/>
        </w:rPr>
      </w:pPr>
      <w:r>
        <w:rPr>
          <w:noProof/>
        </w:rPr>
        <w:t>ONT ADOPTÉ LE PRÉSENT RÈGLEMENT:</w:t>
      </w:r>
    </w:p>
    <w:p>
      <w:pPr>
        <w:pStyle w:val="Titrearticle"/>
        <w:rPr>
          <w:noProof/>
        </w:rPr>
      </w:pPr>
      <w:r>
        <w:rPr>
          <w:noProof/>
        </w:rPr>
        <w:t>Article premier</w:t>
      </w:r>
    </w:p>
    <w:p>
      <w:pPr>
        <w:spacing w:before="0"/>
        <w:rPr>
          <w:noProof/>
        </w:rPr>
      </w:pPr>
      <w:r>
        <w:rPr>
          <w:noProof/>
        </w:rPr>
        <w:t>À l’article 13, paragraphe 1, du règlement (UE) n° 1295/2013, le point f) suivant est ajouté:</w:t>
      </w:r>
    </w:p>
    <w:p>
      <w:pPr>
        <w:spacing w:before="0" w:after="240"/>
        <w:ind w:left="1134" w:hanging="425"/>
        <w:rPr>
          <w:noProof/>
        </w:rPr>
      </w:pPr>
      <w:r>
        <w:rPr>
          <w:noProof/>
        </w:rPr>
        <w:t xml:space="preserve">«f) </w:t>
      </w:r>
      <w:r>
        <w:rPr>
          <w:noProof/>
        </w:rPr>
        <w:tab/>
        <w:t>à l’Orchestre des jeunes de l’Union européenne.»</w:t>
      </w:r>
    </w:p>
    <w:p>
      <w:pPr>
        <w:pStyle w:val="Titrearticle"/>
        <w:rPr>
          <w:noProof/>
        </w:rPr>
      </w:pPr>
      <w:r>
        <w:rPr>
          <w:noProof/>
        </w:rPr>
        <w:t>Article 2</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rPr>
          <w:noProof/>
        </w:rPr>
      </w:pPr>
      <w:r>
        <w:rPr>
          <w:noProof/>
        </w:rPr>
        <w:t>Il est applicable à partir du 1</w:t>
      </w:r>
      <w:r>
        <w:rPr>
          <w:noProof/>
          <w:vertAlign w:val="superscript"/>
        </w:rPr>
        <w:t>er</w:t>
      </w:r>
      <w:r>
        <w:rPr>
          <w:noProof/>
        </w:rPr>
        <w:t> janvier 2018.</w:t>
      </w:r>
    </w:p>
    <w:p>
      <w:pPr>
        <w:pStyle w:val="Applicationdirecte"/>
        <w:rPr>
          <w:noProof/>
        </w:rPr>
      </w:pPr>
      <w:r>
        <w:rPr>
          <w:noProof/>
        </w:rPr>
        <w:t>Le présent règlement est obligatoire dans tous ses éléments et directement applicable dans tout État membre.</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p>
      <w:pPr>
        <w:pStyle w:val="Fichefinanciretitre"/>
        <w:rPr>
          <w:noProof/>
        </w:rPr>
      </w:pPr>
      <w:r>
        <w:rPr>
          <w:noProof/>
        </w:rPr>
        <w:br w:type="column"/>
      </w:r>
      <w:r>
        <w:rPr>
          <w:noProof/>
        </w:rPr>
        <w:lastRenderedPageBreak/>
        <w:t>FICHE FINANCIÈRE LÉGISLATIVE</w:t>
      </w:r>
    </w:p>
    <w:p>
      <w:pPr>
        <w:pStyle w:val="ManualHeading1"/>
        <w:rPr>
          <w:noProof/>
          <w:color w:val="000000" w:themeColor="text1"/>
        </w:rPr>
      </w:pPr>
      <w:r>
        <w:rPr>
          <w:noProof/>
          <w:color w:val="000000" w:themeColor="text1"/>
        </w:rPr>
        <w:t>1.</w:t>
      </w:r>
      <w:r>
        <w:rPr>
          <w:noProof/>
        </w:rPr>
        <w:tab/>
      </w:r>
      <w:r>
        <w:rPr>
          <w:noProof/>
          <w:color w:val="000000" w:themeColor="text1"/>
        </w:rPr>
        <w:t xml:space="preserve">CADRE DE LA PROPOSITION/DE L’INITIATIVE </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 xml:space="preserve">Dénomination de la proposition/de l’initiative </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Domaine(s) politique(s) concerné(s) dans la structure ABM/ABB</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 xml:space="preserve">Nature de la proposition/de l’initiative </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 xml:space="preserve">Objectif(s) </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 xml:space="preserve">Justification(s) de la proposition/de l’initiative </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 xml:space="preserve">Durée et incidence financière </w:t>
      </w:r>
    </w:p>
    <w:p>
      <w:pPr>
        <w:pStyle w:val="ManualHeading2"/>
        <w:rPr>
          <w:b w:val="0"/>
          <w:noProof/>
          <w:color w:val="000000" w:themeColor="text1"/>
        </w:rPr>
      </w:pPr>
      <w:r>
        <w:rPr>
          <w:noProof/>
        </w:rPr>
        <w:tab/>
      </w:r>
      <w:r>
        <w:rPr>
          <w:b w:val="0"/>
          <w:noProof/>
          <w:color w:val="000000" w:themeColor="text1"/>
        </w:rPr>
        <w:t>1.7.</w:t>
      </w:r>
      <w:r>
        <w:rPr>
          <w:noProof/>
        </w:rPr>
        <w:tab/>
      </w:r>
      <w:r>
        <w:rPr>
          <w:b w:val="0"/>
          <w:noProof/>
          <w:color w:val="000000" w:themeColor="text1"/>
        </w:rPr>
        <w:t xml:space="preserve">Mode(s) de gestion prévu(s) </w:t>
      </w:r>
    </w:p>
    <w:p>
      <w:pPr>
        <w:pStyle w:val="ManualHeading1"/>
        <w:rPr>
          <w:noProof/>
          <w:color w:val="000000" w:themeColor="text1"/>
        </w:rPr>
      </w:pPr>
      <w:r>
        <w:rPr>
          <w:noProof/>
          <w:color w:val="000000" w:themeColor="text1"/>
        </w:rPr>
        <w:t>2.</w:t>
      </w:r>
      <w:r>
        <w:rPr>
          <w:noProof/>
        </w:rPr>
        <w:tab/>
      </w:r>
      <w:r>
        <w:rPr>
          <w:noProof/>
          <w:color w:val="000000" w:themeColor="text1"/>
        </w:rPr>
        <w:t xml:space="preserve">MESURES DE GESTION </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 xml:space="preserve">Dispositions en matière de suivi et de compte rendu </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 xml:space="preserve">Système de gestion et de contrôle </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 xml:space="preserve">Mesures de prévention des fraudes et irrégularités </w:t>
      </w:r>
    </w:p>
    <w:p>
      <w:pPr>
        <w:pStyle w:val="ManualHeading1"/>
        <w:rPr>
          <w:noProof/>
          <w:color w:val="000000" w:themeColor="text1"/>
        </w:rPr>
      </w:pPr>
      <w:r>
        <w:rPr>
          <w:noProof/>
          <w:color w:val="000000" w:themeColor="text1"/>
        </w:rPr>
        <w:t>3.</w:t>
      </w:r>
      <w:r>
        <w:rPr>
          <w:noProof/>
        </w:rPr>
        <w:tab/>
      </w:r>
      <w:r>
        <w:rPr>
          <w:noProof/>
          <w:color w:val="000000" w:themeColor="text1"/>
        </w:rPr>
        <w:t xml:space="preserve">INCIDENCE FINANCIÈRE ESTIMÉE DE LA PROPOSITION/DE L’INITIATIVE </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 xml:space="preserve">Rubrique(s) du cadre financier pluriannuel et ligne(s) budgétaire(s) de dépenses concernée(s) </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Incidence estimée sur les dépenses</w:t>
      </w:r>
      <w:r>
        <w:rPr>
          <w:noProof/>
          <w:color w:val="000000" w:themeColor="text1"/>
        </w:rPr>
        <w:t xml:space="preserve"> </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 xml:space="preserve">Synthèse de l’incidence estimée sur les dépenses </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 xml:space="preserve">Incidence estimée sur les crédits opérationnels </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Incidence estimée sur les crédits de nature administrative</w:t>
      </w:r>
    </w:p>
    <w:p>
      <w:pPr>
        <w:pStyle w:val="ManualHeading3"/>
        <w:rPr>
          <w:noProof/>
          <w:color w:val="000000" w:themeColor="text1"/>
        </w:rPr>
      </w:pPr>
      <w:r>
        <w:rPr>
          <w:noProof/>
        </w:rPr>
        <w:tab/>
      </w:r>
      <w:r>
        <w:rPr>
          <w:noProof/>
          <w:color w:val="000000" w:themeColor="text1"/>
        </w:rPr>
        <w:t>3.2.4.</w:t>
      </w:r>
      <w:r>
        <w:rPr>
          <w:noProof/>
        </w:rPr>
        <w:tab/>
      </w:r>
      <w:r>
        <w:rPr>
          <w:noProof/>
          <w:color w:val="000000" w:themeColor="text1"/>
        </w:rPr>
        <w:t>Compatibilité avec le cadre financier pluriannuel actuel</w:t>
      </w:r>
    </w:p>
    <w:p>
      <w:pPr>
        <w:pStyle w:val="ManualHeading3"/>
        <w:rPr>
          <w:noProof/>
          <w:color w:val="000000" w:themeColor="text1"/>
        </w:rPr>
      </w:pPr>
      <w:r>
        <w:rPr>
          <w:noProof/>
        </w:rPr>
        <w:tab/>
      </w:r>
      <w:r>
        <w:rPr>
          <w:noProof/>
          <w:color w:val="000000" w:themeColor="text1"/>
        </w:rPr>
        <w:t>3.2.5.</w:t>
      </w:r>
      <w:r>
        <w:rPr>
          <w:noProof/>
        </w:rPr>
        <w:tab/>
      </w:r>
      <w:r>
        <w:rPr>
          <w:noProof/>
          <w:color w:val="000000" w:themeColor="text1"/>
        </w:rPr>
        <w:t xml:space="preserve">Participation de tiers au financement </w:t>
      </w:r>
    </w:p>
    <w:p>
      <w:pPr>
        <w:pStyle w:val="ManualHeading2"/>
        <w:jc w:val="left"/>
        <w:rPr>
          <w:b w:val="0"/>
          <w:noProof/>
          <w:color w:val="000000" w:themeColor="text1"/>
        </w:rPr>
        <w:sectPr>
          <w:pgSz w:w="11907" w:h="16840" w:code="9"/>
          <w:pgMar w:top="1134" w:right="1418" w:bottom="1134" w:left="1418" w:header="709" w:footer="709" w:gutter="0"/>
          <w:cols w:space="708"/>
          <w:docGrid w:linePitch="360"/>
        </w:sectPr>
      </w:pPr>
      <w:r>
        <w:rPr>
          <w:noProof/>
        </w:rPr>
        <w:tab/>
      </w:r>
      <w:r>
        <w:rPr>
          <w:b w:val="0"/>
          <w:noProof/>
          <w:color w:val="000000" w:themeColor="text1"/>
        </w:rPr>
        <w:t>3.3.</w:t>
      </w:r>
      <w:r>
        <w:rPr>
          <w:noProof/>
        </w:rPr>
        <w:tab/>
      </w:r>
      <w:r>
        <w:rPr>
          <w:b w:val="0"/>
          <w:noProof/>
          <w:color w:val="000000" w:themeColor="text1"/>
        </w:rPr>
        <w:t>Incidence estimée sur les recettes</w:t>
      </w:r>
    </w:p>
    <w:p>
      <w:pPr>
        <w:jc w:val="center"/>
        <w:rPr>
          <w:noProof/>
          <w:color w:val="000000" w:themeColor="text1"/>
        </w:rPr>
      </w:pPr>
      <w:r>
        <w:rPr>
          <w:b/>
          <w:noProof/>
          <w:color w:val="000000" w:themeColor="text1"/>
          <w:u w:val="single"/>
        </w:rPr>
        <w:lastRenderedPageBreak/>
        <w:t>FICHE FINANCIÈRE LÉGISLATIVE</w:t>
      </w:r>
    </w:p>
    <w:p>
      <w:pPr>
        <w:pStyle w:val="ManualHeading1"/>
        <w:rPr>
          <w:noProof/>
        </w:rPr>
      </w:pPr>
      <w:r>
        <w:t>1.</w:t>
      </w:r>
      <w:r>
        <w:tab/>
      </w:r>
      <w:r>
        <w:rPr>
          <w:noProof/>
        </w:rPr>
        <w:t xml:space="preserve">CADRE DE LA PROPOSITION/DE L’INITIATIVE </w:t>
      </w:r>
    </w:p>
    <w:p>
      <w:pPr>
        <w:pStyle w:val="ManualHeading2"/>
        <w:rPr>
          <w:noProof/>
        </w:rPr>
      </w:pPr>
      <w:r>
        <w:t>1.1.</w:t>
      </w:r>
      <w:r>
        <w:tab/>
      </w:r>
      <w:r>
        <w:rPr>
          <w:noProof/>
        </w:rPr>
        <w:t xml:space="preserve">Dénomination de la proposition/de l’initiative </w:t>
      </w:r>
    </w:p>
    <w:p>
      <w:pPr>
        <w:pStyle w:val="Text1"/>
        <w:pBdr>
          <w:top w:val="single" w:sz="4" w:space="1" w:color="auto"/>
          <w:left w:val="single" w:sz="4" w:space="4" w:color="auto"/>
          <w:bottom w:val="single" w:sz="4" w:space="1" w:color="auto"/>
          <w:right w:val="single" w:sz="4" w:space="4" w:color="auto"/>
        </w:pBdr>
        <w:rPr>
          <w:noProof/>
        </w:rPr>
      </w:pPr>
      <w:r>
        <w:rPr>
          <w:noProof/>
        </w:rPr>
        <w:t>Modification du règlement (UE) nº 1295/2013 établissant le programme «Europe créative»</w:t>
      </w:r>
    </w:p>
    <w:p>
      <w:pPr>
        <w:pStyle w:val="ManualHeading2"/>
        <w:rPr>
          <w:noProof/>
          <w:szCs w:val="24"/>
        </w:rPr>
      </w:pPr>
      <w:r>
        <w:t>1.2.</w:t>
      </w:r>
      <w:r>
        <w:tab/>
      </w:r>
      <w:r>
        <w:rPr>
          <w:noProof/>
        </w:rPr>
        <w:t>Domaine(s) politique(s) concerné(s) dans la structure ABM/ABB</w:t>
      </w:r>
      <w:r>
        <w:rPr>
          <w:rStyle w:val="FootnoteReference"/>
          <w:noProof/>
          <w:color w:val="000000" w:themeColor="text1"/>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ACTIVITÉ(S) EN MATIÈRE D’ÉDUCATION ET DE CULTURE: EUROPE CRÉATIVE</w:t>
      </w:r>
    </w:p>
    <w:p>
      <w:pPr>
        <w:pStyle w:val="ManualHeading2"/>
        <w:rPr>
          <w:bCs/>
          <w:noProof/>
          <w:szCs w:val="24"/>
        </w:rPr>
      </w:pPr>
      <w:r>
        <w:t>1.3.</w:t>
      </w:r>
      <w:r>
        <w:tab/>
      </w:r>
      <w:r>
        <w:rPr>
          <w:noProof/>
        </w:rPr>
        <w:t xml:space="preserve">Nature de la proposition/de l’initiative </w:t>
      </w:r>
    </w:p>
    <w:p>
      <w:pPr>
        <w:pStyle w:val="Text1"/>
        <w:rPr>
          <w:b/>
          <w:noProof/>
          <w:color w:val="000000" w:themeColor="text1"/>
          <w:sz w:val="22"/>
        </w:rPr>
      </w:pPr>
      <w:r>
        <w:rPr>
          <w:noProof/>
          <w:color w:val="000000" w:themeColor="text1"/>
          <w:sz w:val="22"/>
        </w:rPr>
        <w:sym w:font="Wingdings" w:char="F0A8"/>
      </w:r>
      <w:r>
        <w:rPr>
          <w:b/>
          <w:i/>
          <w:noProof/>
          <w:color w:val="000000" w:themeColor="text1"/>
          <w:sz w:val="22"/>
        </w:rPr>
        <w:t xml:space="preserve"> </w:t>
      </w:r>
      <w:r>
        <w:rPr>
          <w:noProof/>
          <w:color w:val="000000" w:themeColor="text1"/>
        </w:rPr>
        <w:t xml:space="preserve">La proposition/l’initiative porte sur une </w:t>
      </w:r>
      <w:r>
        <w:rPr>
          <w:b/>
          <w:noProof/>
          <w:color w:val="000000" w:themeColor="text1"/>
        </w:rPr>
        <w:t>action nouvelle</w:t>
      </w:r>
      <w:r>
        <w:rPr>
          <w:b/>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noProof/>
          <w:color w:val="000000" w:themeColor="text1"/>
        </w:rPr>
        <w:t xml:space="preserve">La proposition/l’initiative porte sur une </w:t>
      </w:r>
      <w:r>
        <w:rPr>
          <w:b/>
          <w:noProof/>
          <w:color w:val="000000" w:themeColor="text1"/>
        </w:rPr>
        <w:t>action nouvelle suite à un projet pilote/une action préparatoire</w:t>
      </w:r>
      <w:r>
        <w:rPr>
          <w:rStyle w:val="FootnoteReference"/>
          <w:b/>
          <w:noProof/>
          <w:color w:val="000000" w:themeColor="text1"/>
        </w:rPr>
        <w:footnoteReference w:id="11"/>
      </w:r>
      <w:r>
        <w:rPr>
          <w:noProof/>
          <w:color w:val="000000" w:themeColor="text1"/>
          <w:sz w:val="22"/>
        </w:rPr>
        <w:t xml:space="preserve"> </w:t>
      </w:r>
    </w:p>
    <w:p>
      <w:pPr>
        <w:pStyle w:val="Text1"/>
        <w:rPr>
          <w:noProof/>
          <w:color w:val="000000" w:themeColor="text1"/>
          <w:sz w:val="22"/>
        </w:rPr>
      </w:pPr>
      <w:r>
        <w:rPr>
          <w:noProof/>
          <w:color w:val="000000" w:themeColor="text1"/>
          <w:sz w:val="22"/>
        </w:rPr>
        <w:t>x</w:t>
      </w:r>
      <w:r>
        <w:rPr>
          <w:i/>
          <w:noProof/>
          <w:color w:val="000000" w:themeColor="text1"/>
          <w:sz w:val="22"/>
        </w:rPr>
        <w:t xml:space="preserve"> </w:t>
      </w:r>
      <w:r>
        <w:rPr>
          <w:noProof/>
          <w:color w:val="000000" w:themeColor="text1"/>
        </w:rPr>
        <w:t xml:space="preserve">La proposition/l’initiative est relative à la </w:t>
      </w:r>
      <w:r>
        <w:rPr>
          <w:b/>
          <w:noProof/>
          <w:color w:val="000000" w:themeColor="text1"/>
        </w:rPr>
        <w:t>prolongation d’une action existante</w:t>
      </w:r>
      <w:r>
        <w:rPr>
          <w:noProof/>
          <w:color w:val="000000" w:themeColor="text1"/>
          <w:sz w:val="22"/>
        </w:rPr>
        <w:t xml:space="preserve"> </w:t>
      </w:r>
    </w:p>
    <w:p>
      <w:pPr>
        <w:pStyle w:val="Text1"/>
        <w:rPr>
          <w:noProof/>
          <w:color w:val="000000" w:themeColor="text1"/>
        </w:rPr>
      </w:pPr>
      <w:r>
        <w:rPr>
          <w:noProof/>
          <w:color w:val="000000" w:themeColor="text1"/>
          <w:sz w:val="22"/>
        </w:rPr>
        <w:sym w:font="Wingdings" w:char="F0A8"/>
      </w:r>
      <w:r>
        <w:rPr>
          <w:i/>
          <w:noProof/>
          <w:color w:val="000000" w:themeColor="text1"/>
          <w:sz w:val="22"/>
        </w:rPr>
        <w:t xml:space="preserve"> </w:t>
      </w:r>
      <w:r>
        <w:rPr>
          <w:noProof/>
          <w:color w:val="000000" w:themeColor="text1"/>
        </w:rPr>
        <w:t xml:space="preserve">La proposition/l’initiative porte sur une </w:t>
      </w:r>
      <w:r>
        <w:rPr>
          <w:b/>
          <w:noProof/>
          <w:color w:val="000000" w:themeColor="text1"/>
        </w:rPr>
        <w:t>action réorientée vers une action nouvelle</w:t>
      </w:r>
      <w:r>
        <w:rPr>
          <w:noProof/>
          <w:color w:val="000000" w:themeColor="text1"/>
        </w:rPr>
        <w:t xml:space="preserve"> </w:t>
      </w:r>
    </w:p>
    <w:p>
      <w:pPr>
        <w:pStyle w:val="ManualHeading2"/>
        <w:rPr>
          <w:bCs/>
          <w:noProof/>
          <w:szCs w:val="24"/>
        </w:rPr>
      </w:pPr>
      <w:r>
        <w:t>1.4.</w:t>
      </w:r>
      <w:r>
        <w:tab/>
      </w:r>
      <w:r>
        <w:rPr>
          <w:noProof/>
        </w:rPr>
        <w:t>Objectif(s)</w:t>
      </w:r>
    </w:p>
    <w:p>
      <w:pPr>
        <w:pStyle w:val="ManualHeading3"/>
        <w:rPr>
          <w:noProof/>
        </w:rPr>
      </w:pPr>
      <w:r>
        <w:t>1.4.1.</w:t>
      </w:r>
      <w:r>
        <w:tab/>
      </w:r>
      <w:r>
        <w:rPr>
          <w:noProof/>
        </w:rPr>
        <w:t xml:space="preserve">Objectif(s) stratégique(s) pluriannuel(s) de la Commission visé(s) par la proposition/l’initiative </w:t>
      </w:r>
    </w:p>
    <w:p>
      <w:pPr>
        <w:pStyle w:val="Text1"/>
        <w:pBdr>
          <w:top w:val="single" w:sz="4" w:space="1" w:color="auto"/>
          <w:left w:val="single" w:sz="4" w:space="4" w:color="auto"/>
          <w:bottom w:val="single" w:sz="4" w:space="1" w:color="auto"/>
          <w:right w:val="single" w:sz="4" w:space="4" w:color="auto"/>
        </w:pBdr>
        <w:rPr>
          <w:noProof/>
        </w:rPr>
      </w:pPr>
      <w:r>
        <w:rPr>
          <w:noProof/>
        </w:rPr>
        <w:t>Le programme contribuera à la stratégie Europe 2020 [COM(2010) 2020 du 3.3.2010] en: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favorisant la sauvegarde et la promotion de la diversité culturelle et linguistique européenne; et en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renforçant la compétitivité des secteurs de la culture et de la création pour favoriser une croissance intelligente, durable et inclusive.</w:t>
      </w:r>
    </w:p>
    <w:p>
      <w:pPr>
        <w:pStyle w:val="ManualHeading3"/>
        <w:rPr>
          <w:bCs/>
          <w:noProof/>
          <w:szCs w:val="24"/>
        </w:rPr>
      </w:pPr>
      <w:r>
        <w:t>1.4.2.</w:t>
      </w:r>
      <w:r>
        <w:tab/>
      </w:r>
      <w:r>
        <w:rPr>
          <w:noProof/>
        </w:rPr>
        <w:t xml:space="preserve">Objectif(s) spécifique(s) et activité(s) ABM/ABB concernée(s) </w:t>
      </w:r>
    </w:p>
    <w:p>
      <w:pPr>
        <w:pStyle w:val="Text1"/>
        <w:pBdr>
          <w:top w:val="single" w:sz="4" w:space="1" w:color="auto"/>
          <w:left w:val="single" w:sz="4" w:space="4" w:color="auto"/>
          <w:bottom w:val="single" w:sz="4" w:space="1" w:color="auto"/>
          <w:right w:val="single" w:sz="4" w:space="4" w:color="auto"/>
        </w:pBdr>
        <w:rPr>
          <w:noProof/>
        </w:rPr>
      </w:pPr>
      <w:r>
        <w:rPr>
          <w:noProof/>
          <w:u w:val="single"/>
        </w:rPr>
        <w:t>Objectifs spécifiques: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soutenir la capacité des secteurs européens de la culture et de la création à opérer à l’échelle transnationale;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encourager la circulation transnationale des œuvres culturelles et créatives ainsi que des opérateurs, et atteindre de nouveaux publics, en Europe et au-delà;</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c) </w:t>
      </w:r>
      <w:r>
        <w:rPr>
          <w:noProof/>
        </w:rPr>
        <w:tab/>
        <w:t>renforcer la capacité financière des secteurs de la culture et de la création; et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d) </w:t>
      </w:r>
      <w:r>
        <w:rPr>
          <w:noProof/>
        </w:rPr>
        <w:tab/>
        <w:t>favoriser la coopération politique transnationale afin d’appuyer l’élaboration des politiques, l’innovation, le développement du public et la création de nouveaux modèles commerciaux.</w:t>
      </w:r>
    </w:p>
    <w:p>
      <w:pPr>
        <w:pStyle w:val="Text1"/>
        <w:pBdr>
          <w:top w:val="single" w:sz="4" w:space="1" w:color="auto"/>
          <w:left w:val="single" w:sz="4" w:space="4" w:color="auto"/>
          <w:bottom w:val="single" w:sz="4" w:space="1" w:color="auto"/>
          <w:right w:val="single" w:sz="4" w:space="4" w:color="auto"/>
        </w:pBdr>
        <w:rPr>
          <w:noProof/>
          <w:color w:val="000000" w:themeColor="text1"/>
          <w:u w:val="single"/>
        </w:rPr>
      </w:pPr>
      <w:r>
        <w:rPr>
          <w:noProof/>
          <w:color w:val="000000" w:themeColor="text1"/>
          <w:u w:val="single"/>
        </w:rPr>
        <w:lastRenderedPageBreak/>
        <w:t>Activité(s) ABM/ABB concernée(s)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15.04 – Europe créative</w:t>
      </w:r>
    </w:p>
    <w:p>
      <w:pPr>
        <w:pStyle w:val="ManualHeading3"/>
        <w:rPr>
          <w:bCs/>
          <w:noProof/>
          <w:szCs w:val="24"/>
        </w:rPr>
      </w:pPr>
      <w:r>
        <w:rPr>
          <w:noProof/>
        </w:rPr>
        <w:br w:type="page"/>
      </w:r>
      <w:r>
        <w:lastRenderedPageBreak/>
        <w:t>1.4.3.</w:t>
      </w:r>
      <w:r>
        <w:tab/>
      </w:r>
      <w:r>
        <w:rPr>
          <w:noProof/>
        </w:rPr>
        <w:t>Résultat(s) et incidence(s) attendus</w:t>
      </w:r>
    </w:p>
    <w:p>
      <w:pPr>
        <w:pStyle w:val="Text1"/>
        <w:rPr>
          <w:i/>
          <w:noProof/>
          <w:color w:val="000000" w:themeColor="text1"/>
          <w:sz w:val="20"/>
        </w:rPr>
      </w:pPr>
      <w:r>
        <w:rPr>
          <w:i/>
          <w:noProof/>
          <w:color w:val="000000" w:themeColor="text1"/>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Une solution transparente et solide sur le plan juridique pour garantir un soutien durable de l’EUYO, qui tienne compte de ses caractéristiques spécifiques, en le reconnaissant en tant qu’«organisme identifié par un acte de base» au sens de l’article 190, point d), du règlement (UE) nº 1268/2012 et en modifiant l’article 13, paragraphe 1, du règlement (UE) nº 1295/2013 en conséquence.</w:t>
      </w:r>
    </w:p>
    <w:p>
      <w:pPr>
        <w:pStyle w:val="ManualHeading3"/>
        <w:rPr>
          <w:bCs/>
          <w:noProof/>
          <w:szCs w:val="24"/>
        </w:rPr>
      </w:pPr>
      <w:r>
        <w:t>1.4.4.</w:t>
      </w:r>
      <w:r>
        <w:tab/>
      </w:r>
      <w:r>
        <w:rPr>
          <w:noProof/>
        </w:rPr>
        <w:t xml:space="preserve">Indicateurs de résultats et d’incidences </w:t>
      </w:r>
    </w:p>
    <w:p>
      <w:pPr>
        <w:pStyle w:val="Text1"/>
        <w:rPr>
          <w:i/>
          <w:noProof/>
          <w:color w:val="000000" w:themeColor="text1"/>
          <w:sz w:val="20"/>
        </w:rPr>
      </w:pPr>
      <w:r>
        <w:rPr>
          <w:i/>
          <w:noProof/>
          <w:color w:val="000000" w:themeColor="text1"/>
          <w:sz w:val="20"/>
        </w:rPr>
        <w:t>Préciser les indicateurs permettant de suivre la réalisation de la proposition/de l’initiative.</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Comme cette modification prolonge le programme «Europe créative» existant, elle est couverte par les considérations formulées au point 1.4.4. de la fiche financière du programme [COM(2011) 785 final].</w:t>
      </w:r>
    </w:p>
    <w:p>
      <w:pPr>
        <w:pStyle w:val="ManualHeading2"/>
        <w:rPr>
          <w:bCs/>
          <w:noProof/>
          <w:szCs w:val="24"/>
        </w:rPr>
      </w:pPr>
      <w:r>
        <w:t>1.5.</w:t>
      </w:r>
      <w:r>
        <w:tab/>
      </w:r>
      <w:r>
        <w:rPr>
          <w:noProof/>
        </w:rPr>
        <w:t xml:space="preserve">Justification(s) de la proposition/de l’initiative </w:t>
      </w:r>
    </w:p>
    <w:p>
      <w:pPr>
        <w:pStyle w:val="ManualHeading3"/>
        <w:rPr>
          <w:noProof/>
        </w:rPr>
      </w:pPr>
      <w:r>
        <w:t>1.5.1.</w:t>
      </w:r>
      <w:r>
        <w:tab/>
      </w:r>
      <w:r>
        <w:rPr>
          <w:noProof/>
        </w:rPr>
        <w:t xml:space="preserve">Besoin(s) à satisfaire à court ou à long terme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Garantir un soutien durable pour l’EUYO. </w:t>
      </w:r>
    </w:p>
    <w:p>
      <w:pPr>
        <w:pStyle w:val="ManualHeading3"/>
        <w:rPr>
          <w:bCs/>
          <w:noProof/>
          <w:szCs w:val="24"/>
        </w:rPr>
      </w:pPr>
      <w:r>
        <w:t>1.5.2.</w:t>
      </w:r>
      <w:r>
        <w:tab/>
      </w:r>
      <w:r>
        <w:rPr>
          <w:noProof/>
        </w:rPr>
        <w:t>Valeur ajoutée de l’intervention de l’UE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jeunes musiciens de tous les États membres de l’Union, sélectionnés en fonction de critères de qualité exigeants, collaborant au sein d’un orchestre européen d’envergure mondiale qui transcende les frontières culturelles;</w:t>
      </w:r>
    </w:p>
    <w:p>
      <w:pPr>
        <w:pStyle w:val="Text1"/>
        <w:pBdr>
          <w:top w:val="single" w:sz="4" w:space="1" w:color="auto"/>
          <w:left w:val="single" w:sz="4" w:space="4" w:color="auto"/>
          <w:bottom w:val="single" w:sz="4" w:space="1" w:color="auto"/>
          <w:right w:val="single" w:sz="4" w:space="4" w:color="auto"/>
        </w:pBdr>
        <w:ind w:left="1276" w:hanging="426"/>
        <w:rPr>
          <w:rFonts w:eastAsia="Times New Roman"/>
          <w:noProof/>
          <w:szCs w:val="24"/>
        </w:rPr>
      </w:pPr>
      <w:r>
        <w:rPr>
          <w:noProof/>
        </w:rPr>
        <w:t xml:space="preserve">- </w:t>
      </w:r>
      <w:r>
        <w:rPr>
          <w:noProof/>
        </w:rPr>
        <w:tab/>
        <w:t>promotion du dialogue interculturel et du respect et de la compréhension mutuels par la culture; et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exposition de la richesse et de la diversité des cultures européennes et des nouveaux talents devant des publics variés dans l’Union européenne et au-delà.</w:t>
      </w:r>
    </w:p>
    <w:p>
      <w:pPr>
        <w:pStyle w:val="ManualHeading3"/>
        <w:rPr>
          <w:bCs/>
          <w:noProof/>
          <w:szCs w:val="24"/>
        </w:rPr>
      </w:pPr>
      <w:r>
        <w:t>1.5.3.</w:t>
      </w:r>
      <w:r>
        <w:tab/>
      </w:r>
      <w:r>
        <w:rPr>
          <w:noProof/>
        </w:rPr>
        <w:t>Leçons tirées d’expériences similaires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Le programme «Europe créative» et ses programmes de financement antérieurs ont soutenu l’EUYO de différentes façons. Son excellence est largement reconnue. Cependant, l’absence de soutien durable constitue un obstacle à l’expansion de ses activités. </w:t>
      </w:r>
      <w:r>
        <w:rPr>
          <w:noProof/>
        </w:rPr>
        <w:t>Sans ce soutien à l’échelle de l’Union européenne, il ne pourrait pas continuer ses activités. L’Union perdrait un ambassadeur culturel majeur et les jeunes musiciens seraient privés d’une occasion unique de se produire à l’échelle internationale, de consolider leur carrière et de développer leur talent sous la direction de chefs d’orchestre réputés.</w:t>
      </w:r>
    </w:p>
    <w:p>
      <w:pPr>
        <w:pStyle w:val="ManualHeading3"/>
        <w:rPr>
          <w:bCs/>
          <w:noProof/>
          <w:szCs w:val="24"/>
        </w:rPr>
      </w:pPr>
      <w:r>
        <w:t>1.5.4.</w:t>
      </w:r>
      <w:r>
        <w:tab/>
      </w:r>
      <w:r>
        <w:rPr>
          <w:noProof/>
        </w:rPr>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Il n’y a pas de chevauchement avec des activités financées par d’autres programmes de l’Union.</w:t>
      </w:r>
    </w:p>
    <w:p>
      <w:pPr>
        <w:pStyle w:val="ManualHeading3"/>
        <w:rPr>
          <w:bCs/>
          <w:noProof/>
          <w:color w:val="000000" w:themeColor="text1"/>
          <w:szCs w:val="24"/>
        </w:rPr>
      </w:pPr>
      <w:r>
        <w:rPr>
          <w:noProof/>
          <w:color w:val="000000" w:themeColor="text1"/>
        </w:rPr>
        <w:br w:type="page"/>
      </w:r>
      <w:r>
        <w:lastRenderedPageBreak/>
        <w:t>1.5.5.</w:t>
      </w:r>
      <w:r>
        <w:tab/>
      </w:r>
    </w:p>
    <w:p>
      <w:pPr>
        <w:pStyle w:val="ManualHeading2"/>
        <w:rPr>
          <w:bCs/>
          <w:noProof/>
          <w:szCs w:val="24"/>
        </w:rPr>
      </w:pPr>
      <w:r>
        <w:t>1.6.</w:t>
      </w:r>
      <w:r>
        <w:tab/>
      </w:r>
      <w:r>
        <w:rPr>
          <w:noProof/>
        </w:rPr>
        <w:t xml:space="preserve">Durée et incidence financière </w:t>
      </w:r>
    </w:p>
    <w:p>
      <w:pPr>
        <w:pStyle w:val="Text1"/>
        <w:rPr>
          <w:noProof/>
          <w:color w:val="000000" w:themeColor="text1"/>
        </w:rPr>
      </w:pPr>
      <w:r>
        <w:rPr>
          <w:noProof/>
          <w:color w:val="000000" w:themeColor="text1"/>
        </w:rPr>
        <w:t xml:space="preserve">X Proposition/initiative à </w:t>
      </w:r>
      <w:r>
        <w:rPr>
          <w:b/>
          <w:noProof/>
          <w:color w:val="000000" w:themeColor="text1"/>
        </w:rPr>
        <w:t xml:space="preserve">durée limitée </w:t>
      </w:r>
    </w:p>
    <w:p>
      <w:pPr>
        <w:pStyle w:val="ListDash2"/>
        <w:rPr>
          <w:noProof/>
          <w:color w:val="000000" w:themeColor="text1"/>
        </w:rPr>
      </w:pPr>
      <w:r>
        <w:rPr>
          <w:noProof/>
          <w:color w:val="000000" w:themeColor="text1"/>
        </w:rPr>
        <w:t>X</w:t>
      </w:r>
      <w:r>
        <w:rPr>
          <w:noProof/>
        </w:rPr>
        <w:tab/>
      </w:r>
      <w:r>
        <w:rPr>
          <w:noProof/>
          <w:color w:val="000000" w:themeColor="text1"/>
        </w:rPr>
        <w:t>Proposition/initiative en vigueur du 1</w:t>
      </w:r>
      <w:r>
        <w:rPr>
          <w:noProof/>
          <w:color w:val="000000" w:themeColor="text1"/>
          <w:vertAlign w:val="superscript"/>
        </w:rPr>
        <w:t>er</w:t>
      </w:r>
      <w:r>
        <w:rPr>
          <w:noProof/>
          <w:color w:val="000000" w:themeColor="text1"/>
        </w:rPr>
        <w:t> janvier 2018 au 31 décembre 2020</w:t>
      </w:r>
    </w:p>
    <w:p>
      <w:pPr>
        <w:pStyle w:val="ListDash2"/>
        <w:rPr>
          <w:noProof/>
          <w:color w:val="000000" w:themeColor="text1"/>
        </w:rPr>
      </w:pPr>
      <w:r>
        <w:rPr>
          <w:noProof/>
          <w:color w:val="000000" w:themeColor="text1"/>
        </w:rPr>
        <w:sym w:font="Wingdings" w:char="F0A8"/>
      </w:r>
      <w:r>
        <w:rPr>
          <w:b/>
          <w:i/>
          <w:noProof/>
          <w:color w:val="000000" w:themeColor="text1"/>
        </w:rPr>
        <w:t xml:space="preserve"> </w:t>
      </w:r>
      <w:r>
        <w:rPr>
          <w:noProof/>
          <w:color w:val="000000" w:themeColor="text1"/>
        </w:rPr>
        <w:t xml:space="preserve">Proposition/initiative à </w:t>
      </w:r>
      <w:r>
        <w:rPr>
          <w:b/>
          <w:noProof/>
          <w:color w:val="000000" w:themeColor="text1"/>
        </w:rPr>
        <w:t>durée illimitée</w:t>
      </w:r>
    </w:p>
    <w:p>
      <w:pPr>
        <w:pStyle w:val="ListDash1"/>
        <w:rPr>
          <w:noProof/>
          <w:color w:val="000000" w:themeColor="text1"/>
        </w:rPr>
      </w:pPr>
      <w:r>
        <w:rPr>
          <w:noProof/>
          <w:color w:val="000000" w:themeColor="text1"/>
        </w:rPr>
        <w:t>Mise en œuvre avec une période de montée en puissance de AAAA jusqu’en AAAA,</w:t>
      </w:r>
    </w:p>
    <w:p>
      <w:pPr>
        <w:pStyle w:val="ListDash1"/>
        <w:rPr>
          <w:noProof/>
          <w:color w:val="000000" w:themeColor="text1"/>
        </w:rPr>
      </w:pPr>
      <w:r>
        <w:rPr>
          <w:noProof/>
          <w:color w:val="000000" w:themeColor="text1"/>
        </w:rPr>
        <w:t>puis un fonctionnement en rythme de croisière au-delà.</w:t>
      </w:r>
    </w:p>
    <w:p>
      <w:pPr>
        <w:pStyle w:val="ManualHeading2"/>
        <w:rPr>
          <w:bCs/>
          <w:noProof/>
          <w:szCs w:val="24"/>
        </w:rPr>
      </w:pPr>
      <w:r>
        <w:t>1.7.</w:t>
      </w:r>
      <w:r>
        <w:tab/>
      </w:r>
      <w:r>
        <w:rPr>
          <w:noProof/>
        </w:rPr>
        <w:t>Mode(s) de gestion prévu(s)</w:t>
      </w:r>
      <w:r>
        <w:rPr>
          <w:rStyle w:val="FootnoteReference"/>
          <w:noProof/>
          <w:color w:val="000000" w:themeColor="text1"/>
        </w:rPr>
        <w:footnoteReference w:id="12"/>
      </w:r>
      <w:r>
        <w:rPr>
          <w:rStyle w:val="FootnoteReference"/>
          <w:noProof/>
          <w:color w:val="000000" w:themeColor="text1"/>
        </w:rPr>
        <w:t xml:space="preserve"> </w:t>
      </w:r>
    </w:p>
    <w:p>
      <w:pPr>
        <w:pStyle w:val="Text1"/>
        <w:rPr>
          <w:noProof/>
          <w:color w:val="000000" w:themeColor="text1"/>
        </w:rPr>
      </w:pPr>
      <w:r>
        <w:rPr>
          <w:b/>
          <w:noProof/>
          <w:color w:val="000000" w:themeColor="text1"/>
        </w:rPr>
        <w:t>X Gestion directe</w:t>
      </w:r>
      <w:r>
        <w:rPr>
          <w:noProof/>
          <w:color w:val="000000" w:themeColor="text1"/>
        </w:rPr>
        <w:t xml:space="preserve"> par la Commission</w:t>
      </w:r>
    </w:p>
    <w:p>
      <w:pPr>
        <w:pStyle w:val="ListDash2"/>
        <w:rPr>
          <w:rFonts w:cs="EUAlbertina"/>
          <w:noProof/>
          <w:color w:val="000000" w:themeColor="text1"/>
        </w:rPr>
      </w:pPr>
      <w:r>
        <w:rPr>
          <w:noProof/>
          <w:color w:val="000000" w:themeColor="text1"/>
        </w:rPr>
        <w:sym w:font="Wingdings" w:char="F0A8"/>
      </w:r>
      <w:r>
        <w:rPr>
          <w:noProof/>
          <w:color w:val="000000" w:themeColor="text1"/>
        </w:rPr>
        <w:t xml:space="preserve"> dans ses services, y compris par l’intermédiaire de son personnel dans les délégations de l’Union; </w:t>
      </w:r>
    </w:p>
    <w:p>
      <w:pPr>
        <w:pStyle w:val="ListDash2"/>
        <w:rPr>
          <w:noProof/>
          <w:color w:val="000000" w:themeColor="text1"/>
        </w:rPr>
      </w:pPr>
      <w:r>
        <w:rPr>
          <w:noProof/>
          <w:color w:val="000000" w:themeColor="text1"/>
        </w:rPr>
        <w:sym w:font="Wingdings" w:char="F0A8"/>
      </w:r>
      <w:r>
        <w:rPr>
          <w:noProof/>
        </w:rPr>
        <w:tab/>
      </w:r>
      <w:r>
        <w:rPr>
          <w:noProof/>
          <w:color w:val="000000" w:themeColor="text1"/>
        </w:rPr>
        <w:t xml:space="preserve">par les agences exécutives </w:t>
      </w:r>
    </w:p>
    <w:p>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Gestion partagée</w:t>
      </w:r>
      <w:r>
        <w:rPr>
          <w:noProof/>
          <w:color w:val="000000" w:themeColor="text1"/>
        </w:rPr>
        <w:t xml:space="preserve"> avec les États membres </w:t>
      </w:r>
    </w:p>
    <w:p>
      <w:pPr>
        <w:pStyle w:val="Text1"/>
        <w:rPr>
          <w:noProof/>
          <w:color w:val="000000" w:themeColor="text1"/>
        </w:rPr>
      </w:pPr>
      <w:r>
        <w:rPr>
          <w:noProof/>
          <w:color w:val="000000" w:themeColor="text1"/>
        </w:rPr>
        <w:sym w:font="Wingdings" w:char="F0A8"/>
      </w:r>
      <w:r>
        <w:rPr>
          <w:i/>
          <w:noProof/>
          <w:color w:val="000000" w:themeColor="text1"/>
        </w:rPr>
        <w:t xml:space="preserve"> </w:t>
      </w:r>
      <w:r>
        <w:rPr>
          <w:b/>
          <w:noProof/>
          <w:color w:val="000000" w:themeColor="text1"/>
        </w:rPr>
        <w:t>Gestion indirecte</w:t>
      </w:r>
      <w:r>
        <w:rPr>
          <w:noProof/>
          <w:color w:val="000000" w:themeColor="text1"/>
        </w:rPr>
        <w:t xml:space="preserve"> en confiant des tâches d’exécution budgétaire:</w:t>
      </w:r>
    </w:p>
    <w:p>
      <w:pPr>
        <w:pStyle w:val="ListDash2"/>
        <w:rPr>
          <w:noProof/>
          <w:color w:val="000000" w:themeColor="text1"/>
        </w:rPr>
      </w:pPr>
      <w:r>
        <w:rPr>
          <w:noProof/>
          <w:color w:val="000000" w:themeColor="text1"/>
        </w:rPr>
        <w:sym w:font="Wingdings" w:char="F0A8"/>
      </w:r>
      <w:r>
        <w:rPr>
          <w:noProof/>
          <w:color w:val="000000" w:themeColor="text1"/>
        </w:rPr>
        <w:t xml:space="preserve"> à des pays tiers ou aux organismes qu’ils ont désignés;</w:t>
      </w:r>
    </w:p>
    <w:p>
      <w:pPr>
        <w:pStyle w:val="ListDash2"/>
        <w:rPr>
          <w:noProof/>
          <w:color w:val="000000" w:themeColor="text1"/>
        </w:rPr>
      </w:pPr>
      <w:r>
        <w:rPr>
          <w:noProof/>
          <w:color w:val="000000" w:themeColor="text1"/>
        </w:rPr>
        <w:sym w:font="Wingdings" w:char="F0A8"/>
      </w:r>
      <w:r>
        <w:rPr>
          <w:noProof/>
          <w:color w:val="000000" w:themeColor="text1"/>
        </w:rPr>
        <w:t xml:space="preserve"> à des organisations internationales et à leurs agences (à préciser);</w:t>
      </w:r>
    </w:p>
    <w:p>
      <w:pPr>
        <w:pStyle w:val="ListDash2"/>
        <w:rPr>
          <w:noProof/>
          <w:color w:val="000000" w:themeColor="text1"/>
        </w:rPr>
      </w:pPr>
      <w:r>
        <w:rPr>
          <w:noProof/>
          <w:color w:val="000000" w:themeColor="text1"/>
        </w:rPr>
        <w:sym w:font="Wingdings" w:char="F0A8"/>
      </w:r>
      <w:r>
        <w:rPr>
          <w:noProof/>
          <w:color w:val="000000" w:themeColor="text1"/>
        </w:rPr>
        <w:t xml:space="preserve"> à la BEI et au Fonds européen d’investissement;</w:t>
      </w:r>
    </w:p>
    <w:p>
      <w:pPr>
        <w:pStyle w:val="ListDash2"/>
        <w:rPr>
          <w:noProof/>
          <w:color w:val="000000" w:themeColor="text1"/>
        </w:rPr>
      </w:pPr>
      <w:r>
        <w:rPr>
          <w:noProof/>
          <w:color w:val="000000" w:themeColor="text1"/>
        </w:rPr>
        <w:sym w:font="Wingdings" w:char="F0A8"/>
      </w:r>
      <w:r>
        <w:rPr>
          <w:noProof/>
          <w:color w:val="000000" w:themeColor="text1"/>
        </w:rPr>
        <w:t xml:space="preserve"> aux organismes visés aux articles 208 et 209 du règlement financier;</w:t>
      </w:r>
    </w:p>
    <w:p>
      <w:pPr>
        <w:pStyle w:val="ListDash2"/>
        <w:rPr>
          <w:noProof/>
          <w:color w:val="000000" w:themeColor="text1"/>
        </w:rPr>
      </w:pPr>
      <w:r>
        <w:rPr>
          <w:noProof/>
          <w:color w:val="000000" w:themeColor="text1"/>
        </w:rPr>
        <w:sym w:font="Wingdings" w:char="F0A8"/>
      </w:r>
      <w:r>
        <w:rPr>
          <w:noProof/>
          <w:color w:val="000000" w:themeColor="text1"/>
        </w:rPr>
        <w:t xml:space="preserve"> à des organismes de droit public;</w:t>
      </w:r>
    </w:p>
    <w:p>
      <w:pPr>
        <w:pStyle w:val="ListDash2"/>
        <w:rPr>
          <w:noProof/>
          <w:color w:val="000000" w:themeColor="text1"/>
        </w:rPr>
      </w:pPr>
      <w:r>
        <w:rPr>
          <w:noProof/>
          <w:color w:val="000000" w:themeColor="text1"/>
        </w:rPr>
        <w:sym w:font="Wingdings" w:char="F0A8"/>
      </w:r>
      <w:r>
        <w:rPr>
          <w:noProof/>
          <w:color w:val="000000" w:themeColor="text1"/>
        </w:rPr>
        <w:t xml:space="preserve"> à des organismes de droit privé investis d’une mission de service public, pour autant qu’ils présentent les garanties financières suffisantes;</w:t>
      </w:r>
    </w:p>
    <w:p>
      <w:pPr>
        <w:pStyle w:val="ListDash2"/>
        <w:rPr>
          <w:noProof/>
          <w:color w:val="000000" w:themeColor="text1"/>
        </w:rPr>
      </w:pPr>
      <w:r>
        <w:rPr>
          <w:noProof/>
          <w:color w:val="000000" w:themeColor="text1"/>
        </w:rPr>
        <w:sym w:font="Wingdings" w:char="F0A8"/>
      </w:r>
      <w:r>
        <w:rPr>
          <w:noProof/>
          <w:color w:val="000000" w:themeColor="text1"/>
        </w:rPr>
        <w:t xml:space="preserve"> à des organismes de droit privé d’un État membre qui sont chargés de la mise en œuvre d’un partenariat public-privé et présentent les garanties financières suffisantes;</w:t>
      </w:r>
    </w:p>
    <w:p>
      <w:pPr>
        <w:pStyle w:val="ListDash2"/>
        <w:rPr>
          <w:noProof/>
          <w:color w:val="000000" w:themeColor="text1"/>
        </w:rPr>
      </w:pPr>
      <w:r>
        <w:rPr>
          <w:noProof/>
          <w:color w:val="000000" w:themeColor="text1"/>
        </w:rPr>
        <w:sym w:font="Wingdings" w:char="F0A8"/>
      </w:r>
      <w:r>
        <w:rPr>
          <w:noProof/>
          <w:color w:val="000000" w:themeColor="text1"/>
        </w:rPr>
        <w:t xml:space="preserve"> à des personnes chargées de l’exécution d’actions spécifiques relevant de la PESC, en vertu du titre V du traité sur l’Union européenne, identifiées dans l’acte de base concerné.</w:t>
      </w:r>
    </w:p>
    <w:p>
      <w:pPr>
        <w:pStyle w:val="ListDash2"/>
        <w:rPr>
          <w:i/>
          <w:noProof/>
          <w:color w:val="000000" w:themeColor="text1"/>
          <w:sz w:val="18"/>
          <w:u w:val="single"/>
        </w:rPr>
      </w:pPr>
      <w:r>
        <w:rPr>
          <w:i/>
          <w:noProof/>
          <w:color w:val="000000" w:themeColor="text1"/>
          <w:sz w:val="18"/>
        </w:rPr>
        <w:t>Si plusieurs modes de gestion sont indiqués, veuillez donner des précisions dans la partie «Remarques».</w:t>
      </w:r>
    </w:p>
    <w:p>
      <w:pPr>
        <w:rPr>
          <w:noProof/>
          <w:color w:val="000000" w:themeColor="text1"/>
        </w:rPr>
      </w:pPr>
      <w:r>
        <w:rPr>
          <w:noProof/>
          <w:color w:val="000000" w:themeColor="text1"/>
        </w:rPr>
        <w:t xml:space="preserve">Remarques </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2.</w:t>
      </w:r>
      <w:r>
        <w:tab/>
      </w:r>
      <w:r>
        <w:rPr>
          <w:noProof/>
        </w:rPr>
        <w:t xml:space="preserve">MESURES DE GESTION </w:t>
      </w:r>
    </w:p>
    <w:p>
      <w:pPr>
        <w:pStyle w:val="ManualHeading2"/>
        <w:rPr>
          <w:noProof/>
        </w:rPr>
      </w:pPr>
      <w:r>
        <w:t>2.1.</w:t>
      </w:r>
      <w:r>
        <w:tab/>
      </w:r>
      <w:r>
        <w:rPr>
          <w:noProof/>
        </w:rPr>
        <w:t xml:space="preserve">Dispositions en matière de suivi et de compte rendu </w:t>
      </w:r>
    </w:p>
    <w:p>
      <w:pPr>
        <w:pStyle w:val="Text1"/>
        <w:rPr>
          <w:i/>
          <w:noProof/>
          <w:color w:val="000000" w:themeColor="text1"/>
          <w:sz w:val="20"/>
          <w:u w:val="single"/>
        </w:rPr>
      </w:pPr>
      <w:r>
        <w:rPr>
          <w:i/>
          <w:noProof/>
          <w:color w:val="000000" w:themeColor="text1"/>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La Commission a pour responsabilité de garantir le suivi régulier et l’évaluation externe de projets financés au titre du programme Europe créative, y compris les activités de l’EUYO.</w:t>
      </w:r>
    </w:p>
    <w:p>
      <w:pPr>
        <w:pStyle w:val="ManualHeading2"/>
        <w:rPr>
          <w:bCs/>
          <w:noProof/>
          <w:szCs w:val="24"/>
        </w:rPr>
      </w:pPr>
      <w:r>
        <w:t>2.2.</w:t>
      </w:r>
      <w:r>
        <w:tab/>
      </w:r>
      <w:r>
        <w:rPr>
          <w:noProof/>
        </w:rPr>
        <w:t xml:space="preserve">Système de gestion et de contrôle </w:t>
      </w:r>
    </w:p>
    <w:p>
      <w:pPr>
        <w:pStyle w:val="ManualHeading3"/>
        <w:rPr>
          <w:noProof/>
        </w:rPr>
      </w:pPr>
      <w:r>
        <w:t>2.2.1.</w:t>
      </w:r>
      <w:r>
        <w:tab/>
      </w:r>
      <w:r>
        <w:rPr>
          <w:noProof/>
        </w:rPr>
        <w:t xml:space="preserve">Risque(s) identifié(s)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Comme cette modification prolonge le programme «Europe créative» existant, elle est couverte par les considérations formulées au point 2.2.1. de la fiche financière du programme [COM(2011) 785 final].</w:t>
      </w:r>
    </w:p>
    <w:p>
      <w:pPr>
        <w:pStyle w:val="ManualHeading3"/>
        <w:rPr>
          <w:bCs/>
          <w:noProof/>
          <w:szCs w:val="24"/>
        </w:rPr>
      </w:pPr>
      <w:r>
        <w:t>2.2.2.</w:t>
      </w:r>
      <w:r>
        <w:tab/>
      </w:r>
      <w:r>
        <w:rPr>
          <w:noProof/>
        </w:rPr>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Comme cette modification prolonge le programme «Europe créative» existant, elle est couverte par les considérations formulées au point 2.2.2. de la fiche financière du programme [COM(2011) 785 final].</w:t>
      </w:r>
    </w:p>
    <w:p>
      <w:pPr>
        <w:pStyle w:val="ManualHeading3"/>
        <w:rPr>
          <w:noProof/>
        </w:rPr>
      </w:pPr>
      <w:r>
        <w:t>2.2.3.</w:t>
      </w:r>
      <w:r>
        <w:tab/>
      </w:r>
      <w:r>
        <w:rPr>
          <w:noProof/>
        </w:rPr>
        <w:t xml:space="preserve">Estimation du coût et des avantages des contrôles et évaluation du niveau attendu de risque d’erreur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ManualHeading2"/>
        <w:rPr>
          <w:bCs/>
          <w:noProof/>
          <w:szCs w:val="24"/>
        </w:rPr>
      </w:pPr>
      <w:r>
        <w:t>2.3.</w:t>
      </w:r>
      <w:r>
        <w:tab/>
      </w:r>
      <w:r>
        <w:rPr>
          <w:noProof/>
        </w:rPr>
        <w:t xml:space="preserve">Mesures de prévention des fraudes et irrégularités </w:t>
      </w:r>
    </w:p>
    <w:p>
      <w:pPr>
        <w:pStyle w:val="Text1"/>
        <w:rPr>
          <w:i/>
          <w:noProof/>
          <w:color w:val="000000" w:themeColor="text1"/>
          <w:sz w:val="20"/>
        </w:rPr>
      </w:pPr>
      <w:r>
        <w:rPr>
          <w:i/>
          <w:noProof/>
          <w:color w:val="000000" w:themeColor="text1"/>
          <w:sz w:val="20"/>
        </w:rPr>
        <w:t>Préciser les mesures de prévention et de protection existantes ou envisagées.</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Lorsque des actions financées dans le cadre du présent règlement sont entreprises, la Commission veille à ce que les intérêts financiers de l’Union soient protégés grâce à l’application de mesures préventives contre la fraude, la corruption et toute autre activité illégale, à des contrôles efficaces et à la récupération des montants indûment versés et, lorsque des irrégularités sont constatées, à l’application de sanctions efficaces, proportionnées et dissuasives. Les contrôles et les vérifications sur place sont autorisés en vertu de ce règlement, conformément au règlement (Euratom, CE) nº 2185/96 du Conseil. Si nécessaire, l’Office européen de lutte antifraude (OLAF) effectuera des enquêtes en vertu du règlement (CE) nº 1073/1999.</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3.</w:t>
      </w:r>
      <w:r>
        <w:tab/>
      </w:r>
      <w:r>
        <w:rPr>
          <w:noProof/>
        </w:rPr>
        <w:t xml:space="preserve">INCIDENCE FINANCIÈRE ESTIMÉE DE LA PROPOSITION/DE L’INITIATIVE </w:t>
      </w:r>
    </w:p>
    <w:p>
      <w:pPr>
        <w:pStyle w:val="ManualHeading2"/>
        <w:rPr>
          <w:noProof/>
        </w:rPr>
      </w:pPr>
      <w:r>
        <w:t>3.1.</w:t>
      </w:r>
      <w:r>
        <w:tab/>
      </w:r>
      <w:r>
        <w:rPr>
          <w:noProof/>
        </w:rPr>
        <w:t xml:space="preserve">Rubrique(s) du cadre financier pluriannuel et ligne(s) budgétaire(s) de dépenses concernée(s) </w:t>
      </w:r>
    </w:p>
    <w:p>
      <w:pPr>
        <w:pStyle w:val="ListBullet1"/>
        <w:rPr>
          <w:noProof/>
          <w:color w:val="000000" w:themeColor="text1"/>
        </w:rPr>
      </w:pPr>
      <w:r>
        <w:rPr>
          <w:noProof/>
          <w:color w:val="000000" w:themeColor="text1"/>
        </w:rPr>
        <w:t xml:space="preserve">Lignes budgétaires existantes </w:t>
      </w:r>
    </w:p>
    <w:p>
      <w:pPr>
        <w:pStyle w:val="Text1"/>
        <w:rPr>
          <w:noProof/>
          <w:color w:val="000000" w:themeColor="text1"/>
        </w:rPr>
      </w:pPr>
      <w:r>
        <w:rPr>
          <w:noProof/>
          <w:color w:val="000000" w:themeColor="text1"/>
          <w:u w:val="single"/>
        </w:rPr>
        <w:t>Dans l’ordre</w:t>
      </w:r>
      <w:r>
        <w:rPr>
          <w:noProof/>
          <w:color w:val="000000" w:themeColor="text1"/>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color w:val="000000" w:themeColor="text1"/>
                <w:sz w:val="22"/>
              </w:rPr>
            </w:pPr>
            <w:r>
              <w:rPr>
                <w:noProof/>
                <w:color w:val="000000" w:themeColor="text1"/>
                <w:sz w:val="18"/>
              </w:rPr>
              <w:t>Rubrique du cadre financier pluriannuel</w:t>
            </w:r>
          </w:p>
        </w:tc>
        <w:tc>
          <w:tcPr>
            <w:tcW w:w="3960" w:type="dxa"/>
            <w:vAlign w:val="center"/>
          </w:tcPr>
          <w:p>
            <w:pPr>
              <w:spacing w:before="60" w:after="60"/>
              <w:jc w:val="center"/>
              <w:rPr>
                <w:noProof/>
                <w:color w:val="000000" w:themeColor="text1"/>
                <w:sz w:val="22"/>
              </w:rPr>
            </w:pPr>
            <w:r>
              <w:rPr>
                <w:noProof/>
                <w:color w:val="000000" w:themeColor="text1"/>
                <w:sz w:val="20"/>
              </w:rPr>
              <w:t>Ligne budgétaire</w:t>
            </w:r>
          </w:p>
        </w:tc>
        <w:tc>
          <w:tcPr>
            <w:tcW w:w="1080" w:type="dxa"/>
            <w:vAlign w:val="center"/>
          </w:tcPr>
          <w:p>
            <w:pPr>
              <w:spacing w:before="60" w:after="60"/>
              <w:jc w:val="center"/>
              <w:rPr>
                <w:noProof/>
                <w:color w:val="000000" w:themeColor="text1"/>
                <w:sz w:val="22"/>
              </w:rPr>
            </w:pPr>
            <w:r>
              <w:rPr>
                <w:noProof/>
                <w:color w:val="000000" w:themeColor="text1"/>
                <w:sz w:val="18"/>
              </w:rPr>
              <w:t xml:space="preserve">Nature de </w:t>
            </w:r>
            <w:r>
              <w:rPr>
                <w:noProof/>
                <w:color w:val="000000" w:themeColor="text1"/>
                <w:sz w:val="22"/>
              </w:rPr>
              <w:br/>
            </w:r>
            <w:r>
              <w:rPr>
                <w:noProof/>
                <w:color w:val="000000" w:themeColor="text1"/>
                <w:sz w:val="18"/>
              </w:rPr>
              <w:t>la dépense</w:t>
            </w:r>
          </w:p>
        </w:tc>
        <w:tc>
          <w:tcPr>
            <w:tcW w:w="4440" w:type="dxa"/>
            <w:gridSpan w:val="4"/>
            <w:vAlign w:val="center"/>
          </w:tcPr>
          <w:p>
            <w:pPr>
              <w:spacing w:before="60" w:after="60"/>
              <w:jc w:val="center"/>
              <w:rPr>
                <w:noProof/>
                <w:color w:val="000000" w:themeColor="text1"/>
                <w:sz w:val="22"/>
              </w:rPr>
            </w:pPr>
            <w:r>
              <w:rPr>
                <w:noProof/>
                <w:color w:val="000000" w:themeColor="text1"/>
                <w:sz w:val="20"/>
              </w:rPr>
              <w:t xml:space="preserve">Participation </w:t>
            </w:r>
          </w:p>
        </w:tc>
      </w:tr>
      <w:tr>
        <w:tc>
          <w:tcPr>
            <w:tcW w:w="1080" w:type="dxa"/>
            <w:vMerge/>
            <w:vAlign w:val="center"/>
          </w:tcPr>
          <w:p>
            <w:pPr>
              <w:jc w:val="center"/>
              <w:rPr>
                <w:noProof/>
                <w:color w:val="000000" w:themeColor="text1"/>
                <w:sz w:val="22"/>
              </w:rPr>
            </w:pPr>
          </w:p>
        </w:tc>
        <w:tc>
          <w:tcPr>
            <w:tcW w:w="3960" w:type="dxa"/>
            <w:vAlign w:val="center"/>
          </w:tcPr>
          <w:p>
            <w:pPr>
              <w:rPr>
                <w:noProof/>
                <w:color w:val="000000" w:themeColor="text1"/>
                <w:sz w:val="22"/>
              </w:rPr>
            </w:pPr>
            <w:r>
              <w:rPr>
                <w:noProof/>
                <w:color w:val="000000" w:themeColor="text1"/>
                <w:sz w:val="20"/>
              </w:rPr>
              <w:t>Rubrique 3: Sécurité et citoyenneté</w:t>
            </w:r>
          </w:p>
        </w:tc>
        <w:tc>
          <w:tcPr>
            <w:tcW w:w="1080" w:type="dxa"/>
            <w:vAlign w:val="center"/>
          </w:tcPr>
          <w:p>
            <w:pPr>
              <w:jc w:val="center"/>
              <w:rPr>
                <w:noProof/>
                <w:color w:val="000000" w:themeColor="text1"/>
                <w:sz w:val="22"/>
              </w:rPr>
            </w:pPr>
            <w:r>
              <w:rPr>
                <w:noProof/>
                <w:color w:val="000000" w:themeColor="text1"/>
                <w:sz w:val="18"/>
              </w:rPr>
              <w:t>CD/CND</w:t>
            </w:r>
            <w:r>
              <w:rPr>
                <w:rStyle w:val="FootnoteReference"/>
                <w:noProof/>
                <w:color w:val="000000" w:themeColor="text1"/>
                <w:sz w:val="18"/>
              </w:rPr>
              <w:footnoteReference w:id="13"/>
            </w:r>
            <w:r>
              <w:rPr>
                <w:noProof/>
              </w:rPr>
              <w:t>.</w:t>
            </w:r>
          </w:p>
        </w:tc>
        <w:tc>
          <w:tcPr>
            <w:tcW w:w="956" w:type="dxa"/>
            <w:vAlign w:val="center"/>
          </w:tcPr>
          <w:p>
            <w:pPr>
              <w:jc w:val="center"/>
              <w:rPr>
                <w:b/>
                <w:noProof/>
                <w:color w:val="000000" w:themeColor="text1"/>
                <w:sz w:val="18"/>
              </w:rPr>
            </w:pPr>
            <w:r>
              <w:rPr>
                <w:noProof/>
                <w:color w:val="000000" w:themeColor="text1"/>
                <w:sz w:val="18"/>
              </w:rPr>
              <w:t>de pays AELE</w:t>
            </w:r>
            <w:r>
              <w:rPr>
                <w:rStyle w:val="FootnoteReference"/>
                <w:noProof/>
                <w:color w:val="000000" w:themeColor="text1"/>
                <w:sz w:val="18"/>
              </w:rPr>
              <w:footnoteReference w:id="14"/>
            </w:r>
          </w:p>
        </w:tc>
        <w:tc>
          <w:tcPr>
            <w:tcW w:w="1080" w:type="dxa"/>
            <w:vAlign w:val="center"/>
          </w:tcPr>
          <w:p>
            <w:pPr>
              <w:jc w:val="center"/>
              <w:rPr>
                <w:noProof/>
                <w:color w:val="000000" w:themeColor="text1"/>
                <w:sz w:val="18"/>
              </w:rPr>
            </w:pPr>
            <w:r>
              <w:rPr>
                <w:noProof/>
                <w:color w:val="000000" w:themeColor="text1"/>
                <w:sz w:val="18"/>
              </w:rPr>
              <w:t>de pays candidats</w:t>
            </w:r>
            <w:r>
              <w:rPr>
                <w:rStyle w:val="FootnoteReference"/>
                <w:noProof/>
                <w:color w:val="000000" w:themeColor="text1"/>
                <w:sz w:val="18"/>
              </w:rPr>
              <w:footnoteReference w:id="15"/>
            </w:r>
          </w:p>
        </w:tc>
        <w:tc>
          <w:tcPr>
            <w:tcW w:w="956" w:type="dxa"/>
            <w:vAlign w:val="center"/>
          </w:tcPr>
          <w:p>
            <w:pPr>
              <w:jc w:val="center"/>
              <w:rPr>
                <w:noProof/>
                <w:color w:val="000000" w:themeColor="text1"/>
                <w:sz w:val="18"/>
              </w:rPr>
            </w:pPr>
            <w:r>
              <w:rPr>
                <w:noProof/>
                <w:color w:val="000000" w:themeColor="text1"/>
                <w:sz w:val="18"/>
              </w:rPr>
              <w:t>de pays tiers</w:t>
            </w:r>
          </w:p>
        </w:tc>
        <w:tc>
          <w:tcPr>
            <w:tcW w:w="1448" w:type="dxa"/>
            <w:vAlign w:val="center"/>
          </w:tcPr>
          <w:p>
            <w:pPr>
              <w:jc w:val="center"/>
              <w:rPr>
                <w:noProof/>
                <w:color w:val="000000" w:themeColor="text1"/>
                <w:sz w:val="22"/>
              </w:rPr>
            </w:pPr>
            <w:r>
              <w:rPr>
                <w:noProof/>
                <w:color w:val="000000" w:themeColor="text1"/>
                <w:sz w:val="16"/>
              </w:rPr>
              <w:t xml:space="preserve">au sens de l’article 21, paragraphe 2, point b), du règlement financier </w:t>
            </w:r>
          </w:p>
        </w:tc>
      </w:tr>
      <w:tr>
        <w:tc>
          <w:tcPr>
            <w:tcW w:w="1080" w:type="dxa"/>
            <w:vAlign w:val="center"/>
          </w:tcPr>
          <w:p>
            <w:pPr>
              <w:jc w:val="center"/>
              <w:rPr>
                <w:noProof/>
                <w:color w:val="000000"/>
                <w:sz w:val="22"/>
              </w:rPr>
            </w:pPr>
            <w:r>
              <w:rPr>
                <w:noProof/>
                <w:color w:val="000000"/>
                <w:sz w:val="22"/>
              </w:rPr>
              <w:t>3</w:t>
            </w:r>
          </w:p>
        </w:tc>
        <w:tc>
          <w:tcPr>
            <w:tcW w:w="3960" w:type="dxa"/>
            <w:vAlign w:val="center"/>
          </w:tcPr>
          <w:p>
            <w:pPr>
              <w:spacing w:after="60"/>
              <w:rPr>
                <w:noProof/>
                <w:color w:val="000000"/>
                <w:sz w:val="22"/>
              </w:rPr>
            </w:pPr>
            <w:r>
              <w:rPr>
                <w:noProof/>
                <w:color w:val="000000"/>
                <w:sz w:val="22"/>
              </w:rPr>
              <w:t xml:space="preserve">15 04 02 - Sous-programme Culture — Soutenir les actions transfrontières et promouvoir la circulation transnationale et la mobilité </w:t>
            </w:r>
          </w:p>
        </w:tc>
        <w:tc>
          <w:tcPr>
            <w:tcW w:w="1080" w:type="dxa"/>
            <w:vAlign w:val="center"/>
          </w:tcPr>
          <w:p>
            <w:pPr>
              <w:jc w:val="center"/>
              <w:rPr>
                <w:noProof/>
                <w:color w:val="000000"/>
                <w:sz w:val="22"/>
              </w:rPr>
            </w:pPr>
            <w:r>
              <w:rPr>
                <w:noProof/>
                <w:color w:val="000000"/>
                <w:sz w:val="22"/>
              </w:rPr>
              <w:t>CD</w:t>
            </w:r>
          </w:p>
        </w:tc>
        <w:tc>
          <w:tcPr>
            <w:tcW w:w="956" w:type="dxa"/>
            <w:vAlign w:val="center"/>
          </w:tcPr>
          <w:p>
            <w:pPr>
              <w:jc w:val="center"/>
              <w:rPr>
                <w:noProof/>
                <w:color w:val="000000"/>
                <w:sz w:val="22"/>
              </w:rPr>
            </w:pPr>
            <w:r>
              <w:rPr>
                <w:noProof/>
                <w:color w:val="000000"/>
                <w:sz w:val="22"/>
              </w:rPr>
              <w:t>NON</w:t>
            </w:r>
          </w:p>
        </w:tc>
        <w:tc>
          <w:tcPr>
            <w:tcW w:w="1080" w:type="dxa"/>
            <w:vAlign w:val="center"/>
          </w:tcPr>
          <w:p>
            <w:pPr>
              <w:jc w:val="center"/>
              <w:rPr>
                <w:noProof/>
                <w:color w:val="000000"/>
                <w:sz w:val="22"/>
              </w:rPr>
            </w:pPr>
            <w:r>
              <w:rPr>
                <w:noProof/>
                <w:color w:val="000000"/>
                <w:sz w:val="22"/>
              </w:rPr>
              <w:t>NON</w:t>
            </w:r>
          </w:p>
        </w:tc>
        <w:tc>
          <w:tcPr>
            <w:tcW w:w="956" w:type="dxa"/>
            <w:vAlign w:val="center"/>
          </w:tcPr>
          <w:p>
            <w:pPr>
              <w:jc w:val="center"/>
              <w:rPr>
                <w:noProof/>
                <w:color w:val="000000"/>
                <w:sz w:val="22"/>
              </w:rPr>
            </w:pPr>
            <w:r>
              <w:rPr>
                <w:noProof/>
                <w:color w:val="000000"/>
                <w:sz w:val="22"/>
              </w:rPr>
              <w:t>NON</w:t>
            </w:r>
          </w:p>
        </w:tc>
        <w:tc>
          <w:tcPr>
            <w:tcW w:w="1448" w:type="dxa"/>
            <w:vAlign w:val="center"/>
          </w:tcPr>
          <w:p>
            <w:pPr>
              <w:jc w:val="center"/>
              <w:rPr>
                <w:noProof/>
                <w:color w:val="000000"/>
                <w:sz w:val="22"/>
              </w:rPr>
            </w:pPr>
            <w:r>
              <w:rPr>
                <w:noProof/>
                <w:color w:val="000000"/>
                <w:sz w:val="22"/>
              </w:rPr>
              <w:t>NON</w:t>
            </w:r>
            <w:r>
              <w:rPr>
                <w:rStyle w:val="FootnoteReference"/>
                <w:noProof/>
                <w:color w:val="000000"/>
                <w:sz w:val="22"/>
              </w:rPr>
              <w:footnoteReference w:id="16"/>
            </w:r>
          </w:p>
        </w:tc>
      </w:tr>
    </w:tbl>
    <w:p>
      <w:pPr>
        <w:pStyle w:val="Text1"/>
        <w:rPr>
          <w:noProof/>
        </w:rPr>
        <w:sectPr>
          <w:pgSz w:w="11907" w:h="16840" w:code="1"/>
          <w:pgMar w:top="1134" w:right="1418" w:bottom="1134" w:left="1418" w:header="709" w:footer="709" w:gutter="0"/>
          <w:cols w:space="708"/>
          <w:docGrid w:linePitch="360"/>
        </w:sectPr>
      </w:pPr>
    </w:p>
    <w:p>
      <w:pPr>
        <w:pStyle w:val="ManualHeading2"/>
        <w:rPr>
          <w:bCs/>
          <w:noProof/>
          <w:szCs w:val="24"/>
        </w:rPr>
      </w:pPr>
      <w:r>
        <w:lastRenderedPageBreak/>
        <w:t>3.2.</w:t>
      </w:r>
      <w:r>
        <w:tab/>
      </w:r>
      <w:r>
        <w:rPr>
          <w:noProof/>
        </w:rPr>
        <w:t xml:space="preserve">Incidence estimée sur les dépenses </w:t>
      </w:r>
    </w:p>
    <w:p>
      <w:pPr>
        <w:rPr>
          <w:noProof/>
        </w:rPr>
      </w:pPr>
      <w:r>
        <w:rPr>
          <w:noProof/>
        </w:rPr>
        <w:t>L’enveloppe financière existante du sous-programme Culture du programme «Europe créative» servira à financer l’EUYO, qui n’aura pas besoin d’autres ressources budgétaires de l’Union.</w:t>
      </w:r>
      <w:r>
        <w:rPr>
          <w:noProof/>
          <w:highlight w:val="yellow"/>
        </w:rPr>
        <w:t xml:space="preserve"> </w:t>
      </w:r>
    </w:p>
    <w:p>
      <w:pPr>
        <w:pStyle w:val="ManualHeading3"/>
        <w:rPr>
          <w:noProof/>
          <w:u w:val="single"/>
        </w:rPr>
      </w:pPr>
      <w:r>
        <w:t>3.2.1.</w:t>
      </w:r>
      <w:r>
        <w:tab/>
      </w:r>
      <w:r>
        <w:rPr>
          <w:noProof/>
        </w:rPr>
        <w:t xml:space="preserve">Synthèse de l’incidence estimée sur les dépenses </w:t>
      </w:r>
    </w:p>
    <w:p>
      <w:pPr>
        <w:jc w:val="right"/>
        <w:rPr>
          <w:noProof/>
          <w:color w:val="000000" w:themeColor="text1"/>
          <w:sz w:val="20"/>
        </w:rPr>
      </w:pPr>
      <w:r>
        <w:rPr>
          <w:noProof/>
          <w:color w:val="000000" w:themeColor="text1"/>
          <w:sz w:val="20"/>
        </w:rPr>
        <w:t>En millions d’EUR (à la 3</w:t>
      </w:r>
      <w:r>
        <w:rPr>
          <w:noProof/>
          <w:color w:val="000000" w:themeColor="text1"/>
          <w:sz w:val="20"/>
          <w:vertAlign w:val="superscript"/>
        </w:rPr>
        <w:t>e</w:t>
      </w:r>
      <w:r>
        <w:rPr>
          <w:noProof/>
          <w:color w:val="000000" w:themeColor="text1"/>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b/>
                <w:noProof/>
                <w:color w:val="000000" w:themeColor="text1"/>
                <w:sz w:val="22"/>
              </w:rPr>
              <w:t xml:space="preserve">Rubrique du cadre financier </w:t>
            </w:r>
            <w:r>
              <w:rPr>
                <w:noProof/>
                <w:color w:val="000000" w:themeColor="text1"/>
                <w:sz w:val="22"/>
              </w:rPr>
              <w:br/>
            </w:r>
            <w:r>
              <w:rPr>
                <w:b/>
                <w:noProof/>
                <w:color w:val="000000" w:themeColor="text1"/>
                <w:sz w:val="22"/>
              </w:rPr>
              <w:t xml:space="preserve">pluriannuel </w:t>
            </w:r>
          </w:p>
        </w:tc>
        <w:tc>
          <w:tcPr>
            <w:tcW w:w="1080" w:type="dxa"/>
            <w:vAlign w:val="center"/>
          </w:tcPr>
          <w:p>
            <w:pPr>
              <w:spacing w:before="60" w:after="60"/>
              <w:jc w:val="center"/>
              <w:rPr>
                <w:noProof/>
                <w:color w:val="000000" w:themeColor="text1"/>
                <w:sz w:val="22"/>
              </w:rPr>
            </w:pPr>
            <w:r>
              <w:rPr>
                <w:noProof/>
                <w:color w:val="000000" w:themeColor="text1"/>
                <w:sz w:val="22"/>
              </w:rPr>
              <w:t>Numéro</w:t>
            </w:r>
          </w:p>
        </w:tc>
        <w:tc>
          <w:tcPr>
            <w:tcW w:w="7817" w:type="dxa"/>
            <w:vAlign w:val="center"/>
          </w:tcPr>
          <w:p>
            <w:pPr>
              <w:spacing w:before="60" w:after="60"/>
              <w:rPr>
                <w:noProof/>
                <w:color w:val="000000" w:themeColor="text1"/>
                <w:sz w:val="22"/>
              </w:rPr>
            </w:pPr>
            <w:r>
              <w:rPr>
                <w:noProof/>
              </w:rPr>
              <w:t>[3</w:t>
            </w:r>
            <w:r>
              <w:rPr>
                <w:noProof/>
                <w:color w:val="000000" w:themeColor="text1"/>
                <w:sz w:val="22"/>
              </w:rPr>
              <w:t>] Sécurité et citoyenneté</w:t>
            </w:r>
          </w:p>
        </w:tc>
      </w:tr>
    </w:tbl>
    <w:p>
      <w:pPr>
        <w:rPr>
          <w:noProof/>
          <w:color w:val="000000" w:themeColor="text1"/>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color w:val="000000" w:themeColor="text1"/>
                <w:sz w:val="22"/>
              </w:rPr>
            </w:pPr>
            <w:r>
              <w:rPr>
                <w:noProof/>
                <w:color w:val="000000" w:themeColor="text1"/>
                <w:sz w:val="22"/>
              </w:rPr>
              <w:t>DG: EAC</w:t>
            </w:r>
          </w:p>
        </w:tc>
        <w:tc>
          <w:tcPr>
            <w:tcW w:w="1560" w:type="dxa"/>
            <w:gridSpan w:val="2"/>
          </w:tcPr>
          <w:p>
            <w:pPr>
              <w:rPr>
                <w:noProof/>
                <w:color w:val="000000" w:themeColor="text1"/>
                <w:sz w:val="20"/>
              </w:rPr>
            </w:pPr>
          </w:p>
        </w:tc>
        <w:tc>
          <w:tcPr>
            <w:tcW w:w="534" w:type="dxa"/>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17"/>
            </w: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Insérer autant d’années que nécessaire, pour refléter la durée de l’incidence (cf. point 1.6)</w:t>
            </w:r>
          </w:p>
        </w:tc>
        <w:tc>
          <w:tcPr>
            <w:tcW w:w="1777" w:type="dxa"/>
            <w:vAlign w:val="center"/>
          </w:tcPr>
          <w:p>
            <w:pPr>
              <w:jc w:val="center"/>
              <w:rPr>
                <w:b/>
                <w:noProof/>
                <w:color w:val="000000" w:themeColor="text1"/>
                <w:sz w:val="20"/>
              </w:rPr>
            </w:pPr>
            <w:r>
              <w:rPr>
                <w:b/>
                <w:noProof/>
                <w:color w:val="000000" w:themeColor="text1"/>
                <w:sz w:val="20"/>
              </w:rPr>
              <w:t>TOTAL</w:t>
            </w:r>
          </w:p>
        </w:tc>
      </w:tr>
      <w:tr>
        <w:trPr>
          <w:trHeight w:val="213"/>
        </w:trPr>
        <w:tc>
          <w:tcPr>
            <w:tcW w:w="6054" w:type="dxa"/>
            <w:gridSpan w:val="4"/>
            <w:vAlign w:val="center"/>
          </w:tcPr>
          <w:p>
            <w:pPr>
              <w:spacing w:before="20" w:after="20"/>
              <w:rPr>
                <w:noProof/>
                <w:color w:val="000000" w:themeColor="text1"/>
                <w:sz w:val="21"/>
              </w:rPr>
            </w:pPr>
            <w:r>
              <w:rPr>
                <w:noProof/>
                <w:color w:val="000000" w:themeColor="text1"/>
                <w:sz w:val="21"/>
              </w:rPr>
              <w:sym w:font="Wingdings" w:char="F09F"/>
            </w:r>
            <w:r>
              <w:rPr>
                <w:noProof/>
                <w:color w:val="000000" w:themeColor="text1"/>
                <w:sz w:val="21"/>
              </w:rPr>
              <w:t xml:space="preserve"> Crédits opérationnels </w:t>
            </w: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277"/>
        </w:trPr>
        <w:tc>
          <w:tcPr>
            <w:tcW w:w="3960" w:type="dxa"/>
            <w:vMerge w:val="restart"/>
            <w:vAlign w:val="center"/>
          </w:tcPr>
          <w:p>
            <w:pPr>
              <w:rPr>
                <w:noProof/>
                <w:color w:val="000000" w:themeColor="text1"/>
                <w:sz w:val="22"/>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(1)</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(2)</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vAlign w:val="center"/>
          </w:tcPr>
          <w:p>
            <w:pPr>
              <w:rPr>
                <w:noProof/>
                <w:color w:val="000000" w:themeColor="text1"/>
                <w:sz w:val="22"/>
              </w:rPr>
            </w:pPr>
            <w:r>
              <w:rPr>
                <w:noProof/>
                <w:color w:val="000000" w:themeColor="text1"/>
                <w:sz w:val="20"/>
              </w:rPr>
              <w:t>15 04 02 – Programme Europe créative – Sous-programme Culture</w:t>
            </w:r>
          </w:p>
        </w:tc>
        <w:tc>
          <w:tcPr>
            <w:tcW w:w="1440" w:type="dxa"/>
            <w:vAlign w:val="center"/>
          </w:tcPr>
          <w:p>
            <w:pPr>
              <w:spacing w:before="20" w:after="20"/>
              <w:rPr>
                <w:noProof/>
                <w:color w:val="000000" w:themeColor="text1"/>
                <w:sz w:val="18"/>
              </w:rPr>
            </w:pPr>
            <w:r>
              <w:rPr>
                <w:noProof/>
                <w:color w:val="000000" w:themeColor="text1"/>
                <w:sz w:val="18"/>
              </w:rPr>
              <w:t>Engagements</w:t>
            </w:r>
          </w:p>
        </w:tc>
        <w:tc>
          <w:tcPr>
            <w:tcW w:w="654" w:type="dxa"/>
            <w:gridSpan w:val="2"/>
            <w:vAlign w:val="center"/>
          </w:tcPr>
          <w:p>
            <w:pPr>
              <w:spacing w:before="20" w:after="20"/>
              <w:jc w:val="center"/>
              <w:rPr>
                <w:noProof/>
                <w:color w:val="000000" w:themeColor="text1"/>
                <w:sz w:val="14"/>
              </w:rPr>
            </w:pPr>
            <w:r>
              <w:rPr>
                <w:noProof/>
                <w:color w:val="000000" w:themeColor="text1"/>
                <w:sz w:val="14"/>
              </w:rPr>
              <w:t>(1a)</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r>
              <w:rPr>
                <w:noProof/>
                <w:color w:val="000000" w:themeColor="text1"/>
                <w:sz w:val="18"/>
              </w:rPr>
              <w:t>Paiements</w:t>
            </w:r>
          </w:p>
        </w:tc>
        <w:tc>
          <w:tcPr>
            <w:tcW w:w="654" w:type="dxa"/>
            <w:gridSpan w:val="2"/>
            <w:vAlign w:val="center"/>
          </w:tcPr>
          <w:p>
            <w:pPr>
              <w:spacing w:before="20" w:after="20"/>
              <w:jc w:val="center"/>
              <w:rPr>
                <w:noProof/>
                <w:color w:val="000000" w:themeColor="text1"/>
                <w:sz w:val="14"/>
              </w:rPr>
            </w:pPr>
            <w:r>
              <w:rPr>
                <w:noProof/>
                <w:color w:val="000000" w:themeColor="text1"/>
                <w:sz w:val="14"/>
              </w:rPr>
              <w:t>(2a)</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231"/>
        </w:trPr>
        <w:tc>
          <w:tcPr>
            <w:tcW w:w="6054" w:type="dxa"/>
            <w:gridSpan w:val="4"/>
            <w:vAlign w:val="center"/>
          </w:tcPr>
          <w:p>
            <w:pPr>
              <w:spacing w:before="20" w:after="20"/>
              <w:rPr>
                <w:noProof/>
                <w:color w:val="000000" w:themeColor="text1"/>
                <w:sz w:val="22"/>
              </w:rPr>
            </w:pPr>
            <w:r>
              <w:rPr>
                <w:noProof/>
                <w:color w:val="000000" w:themeColor="text1"/>
                <w:sz w:val="21"/>
              </w:rPr>
              <w:t>Crédits de nature administrative financés par l’enveloppe de certains programmes spécifiques</w:t>
            </w:r>
            <w:r>
              <w:rPr>
                <w:rStyle w:val="FootnoteReference"/>
                <w:noProof/>
                <w:color w:val="000000" w:themeColor="text1"/>
                <w:sz w:val="21"/>
              </w:rPr>
              <w:footnoteReference w:id="18"/>
            </w:r>
            <w:r>
              <w:rPr>
                <w:noProof/>
                <w:color w:val="000000" w:themeColor="text1"/>
                <w:sz w:val="21"/>
              </w:rPr>
              <w:t xml:space="preserve"> </w:t>
            </w: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319"/>
        </w:trPr>
        <w:tc>
          <w:tcPr>
            <w:tcW w:w="3960" w:type="dxa"/>
            <w:vAlign w:val="center"/>
          </w:tcPr>
          <w:p>
            <w:pPr>
              <w:spacing w:before="60" w:after="60"/>
              <w:rPr>
                <w:noProof/>
                <w:color w:val="000000" w:themeColor="text1"/>
                <w:sz w:val="22"/>
              </w:rPr>
            </w:pPr>
            <w:r>
              <w:rPr>
                <w:noProof/>
                <w:color w:val="000000" w:themeColor="text1"/>
                <w:sz w:val="20"/>
              </w:rPr>
              <w:t>Numéro de ligne budgétaire</w:t>
            </w:r>
          </w:p>
        </w:tc>
        <w:tc>
          <w:tcPr>
            <w:tcW w:w="1440" w:type="dxa"/>
            <w:vAlign w:val="center"/>
          </w:tcPr>
          <w:p>
            <w:pPr>
              <w:spacing w:before="40" w:after="40"/>
              <w:jc w:val="right"/>
              <w:rPr>
                <w:noProof/>
                <w:color w:val="000000" w:themeColor="text1"/>
                <w:sz w:val="18"/>
              </w:rPr>
            </w:pPr>
          </w:p>
        </w:tc>
        <w:tc>
          <w:tcPr>
            <w:tcW w:w="654" w:type="dxa"/>
            <w:gridSpan w:val="2"/>
            <w:vAlign w:val="center"/>
          </w:tcPr>
          <w:p>
            <w:pPr>
              <w:spacing w:before="40" w:after="40"/>
              <w:jc w:val="center"/>
              <w:rPr>
                <w:noProof/>
                <w:color w:val="000000" w:themeColor="text1"/>
                <w:sz w:val="14"/>
              </w:rPr>
            </w:pPr>
            <w:r>
              <w:rPr>
                <w:noProof/>
                <w:color w:val="000000" w:themeColor="text1"/>
                <w:sz w:val="14"/>
              </w:rPr>
              <w:t>(3)</w:t>
            </w: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1777" w:type="dxa"/>
            <w:vAlign w:val="center"/>
          </w:tcPr>
          <w:p>
            <w:pPr>
              <w:spacing w:before="40" w:after="40"/>
              <w:jc w:val="right"/>
              <w:rPr>
                <w:b/>
                <w:noProof/>
                <w:color w:val="000000" w:themeColor="text1"/>
                <w:sz w:val="20"/>
              </w:rPr>
            </w:pPr>
          </w:p>
        </w:tc>
      </w:tr>
      <w:tr>
        <w:tc>
          <w:tcPr>
            <w:tcW w:w="3960" w:type="dxa"/>
            <w:vMerge w:val="restart"/>
            <w:vAlign w:val="center"/>
          </w:tcPr>
          <w:p>
            <w:pPr>
              <w:jc w:val="center"/>
              <w:rPr>
                <w:b/>
                <w:noProof/>
                <w:color w:val="000000" w:themeColor="text1"/>
                <w:sz w:val="22"/>
              </w:rPr>
            </w:pPr>
            <w:r>
              <w:rPr>
                <w:b/>
                <w:noProof/>
                <w:color w:val="000000" w:themeColor="text1"/>
                <w:sz w:val="22"/>
              </w:rPr>
              <w:t>TOTAL des crédits</w:t>
            </w:r>
            <w:r>
              <w:rPr>
                <w:noProof/>
                <w:color w:val="000000" w:themeColor="text1"/>
                <w:sz w:val="22"/>
              </w:rPr>
              <w:br/>
            </w:r>
            <w:r>
              <w:rPr>
                <w:b/>
                <w:noProof/>
                <w:color w:val="000000" w:themeColor="text1"/>
                <w:sz w:val="22"/>
              </w:rPr>
              <w:t>pour la DG EAC</w:t>
            </w:r>
            <w:r>
              <w:rPr>
                <w:noProof/>
                <w:color w:val="000000" w:themeColor="text1"/>
                <w:sz w:val="22"/>
              </w:rPr>
              <w:t>*</w:t>
            </w:r>
          </w:p>
        </w:tc>
        <w:tc>
          <w:tcPr>
            <w:tcW w:w="1440" w:type="dxa"/>
            <w:vAlign w:val="center"/>
          </w:tcPr>
          <w:p>
            <w:pPr>
              <w:rPr>
                <w:noProof/>
                <w:color w:val="000000" w:themeColor="text1"/>
                <w:sz w:val="18"/>
              </w:rPr>
            </w:pPr>
            <w:r>
              <w:rPr>
                <w:noProof/>
                <w:color w:val="000000" w:themeColor="text1"/>
                <w:sz w:val="18"/>
              </w:rPr>
              <w:t>Engagements</w:t>
            </w:r>
          </w:p>
        </w:tc>
        <w:tc>
          <w:tcPr>
            <w:tcW w:w="654" w:type="dxa"/>
            <w:gridSpan w:val="2"/>
            <w:vAlign w:val="center"/>
          </w:tcPr>
          <w:p>
            <w:pPr>
              <w:jc w:val="center"/>
              <w:rPr>
                <w:noProof/>
                <w:color w:val="000000" w:themeColor="text1"/>
                <w:sz w:val="14"/>
              </w:rPr>
            </w:pPr>
            <w:r>
              <w:rPr>
                <w:noProof/>
                <w:color w:val="000000" w:themeColor="text1"/>
                <w:sz w:val="14"/>
              </w:rPr>
              <w:t>=1+1a +3</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Paiements</w:t>
            </w:r>
          </w:p>
        </w:tc>
        <w:tc>
          <w:tcPr>
            <w:tcW w:w="654" w:type="dxa"/>
            <w:gridSpan w:val="2"/>
            <w:vAlign w:val="center"/>
          </w:tcPr>
          <w:p>
            <w:pPr>
              <w:jc w:val="center"/>
              <w:rPr>
                <w:noProof/>
                <w:color w:val="000000" w:themeColor="text1"/>
                <w:sz w:val="14"/>
              </w:rPr>
            </w:pPr>
            <w:r>
              <w:rPr>
                <w:noProof/>
                <w:color w:val="000000" w:themeColor="text1"/>
                <w:sz w:val="14"/>
              </w:rPr>
              <w:t>=2+2a</w:t>
            </w:r>
          </w:p>
          <w:p>
            <w:pPr>
              <w:jc w:val="center"/>
              <w:rPr>
                <w:noProof/>
                <w:color w:val="000000" w:themeColor="text1"/>
                <w:sz w:val="14"/>
              </w:rPr>
            </w:pPr>
            <w:r>
              <w:rPr>
                <w:noProof/>
                <w:color w:val="000000" w:themeColor="text1"/>
                <w:sz w:val="14"/>
              </w:rPr>
              <w:t>+3</w:t>
            </w:r>
          </w:p>
        </w:tc>
        <w:tc>
          <w:tcPr>
            <w:tcW w:w="868" w:type="dxa"/>
            <w:vAlign w:val="center"/>
          </w:tcPr>
          <w:p>
            <w:pPr>
              <w:spacing w:before="20" w:after="20"/>
              <w:jc w:val="right"/>
              <w:rPr>
                <w:noProof/>
                <w:color w:val="000000" w:themeColor="text1"/>
                <w:sz w:val="20"/>
              </w:rPr>
            </w:pPr>
            <w:r>
              <w:rPr>
                <w:noProof/>
                <w:color w:val="000000"/>
                <w:sz w:val="20"/>
              </w:rPr>
              <w:t>0,480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sz w:val="20"/>
              </w:rPr>
              <w:t>1,800</w:t>
            </w:r>
          </w:p>
        </w:tc>
      </w:tr>
    </w:tbl>
    <w:p>
      <w:pPr>
        <w:rPr>
          <w:noProof/>
          <w:color w:val="000000" w:themeColor="text1"/>
        </w:rPr>
      </w:pPr>
      <w:r>
        <w:rPr>
          <w:noProof/>
          <w:color w:val="000000" w:themeColor="text1"/>
        </w:rPr>
        <w:br/>
      </w:r>
      <w:r>
        <w:rPr>
          <w:noProof/>
          <w:color w:val="000000" w:themeColor="text1"/>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rPr>
              <w:br w:type="page"/>
            </w:r>
            <w:r>
              <w:rPr>
                <w:noProof/>
                <w:color w:val="000000" w:themeColor="text1"/>
                <w:sz w:val="21"/>
              </w:rPr>
              <w:sym w:font="Wingdings" w:char="F09F"/>
            </w:r>
            <w:r>
              <w:rPr>
                <w:noProof/>
                <w:color w:val="000000" w:themeColor="text1"/>
                <w:sz w:val="21"/>
              </w:rPr>
              <w:t xml:space="preserve"> TOTAL des crédits opérationnels </w:t>
            </w:r>
          </w:p>
        </w:tc>
        <w:tc>
          <w:tcPr>
            <w:tcW w:w="1440" w:type="dxa"/>
            <w:vAlign w:val="center"/>
          </w:tcPr>
          <w:p>
            <w:pPr>
              <w:spacing w:beforeLines="20" w:before="48" w:afterLines="20" w:after="48"/>
              <w:rPr>
                <w:noProof/>
                <w:color w:val="000000" w:themeColor="text1"/>
                <w:sz w:val="18"/>
              </w:rPr>
            </w:pPr>
            <w:r>
              <w:rPr>
                <w:noProof/>
                <w:color w:val="000000" w:themeColor="text1"/>
                <w:sz w:val="18"/>
              </w:rPr>
              <w:t>Engagements</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Paiements</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TOTAL des crédits de nature administrative financés par l’enveloppe de certains programmes spécifiques </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sz w:val="22"/>
              </w:rPr>
            </w:pPr>
            <w:r>
              <w:rPr>
                <w:b/>
                <w:noProof/>
                <w:color w:val="000000"/>
                <w:sz w:val="22"/>
              </w:rPr>
              <w:t>TOTAL des crédits</w:t>
            </w:r>
            <w:r>
              <w:rPr>
                <w:noProof/>
                <w:color w:val="000000"/>
                <w:sz w:val="22"/>
              </w:rPr>
              <w:br/>
            </w:r>
            <w:r>
              <w:rPr>
                <w:b/>
                <w:noProof/>
                <w:color w:val="000000"/>
                <w:sz w:val="22"/>
              </w:rPr>
              <w:t>sous la RUBRIQUE &lt;3&gt;</w:t>
            </w:r>
            <w:r>
              <w:rPr>
                <w:noProof/>
                <w:color w:val="000000"/>
                <w:sz w:val="22"/>
              </w:rPr>
              <w:br/>
              <w:t>du cadre financier pluriannuel</w:t>
            </w:r>
          </w:p>
        </w:tc>
        <w:tc>
          <w:tcPr>
            <w:tcW w:w="1440" w:type="dxa"/>
            <w:vAlign w:val="center"/>
          </w:tcPr>
          <w:p>
            <w:pPr>
              <w:rPr>
                <w:noProof/>
                <w:color w:val="000000"/>
                <w:sz w:val="18"/>
              </w:rPr>
            </w:pPr>
            <w:r>
              <w:rPr>
                <w:noProof/>
                <w:color w:val="000000"/>
                <w:sz w:val="18"/>
              </w:rPr>
              <w:t>Engagements</w:t>
            </w:r>
          </w:p>
        </w:tc>
        <w:tc>
          <w:tcPr>
            <w:tcW w:w="654" w:type="dxa"/>
            <w:vAlign w:val="center"/>
          </w:tcPr>
          <w:p>
            <w:pPr>
              <w:jc w:val="center"/>
              <w:rPr>
                <w:noProof/>
                <w:color w:val="000000"/>
                <w:sz w:val="14"/>
              </w:rPr>
            </w:pPr>
            <w:r>
              <w:rPr>
                <w:noProof/>
                <w:color w:val="000000"/>
                <w:sz w:val="14"/>
              </w:rPr>
              <w:t>=4+ 6</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r>
        <w:tc>
          <w:tcPr>
            <w:tcW w:w="3960" w:type="dxa"/>
            <w:vMerge/>
            <w:shd w:val="thinDiagStripe" w:color="C0C0C0" w:fill="auto"/>
          </w:tcPr>
          <w:p>
            <w:pPr>
              <w:rPr>
                <w:noProof/>
                <w:color w:val="000000"/>
                <w:sz w:val="20"/>
              </w:rPr>
            </w:pPr>
          </w:p>
        </w:tc>
        <w:tc>
          <w:tcPr>
            <w:tcW w:w="1440" w:type="dxa"/>
            <w:vAlign w:val="center"/>
          </w:tcPr>
          <w:p>
            <w:pPr>
              <w:rPr>
                <w:noProof/>
                <w:color w:val="000000"/>
                <w:sz w:val="18"/>
              </w:rPr>
            </w:pPr>
            <w:r>
              <w:rPr>
                <w:noProof/>
                <w:color w:val="000000"/>
                <w:sz w:val="18"/>
              </w:rPr>
              <w:t>Paiements</w:t>
            </w:r>
          </w:p>
        </w:tc>
        <w:tc>
          <w:tcPr>
            <w:tcW w:w="654" w:type="dxa"/>
            <w:vAlign w:val="center"/>
          </w:tcPr>
          <w:p>
            <w:pPr>
              <w:jc w:val="center"/>
              <w:rPr>
                <w:noProof/>
                <w:color w:val="000000"/>
                <w:sz w:val="14"/>
              </w:rPr>
            </w:pPr>
            <w:r>
              <w:rPr>
                <w:noProof/>
                <w:color w:val="000000"/>
                <w:sz w:val="14"/>
              </w:rPr>
              <w:t>=5+ 6</w:t>
            </w:r>
          </w:p>
        </w:tc>
        <w:tc>
          <w:tcPr>
            <w:tcW w:w="868" w:type="dxa"/>
            <w:vAlign w:val="center"/>
          </w:tcPr>
          <w:p>
            <w:pPr>
              <w:spacing w:before="20" w:after="20"/>
              <w:jc w:val="right"/>
              <w:rPr>
                <w:noProof/>
                <w:color w:val="000000"/>
                <w:sz w:val="20"/>
              </w:rPr>
            </w:pPr>
            <w:r>
              <w:rPr>
                <w:noProof/>
                <w:color w:val="000000" w:themeColor="text1"/>
                <w:sz w:val="20"/>
              </w:rPr>
              <w:t>0,480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0,120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bl>
    <w:p>
      <w:pPr>
        <w:spacing w:after="40"/>
        <w:rPr>
          <w:b/>
          <w:noProof/>
          <w:color w:val="000000" w:themeColor="text1"/>
          <w:sz w:val="22"/>
          <w:u w:val="single"/>
        </w:rPr>
      </w:pPr>
      <w:r>
        <w:rPr>
          <w:b/>
          <w:noProof/>
          <w:color w:val="000000" w:themeColor="text1"/>
          <w:sz w:val="22"/>
          <w:u w:val="single"/>
        </w:rPr>
        <w:t>Si plusieurs rubriques sont concernées par la proposition/l’initiative: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color w:val="000000" w:themeColor="text1"/>
                <w:sz w:val="22"/>
              </w:rPr>
            </w:pPr>
            <w:r>
              <w:rPr>
                <w:noProof/>
                <w:color w:val="000000" w:themeColor="text1"/>
                <w:sz w:val="21"/>
              </w:rPr>
              <w:sym w:font="Wingdings" w:char="F09F"/>
            </w:r>
            <w:r>
              <w:rPr>
                <w:noProof/>
                <w:color w:val="000000" w:themeColor="text1"/>
                <w:sz w:val="21"/>
              </w:rPr>
              <w:t xml:space="preserve"> TOTAL des crédits opérationnels </w:t>
            </w:r>
          </w:p>
        </w:tc>
        <w:tc>
          <w:tcPr>
            <w:tcW w:w="1440" w:type="dxa"/>
            <w:tcBorders>
              <w:top w:val="single" w:sz="4" w:space="0" w:color="auto"/>
            </w:tcBorders>
            <w:vAlign w:val="center"/>
          </w:tcPr>
          <w:p>
            <w:pPr>
              <w:spacing w:beforeLines="20" w:before="48" w:afterLines="20" w:after="48"/>
              <w:rPr>
                <w:noProof/>
                <w:color w:val="000000" w:themeColor="text1"/>
                <w:sz w:val="18"/>
              </w:rPr>
            </w:pPr>
            <w:r>
              <w:rPr>
                <w:noProof/>
                <w:color w:val="000000" w:themeColor="text1"/>
                <w:sz w:val="18"/>
              </w:rPr>
              <w:t>Engagements</w:t>
            </w:r>
          </w:p>
        </w:tc>
        <w:tc>
          <w:tcPr>
            <w:tcW w:w="654" w:type="dxa"/>
            <w:tcBorders>
              <w:top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right w:val="single" w:sz="4" w:space="0" w:color="auto"/>
            </w:tcBorders>
            <w:vAlign w:val="center"/>
          </w:tcPr>
          <w:p>
            <w:pPr>
              <w:spacing w:before="20" w:after="20"/>
              <w:jc w:val="right"/>
              <w:rPr>
                <w:b/>
                <w:noProof/>
                <w:color w:val="000000" w:themeColor="text1"/>
                <w:sz w:val="20"/>
              </w:rPr>
            </w:pPr>
          </w:p>
        </w:tc>
      </w:tr>
      <w:tr>
        <w:tc>
          <w:tcPr>
            <w:tcW w:w="3960" w:type="dxa"/>
            <w:vMerge/>
            <w:tcBorders>
              <w:top w:val="single" w:sz="4" w:space="0" w:color="FF0000"/>
              <w:left w:val="single" w:sz="4" w:space="0" w:color="auto"/>
              <w:bottom w:val="single" w:sz="4" w:space="0" w:color="FF0000"/>
            </w:tcBorders>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Paiements</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tcBorders>
              <w:right w:val="single" w:sz="4" w:space="0" w:color="auto"/>
            </w:tcBorders>
            <w:vAlign w:val="center"/>
          </w:tcPr>
          <w:p>
            <w:pPr>
              <w:spacing w:before="20" w:after="20"/>
              <w:jc w:val="right"/>
              <w:rPr>
                <w:b/>
                <w:noProof/>
                <w:color w:val="000000" w:themeColor="text1"/>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TOTAL des crédits de nature administrative financés par l’enveloppe de certains programmes spécifiques </w:t>
            </w:r>
          </w:p>
        </w:tc>
        <w:tc>
          <w:tcPr>
            <w:tcW w:w="654" w:type="dxa"/>
            <w:tcBorders>
              <w:bottom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1777" w:type="dxa"/>
            <w:tcBorders>
              <w:bottom w:val="single" w:sz="4" w:space="0" w:color="auto"/>
            </w:tcBorders>
            <w:vAlign w:val="center"/>
          </w:tcPr>
          <w:p>
            <w:pPr>
              <w:spacing w:before="20" w:after="20"/>
              <w:jc w:val="right"/>
              <w:rPr>
                <w:b/>
                <w:noProof/>
                <w:color w:val="000000" w:themeColor="text1"/>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color w:val="000000" w:themeColor="text1"/>
                <w:sz w:val="22"/>
              </w:rPr>
            </w:pPr>
            <w:r>
              <w:rPr>
                <w:b/>
                <w:noProof/>
                <w:color w:val="000000" w:themeColor="text1"/>
                <w:sz w:val="22"/>
              </w:rPr>
              <w:t>TOTAL des crédits</w:t>
            </w:r>
            <w:r>
              <w:rPr>
                <w:noProof/>
                <w:color w:val="000000" w:themeColor="text1"/>
                <w:sz w:val="22"/>
              </w:rPr>
              <w:br/>
            </w:r>
            <w:r>
              <w:rPr>
                <w:b/>
                <w:noProof/>
                <w:color w:val="000000" w:themeColor="text1"/>
                <w:sz w:val="22"/>
              </w:rPr>
              <w:t>pour les RUBRIQUES 1 à 4</w:t>
            </w:r>
            <w:r>
              <w:rPr>
                <w:noProof/>
                <w:color w:val="000000" w:themeColor="text1"/>
                <w:sz w:val="22"/>
              </w:rPr>
              <w:br/>
              <w:t>du cadre financier pluriannuel</w:t>
            </w:r>
            <w:r>
              <w:rPr>
                <w:noProof/>
                <w:color w:val="000000" w:themeColor="text1"/>
                <w:sz w:val="22"/>
              </w:rPr>
              <w:br/>
            </w:r>
            <w:r>
              <w:rPr>
                <w:noProof/>
                <w:color w:val="000000" w:themeColor="text1"/>
                <w:sz w:val="20"/>
              </w:rPr>
              <w:t>(Montant de référence)</w:t>
            </w: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Engagements</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=4+ 6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color w:val="000000" w:themeColor="text1"/>
                <w:sz w:val="20"/>
              </w:rPr>
            </w:pP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Paiements</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=5+ 6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0,480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0,120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bl>
    <w:p>
      <w:pPr>
        <w:rPr>
          <w:noProof/>
          <w:color w:val="000000" w:themeColor="text1"/>
        </w:rPr>
      </w:pPr>
    </w:p>
    <w:p>
      <w:pPr>
        <w:rPr>
          <w:noProof/>
          <w:color w:val="000000" w:themeColor="text1"/>
        </w:rPr>
      </w:pPr>
      <w:r>
        <w:rPr>
          <w:noProof/>
          <w:color w:val="000000" w:themeColor="text1"/>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noProof/>
              </w:rPr>
              <w:br w:type="page"/>
            </w:r>
            <w:r>
              <w:rPr>
                <w:b/>
                <w:noProof/>
                <w:color w:val="000000" w:themeColor="text1"/>
                <w:sz w:val="22"/>
              </w:rPr>
              <w:t xml:space="preserve">Rubrique du cadre financier </w:t>
            </w:r>
            <w:r>
              <w:rPr>
                <w:noProof/>
                <w:color w:val="000000" w:themeColor="text1"/>
                <w:sz w:val="22"/>
              </w:rPr>
              <w:br/>
            </w:r>
            <w:r>
              <w:rPr>
                <w:b/>
                <w:noProof/>
                <w:color w:val="000000" w:themeColor="text1"/>
                <w:sz w:val="22"/>
              </w:rPr>
              <w:t xml:space="preserve">pluriannuel </w:t>
            </w:r>
          </w:p>
        </w:tc>
        <w:tc>
          <w:tcPr>
            <w:tcW w:w="1080" w:type="dxa"/>
            <w:shd w:val="thinDiagStripe" w:color="C0C0C0" w:fill="auto"/>
            <w:vAlign w:val="center"/>
          </w:tcPr>
          <w:p>
            <w:pPr>
              <w:spacing w:before="60" w:after="60"/>
              <w:jc w:val="center"/>
              <w:rPr>
                <w:noProof/>
                <w:color w:val="000000" w:themeColor="text1"/>
                <w:sz w:val="22"/>
              </w:rPr>
            </w:pPr>
            <w:r>
              <w:rPr>
                <w:b/>
                <w:noProof/>
                <w:color w:val="000000" w:themeColor="text1"/>
                <w:sz w:val="22"/>
              </w:rPr>
              <w:t>5</w:t>
            </w:r>
          </w:p>
        </w:tc>
        <w:tc>
          <w:tcPr>
            <w:tcW w:w="7817" w:type="dxa"/>
            <w:vAlign w:val="center"/>
          </w:tcPr>
          <w:p>
            <w:pPr>
              <w:spacing w:before="60" w:after="60"/>
              <w:rPr>
                <w:noProof/>
                <w:color w:val="000000" w:themeColor="text1"/>
                <w:sz w:val="22"/>
              </w:rPr>
            </w:pPr>
            <w:r>
              <w:rPr>
                <w:noProof/>
                <w:color w:val="000000" w:themeColor="text1"/>
                <w:sz w:val="22"/>
              </w:rPr>
              <w:t>«Dépenses administratives»</w:t>
            </w:r>
          </w:p>
        </w:tc>
      </w:tr>
    </w:tbl>
    <w:p>
      <w:pPr>
        <w:jc w:val="right"/>
        <w:rPr>
          <w:noProof/>
          <w:color w:val="000000" w:themeColor="text1"/>
          <w:sz w:val="20"/>
        </w:rPr>
      </w:pPr>
      <w:r>
        <w:rPr>
          <w:noProof/>
          <w:color w:val="000000" w:themeColor="text1"/>
          <w:sz w:val="20"/>
        </w:rPr>
        <w:t>En millions d’EUR (à la 3</w:t>
      </w:r>
      <w:r>
        <w:rPr>
          <w:noProof/>
          <w:color w:val="000000" w:themeColor="text1"/>
          <w:sz w:val="20"/>
          <w:vertAlign w:val="superscript"/>
        </w:rPr>
        <w:t>e</w:t>
      </w:r>
      <w:r>
        <w:rPr>
          <w:noProof/>
          <w:color w:val="000000" w:themeColor="text1"/>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w:t>
            </w: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 xml:space="preserve">Insérer autant d’années que nécessaire, pour refléter la durée de l’incidence (cf. point 1.6) </w:t>
            </w:r>
          </w:p>
        </w:tc>
        <w:tc>
          <w:tcPr>
            <w:tcW w:w="1777" w:type="dxa"/>
            <w:vAlign w:val="center"/>
          </w:tcPr>
          <w:p>
            <w:pPr>
              <w:jc w:val="center"/>
              <w:rPr>
                <w:b/>
                <w:noProof/>
                <w:color w:val="000000" w:themeColor="text1"/>
                <w:sz w:val="20"/>
              </w:rPr>
            </w:pPr>
            <w:r>
              <w:rPr>
                <w:b/>
                <w:noProof/>
                <w:color w:val="000000" w:themeColor="text1"/>
                <w:sz w:val="20"/>
              </w:rPr>
              <w:t>TOTAL</w:t>
            </w:r>
          </w:p>
        </w:tc>
      </w:tr>
      <w:tr>
        <w:trPr>
          <w:gridAfter w:val="10"/>
          <w:wAfter w:w="9947" w:type="dxa"/>
        </w:trPr>
        <w:tc>
          <w:tcPr>
            <w:tcW w:w="3960" w:type="dxa"/>
            <w:vAlign w:val="center"/>
          </w:tcPr>
          <w:p>
            <w:pPr>
              <w:spacing w:before="60" w:after="60"/>
              <w:jc w:val="center"/>
              <w:rPr>
                <w:noProof/>
                <w:color w:val="000000" w:themeColor="text1"/>
                <w:sz w:val="22"/>
              </w:rPr>
            </w:pPr>
            <w:r>
              <w:rPr>
                <w:noProof/>
                <w:color w:val="000000" w:themeColor="text1"/>
                <w:sz w:val="22"/>
              </w:rPr>
              <w:t>DG: EAC</w:t>
            </w:r>
          </w:p>
        </w:tc>
      </w:tr>
      <w:tr>
        <w:trPr>
          <w:trHeight w:val="313"/>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 xml:space="preserve"> Ressources humaines </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rPr>
          <w:trHeight w:val="351"/>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 xml:space="preserve"> Autres dépenses administratives </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c>
          <w:tcPr>
            <w:tcW w:w="3960" w:type="dxa"/>
            <w:vAlign w:val="center"/>
          </w:tcPr>
          <w:p>
            <w:pPr>
              <w:jc w:val="center"/>
              <w:rPr>
                <w:b/>
                <w:noProof/>
                <w:color w:val="000000" w:themeColor="text1"/>
                <w:sz w:val="22"/>
              </w:rPr>
            </w:pPr>
            <w:r>
              <w:rPr>
                <w:b/>
                <w:noProof/>
                <w:color w:val="000000" w:themeColor="text1"/>
                <w:sz w:val="22"/>
              </w:rPr>
              <w:t xml:space="preserve">TOTAL pour la DG </w:t>
            </w:r>
            <w:r>
              <w:rPr>
                <w:noProof/>
                <w:color w:val="000000" w:themeColor="text1"/>
                <w:sz w:val="22"/>
              </w:rPr>
              <w:t>EAC</w:t>
            </w:r>
          </w:p>
        </w:tc>
        <w:tc>
          <w:tcPr>
            <w:tcW w:w="2094" w:type="dxa"/>
            <w:gridSpan w:val="2"/>
            <w:vAlign w:val="center"/>
          </w:tcPr>
          <w:p>
            <w:pPr>
              <w:rPr>
                <w:noProof/>
                <w:color w:val="000000" w:themeColor="text1"/>
                <w:sz w:val="14"/>
              </w:rPr>
            </w:pPr>
            <w:r>
              <w:rPr>
                <w:noProof/>
                <w:color w:val="000000" w:themeColor="text1"/>
                <w:sz w:val="18"/>
              </w:rPr>
              <w:t xml:space="preserve">Crédits </w:t>
            </w:r>
          </w:p>
        </w:tc>
        <w:tc>
          <w:tcPr>
            <w:tcW w:w="868" w:type="dxa"/>
            <w:vAlign w:val="center"/>
          </w:tcPr>
          <w:p>
            <w:pPr>
              <w:spacing w:before="60" w:after="6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rPr>
          <w:noProof/>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color w:val="000000" w:themeColor="text1"/>
                <w:sz w:val="22"/>
              </w:rPr>
            </w:pPr>
            <w:r>
              <w:rPr>
                <w:b/>
                <w:noProof/>
                <w:color w:val="000000" w:themeColor="text1"/>
                <w:sz w:val="22"/>
              </w:rPr>
              <w:t>TOTAL des crédits</w:t>
            </w:r>
            <w:r>
              <w:rPr>
                <w:noProof/>
                <w:color w:val="000000" w:themeColor="text1"/>
                <w:sz w:val="22"/>
              </w:rPr>
              <w:br/>
            </w:r>
            <w:r>
              <w:rPr>
                <w:b/>
                <w:noProof/>
                <w:color w:val="000000" w:themeColor="text1"/>
                <w:sz w:val="22"/>
              </w:rPr>
              <w:t>pour la RUBRIQUE 5</w:t>
            </w:r>
            <w:r>
              <w:rPr>
                <w:noProof/>
                <w:color w:val="000000" w:themeColor="text1"/>
                <w:sz w:val="22"/>
              </w:rPr>
              <w:br/>
              <w:t>du cadre financier pluriannuel</w:t>
            </w:r>
            <w:r>
              <w:rPr>
                <w:b/>
                <w:noProof/>
                <w:color w:val="000000" w:themeColor="text1"/>
                <w:sz w:val="22"/>
              </w:rPr>
              <w:t xml:space="preserve"> </w:t>
            </w:r>
          </w:p>
        </w:tc>
        <w:tc>
          <w:tcPr>
            <w:tcW w:w="2094" w:type="dxa"/>
            <w:vAlign w:val="center"/>
          </w:tcPr>
          <w:p>
            <w:pPr>
              <w:spacing w:before="40" w:after="40"/>
              <w:rPr>
                <w:noProof/>
                <w:color w:val="000000" w:themeColor="text1"/>
                <w:sz w:val="22"/>
              </w:rPr>
            </w:pPr>
            <w:r>
              <w:rPr>
                <w:noProof/>
                <w:color w:val="000000" w:themeColor="text1"/>
                <w:sz w:val="18"/>
              </w:rPr>
              <w:t>(Total engagements = Total paiements)</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jc w:val="right"/>
        <w:rPr>
          <w:noProof/>
          <w:color w:val="000000" w:themeColor="text1"/>
          <w:sz w:val="20"/>
        </w:rPr>
      </w:pPr>
      <w:r>
        <w:rPr>
          <w:noProof/>
          <w:color w:val="000000" w:themeColor="text1"/>
          <w:sz w:val="20"/>
        </w:rPr>
        <w:t>En millions d’EUR (à la 3</w:t>
      </w:r>
      <w:r>
        <w:rPr>
          <w:noProof/>
          <w:color w:val="000000" w:themeColor="text1"/>
          <w:sz w:val="20"/>
          <w:vertAlign w:val="superscript"/>
        </w:rPr>
        <w:t>e</w:t>
      </w:r>
      <w:r>
        <w:rPr>
          <w:noProof/>
          <w:color w:val="000000" w:themeColor="text1"/>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19"/>
            </w: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Insérer autant d’années que nécessaire, pour refléter la durée de l’incidence (cf. point 1.6)</w:t>
            </w:r>
          </w:p>
        </w:tc>
        <w:tc>
          <w:tcPr>
            <w:tcW w:w="1777" w:type="dxa"/>
            <w:vAlign w:val="center"/>
          </w:tcPr>
          <w:p>
            <w:pPr>
              <w:jc w:val="center"/>
              <w:rPr>
                <w:b/>
                <w:noProof/>
                <w:color w:val="000000" w:themeColor="text1"/>
                <w:sz w:val="20"/>
              </w:rPr>
            </w:pPr>
            <w:r>
              <w:rPr>
                <w:b/>
                <w:noProof/>
                <w:color w:val="000000" w:themeColor="text1"/>
                <w:sz w:val="20"/>
              </w:rPr>
              <w:t>TOTAL</w:t>
            </w:r>
          </w:p>
        </w:tc>
      </w:tr>
      <w:tr>
        <w:tc>
          <w:tcPr>
            <w:tcW w:w="3960" w:type="dxa"/>
            <w:vMerge w:val="restart"/>
            <w:shd w:val="clear" w:color="auto" w:fill="C0C0C0"/>
            <w:vAlign w:val="center"/>
          </w:tcPr>
          <w:p>
            <w:pPr>
              <w:jc w:val="center"/>
              <w:rPr>
                <w:b/>
                <w:noProof/>
                <w:color w:val="000000" w:themeColor="text1"/>
                <w:sz w:val="22"/>
              </w:rPr>
            </w:pPr>
            <w:r>
              <w:rPr>
                <w:b/>
                <w:noProof/>
                <w:color w:val="000000" w:themeColor="text1"/>
                <w:sz w:val="22"/>
              </w:rPr>
              <w:t>TOTAL des crédits</w:t>
            </w:r>
            <w:r>
              <w:rPr>
                <w:noProof/>
                <w:color w:val="000000" w:themeColor="text1"/>
                <w:sz w:val="22"/>
              </w:rPr>
              <w:br/>
            </w:r>
            <w:r>
              <w:rPr>
                <w:b/>
                <w:noProof/>
                <w:color w:val="000000" w:themeColor="text1"/>
                <w:sz w:val="22"/>
              </w:rPr>
              <w:t>pour les RUBRIQUES 1 à 5*</w:t>
            </w:r>
            <w:r>
              <w:rPr>
                <w:noProof/>
                <w:color w:val="000000" w:themeColor="text1"/>
                <w:sz w:val="22"/>
              </w:rPr>
              <w:br/>
              <w:t>du cadre financier pluriannuel</w:t>
            </w:r>
            <w:r>
              <w:rPr>
                <w:b/>
                <w:noProof/>
                <w:color w:val="000000" w:themeColor="text1"/>
                <w:sz w:val="22"/>
              </w:rPr>
              <w:t xml:space="preserve"> </w:t>
            </w:r>
          </w:p>
        </w:tc>
        <w:tc>
          <w:tcPr>
            <w:tcW w:w="2094" w:type="dxa"/>
            <w:gridSpan w:val="2"/>
            <w:vAlign w:val="center"/>
          </w:tcPr>
          <w:p>
            <w:pPr>
              <w:rPr>
                <w:noProof/>
                <w:color w:val="000000" w:themeColor="text1"/>
                <w:sz w:val="14"/>
              </w:rPr>
            </w:pPr>
            <w:r>
              <w:rPr>
                <w:noProof/>
                <w:color w:val="000000" w:themeColor="text1"/>
                <w:sz w:val="18"/>
              </w:rPr>
              <w:t>Engagements</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r>
        <w:tc>
          <w:tcPr>
            <w:tcW w:w="3960" w:type="dxa"/>
            <w:vMerge/>
            <w:shd w:val="clear" w:color="auto" w:fill="C0C0C0"/>
          </w:tcPr>
          <w:p>
            <w:pPr>
              <w:rPr>
                <w:noProof/>
                <w:color w:val="000000" w:themeColor="text1"/>
                <w:sz w:val="20"/>
              </w:rPr>
            </w:pPr>
          </w:p>
        </w:tc>
        <w:tc>
          <w:tcPr>
            <w:tcW w:w="2094" w:type="dxa"/>
            <w:gridSpan w:val="2"/>
            <w:vAlign w:val="center"/>
          </w:tcPr>
          <w:p>
            <w:pPr>
              <w:rPr>
                <w:noProof/>
                <w:color w:val="000000" w:themeColor="text1"/>
                <w:sz w:val="14"/>
              </w:rPr>
            </w:pPr>
            <w:r>
              <w:rPr>
                <w:noProof/>
                <w:color w:val="000000" w:themeColor="text1"/>
                <w:sz w:val="18"/>
              </w:rPr>
              <w:t>Paiements</w:t>
            </w:r>
          </w:p>
        </w:tc>
        <w:tc>
          <w:tcPr>
            <w:tcW w:w="868" w:type="dxa"/>
            <w:vAlign w:val="center"/>
          </w:tcPr>
          <w:p>
            <w:pPr>
              <w:spacing w:before="60" w:after="60"/>
              <w:jc w:val="right"/>
              <w:rPr>
                <w:noProof/>
                <w:color w:val="000000" w:themeColor="text1"/>
                <w:sz w:val="20"/>
              </w:rPr>
            </w:pPr>
            <w:r>
              <w:rPr>
                <w:noProof/>
                <w:color w:val="000000" w:themeColor="text1"/>
                <w:sz w:val="20"/>
              </w:rPr>
              <w:t>0,480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0,120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bl>
    <w:p>
      <w:pPr>
        <w:rPr>
          <w:noProof/>
          <w:color w:val="000000" w:themeColor="text1"/>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r>
        <w:rPr>
          <w:noProof/>
          <w:color w:val="000000" w:themeColor="text1"/>
        </w:rPr>
        <w:t xml:space="preserve">* Rubrique 5: </w:t>
      </w:r>
      <w:r>
        <w:rPr>
          <w:noProof/>
          <w:color w:val="000000" w:themeColor="text1"/>
          <w:sz w:val="22"/>
        </w:rPr>
        <w:t>les coûts administratifs, y compris les ressources humaines, seront couverts par redéploiement interne au sein de la DG EAC.</w:t>
      </w:r>
      <w:r>
        <w:rPr>
          <w:noProof/>
        </w:rPr>
        <w:tab/>
      </w:r>
      <w:r>
        <w:rPr>
          <w:noProof/>
          <w:color w:val="000000" w:themeColor="text1"/>
          <w:sz w:val="22"/>
        </w:rPr>
        <w:br/>
      </w:r>
    </w:p>
    <w:p>
      <w:pPr>
        <w:pStyle w:val="ManualHeading3"/>
        <w:rPr>
          <w:bCs/>
          <w:noProof/>
          <w:szCs w:val="24"/>
        </w:rPr>
      </w:pPr>
      <w:r>
        <w:t>3.2.2.</w:t>
      </w:r>
      <w:r>
        <w:tab/>
      </w:r>
      <w:r>
        <w:rPr>
          <w:noProof/>
        </w:rPr>
        <w:t xml:space="preserve">Incidence estimée sur les crédits opérationnels </w:t>
      </w:r>
    </w:p>
    <w:p>
      <w:pPr>
        <w:pStyle w:val="ListDash1"/>
        <w:rPr>
          <w:noProof/>
          <w:color w:val="000000" w:themeColor="text1"/>
        </w:rPr>
      </w:pPr>
      <w:r>
        <w:rPr>
          <w:noProof/>
          <w:color w:val="000000" w:themeColor="text1"/>
        </w:rPr>
        <w:sym w:font="Wingdings" w:char="F0A8"/>
      </w:r>
      <w:r>
        <w:rPr>
          <w:noProof/>
        </w:rPr>
        <w:tab/>
      </w:r>
      <w:r>
        <w:rPr>
          <w:noProof/>
          <w:color w:val="000000" w:themeColor="text1"/>
        </w:rPr>
        <w:t xml:space="preserve">La proposition/l’initiative n’engendre pas l’utilisation de crédits opérationnels </w:t>
      </w:r>
    </w:p>
    <w:p>
      <w:pPr>
        <w:pStyle w:val="ListDash1"/>
        <w:rPr>
          <w:noProof/>
          <w:color w:val="000000" w:themeColor="text1"/>
        </w:rPr>
      </w:pPr>
      <w:r>
        <w:rPr>
          <w:noProof/>
          <w:color w:val="000000" w:themeColor="text1"/>
        </w:rPr>
        <w:t>X</w:t>
      </w:r>
      <w:r>
        <w:rPr>
          <w:noProof/>
        </w:rPr>
        <w:tab/>
      </w:r>
      <w:r>
        <w:rPr>
          <w:noProof/>
          <w:color w:val="000000" w:themeColor="text1"/>
        </w:rPr>
        <w:t>La proposition/l’initiative engendre l’utilisation de crédits opérationnels, comme expliqué ci-après:</w:t>
      </w:r>
    </w:p>
    <w:p>
      <w:pPr>
        <w:jc w:val="right"/>
        <w:rPr>
          <w:noProof/>
          <w:color w:val="000000" w:themeColor="text1"/>
          <w:sz w:val="20"/>
        </w:rPr>
      </w:pPr>
      <w:r>
        <w:rPr>
          <w:noProof/>
          <w:color w:val="000000" w:themeColor="text1"/>
          <w:sz w:val="20"/>
        </w:rPr>
        <w:t>Crédits d’engagement en millions d’EUR (à la 3</w:t>
      </w:r>
      <w:r>
        <w:rPr>
          <w:noProof/>
          <w:color w:val="000000" w:themeColor="text1"/>
          <w:sz w:val="20"/>
          <w:vertAlign w:val="superscript"/>
        </w:rPr>
        <w:t>e</w:t>
      </w:r>
      <w:r>
        <w:rPr>
          <w:noProof/>
          <w:color w:val="000000" w:themeColor="text1"/>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96"/>
        <w:gridCol w:w="771"/>
        <w:gridCol w:w="675"/>
        <w:gridCol w:w="592"/>
        <w:gridCol w:w="675"/>
        <w:gridCol w:w="592"/>
        <w:gridCol w:w="675"/>
        <w:gridCol w:w="592"/>
        <w:gridCol w:w="675"/>
        <w:gridCol w:w="567"/>
        <w:gridCol w:w="763"/>
        <w:gridCol w:w="641"/>
        <w:gridCol w:w="763"/>
        <w:gridCol w:w="641"/>
        <w:gridCol w:w="763"/>
        <w:gridCol w:w="641"/>
        <w:gridCol w:w="636"/>
        <w:gridCol w:w="648"/>
      </w:tblGrid>
      <w:tr>
        <w:trPr>
          <w:jc w:val="center"/>
        </w:trPr>
        <w:tc>
          <w:tcPr>
            <w:tcW w:w="0" w:type="auto"/>
            <w:vMerge w:val="restart"/>
            <w:vAlign w:val="center"/>
          </w:tcPr>
          <w:p>
            <w:pPr>
              <w:ind w:right="-29"/>
              <w:jc w:val="center"/>
              <w:rPr>
                <w:b/>
                <w:noProof/>
                <w:color w:val="000000" w:themeColor="text1"/>
                <w:sz w:val="18"/>
                <w:szCs w:val="18"/>
              </w:rPr>
            </w:pPr>
            <w:r>
              <w:rPr>
                <w:b/>
                <w:noProof/>
                <w:color w:val="000000" w:themeColor="text1"/>
                <w:sz w:val="18"/>
              </w:rPr>
              <w:t xml:space="preserve">Indiquer les objectifs et les réalisations </w:t>
            </w:r>
          </w:p>
          <w:p>
            <w:pPr>
              <w:ind w:right="-29"/>
              <w:jc w:val="center"/>
              <w:rPr>
                <w:b/>
                <w:noProof/>
                <w:color w:val="000000" w:themeColor="text1"/>
                <w:sz w:val="18"/>
                <w:szCs w:val="18"/>
              </w:rPr>
            </w:pPr>
          </w:p>
          <w:p>
            <w:pPr>
              <w:ind w:right="-29"/>
              <w:jc w:val="center"/>
              <w:rPr>
                <w:noProof/>
                <w:color w:val="000000" w:themeColor="text1"/>
                <w:sz w:val="18"/>
                <w:szCs w:val="18"/>
              </w:rPr>
            </w:pPr>
            <w:r>
              <w:rPr>
                <w:noProof/>
                <w:color w:val="000000" w:themeColor="text1"/>
                <w:sz w:val="18"/>
              </w:rPr>
              <w:sym w:font="Wingdings" w:char="F0F2"/>
            </w:r>
          </w:p>
        </w:tc>
        <w:tc>
          <w:tcPr>
            <w:tcW w:w="0" w:type="auto"/>
            <w:vAlign w:val="center"/>
          </w:tcPr>
          <w:p>
            <w:pPr>
              <w:ind w:right="-29"/>
              <w:jc w:val="center"/>
              <w:rPr>
                <w:noProof/>
                <w:color w:val="000000" w:themeColor="text1"/>
                <w:sz w:val="18"/>
                <w:szCs w:val="18"/>
              </w:rPr>
            </w:pPr>
          </w:p>
        </w:tc>
        <w:tc>
          <w:tcPr>
            <w:tcW w:w="0" w:type="auto"/>
            <w:vAlign w:val="center"/>
          </w:tcPr>
          <w:p>
            <w:pPr>
              <w:ind w:right="-29"/>
              <w:jc w:val="center"/>
              <w:rPr>
                <w:noProof/>
                <w:color w:val="000000" w:themeColor="text1"/>
                <w:sz w:val="18"/>
                <w:szCs w:val="18"/>
              </w:rPr>
            </w:pPr>
          </w:p>
        </w:tc>
        <w:tc>
          <w:tcPr>
            <w:tcW w:w="0" w:type="auto"/>
            <w:gridSpan w:val="2"/>
            <w:tcBorders>
              <w:left w:val="nil"/>
            </w:tcBorders>
            <w:vAlign w:val="center"/>
          </w:tcPr>
          <w:p>
            <w:pPr>
              <w:ind w:right="-29"/>
              <w:jc w:val="center"/>
              <w:rPr>
                <w:noProof/>
                <w:color w:val="000000" w:themeColor="text1"/>
                <w:sz w:val="18"/>
                <w:szCs w:val="18"/>
              </w:rPr>
            </w:pPr>
            <w:r>
              <w:rPr>
                <w:noProof/>
                <w:color w:val="000000" w:themeColor="text1"/>
                <w:sz w:val="18"/>
              </w:rPr>
              <w:t>Année</w:t>
            </w:r>
            <w:r>
              <w:rPr>
                <w:noProof/>
                <w:color w:val="000000" w:themeColor="text1"/>
                <w:sz w:val="22"/>
              </w:rPr>
              <w:br/>
            </w:r>
            <w:r>
              <w:rPr>
                <w:b/>
                <w:noProof/>
                <w:color w:val="000000" w:themeColor="text1"/>
                <w:sz w:val="18"/>
              </w:rPr>
              <w:t>N</w:t>
            </w:r>
          </w:p>
        </w:tc>
        <w:tc>
          <w:tcPr>
            <w:tcW w:w="0" w:type="auto"/>
            <w:gridSpan w:val="2"/>
            <w:vAlign w:val="center"/>
          </w:tcPr>
          <w:p>
            <w:pPr>
              <w:ind w:right="-29"/>
              <w:jc w:val="center"/>
              <w:rPr>
                <w:noProof/>
                <w:color w:val="000000" w:themeColor="text1"/>
                <w:sz w:val="18"/>
                <w:szCs w:val="18"/>
              </w:rPr>
            </w:pPr>
            <w:r>
              <w:rPr>
                <w:noProof/>
                <w:color w:val="000000" w:themeColor="text1"/>
                <w:sz w:val="18"/>
              </w:rPr>
              <w:t>Année</w:t>
            </w:r>
            <w:r>
              <w:rPr>
                <w:noProof/>
                <w:color w:val="000000" w:themeColor="text1"/>
                <w:sz w:val="22"/>
              </w:rPr>
              <w:br/>
            </w:r>
            <w:r>
              <w:rPr>
                <w:b/>
                <w:noProof/>
                <w:color w:val="000000" w:themeColor="text1"/>
                <w:sz w:val="18"/>
              </w:rPr>
              <w:t>N+1</w:t>
            </w:r>
          </w:p>
        </w:tc>
        <w:tc>
          <w:tcPr>
            <w:tcW w:w="0" w:type="auto"/>
            <w:gridSpan w:val="2"/>
            <w:vAlign w:val="center"/>
          </w:tcPr>
          <w:p>
            <w:pPr>
              <w:ind w:right="-29"/>
              <w:jc w:val="center"/>
              <w:rPr>
                <w:noProof/>
                <w:color w:val="000000" w:themeColor="text1"/>
                <w:sz w:val="18"/>
                <w:szCs w:val="18"/>
              </w:rPr>
            </w:pPr>
            <w:r>
              <w:rPr>
                <w:noProof/>
                <w:color w:val="000000" w:themeColor="text1"/>
                <w:sz w:val="18"/>
              </w:rPr>
              <w:t>Année</w:t>
            </w:r>
            <w:r>
              <w:rPr>
                <w:noProof/>
                <w:color w:val="000000" w:themeColor="text1"/>
                <w:sz w:val="22"/>
              </w:rPr>
              <w:br/>
            </w:r>
            <w:r>
              <w:rPr>
                <w:b/>
                <w:noProof/>
                <w:color w:val="000000" w:themeColor="text1"/>
                <w:sz w:val="18"/>
              </w:rPr>
              <w:t>N+2</w:t>
            </w:r>
          </w:p>
        </w:tc>
        <w:tc>
          <w:tcPr>
            <w:tcW w:w="0" w:type="auto"/>
            <w:gridSpan w:val="2"/>
            <w:vAlign w:val="center"/>
          </w:tcPr>
          <w:p>
            <w:pPr>
              <w:ind w:right="-29"/>
              <w:jc w:val="center"/>
              <w:rPr>
                <w:noProof/>
                <w:color w:val="000000" w:themeColor="text1"/>
                <w:sz w:val="18"/>
                <w:szCs w:val="18"/>
              </w:rPr>
            </w:pPr>
            <w:r>
              <w:rPr>
                <w:noProof/>
                <w:color w:val="000000" w:themeColor="text1"/>
                <w:sz w:val="18"/>
              </w:rPr>
              <w:t>Année</w:t>
            </w:r>
            <w:r>
              <w:rPr>
                <w:noProof/>
                <w:color w:val="000000" w:themeColor="text1"/>
                <w:sz w:val="22"/>
              </w:rPr>
              <w:br/>
            </w:r>
            <w:r>
              <w:rPr>
                <w:b/>
                <w:noProof/>
                <w:color w:val="000000" w:themeColor="text1"/>
                <w:sz w:val="18"/>
              </w:rPr>
              <w:t>N+3</w:t>
            </w:r>
          </w:p>
        </w:tc>
        <w:tc>
          <w:tcPr>
            <w:tcW w:w="0" w:type="auto"/>
            <w:gridSpan w:val="6"/>
            <w:vAlign w:val="center"/>
          </w:tcPr>
          <w:p>
            <w:pPr>
              <w:jc w:val="center"/>
              <w:rPr>
                <w:noProof/>
                <w:color w:val="000000" w:themeColor="text1"/>
                <w:sz w:val="18"/>
                <w:szCs w:val="18"/>
              </w:rPr>
            </w:pPr>
            <w:r>
              <w:rPr>
                <w:noProof/>
                <w:color w:val="000000" w:themeColor="text1"/>
                <w:sz w:val="18"/>
              </w:rPr>
              <w:t>Insérer autant d’années que nécessaire, pour refléter la durée de l’incidence (cf. point 1.6)</w:t>
            </w:r>
          </w:p>
        </w:tc>
        <w:tc>
          <w:tcPr>
            <w:tcW w:w="0" w:type="auto"/>
            <w:gridSpan w:val="2"/>
            <w:tcBorders>
              <w:left w:val="nil"/>
              <w:bottom w:val="nil"/>
            </w:tcBorders>
            <w:vAlign w:val="center"/>
          </w:tcPr>
          <w:p>
            <w:pPr>
              <w:ind w:right="-29"/>
              <w:jc w:val="center"/>
              <w:rPr>
                <w:noProof/>
                <w:color w:val="000000" w:themeColor="text1"/>
                <w:sz w:val="18"/>
                <w:szCs w:val="18"/>
              </w:rPr>
            </w:pPr>
            <w:r>
              <w:rPr>
                <w:b/>
                <w:noProof/>
                <w:color w:val="000000" w:themeColor="text1"/>
                <w:sz w:val="18"/>
              </w:rPr>
              <w:t>TOTAL</w:t>
            </w:r>
          </w:p>
        </w:tc>
      </w:tr>
      <w:tr>
        <w:trPr>
          <w:jc w:val="center"/>
        </w:trPr>
        <w:tc>
          <w:tcPr>
            <w:tcW w:w="0" w:type="auto"/>
            <w:vMerge/>
            <w:vAlign w:val="center"/>
          </w:tcPr>
          <w:p>
            <w:pPr>
              <w:ind w:right="-29"/>
              <w:jc w:val="center"/>
              <w:rPr>
                <w:noProof/>
                <w:color w:val="000000" w:themeColor="text1"/>
                <w:sz w:val="18"/>
                <w:szCs w:val="18"/>
              </w:rPr>
            </w:pPr>
          </w:p>
        </w:tc>
        <w:tc>
          <w:tcPr>
            <w:tcW w:w="0" w:type="auto"/>
            <w:gridSpan w:val="18"/>
            <w:vAlign w:val="center"/>
          </w:tcPr>
          <w:p>
            <w:pPr>
              <w:spacing w:before="60" w:after="60"/>
              <w:ind w:right="-29"/>
              <w:jc w:val="center"/>
              <w:rPr>
                <w:noProof/>
                <w:color w:val="000000" w:themeColor="text1"/>
                <w:sz w:val="18"/>
                <w:szCs w:val="18"/>
              </w:rPr>
            </w:pPr>
            <w:r>
              <w:rPr>
                <w:b/>
                <w:noProof/>
                <w:color w:val="000000" w:themeColor="text1"/>
                <w:sz w:val="18"/>
              </w:rPr>
              <w:t>RÉALISATIONS (outputs)</w:t>
            </w:r>
          </w:p>
        </w:tc>
      </w:tr>
      <w:tr>
        <w:trPr>
          <w:cantSplit/>
          <w:trHeight w:val="1134"/>
          <w:jc w:val="center"/>
        </w:trPr>
        <w:tc>
          <w:tcPr>
            <w:tcW w:w="0" w:type="auto"/>
            <w:vMerge/>
            <w:vAlign w:val="center"/>
          </w:tcPr>
          <w:p>
            <w:pPr>
              <w:rPr>
                <w:noProof/>
                <w:color w:val="000000" w:themeColor="text1"/>
                <w:sz w:val="18"/>
                <w:szCs w:val="18"/>
              </w:rPr>
            </w:pPr>
          </w:p>
        </w:tc>
        <w:tc>
          <w:tcPr>
            <w:tcW w:w="0" w:type="auto"/>
            <w:vAlign w:val="center"/>
          </w:tcPr>
          <w:p>
            <w:pPr>
              <w:jc w:val="center"/>
              <w:rPr>
                <w:noProof/>
                <w:color w:val="000000" w:themeColor="text1"/>
                <w:sz w:val="18"/>
                <w:szCs w:val="18"/>
              </w:rPr>
            </w:pPr>
            <w:r>
              <w:rPr>
                <w:noProof/>
                <w:color w:val="000000" w:themeColor="text1"/>
                <w:sz w:val="18"/>
              </w:rPr>
              <w:t>Type</w:t>
            </w:r>
            <w:r>
              <w:rPr>
                <w:rStyle w:val="FootnoteReference"/>
                <w:noProof/>
                <w:color w:val="000000" w:themeColor="text1"/>
                <w:sz w:val="18"/>
              </w:rPr>
              <w:footnoteReference w:id="20"/>
            </w:r>
          </w:p>
        </w:tc>
        <w:tc>
          <w:tcPr>
            <w:tcW w:w="0" w:type="auto"/>
            <w:vAlign w:val="center"/>
          </w:tcPr>
          <w:p>
            <w:pPr>
              <w:jc w:val="center"/>
              <w:rPr>
                <w:noProof/>
                <w:color w:val="000000" w:themeColor="text1"/>
                <w:sz w:val="18"/>
                <w:szCs w:val="18"/>
              </w:rPr>
            </w:pPr>
            <w:r>
              <w:rPr>
                <w:noProof/>
                <w:color w:val="000000" w:themeColor="text1"/>
                <w:sz w:val="18"/>
              </w:rPr>
              <w:t>Coût moyen</w:t>
            </w:r>
          </w:p>
        </w:tc>
        <w:tc>
          <w:tcPr>
            <w:tcW w:w="0" w:type="auto"/>
            <w:tcBorders>
              <w:left w:val="nil"/>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Coût</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Coût</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Coût</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Coût</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Coût</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Coût</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Non</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Coût</w:t>
            </w:r>
          </w:p>
        </w:tc>
        <w:tc>
          <w:tcPr>
            <w:tcW w:w="0" w:type="auto"/>
            <w:tcBorders>
              <w:righ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Nbre total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Coût total</w:t>
            </w:r>
          </w:p>
        </w:tc>
      </w:tr>
      <w:tr>
        <w:trPr>
          <w:jc w:val="center"/>
        </w:trPr>
        <w:tc>
          <w:tcPr>
            <w:tcW w:w="0" w:type="auto"/>
            <w:gridSpan w:val="3"/>
            <w:vAlign w:val="center"/>
          </w:tcPr>
          <w:p>
            <w:pPr>
              <w:spacing w:before="60" w:after="60"/>
              <w:ind w:right="-29"/>
              <w:jc w:val="center"/>
              <w:rPr>
                <w:noProof/>
                <w:color w:val="000000" w:themeColor="text1"/>
                <w:sz w:val="18"/>
                <w:szCs w:val="18"/>
              </w:rPr>
            </w:pPr>
            <w:r>
              <w:rPr>
                <w:noProof/>
                <w:color w:val="000000"/>
                <w:sz w:val="18"/>
              </w:rPr>
              <w:t>OBJECTIFS SPÉCIFIQUES (a) à (d)</w:t>
            </w:r>
            <w:r>
              <w:rPr>
                <w:rStyle w:val="FootnoteReference"/>
                <w:noProof/>
                <w:color w:val="000000"/>
                <w:sz w:val="18"/>
              </w:rPr>
              <w:footnoteReference w:id="21"/>
            </w:r>
            <w:r>
              <w:rPr>
                <w:noProof/>
                <w:color w:val="000000"/>
                <w:sz w:val="18"/>
              </w:rPr>
              <w:t>…</w:t>
            </w: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r>
      <w:tr>
        <w:trPr>
          <w:trHeight w:hRule="exact" w:val="904"/>
          <w:jc w:val="center"/>
        </w:trPr>
        <w:tc>
          <w:tcPr>
            <w:tcW w:w="0" w:type="auto"/>
          </w:tcPr>
          <w:p>
            <w:pPr>
              <w:ind w:right="-29"/>
              <w:jc w:val="center"/>
              <w:rPr>
                <w:noProof/>
                <w:color w:val="000000" w:themeColor="text1"/>
                <w:sz w:val="18"/>
                <w:szCs w:val="18"/>
              </w:rPr>
            </w:pPr>
            <w:r>
              <w:rPr>
                <w:noProof/>
                <w:color w:val="000000" w:themeColor="text1"/>
                <w:sz w:val="18"/>
              </w:rPr>
              <w:t>- Réalisation</w:t>
            </w:r>
          </w:p>
        </w:tc>
        <w:tc>
          <w:tcPr>
            <w:tcW w:w="0" w:type="auto"/>
          </w:tcPr>
          <w:p>
            <w:pPr>
              <w:ind w:right="-29"/>
              <w:jc w:val="center"/>
              <w:rPr>
                <w:noProof/>
                <w:color w:val="000000" w:themeColor="text1"/>
                <w:sz w:val="18"/>
                <w:szCs w:val="18"/>
              </w:rPr>
            </w:pPr>
            <w:r>
              <w:rPr>
                <w:noProof/>
                <w:color w:val="000000" w:themeColor="text1"/>
                <w:sz w:val="18"/>
              </w:rPr>
              <w:t>Subvention de fonctionnement</w:t>
            </w:r>
          </w:p>
        </w:tc>
        <w:tc>
          <w:tcPr>
            <w:tcW w:w="0" w:type="auto"/>
          </w:tcPr>
          <w:p>
            <w:pPr>
              <w:ind w:right="-29"/>
              <w:jc w:val="center"/>
              <w:rPr>
                <w:noProof/>
                <w:color w:val="000000" w:themeColor="text1"/>
                <w:sz w:val="18"/>
                <w:szCs w:val="18"/>
              </w:rPr>
            </w:pPr>
            <w:r>
              <w:rPr>
                <w:noProof/>
                <w:color w:val="000000" w:themeColor="text1"/>
                <w:sz w:val="18"/>
              </w:rPr>
              <w:t>0,6</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r>
              <w:rPr>
                <w:noProof/>
                <w:color w:val="000000" w:themeColor="text1"/>
                <w:sz w:val="18"/>
              </w:rPr>
              <w:t>1,800</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color w:val="000000" w:themeColor="text1"/>
                <w:sz w:val="18"/>
                <w:szCs w:val="18"/>
              </w:rPr>
            </w:pPr>
            <w:r>
              <w:rPr>
                <w:b/>
                <w:noProof/>
                <w:color w:val="000000" w:themeColor="text1"/>
                <w:sz w:val="18"/>
              </w:rPr>
              <w:t>COÛT TOTAL</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color w:val="000000" w:themeColor="text1"/>
                <w:sz w:val="18"/>
                <w:szCs w:val="18"/>
              </w:rPr>
            </w:pPr>
            <w:r>
              <w:rPr>
                <w:noProof/>
                <w:color w:val="000000" w:themeColor="text1"/>
                <w:sz w:val="18"/>
              </w:rPr>
              <w:t>1,800</w:t>
            </w:r>
          </w:p>
        </w:tc>
      </w:tr>
    </w:tbl>
    <w:p>
      <w:pPr>
        <w:rPr>
          <w:b/>
          <w:noProof/>
          <w:color w:val="000000" w:themeColor="text1"/>
        </w:rPr>
      </w:pPr>
    </w:p>
    <w:p>
      <w:pPr>
        <w:rPr>
          <w:b/>
          <w:noProof/>
          <w:color w:val="000000" w:themeColor="text1"/>
        </w:rPr>
      </w:pPr>
      <w:r>
        <w:rPr>
          <w:b/>
          <w:noProof/>
          <w:color w:val="000000" w:themeColor="text1"/>
        </w:rPr>
        <w:t>Résultats</w:t>
      </w:r>
    </w:p>
    <w:p>
      <w:pPr>
        <w:jc w:val="left"/>
        <w:rPr>
          <w:noProof/>
          <w:color w:val="000000" w:themeColor="text1"/>
        </w:rPr>
      </w:pPr>
      <w:r>
        <w:rPr>
          <w:noProof/>
          <w:color w:val="000000" w:themeColor="text1"/>
        </w:rPr>
        <w:t>Subvention de fonctionnement pour l’EUYO</w:t>
      </w:r>
    </w:p>
    <w:p>
      <w:pPr>
        <w:jc w:val="left"/>
        <w:rPr>
          <w:noProof/>
          <w:color w:val="000000" w:themeColor="text1"/>
        </w:rPr>
      </w:pPr>
    </w:p>
    <w:p>
      <w:pPr>
        <w:jc w:val="left"/>
        <w:rPr>
          <w:b/>
          <w:noProof/>
          <w:color w:val="000000" w:themeColor="text1"/>
        </w:rPr>
      </w:pPr>
      <w:r>
        <w:rPr>
          <w:b/>
          <w:noProof/>
          <w:color w:val="000000" w:themeColor="text1"/>
        </w:rPr>
        <w:t>Structure des coûts</w:t>
      </w:r>
    </w:p>
    <w:p>
      <w:pPr>
        <w:rPr>
          <w:noProof/>
          <w:color w:val="000000" w:themeColor="text1"/>
        </w:rPr>
      </w:pPr>
      <w:r>
        <w:rPr>
          <w:noProof/>
          <w:color w:val="000000" w:themeColor="text1"/>
        </w:rPr>
        <w:t>Compte tenu de l’expérience antérieure relative au financement de l’EUYO à l’échelle de l’Union, notamment dans le cadre du programme «Europe créative», le montant approprié de la subvention de fonctionnement s’élèverait à 600 000 EUR.</w:t>
      </w:r>
    </w:p>
    <w:p>
      <w:pPr>
        <w:rPr>
          <w:noProof/>
          <w:color w:val="000000" w:themeColor="text1"/>
        </w:rPr>
        <w:sectPr>
          <w:pgSz w:w="16840" w:h="11907" w:orient="landscape" w:code="9"/>
          <w:pgMar w:top="1134" w:right="1418" w:bottom="567" w:left="1418" w:header="709" w:footer="709" w:gutter="0"/>
          <w:cols w:space="708"/>
          <w:docGrid w:linePitch="360"/>
        </w:sectPr>
      </w:pPr>
    </w:p>
    <w:p>
      <w:pPr>
        <w:rPr>
          <w:noProof/>
          <w:color w:val="000000" w:themeColor="text1"/>
        </w:rPr>
      </w:pPr>
    </w:p>
    <w:p>
      <w:pPr>
        <w:pStyle w:val="ManualHeading3"/>
        <w:rPr>
          <w:bCs/>
          <w:noProof/>
          <w:szCs w:val="24"/>
        </w:rPr>
      </w:pPr>
      <w:r>
        <w:t>3.2.3.</w:t>
      </w:r>
      <w:r>
        <w:tab/>
      </w:r>
      <w:r>
        <w:rPr>
          <w:noProof/>
        </w:rPr>
        <w:t>Incidence estimée sur les crédits de nature administrative</w:t>
      </w:r>
    </w:p>
    <w:p>
      <w:pPr>
        <w:pStyle w:val="ManualHeading4"/>
        <w:rPr>
          <w:noProof/>
        </w:rPr>
      </w:pPr>
      <w:r>
        <w:t>3.2.3.1.</w:t>
      </w:r>
      <w:r>
        <w:tab/>
      </w:r>
      <w:r>
        <w:rPr>
          <w:noProof/>
        </w:rPr>
        <w:t xml:space="preserve">Synthèse </w:t>
      </w:r>
    </w:p>
    <w:p>
      <w:pPr>
        <w:pStyle w:val="ListDash1"/>
        <w:rPr>
          <w:noProof/>
          <w:color w:val="000000" w:themeColor="text1"/>
        </w:rPr>
      </w:pPr>
      <w:r>
        <w:rPr>
          <w:noProof/>
          <w:color w:val="000000" w:themeColor="text1"/>
        </w:rPr>
        <w:sym w:font="Wingdings" w:char="F0A8"/>
      </w:r>
      <w:r>
        <w:rPr>
          <w:noProof/>
        </w:rPr>
        <w:tab/>
      </w:r>
      <w:r>
        <w:rPr>
          <w:noProof/>
          <w:color w:val="000000" w:themeColor="text1"/>
        </w:rPr>
        <w:t xml:space="preserve">La proposition/l’initiative n’engendre pas l’utilisation de crédits de nature administrative. </w:t>
      </w:r>
    </w:p>
    <w:p>
      <w:pPr>
        <w:pStyle w:val="ListDash1"/>
        <w:rPr>
          <w:noProof/>
          <w:color w:val="000000" w:themeColor="text1"/>
        </w:rPr>
      </w:pPr>
      <w:r>
        <w:rPr>
          <w:noProof/>
          <w:color w:val="000000" w:themeColor="text1"/>
        </w:rPr>
        <w:t>X</w:t>
      </w:r>
      <w:r>
        <w:rPr>
          <w:noProof/>
        </w:rPr>
        <w:tab/>
      </w:r>
      <w:r>
        <w:rPr>
          <w:noProof/>
          <w:color w:val="000000" w:themeColor="text1"/>
        </w:rPr>
        <w:t>La proposition/l’initiative engendre l’utilisation de crédits de nature administrative, comme expliqué ci-après:</w:t>
      </w:r>
    </w:p>
    <w:p>
      <w:pPr>
        <w:rPr>
          <w:noProof/>
          <w:color w:val="000000" w:themeColor="text1"/>
          <w:sz w:val="20"/>
        </w:rPr>
      </w:pPr>
      <w:r>
        <w:rPr>
          <w:noProof/>
          <w:color w:val="000000" w:themeColor="text1"/>
          <w:sz w:val="20"/>
        </w:rPr>
        <w:t>En millions d’EUR (à la 3</w:t>
      </w:r>
      <w:r>
        <w:rPr>
          <w:noProof/>
          <w:color w:val="000000" w:themeColor="text1"/>
          <w:sz w:val="20"/>
          <w:vertAlign w:val="superscript"/>
        </w:rPr>
        <w:t>e</w:t>
      </w:r>
      <w:r>
        <w:rPr>
          <w:noProof/>
          <w:color w:val="000000" w:themeColor="text1"/>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color w:val="000000" w:themeColor="text1"/>
                <w:sz w:val="16"/>
                <w:szCs w:val="16"/>
              </w:rPr>
            </w:pP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Année</w:t>
            </w:r>
            <w:r>
              <w:rPr>
                <w:noProof/>
                <w:color w:val="000000" w:themeColor="text1"/>
                <w:sz w:val="22"/>
              </w:rPr>
              <w:br/>
            </w:r>
            <w:r>
              <w:rPr>
                <w:b/>
                <w:noProof/>
                <w:color w:val="000000" w:themeColor="text1"/>
                <w:sz w:val="16"/>
              </w:rPr>
              <w:t xml:space="preserve">N </w:t>
            </w:r>
            <w:r>
              <w:rPr>
                <w:rStyle w:val="FootnoteReference"/>
                <w:b/>
                <w:noProof/>
                <w:color w:val="000000" w:themeColor="text1"/>
                <w:sz w:val="16"/>
              </w:rPr>
              <w:footnoteReference w:id="22"/>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Année</w:t>
            </w:r>
            <w:r>
              <w:rPr>
                <w:noProof/>
                <w:color w:val="000000" w:themeColor="text1"/>
                <w:sz w:val="22"/>
              </w:rPr>
              <w:br/>
            </w:r>
            <w:r>
              <w:rPr>
                <w:b/>
                <w:noProof/>
                <w:color w:val="000000" w:themeColor="text1"/>
                <w:sz w:val="16"/>
              </w:rPr>
              <w:t>N+1</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Année</w:t>
            </w:r>
            <w:r>
              <w:rPr>
                <w:noProof/>
                <w:color w:val="000000" w:themeColor="text1"/>
                <w:sz w:val="22"/>
              </w:rPr>
              <w:br/>
            </w:r>
            <w:r>
              <w:rPr>
                <w:b/>
                <w:noProof/>
                <w:color w:val="000000" w:themeColor="text1"/>
                <w:sz w:val="16"/>
              </w:rPr>
              <w:t>N+2</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Année</w:t>
            </w:r>
            <w:r>
              <w:rPr>
                <w:noProof/>
                <w:color w:val="000000" w:themeColor="text1"/>
                <w:sz w:val="22"/>
              </w:rPr>
              <w:br/>
            </w:r>
            <w:r>
              <w:rPr>
                <w:b/>
                <w:noProof/>
                <w:color w:val="000000" w:themeColor="text1"/>
                <w:sz w:val="16"/>
              </w:rPr>
              <w:t>N+3</w:t>
            </w:r>
          </w:p>
        </w:tc>
        <w:tc>
          <w:tcPr>
            <w:tcW w:w="3240" w:type="dxa"/>
            <w:vAlign w:val="center"/>
          </w:tcPr>
          <w:p>
            <w:pPr>
              <w:spacing w:line="200" w:lineRule="exact"/>
              <w:jc w:val="center"/>
              <w:rPr>
                <w:b/>
                <w:noProof/>
                <w:color w:val="000000" w:themeColor="text1"/>
                <w:sz w:val="16"/>
                <w:szCs w:val="16"/>
              </w:rPr>
            </w:pPr>
            <w:r>
              <w:rPr>
                <w:noProof/>
                <w:color w:val="000000" w:themeColor="text1"/>
                <w:sz w:val="16"/>
              </w:rPr>
              <w:t>Insérer autant d’années que nécessaire, pour refléter la durée de l’incidence (cf. point 1.6)</w:t>
            </w:r>
          </w:p>
        </w:tc>
        <w:tc>
          <w:tcPr>
            <w:tcW w:w="1080" w:type="dxa"/>
            <w:vAlign w:val="center"/>
          </w:tcPr>
          <w:p>
            <w:pPr>
              <w:spacing w:before="60" w:after="60" w:line="200" w:lineRule="exact"/>
              <w:jc w:val="center"/>
              <w:rPr>
                <w:b/>
                <w:noProof/>
                <w:color w:val="000000" w:themeColor="text1"/>
                <w:sz w:val="16"/>
                <w:szCs w:val="16"/>
              </w:rPr>
            </w:pPr>
            <w:r>
              <w:rPr>
                <w:b/>
                <w:noProof/>
                <w:color w:val="000000" w:themeColor="text1"/>
                <w:sz w:val="16"/>
              </w:rPr>
              <w:t>TOTAL</w:t>
            </w: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RUBRIQUE 5</w:t>
            </w:r>
            <w:r>
              <w:rPr>
                <w:noProof/>
                <w:color w:val="000000" w:themeColor="text1"/>
                <w:sz w:val="22"/>
              </w:rPr>
              <w:br/>
            </w:r>
            <w:r>
              <w:rPr>
                <w:b/>
                <w:noProof/>
                <w:color w:val="000000" w:themeColor="text1"/>
                <w:sz w:val="16"/>
              </w:rPr>
              <w:t>du cadre financier pluriannuel</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Ressources humaines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Autres dépenses administratives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Sous-total RUBRIQUE 5</w:t>
            </w:r>
            <w:r>
              <w:rPr>
                <w:noProof/>
                <w:color w:val="000000" w:themeColor="text1"/>
                <w:sz w:val="22"/>
              </w:rPr>
              <w:br/>
            </w:r>
            <w:r>
              <w:rPr>
                <w:b/>
                <w:noProof/>
                <w:color w:val="000000" w:themeColor="text1"/>
                <w:sz w:val="16"/>
              </w:rPr>
              <w:t xml:space="preserve">du cadre financier pluriannuel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color w:val="000000" w:themeColor="text1"/>
                <w:sz w:val="16"/>
                <w:szCs w:val="16"/>
              </w:rPr>
            </w:pPr>
            <w:r>
              <w:rPr>
                <w:b/>
                <w:noProof/>
                <w:color w:val="000000" w:themeColor="text1"/>
                <w:sz w:val="16"/>
              </w:rPr>
              <w:t>hors RUBRIQUE 5</w:t>
            </w:r>
            <w:r>
              <w:rPr>
                <w:rStyle w:val="FootnoteReference"/>
                <w:b/>
                <w:noProof/>
                <w:color w:val="000000" w:themeColor="text1"/>
                <w:sz w:val="16"/>
              </w:rPr>
              <w:footnoteReference w:id="23"/>
            </w:r>
            <w:r>
              <w:rPr>
                <w:noProof/>
                <w:color w:val="000000" w:themeColor="text1"/>
                <w:sz w:val="22"/>
              </w:rPr>
              <w:br/>
            </w:r>
            <w:r>
              <w:rPr>
                <w:b/>
                <w:noProof/>
                <w:color w:val="000000" w:themeColor="text1"/>
                <w:sz w:val="16"/>
              </w:rPr>
              <w:t xml:space="preserve">du cadre financier pluriannuel </w:t>
            </w:r>
          </w:p>
          <w:p>
            <w:pPr>
              <w:spacing w:before="0" w:after="0" w:line="200" w:lineRule="exact"/>
              <w:jc w:val="center"/>
              <w:rPr>
                <w:b/>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Ressources humaines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Autres dépenses </w:t>
            </w:r>
            <w:r>
              <w:rPr>
                <w:noProof/>
                <w:color w:val="000000" w:themeColor="text1"/>
                <w:sz w:val="22"/>
              </w:rPr>
              <w:br/>
            </w:r>
            <w:r>
              <w:rPr>
                <w:noProof/>
                <w:color w:val="000000" w:themeColor="text1"/>
                <w:sz w:val="16"/>
              </w:rPr>
              <w:t>de nature administrative</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 xml:space="preserve">Sous-total </w:t>
            </w:r>
            <w:r>
              <w:rPr>
                <w:noProof/>
                <w:color w:val="000000" w:themeColor="text1"/>
                <w:sz w:val="22"/>
              </w:rPr>
              <w:br/>
            </w:r>
            <w:r>
              <w:rPr>
                <w:b/>
                <w:noProof/>
                <w:color w:val="000000" w:themeColor="text1"/>
                <w:sz w:val="16"/>
              </w:rPr>
              <w:t>hors RUBRIQUE 5</w:t>
            </w:r>
            <w:r>
              <w:rPr>
                <w:noProof/>
                <w:color w:val="000000" w:themeColor="text1"/>
                <w:sz w:val="22"/>
              </w:rPr>
              <w:br/>
            </w:r>
            <w:r>
              <w:rPr>
                <w:b/>
                <w:noProof/>
                <w:color w:val="000000" w:themeColor="text1"/>
                <w:sz w:val="16"/>
              </w:rPr>
              <w:t xml:space="preserve">du cadre financier pluriannuel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color w:val="000000" w:themeColor="text1"/>
                <w:sz w:val="16"/>
                <w:szCs w:val="16"/>
              </w:rPr>
            </w:pPr>
            <w:r>
              <w:rPr>
                <w:b/>
                <w:noProof/>
                <w:color w:val="000000" w:themeColor="text1"/>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color w:val="000000" w:themeColor="text1"/>
                <w:sz w:val="16"/>
                <w:szCs w:val="16"/>
              </w:rPr>
            </w:pPr>
          </w:p>
        </w:tc>
      </w:tr>
    </w:tbl>
    <w:p>
      <w:pPr>
        <w:rPr>
          <w:noProof/>
          <w:color w:val="000000" w:themeColor="text1"/>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color w:val="000000" w:themeColor="text1"/>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à la lumière des contraintes budgétaires existantes.</w:t>
      </w:r>
      <w:r>
        <w:rPr>
          <w:noProof/>
        </w:rPr>
        <w:tab/>
      </w:r>
      <w:r>
        <w:rPr>
          <w:noProof/>
          <w:color w:val="000000" w:themeColor="text1"/>
          <w:sz w:val="18"/>
        </w:rPr>
        <w:br/>
      </w:r>
    </w:p>
    <w:p>
      <w:pPr>
        <w:pStyle w:val="ManualHeading4"/>
        <w:rPr>
          <w:bCs/>
          <w:noProof/>
          <w:szCs w:val="24"/>
        </w:rPr>
      </w:pPr>
      <w:r>
        <w:t>3.2.3.2.</w:t>
      </w:r>
      <w:r>
        <w:tab/>
      </w:r>
      <w:r>
        <w:rPr>
          <w:noProof/>
        </w:rPr>
        <w:t>Besoins estimés en ressources humaines</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proposition/l’initiative n’engendre pas l’utilisation de ressources humaines.</w:t>
      </w:r>
    </w:p>
    <w:p>
      <w:pPr>
        <w:pStyle w:val="ListDash1"/>
        <w:rPr>
          <w:noProof/>
          <w:color w:val="000000" w:themeColor="text1"/>
        </w:rPr>
      </w:pPr>
      <w:r>
        <w:rPr>
          <w:noProof/>
          <w:color w:val="000000" w:themeColor="text1"/>
        </w:rPr>
        <w:t>X</w:t>
      </w:r>
      <w:r>
        <w:rPr>
          <w:noProof/>
        </w:rPr>
        <w:tab/>
      </w:r>
      <w:r>
        <w:rPr>
          <w:noProof/>
          <w:color w:val="000000" w:themeColor="text1"/>
        </w:rPr>
        <w:t>La proposition/l’initiative engendre l’utilisation de ressources humaines, comme expliqué ci-après:</w:t>
      </w:r>
    </w:p>
    <w:p>
      <w:pPr>
        <w:spacing w:after="60"/>
        <w:jc w:val="right"/>
        <w:rPr>
          <w:i/>
          <w:noProof/>
          <w:color w:val="000000" w:themeColor="text1"/>
          <w:sz w:val="20"/>
        </w:rPr>
      </w:pPr>
      <w:r>
        <w:rPr>
          <w:i/>
          <w:noProof/>
          <w:color w:val="000000" w:themeColor="text1"/>
          <w:sz w:val="20"/>
        </w:rPr>
        <w:t>Estimation à exprimer en équivalents temps plein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805"/>
        <w:gridCol w:w="995"/>
        <w:gridCol w:w="993"/>
        <w:gridCol w:w="993"/>
        <w:gridCol w:w="848"/>
        <w:gridCol w:w="851"/>
        <w:gridCol w:w="89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color w:val="000000" w:themeColor="text1"/>
                <w:sz w:val="16"/>
                <w:szCs w:val="16"/>
              </w:rPr>
            </w:pPr>
          </w:p>
        </w:tc>
        <w:tc>
          <w:tcPr>
            <w:tcW w:w="391"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Année </w:t>
            </w:r>
            <w:r>
              <w:rPr>
                <w:b/>
                <w:noProof/>
                <w:color w:val="000000" w:themeColor="text1"/>
                <w:sz w:val="16"/>
              </w:rPr>
              <w:t>N</w:t>
            </w:r>
          </w:p>
        </w:tc>
        <w:tc>
          <w:tcPr>
            <w:tcW w:w="483"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Année </w:t>
            </w:r>
            <w:r>
              <w:rPr>
                <w:b/>
                <w:noProof/>
                <w:color w:val="000000" w:themeColor="text1"/>
                <w:sz w:val="16"/>
              </w:rPr>
              <w:t>N+1</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Année </w:t>
            </w:r>
            <w:r>
              <w:rPr>
                <w:b/>
                <w:noProof/>
                <w:color w:val="000000" w:themeColor="text1"/>
                <w:sz w:val="16"/>
              </w:rPr>
              <w:t>N+2</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Année </w:t>
            </w:r>
            <w:r>
              <w:rPr>
                <w:b/>
                <w:noProof/>
                <w:color w:val="000000" w:themeColor="text1"/>
                <w:sz w:val="16"/>
              </w:rPr>
              <w:t>N+3</w:t>
            </w:r>
          </w:p>
        </w:tc>
        <w:tc>
          <w:tcPr>
            <w:tcW w:w="1260" w:type="pct"/>
            <w:gridSpan w:val="3"/>
            <w:shd w:val="clear" w:color="auto" w:fill="auto"/>
            <w:vAlign w:val="center"/>
          </w:tcPr>
          <w:p>
            <w:pPr>
              <w:jc w:val="center"/>
              <w:rPr>
                <w:b/>
                <w:noProof/>
                <w:color w:val="000000" w:themeColor="text1"/>
                <w:sz w:val="16"/>
                <w:szCs w:val="16"/>
              </w:rPr>
            </w:pPr>
            <w:r>
              <w:rPr>
                <w:noProof/>
                <w:color w:val="000000" w:themeColor="text1"/>
                <w:sz w:val="16"/>
              </w:rPr>
              <w:t>Insérer autant d’années que nécessaire, pour refléter la durée de l’incidence (cf. point 1.6)</w:t>
            </w:r>
          </w:p>
        </w:tc>
      </w:tr>
      <w:tr>
        <w:trPr>
          <w:gridBefore w:val="1"/>
          <w:wBefore w:w="5" w:type="pct"/>
          <w:trHeight w:val="289"/>
          <w:jc w:val="center"/>
        </w:trPr>
        <w:tc>
          <w:tcPr>
            <w:tcW w:w="3253" w:type="pct"/>
            <w:gridSpan w:val="5"/>
            <w:shd w:val="clear" w:color="auto" w:fill="auto"/>
          </w:tcPr>
          <w:p>
            <w:pPr>
              <w:spacing w:before="20" w:after="20"/>
              <w:rPr>
                <w:noProof/>
                <w:color w:val="000000" w:themeColor="text1"/>
                <w:sz w:val="16"/>
                <w:szCs w:val="16"/>
              </w:rPr>
            </w:pPr>
            <w:r>
              <w:rPr>
                <w:b/>
                <w:noProof/>
                <w:color w:val="000000" w:themeColor="text1"/>
                <w:sz w:val="16"/>
              </w:rPr>
              <w:sym w:font="Wingdings" w:char="F09F"/>
            </w:r>
            <w:r>
              <w:rPr>
                <w:b/>
                <w:noProof/>
                <w:color w:val="000000" w:themeColor="text1"/>
                <w:sz w:val="16"/>
              </w:rPr>
              <w:t xml:space="preserve"> Emplois du tableau des effectifs (fonctionnaires et agents temporaires)</w:t>
            </w:r>
          </w:p>
        </w:tc>
        <w:tc>
          <w:tcPr>
            <w:tcW w:w="482" w:type="pct"/>
            <w:shd w:val="clear" w:color="auto" w:fill="auto"/>
            <w:vAlign w:val="center"/>
          </w:tcPr>
          <w:p>
            <w:pPr>
              <w:spacing w:before="20" w:after="20"/>
              <w:jc w:val="center"/>
              <w:rPr>
                <w:noProof/>
                <w:color w:val="000000" w:themeColor="text1"/>
                <w:sz w:val="16"/>
                <w:szCs w:val="16"/>
              </w:rPr>
            </w:pPr>
          </w:p>
        </w:tc>
        <w:tc>
          <w:tcPr>
            <w:tcW w:w="1260" w:type="pct"/>
            <w:gridSpan w:val="3"/>
            <w:shd w:val="clear" w:color="auto" w:fill="auto"/>
            <w:vAlign w:val="center"/>
          </w:tcPr>
          <w:p>
            <w:pPr>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color w:val="000000" w:themeColor="text1"/>
                <w:sz w:val="16"/>
                <w:szCs w:val="16"/>
              </w:rPr>
            </w:pPr>
            <w:r>
              <w:rPr>
                <w:noProof/>
                <w:color w:val="000000" w:themeColor="text1"/>
                <w:sz w:val="16"/>
              </w:rPr>
              <w:t>XX 01 01 01 (au siège et dans les bureaux de représentation de la Commission)</w:t>
            </w:r>
          </w:p>
        </w:tc>
        <w:tc>
          <w:tcPr>
            <w:tcW w:w="391"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3"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01 02 (en délégation)</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05 01 (recherche indirecte)</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10 01 05 01 (recherche directe)</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After w:val="4"/>
          <w:wAfter w:w="1742" w:type="pct"/>
          <w:trHeight w:val="248"/>
          <w:jc w:val="center"/>
        </w:trPr>
        <w:tc>
          <w:tcPr>
            <w:tcW w:w="3258" w:type="pct"/>
            <w:gridSpan w:val="6"/>
            <w:shd w:val="clear" w:color="auto" w:fill="auto"/>
            <w:vAlign w:val="center"/>
          </w:tcPr>
          <w:p>
            <w:pPr>
              <w:pStyle w:val="Text1"/>
              <w:spacing w:before="60" w:after="60"/>
              <w:ind w:left="0"/>
              <w:jc w:val="left"/>
              <w:rPr>
                <w:noProof/>
                <w:color w:val="000000" w:themeColor="text1"/>
                <w:sz w:val="16"/>
                <w:szCs w:val="16"/>
              </w:rPr>
            </w:pPr>
            <w:r>
              <w:rPr>
                <w:b/>
                <w:noProof/>
                <w:color w:val="000000" w:themeColor="text1"/>
                <w:sz w:val="16"/>
              </w:rPr>
              <w:sym w:font="Wingdings" w:char="F09F"/>
            </w:r>
            <w:r>
              <w:rPr>
                <w:b/>
                <w:noProof/>
                <w:color w:val="000000" w:themeColor="text1"/>
                <w:sz w:val="16"/>
              </w:rPr>
              <w:t xml:space="preserve"> Personnel externe (en équivalents temps plein: ETP)</w:t>
            </w:r>
            <w:r>
              <w:rPr>
                <w:rStyle w:val="FootnoteReference"/>
                <w:b/>
                <w:noProof/>
                <w:color w:val="000000" w:themeColor="text1"/>
                <w:sz w:val="16"/>
              </w:rPr>
              <w:footnoteReference w:id="24"/>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XX 01 02 01 (AC, END, INT de l’enveloppe globale)</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XX 01 02 02 (AC, AL, END, INT et JED dans les délégations)</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color w:val="000000" w:themeColor="text1"/>
                <w:sz w:val="16"/>
                <w:szCs w:val="16"/>
              </w:rPr>
            </w:pPr>
            <w:r>
              <w:rPr>
                <w:b/>
                <w:noProof/>
                <w:color w:val="000000" w:themeColor="text1"/>
                <w:sz w:val="16"/>
              </w:rPr>
              <w:t>XX</w:t>
            </w:r>
            <w:r>
              <w:rPr>
                <w:noProof/>
                <w:color w:val="000000" w:themeColor="text1"/>
                <w:sz w:val="16"/>
              </w:rPr>
              <w:t xml:space="preserve"> 01 04 </w:t>
            </w:r>
            <w:r>
              <w:rPr>
                <w:b/>
                <w:noProof/>
                <w:color w:val="000000" w:themeColor="text1"/>
                <w:sz w:val="16"/>
              </w:rPr>
              <w:t>yy</w:t>
            </w:r>
            <w:r>
              <w:rPr>
                <w:b/>
                <w:i/>
                <w:noProof/>
                <w:color w:val="000000" w:themeColor="text1"/>
                <w:sz w:val="16"/>
              </w:rPr>
              <w:t xml:space="preserve"> </w:t>
            </w:r>
            <w:r>
              <w:rPr>
                <w:rStyle w:val="FootnoteReference"/>
                <w:b/>
                <w:i/>
                <w:noProof/>
                <w:color w:val="000000" w:themeColor="text1"/>
                <w:sz w:val="16"/>
              </w:rPr>
              <w:footnoteReference w:id="25"/>
            </w:r>
          </w:p>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au siège</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xml:space="preserve">- en délégation </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XX</w:t>
            </w:r>
            <w:r>
              <w:rPr>
                <w:noProof/>
                <w:color w:val="000000" w:themeColor="text1"/>
                <w:sz w:val="16"/>
              </w:rPr>
              <w:t xml:space="preserve"> 01 05 02 (AC, END, INT sur recherche indirecte)</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10 01 05 02 (AC, END, INT sur recherche directe)</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Autres lignes budgétaires (à préciser)</w:t>
            </w:r>
          </w:p>
        </w:tc>
        <w:tc>
          <w:tcPr>
            <w:tcW w:w="391"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35"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TOTAL</w:t>
            </w:r>
          </w:p>
        </w:tc>
        <w:tc>
          <w:tcPr>
            <w:tcW w:w="391"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1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35"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r>
    </w:tbl>
    <w:p>
      <w:pPr>
        <w:pStyle w:val="Text1"/>
        <w:spacing w:before="60" w:after="60"/>
        <w:ind w:left="851"/>
        <w:rPr>
          <w:noProof/>
          <w:color w:val="000000" w:themeColor="text1"/>
          <w:sz w:val="18"/>
          <w:szCs w:val="18"/>
        </w:rPr>
      </w:pPr>
      <w:r>
        <w:rPr>
          <w:b/>
          <w:noProof/>
          <w:color w:val="000000" w:themeColor="text1"/>
          <w:sz w:val="18"/>
        </w:rPr>
        <w:t>XX</w:t>
      </w:r>
      <w:r>
        <w:rPr>
          <w:noProof/>
          <w:color w:val="000000" w:themeColor="text1"/>
          <w:sz w:val="18"/>
        </w:rPr>
        <w:t xml:space="preserve"> est le domaine politique ou le titre concerné.</w:t>
      </w:r>
    </w:p>
    <w:p>
      <w:pPr>
        <w:pStyle w:val="Text1"/>
        <w:rPr>
          <w:noProof/>
          <w:color w:val="000000" w:themeColor="text1"/>
          <w:sz w:val="18"/>
          <w:szCs w:val="18"/>
        </w:rPr>
      </w:pPr>
      <w:r>
        <w:rPr>
          <w:noProof/>
          <w:color w:val="000000" w:themeColor="text1"/>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color w:val="000000" w:themeColor="text1"/>
          <w:sz w:val="20"/>
        </w:rPr>
      </w:pPr>
      <w:r>
        <w:rPr>
          <w:noProof/>
          <w:color w:val="000000" w:themeColor="text1"/>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color w:val="000000" w:themeColor="text1"/>
                <w:sz w:val="20"/>
              </w:rPr>
            </w:pPr>
            <w:r>
              <w:rPr>
                <w:noProof/>
                <w:color w:val="000000" w:themeColor="text1"/>
                <w:sz w:val="20"/>
              </w:rPr>
              <w:t>Fonctionnaires et agents temporaires</w:t>
            </w:r>
          </w:p>
        </w:tc>
        <w:tc>
          <w:tcPr>
            <w:tcW w:w="7200" w:type="dxa"/>
          </w:tcPr>
          <w:p>
            <w:pPr>
              <w:rPr>
                <w:noProof/>
                <w:color w:val="000000" w:themeColor="text1"/>
                <w:sz w:val="20"/>
                <w:highlight w:val="yellow"/>
              </w:rPr>
            </w:pPr>
            <w:r>
              <w:rPr>
                <w:noProof/>
                <w:sz w:val="20"/>
              </w:rPr>
              <w:t>Mise en œuvre de la prolongation du programme «Europe créative»</w:t>
            </w:r>
          </w:p>
        </w:tc>
      </w:tr>
      <w:tr>
        <w:tc>
          <w:tcPr>
            <w:tcW w:w="3240" w:type="dxa"/>
          </w:tcPr>
          <w:p>
            <w:pPr>
              <w:spacing w:before="60" w:after="60"/>
              <w:rPr>
                <w:noProof/>
                <w:color w:val="000000" w:themeColor="text1"/>
                <w:sz w:val="20"/>
              </w:rPr>
            </w:pPr>
            <w:r>
              <w:rPr>
                <w:noProof/>
                <w:color w:val="000000" w:themeColor="text1"/>
                <w:sz w:val="20"/>
              </w:rPr>
              <w:t>Personnel externe</w:t>
            </w:r>
          </w:p>
        </w:tc>
        <w:tc>
          <w:tcPr>
            <w:tcW w:w="7200" w:type="dxa"/>
          </w:tcPr>
          <w:p>
            <w:pPr>
              <w:rPr>
                <w:noProof/>
                <w:color w:val="000000" w:themeColor="text1"/>
                <w:sz w:val="20"/>
              </w:rPr>
            </w:pPr>
          </w:p>
        </w:tc>
      </w:tr>
    </w:tbl>
    <w:p>
      <w:pPr>
        <w:rPr>
          <w:noProof/>
          <w:color w:val="000000" w:themeColor="text1"/>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Compatibilité avec le cadre financier pluriannuel actuel </w:t>
      </w:r>
    </w:p>
    <w:p>
      <w:pPr>
        <w:pStyle w:val="ListDash1"/>
        <w:rPr>
          <w:noProof/>
          <w:color w:val="000000" w:themeColor="text1"/>
        </w:rPr>
      </w:pPr>
      <w:r>
        <w:rPr>
          <w:noProof/>
          <w:color w:val="000000" w:themeColor="text1"/>
        </w:rPr>
        <w:t>X</w:t>
      </w:r>
      <w:r>
        <w:rPr>
          <w:noProof/>
        </w:rPr>
        <w:tab/>
      </w:r>
      <w:r>
        <w:rPr>
          <w:noProof/>
          <w:color w:val="000000" w:themeColor="text1"/>
        </w:rPr>
        <w:t>La proposition/l’initiative est compatible avec le cadre financier pluriannuel actuel.</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Expliquez la reprogrammation requise, en précisant les lignes budgétaires concernées et les montants correspondants.</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proposition/l’initiative nécessite le recours à l’instrument de flexibilité ou la révision du cadre financier pluriannuel.</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Expliquez le besoin, en précisant les rubriques et lignes budgétaires concernées et les montants correspondants.</w:t>
      </w:r>
    </w:p>
    <w:p>
      <w:pPr>
        <w:pStyle w:val="ManualHeading3"/>
        <w:rPr>
          <w:bCs/>
          <w:noProof/>
          <w:szCs w:val="24"/>
        </w:rPr>
      </w:pPr>
      <w:r>
        <w:t>3.2.5.</w:t>
      </w:r>
      <w:r>
        <w:tab/>
      </w:r>
      <w:r>
        <w:rPr>
          <w:noProof/>
        </w:rPr>
        <w:t xml:space="preserve">Participation de tiers au financement </w:t>
      </w:r>
    </w:p>
    <w:p>
      <w:pPr>
        <w:pStyle w:val="ListDash1"/>
        <w:rPr>
          <w:noProof/>
          <w:color w:val="000000" w:themeColor="text1"/>
        </w:rPr>
      </w:pPr>
      <w:r>
        <w:rPr>
          <w:noProof/>
          <w:color w:val="000000" w:themeColor="text1"/>
        </w:rPr>
        <w:t xml:space="preserve">X La proposition/l’initiative ne prévoit pas de cofinancement par des tierces parties. </w:t>
      </w:r>
    </w:p>
    <w:p>
      <w:pPr>
        <w:pStyle w:val="ListDash1"/>
        <w:rPr>
          <w:noProof/>
          <w:color w:val="000000" w:themeColor="text1"/>
        </w:rPr>
      </w:pPr>
      <w:r>
        <w:rPr>
          <w:noProof/>
          <w:color w:val="000000" w:themeColor="text1"/>
        </w:rPr>
        <w:t>La proposition/l’initiative prévoit un cofinancement estimé ci-après:</w:t>
      </w:r>
    </w:p>
    <w:p>
      <w:pPr>
        <w:jc w:val="right"/>
        <w:rPr>
          <w:noProof/>
          <w:color w:val="000000" w:themeColor="text1"/>
          <w:sz w:val="20"/>
        </w:rPr>
      </w:pPr>
      <w:r>
        <w:rPr>
          <w:noProof/>
          <w:color w:val="000000" w:themeColor="text1"/>
          <w:sz w:val="20"/>
        </w:rPr>
        <w:t>Crédits en millions d’EUR (à la 3</w:t>
      </w:r>
      <w:r>
        <w:rPr>
          <w:noProof/>
          <w:color w:val="000000" w:themeColor="text1"/>
          <w:sz w:val="20"/>
          <w:vertAlign w:val="superscript"/>
        </w:rPr>
        <w:t>e</w:t>
      </w:r>
      <w:r>
        <w:rPr>
          <w:noProof/>
          <w:color w:val="000000" w:themeColor="text1"/>
          <w:sz w:val="20"/>
        </w:rPr>
        <w:t xml:space="preserve">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color w:val="000000" w:themeColor="text1"/>
                <w:sz w:val="20"/>
              </w:rPr>
            </w:pPr>
          </w:p>
        </w:tc>
        <w:tc>
          <w:tcPr>
            <w:tcW w:w="964"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w:t>
            </w:r>
          </w:p>
        </w:tc>
        <w:tc>
          <w:tcPr>
            <w:tcW w:w="964"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N+1</w:t>
            </w:r>
          </w:p>
        </w:tc>
        <w:tc>
          <w:tcPr>
            <w:tcW w:w="964"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N+2</w:t>
            </w:r>
          </w:p>
        </w:tc>
        <w:tc>
          <w:tcPr>
            <w:tcW w:w="964" w:type="dxa"/>
            <w:vAlign w:val="center"/>
          </w:tcPr>
          <w:p>
            <w:pPr>
              <w:jc w:val="center"/>
              <w:rPr>
                <w:noProof/>
                <w:color w:val="000000" w:themeColor="text1"/>
                <w:sz w:val="20"/>
              </w:rPr>
            </w:pPr>
            <w:r>
              <w:rPr>
                <w:noProof/>
                <w:color w:val="000000" w:themeColor="text1"/>
                <w:sz w:val="20"/>
              </w:rPr>
              <w:t>Année</w:t>
            </w:r>
            <w:r>
              <w:rPr>
                <w:noProof/>
                <w:color w:val="000000" w:themeColor="text1"/>
                <w:sz w:val="22"/>
              </w:rPr>
              <w:br/>
            </w:r>
            <w:r>
              <w:rPr>
                <w:b/>
                <w:noProof/>
                <w:color w:val="000000" w:themeColor="text1"/>
                <w:sz w:val="20"/>
              </w:rPr>
              <w:t>N+3</w:t>
            </w:r>
          </w:p>
        </w:tc>
        <w:tc>
          <w:tcPr>
            <w:tcW w:w="2892" w:type="dxa"/>
            <w:gridSpan w:val="3"/>
            <w:vAlign w:val="center"/>
          </w:tcPr>
          <w:p>
            <w:pPr>
              <w:jc w:val="center"/>
              <w:rPr>
                <w:b/>
                <w:noProof/>
                <w:color w:val="000000" w:themeColor="text1"/>
                <w:sz w:val="20"/>
              </w:rPr>
            </w:pPr>
            <w:r>
              <w:rPr>
                <w:noProof/>
                <w:color w:val="000000" w:themeColor="text1"/>
                <w:sz w:val="20"/>
              </w:rPr>
              <w:t>Insérer autant d’années que nécessaire, pour refléter la durée de l’incidence (cf. point 1.6)</w:t>
            </w:r>
          </w:p>
        </w:tc>
        <w:tc>
          <w:tcPr>
            <w:tcW w:w="1158" w:type="dxa"/>
            <w:vAlign w:val="center"/>
          </w:tcPr>
          <w:p>
            <w:pPr>
              <w:spacing w:before="60" w:after="60"/>
              <w:jc w:val="center"/>
              <w:rPr>
                <w:noProof/>
                <w:color w:val="000000" w:themeColor="text1"/>
                <w:sz w:val="20"/>
              </w:rPr>
            </w:pPr>
            <w:r>
              <w:rPr>
                <w:noProof/>
                <w:color w:val="000000" w:themeColor="text1"/>
                <w:sz w:val="20"/>
              </w:rPr>
              <w:t>Total</w:t>
            </w:r>
          </w:p>
        </w:tc>
      </w:tr>
      <w:tr>
        <w:trPr>
          <w:cantSplit/>
        </w:trPr>
        <w:tc>
          <w:tcPr>
            <w:tcW w:w="2340" w:type="dxa"/>
          </w:tcPr>
          <w:p>
            <w:pPr>
              <w:rPr>
                <w:noProof/>
                <w:color w:val="000000" w:themeColor="text1"/>
                <w:sz w:val="22"/>
              </w:rPr>
            </w:pPr>
            <w:r>
              <w:rPr>
                <w:noProof/>
                <w:color w:val="000000" w:themeColor="text1"/>
                <w:sz w:val="20"/>
              </w:rPr>
              <w:t>Préciser l’organisme de cofinancement</w:t>
            </w:r>
            <w:r>
              <w:rPr>
                <w:i/>
                <w:noProof/>
                <w:color w:val="000000" w:themeColor="text1"/>
                <w:sz w:val="20"/>
              </w:rPr>
              <w:t xml:space="preserve">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r>
        <w:trPr>
          <w:cantSplit/>
        </w:trPr>
        <w:tc>
          <w:tcPr>
            <w:tcW w:w="2340" w:type="dxa"/>
          </w:tcPr>
          <w:p>
            <w:pPr>
              <w:spacing w:before="60" w:after="60"/>
              <w:jc w:val="left"/>
              <w:rPr>
                <w:noProof/>
                <w:color w:val="000000" w:themeColor="text1"/>
                <w:sz w:val="20"/>
              </w:rPr>
            </w:pPr>
            <w:r>
              <w:rPr>
                <w:noProof/>
                <w:color w:val="000000" w:themeColor="text1"/>
                <w:sz w:val="20"/>
              </w:rPr>
              <w:t xml:space="preserve">TOTAL crédits cofinancés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bl>
    <w:p>
      <w:pPr>
        <w:rPr>
          <w:noProof/>
          <w:color w:val="000000" w:themeColor="text1"/>
        </w:rPr>
      </w:pPr>
    </w:p>
    <w:p>
      <w:pPr>
        <w:pStyle w:val="ManualHeading2"/>
        <w:rPr>
          <w:bCs/>
          <w:noProof/>
          <w:szCs w:val="24"/>
        </w:rPr>
      </w:pPr>
      <w:r>
        <w:rPr>
          <w:noProof/>
        </w:rPr>
        <w:br w:type="page"/>
      </w:r>
      <w:r>
        <w:t>3.3.</w:t>
      </w:r>
      <w:r>
        <w:tab/>
      </w:r>
      <w:r>
        <w:rPr>
          <w:noProof/>
        </w:rPr>
        <w:t xml:space="preserve">Incidence estimée sur les recettes </w:t>
      </w:r>
    </w:p>
    <w:p>
      <w:pPr>
        <w:pStyle w:val="ListDash1"/>
        <w:rPr>
          <w:noProof/>
          <w:color w:val="000000" w:themeColor="text1"/>
        </w:rPr>
      </w:pPr>
      <w:r>
        <w:rPr>
          <w:noProof/>
          <w:color w:val="000000" w:themeColor="text1"/>
        </w:rPr>
        <w:t>X</w:t>
      </w:r>
      <w:r>
        <w:rPr>
          <w:noProof/>
        </w:rPr>
        <w:tab/>
      </w:r>
      <w:r>
        <w:rPr>
          <w:noProof/>
          <w:color w:val="000000" w:themeColor="text1"/>
        </w:rPr>
        <w:t>La proposition/l’initiative est sans incidence financière sur les recettes.</w:t>
      </w:r>
    </w:p>
    <w:p>
      <w:pPr>
        <w:pStyle w:val="ListDash1"/>
        <w:rPr>
          <w:noProof/>
          <w:color w:val="000000" w:themeColor="text1"/>
        </w:rPr>
      </w:pPr>
      <w:r>
        <w:rPr>
          <w:noProof/>
          <w:color w:val="000000" w:themeColor="text1"/>
        </w:rPr>
        <w:sym w:font="Wingdings" w:char="F0A8"/>
      </w:r>
      <w:r>
        <w:rPr>
          <w:noProof/>
        </w:rPr>
        <w:tab/>
      </w:r>
      <w:r>
        <w:rPr>
          <w:noProof/>
          <w:color w:val="000000" w:themeColor="text1"/>
        </w:rPr>
        <w:t>La proposition/l’initiative a une incidence financière décrite ci-après:</w:t>
      </w:r>
    </w:p>
    <w:p>
      <w:pPr>
        <w:pStyle w:val="ListNumberLevel3"/>
        <w:tabs>
          <w:tab w:val="clear" w:pos="2126"/>
        </w:tabs>
        <w:rPr>
          <w:noProof/>
          <w:color w:val="000000" w:themeColor="text1"/>
        </w:rPr>
      </w:pPr>
      <w:r>
        <w:rPr>
          <w:noProof/>
          <w:color w:val="000000" w:themeColor="text1"/>
        </w:rPr>
        <w:sym w:font="Wingdings" w:char="F0A8"/>
      </w:r>
      <w:r>
        <w:rPr>
          <w:noProof/>
        </w:rPr>
        <w:tab/>
      </w:r>
      <w:r>
        <w:rPr>
          <w:noProof/>
          <w:color w:val="000000" w:themeColor="text1"/>
        </w:rPr>
        <w:t xml:space="preserve">sur les ressources propres </w:t>
      </w:r>
    </w:p>
    <w:p>
      <w:pPr>
        <w:pStyle w:val="ListNumberLevel3"/>
        <w:tabs>
          <w:tab w:val="clear" w:pos="2126"/>
        </w:tabs>
        <w:rPr>
          <w:noProof/>
          <w:color w:val="000000" w:themeColor="text1"/>
        </w:rPr>
      </w:pPr>
      <w:r>
        <w:rPr>
          <w:noProof/>
          <w:color w:val="000000" w:themeColor="text1"/>
        </w:rPr>
        <w:sym w:font="Wingdings" w:char="F0A8"/>
      </w:r>
      <w:r>
        <w:rPr>
          <w:noProof/>
        </w:rPr>
        <w:tab/>
      </w:r>
      <w:r>
        <w:rPr>
          <w:noProof/>
          <w:color w:val="000000" w:themeColor="text1"/>
        </w:rPr>
        <w:t xml:space="preserve">sur les recettes diverses </w:t>
      </w:r>
    </w:p>
    <w:p>
      <w:pPr>
        <w:jc w:val="right"/>
        <w:rPr>
          <w:i/>
          <w:noProof/>
          <w:color w:val="000000" w:themeColor="text1"/>
          <w:sz w:val="20"/>
        </w:rPr>
      </w:pPr>
      <w:r>
        <w:rPr>
          <w:noProof/>
          <w:color w:val="000000" w:themeColor="text1"/>
        </w:rPr>
        <w:t>En millions d’EUR (à la 3</w:t>
      </w:r>
      <w:r>
        <w:rPr>
          <w:noProof/>
          <w:color w:val="000000" w:themeColor="text1"/>
          <w:vertAlign w:val="superscript"/>
        </w:rPr>
        <w:t>e</w:t>
      </w:r>
      <w:r>
        <w:rPr>
          <w:noProof/>
          <w:color w:val="000000" w:themeColor="text1"/>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color w:val="000000" w:themeColor="text1"/>
                <w:sz w:val="18"/>
              </w:rPr>
            </w:pPr>
            <w:r>
              <w:rPr>
                <w:noProof/>
                <w:color w:val="000000" w:themeColor="text1"/>
                <w:sz w:val="18"/>
              </w:rPr>
              <w:t>Ligne budgétaire de recettes:</w:t>
            </w:r>
          </w:p>
        </w:tc>
        <w:tc>
          <w:tcPr>
            <w:tcW w:w="1276" w:type="dxa"/>
            <w:vMerge w:val="restart"/>
            <w:vAlign w:val="center"/>
          </w:tcPr>
          <w:p>
            <w:pPr>
              <w:jc w:val="center"/>
              <w:rPr>
                <w:noProof/>
                <w:color w:val="000000" w:themeColor="text1"/>
                <w:sz w:val="18"/>
              </w:rPr>
            </w:pPr>
            <w:r>
              <w:rPr>
                <w:noProof/>
                <w:color w:val="000000" w:themeColor="text1"/>
                <w:sz w:val="18"/>
              </w:rPr>
              <w:t>Montants inscrits pour l’exercice en cours</w:t>
            </w:r>
          </w:p>
        </w:tc>
        <w:tc>
          <w:tcPr>
            <w:tcW w:w="7200" w:type="dxa"/>
            <w:gridSpan w:val="7"/>
            <w:vAlign w:val="center"/>
          </w:tcPr>
          <w:p>
            <w:pPr>
              <w:jc w:val="center"/>
              <w:rPr>
                <w:noProof/>
                <w:color w:val="000000" w:themeColor="text1"/>
                <w:sz w:val="18"/>
              </w:rPr>
            </w:pPr>
            <w:r>
              <w:rPr>
                <w:noProof/>
                <w:color w:val="000000" w:themeColor="text1"/>
                <w:sz w:val="18"/>
              </w:rPr>
              <w:t>Incidence de la proposition/de l’initiative</w:t>
            </w:r>
            <w:r>
              <w:rPr>
                <w:rStyle w:val="FootnoteReference"/>
                <w:noProof/>
                <w:color w:val="000000" w:themeColor="text1"/>
                <w:sz w:val="18"/>
              </w:rPr>
              <w:footnoteReference w:id="26"/>
            </w:r>
          </w:p>
        </w:tc>
      </w:tr>
      <w:tr>
        <w:trPr>
          <w:trHeight w:val="388"/>
        </w:trPr>
        <w:tc>
          <w:tcPr>
            <w:tcW w:w="2144" w:type="dxa"/>
            <w:vMerge/>
          </w:tcPr>
          <w:p>
            <w:pPr>
              <w:spacing w:before="40" w:after="40"/>
              <w:rPr>
                <w:noProof/>
                <w:color w:val="000000" w:themeColor="text1"/>
                <w:sz w:val="18"/>
              </w:rPr>
            </w:pPr>
          </w:p>
        </w:tc>
        <w:tc>
          <w:tcPr>
            <w:tcW w:w="1276" w:type="dxa"/>
            <w:vMerge/>
          </w:tcPr>
          <w:p>
            <w:pPr>
              <w:spacing w:beforeLines="40" w:before="96" w:afterLines="40" w:after="96"/>
              <w:rPr>
                <w:i/>
                <w:noProof/>
                <w:color w:val="000000" w:themeColor="text1"/>
                <w:sz w:val="18"/>
              </w:rPr>
            </w:pPr>
          </w:p>
        </w:tc>
        <w:tc>
          <w:tcPr>
            <w:tcW w:w="1080" w:type="dxa"/>
            <w:vAlign w:val="center"/>
          </w:tcPr>
          <w:p>
            <w:pPr>
              <w:jc w:val="center"/>
              <w:rPr>
                <w:noProof/>
                <w:color w:val="000000" w:themeColor="text1"/>
                <w:sz w:val="18"/>
              </w:rPr>
            </w:pPr>
            <w:r>
              <w:rPr>
                <w:noProof/>
                <w:color w:val="000000" w:themeColor="text1"/>
                <w:sz w:val="18"/>
              </w:rPr>
              <w:t>Année</w:t>
            </w:r>
            <w:r>
              <w:rPr>
                <w:noProof/>
                <w:color w:val="000000" w:themeColor="text1"/>
                <w:sz w:val="22"/>
              </w:rPr>
              <w:br/>
            </w:r>
            <w:r>
              <w:rPr>
                <w:b/>
                <w:noProof/>
                <w:color w:val="000000" w:themeColor="text1"/>
                <w:sz w:val="18"/>
              </w:rPr>
              <w:t>N</w:t>
            </w:r>
          </w:p>
        </w:tc>
        <w:tc>
          <w:tcPr>
            <w:tcW w:w="900" w:type="dxa"/>
            <w:vAlign w:val="center"/>
          </w:tcPr>
          <w:p>
            <w:pPr>
              <w:jc w:val="center"/>
              <w:rPr>
                <w:noProof/>
                <w:color w:val="000000" w:themeColor="text1"/>
                <w:sz w:val="18"/>
              </w:rPr>
            </w:pPr>
            <w:r>
              <w:rPr>
                <w:noProof/>
                <w:color w:val="000000" w:themeColor="text1"/>
                <w:sz w:val="18"/>
              </w:rPr>
              <w:t>Année</w:t>
            </w:r>
            <w:r>
              <w:rPr>
                <w:noProof/>
                <w:color w:val="000000" w:themeColor="text1"/>
                <w:sz w:val="22"/>
              </w:rPr>
              <w:br/>
            </w:r>
            <w:r>
              <w:rPr>
                <w:b/>
                <w:noProof/>
                <w:color w:val="000000" w:themeColor="text1"/>
                <w:sz w:val="18"/>
              </w:rPr>
              <w:t>N+1</w:t>
            </w:r>
          </w:p>
        </w:tc>
        <w:tc>
          <w:tcPr>
            <w:tcW w:w="900" w:type="dxa"/>
            <w:vAlign w:val="center"/>
          </w:tcPr>
          <w:p>
            <w:pPr>
              <w:jc w:val="center"/>
              <w:rPr>
                <w:noProof/>
                <w:color w:val="000000" w:themeColor="text1"/>
                <w:sz w:val="18"/>
              </w:rPr>
            </w:pPr>
            <w:r>
              <w:rPr>
                <w:noProof/>
                <w:color w:val="000000" w:themeColor="text1"/>
                <w:sz w:val="18"/>
              </w:rPr>
              <w:t>Année</w:t>
            </w:r>
            <w:r>
              <w:rPr>
                <w:noProof/>
                <w:color w:val="000000" w:themeColor="text1"/>
                <w:sz w:val="22"/>
              </w:rPr>
              <w:br/>
            </w:r>
            <w:r>
              <w:rPr>
                <w:b/>
                <w:noProof/>
                <w:color w:val="000000" w:themeColor="text1"/>
                <w:sz w:val="18"/>
              </w:rPr>
              <w:t>N+2</w:t>
            </w:r>
          </w:p>
        </w:tc>
        <w:tc>
          <w:tcPr>
            <w:tcW w:w="1080" w:type="dxa"/>
            <w:vAlign w:val="center"/>
          </w:tcPr>
          <w:p>
            <w:pPr>
              <w:jc w:val="center"/>
              <w:rPr>
                <w:noProof/>
                <w:color w:val="000000" w:themeColor="text1"/>
                <w:sz w:val="18"/>
              </w:rPr>
            </w:pPr>
            <w:r>
              <w:rPr>
                <w:noProof/>
                <w:color w:val="000000" w:themeColor="text1"/>
                <w:sz w:val="18"/>
              </w:rPr>
              <w:t>Année</w:t>
            </w:r>
            <w:r>
              <w:rPr>
                <w:noProof/>
                <w:color w:val="000000" w:themeColor="text1"/>
                <w:sz w:val="22"/>
              </w:rPr>
              <w:br/>
            </w:r>
            <w:r>
              <w:rPr>
                <w:b/>
                <w:noProof/>
                <w:color w:val="000000" w:themeColor="text1"/>
                <w:sz w:val="18"/>
              </w:rPr>
              <w:t>N+3</w:t>
            </w:r>
          </w:p>
        </w:tc>
        <w:tc>
          <w:tcPr>
            <w:tcW w:w="3240" w:type="dxa"/>
            <w:gridSpan w:val="3"/>
            <w:vAlign w:val="center"/>
          </w:tcPr>
          <w:p>
            <w:pPr>
              <w:jc w:val="center"/>
              <w:rPr>
                <w:b/>
                <w:noProof/>
                <w:color w:val="000000" w:themeColor="text1"/>
                <w:sz w:val="18"/>
              </w:rPr>
            </w:pPr>
            <w:r>
              <w:rPr>
                <w:noProof/>
                <w:color w:val="000000" w:themeColor="text1"/>
                <w:sz w:val="18"/>
              </w:rPr>
              <w:t>Insérer autant d’années que nécessaire, pour refléter la durée de l’incidence (cf. point 1.6)</w:t>
            </w:r>
          </w:p>
        </w:tc>
      </w:tr>
      <w:tr>
        <w:trPr>
          <w:trHeight w:val="388"/>
        </w:trPr>
        <w:tc>
          <w:tcPr>
            <w:tcW w:w="2144" w:type="dxa"/>
            <w:vAlign w:val="center"/>
          </w:tcPr>
          <w:p>
            <w:pPr>
              <w:spacing w:before="40" w:after="40"/>
              <w:rPr>
                <w:noProof/>
                <w:color w:val="000000" w:themeColor="text1"/>
                <w:sz w:val="18"/>
              </w:rPr>
            </w:pPr>
            <w:r>
              <w:rPr>
                <w:noProof/>
                <w:color w:val="000000" w:themeColor="text1"/>
                <w:sz w:val="18"/>
              </w:rPr>
              <w:t>Article ………….</w:t>
            </w:r>
          </w:p>
        </w:tc>
        <w:tc>
          <w:tcPr>
            <w:tcW w:w="1276" w:type="dxa"/>
          </w:tcPr>
          <w:p>
            <w:pPr>
              <w:spacing w:beforeLines="40" w:before="96" w:afterLines="40" w:after="96"/>
              <w:jc w:val="center"/>
              <w:rPr>
                <w:i/>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r>
    </w:tbl>
    <w:p>
      <w:pPr>
        <w:pStyle w:val="Text1"/>
        <w:rPr>
          <w:noProof/>
          <w:color w:val="000000" w:themeColor="text1"/>
          <w:sz w:val="20"/>
        </w:rPr>
      </w:pPr>
      <w:r>
        <w:rPr>
          <w:noProof/>
          <w:color w:val="000000" w:themeColor="text1"/>
          <w:sz w:val="20"/>
        </w:rPr>
        <w:t>Pour les recettes diverses qui seront «affectées», préciser la (les) ligne(s) budgétaire(s) de dépenses concernée(s).</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Text1"/>
        <w:rPr>
          <w:noProof/>
          <w:color w:val="000000" w:themeColor="text1"/>
          <w:sz w:val="20"/>
        </w:rPr>
      </w:pPr>
      <w:r>
        <w:rPr>
          <w:noProof/>
          <w:color w:val="000000" w:themeColor="text1"/>
          <w:sz w:val="20"/>
        </w:rPr>
        <w:t>Préciser la méthode de calcul de l’incidence sur les recettes.</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ind w:left="426" w:hanging="426"/>
        <w:rPr>
          <w:lang w:val="fr-BE"/>
        </w:rPr>
      </w:pPr>
      <w:r>
        <w:rPr>
          <w:rStyle w:val="FootnoteReference"/>
        </w:rPr>
        <w:footnoteRef/>
      </w:r>
      <w:r>
        <w:rPr>
          <w:lang w:val="fr-BE"/>
        </w:rPr>
        <w:tab/>
        <w:t>Résolution sur la proposition de résolution présentée par M</w:t>
      </w:r>
      <w:r>
        <w:rPr>
          <w:vertAlign w:val="superscript"/>
          <w:lang w:val="fr-BE"/>
        </w:rPr>
        <w:t>me</w:t>
      </w:r>
      <w:r>
        <w:rPr>
          <w:lang w:val="fr-BE"/>
        </w:rPr>
        <w:t> Kellett-Bowman, relative à la création d’un orchestre des jeunes de la Communauté européenne (JO C 79 du 5.4.1976, p. 8).</w:t>
      </w:r>
    </w:p>
  </w:footnote>
  <w:footnote w:id="2">
    <w:p>
      <w:pPr>
        <w:pStyle w:val="FootnoteText"/>
        <w:spacing w:after="120"/>
        <w:ind w:left="426" w:hanging="426"/>
        <w:rPr>
          <w:lang w:val="fr-BE"/>
        </w:rPr>
      </w:pPr>
      <w:r>
        <w:rPr>
          <w:rStyle w:val="FootnoteReference"/>
        </w:rPr>
        <w:footnoteRef/>
      </w:r>
      <w:r>
        <w:rPr>
          <w:lang w:val="fr-BE"/>
        </w:rPr>
        <w:tab/>
        <w:t>Voir l’article 121, paragraphe 1, point b), du règlement (UE, Euratom) n° 966/2012 du Parlement européen et du Conseil du 25 octobre 2012 relatif aux règles financières applicables au budget général de l’Union et abrogeant le règlement (CE, Euratom) n° 1605/2002 du Conseil (JO L 298 du 26.10.2012, p. 1).</w:t>
      </w:r>
    </w:p>
  </w:footnote>
  <w:footnote w:id="3">
    <w:p>
      <w:pPr>
        <w:pStyle w:val="FootnoteText"/>
        <w:spacing w:after="120"/>
        <w:ind w:left="426" w:hanging="426"/>
        <w:rPr>
          <w:lang w:val="fr-BE"/>
        </w:rPr>
      </w:pPr>
      <w:r>
        <w:rPr>
          <w:rStyle w:val="FootnoteReference"/>
        </w:rPr>
        <w:footnoteRef/>
      </w:r>
      <w:r>
        <w:rPr>
          <w:lang w:val="fr-BE"/>
        </w:rPr>
        <w:tab/>
        <w:t>Règlement délégué (UE) nº 1268/2012 de la Commission du 29 octobre 2012 relatif aux règles d’application du règlement (UE, Euratom) nº 966/2012 du Parlement européen et du Conseil relatif aux règles financières applicables au budget général de l’Union (JO L 362 du 31.12.012, p. 1).</w:t>
      </w:r>
    </w:p>
  </w:footnote>
  <w:footnote w:id="4">
    <w:p>
      <w:pPr>
        <w:pStyle w:val="FootnoteText"/>
        <w:spacing w:after="120"/>
        <w:ind w:left="426" w:hanging="426"/>
        <w:rPr>
          <w:lang w:val="fr-BE"/>
        </w:rPr>
      </w:pPr>
      <w:r>
        <w:rPr>
          <w:rStyle w:val="FootnoteReference"/>
        </w:rPr>
        <w:footnoteRef/>
      </w:r>
      <w:r>
        <w:rPr>
          <w:lang w:val="fr-BE"/>
        </w:rPr>
        <w:tab/>
        <w:t>Règlement (UE) nº 1295/2013 établissant le programme «Europe créative» (2014 à 2020) et abrogeant les décisions nº 1718/2006/CE, nº 1855/2006/CE et nº 1041/2009/CE (JO L 347 du 20.12.2013, p. 221).</w:t>
      </w:r>
    </w:p>
  </w:footnote>
  <w:footnote w:id="5">
    <w:p>
      <w:pPr>
        <w:pStyle w:val="FootnoteText"/>
        <w:rPr>
          <w:lang w:val="fr-BE"/>
        </w:rPr>
      </w:pPr>
      <w:r>
        <w:rPr>
          <w:rStyle w:val="FootnoteReference"/>
        </w:rPr>
        <w:footnoteRef/>
      </w:r>
      <w:r>
        <w:rPr>
          <w:lang w:val="fr-BE"/>
        </w:rPr>
        <w:tab/>
        <w:t>JO C ... du ..., p. .</w:t>
      </w:r>
    </w:p>
  </w:footnote>
  <w:footnote w:id="6">
    <w:p>
      <w:pPr>
        <w:pStyle w:val="FootnoteText"/>
        <w:rPr>
          <w:lang w:val="fr-BE"/>
        </w:rPr>
      </w:pPr>
      <w:r>
        <w:rPr>
          <w:rStyle w:val="FootnoteReference"/>
        </w:rPr>
        <w:footnoteRef/>
      </w:r>
      <w:r>
        <w:rPr>
          <w:lang w:val="fr-BE"/>
        </w:rPr>
        <w:tab/>
        <w:t>JO C ... du ..., p. .</w:t>
      </w:r>
    </w:p>
  </w:footnote>
  <w:footnote w:id="7">
    <w:p>
      <w:pPr>
        <w:pStyle w:val="FootnoteText"/>
        <w:rPr>
          <w:lang w:val="fr-BE"/>
        </w:rPr>
      </w:pPr>
      <w:r>
        <w:rPr>
          <w:rStyle w:val="FootnoteReference"/>
        </w:rPr>
        <w:footnoteRef/>
      </w:r>
      <w:r>
        <w:rPr>
          <w:lang w:val="fr-BE"/>
        </w:rPr>
        <w:tab/>
        <w:t>Règlement (UE) nº 1295/2013 établissant le programme «Europe créative» (2014 à 2020) et abrogeant les décisions nº 1718/2006/CE, nº 1855/2006/CE et nº 1041/2009/CE (JO L 347 du 20.12.2013, p. 221).</w:t>
      </w:r>
    </w:p>
  </w:footnote>
  <w:footnote w:id="8">
    <w:p>
      <w:pPr>
        <w:pStyle w:val="FootnoteText"/>
        <w:rPr>
          <w:lang w:val="fr-BE"/>
        </w:rPr>
      </w:pPr>
      <w:r>
        <w:rPr>
          <w:rStyle w:val="FootnoteReference"/>
        </w:rPr>
        <w:footnoteRef/>
      </w:r>
      <w:r>
        <w:rPr>
          <w:lang w:val="fr-BE"/>
        </w:rPr>
        <w:tab/>
        <w:t>Résolution sur la proposition de résolution présentée par M</w:t>
      </w:r>
      <w:r>
        <w:rPr>
          <w:vertAlign w:val="superscript"/>
          <w:lang w:val="fr-BE"/>
        </w:rPr>
        <w:t>me</w:t>
      </w:r>
      <w:r>
        <w:rPr>
          <w:lang w:val="fr-BE"/>
        </w:rPr>
        <w:t> Kellett-Bowman, relative à la création d’un orchestre des jeunes de la Communauté européenne (JO C 79 du 5.4.1976, p. 8).</w:t>
      </w:r>
    </w:p>
  </w:footnote>
  <w:footnote w:id="9">
    <w:p>
      <w:pPr>
        <w:pStyle w:val="FootnoteText"/>
        <w:rPr>
          <w:noProof/>
          <w:lang w:val="fr-BE"/>
        </w:rPr>
      </w:pPr>
      <w:r>
        <w:rPr>
          <w:rStyle w:val="FootnoteReference"/>
        </w:rPr>
        <w:footnoteRef/>
      </w:r>
      <w:r>
        <w:rPr>
          <w:lang w:val="fr-BE"/>
        </w:rPr>
        <w:tab/>
        <w:t xml:space="preserve">Règlement délégué (UE) n° 1268/2012 de la Commission relatif aux règles d’application du règlement (UE, Euratom) n° 966/2012 du Parlement européen et du Conseil relatif aux règles financières applicables au budget général de l’Union (JO L 362 du 31.12.2012, p. 1). </w:t>
      </w:r>
    </w:p>
  </w:footnote>
  <w:footnote w:id="10">
    <w:p>
      <w:pPr>
        <w:pStyle w:val="FootnoteText"/>
        <w:rPr>
          <w:szCs w:val="24"/>
          <w:lang w:val="fr-BE"/>
        </w:rPr>
      </w:pPr>
      <w:r>
        <w:rPr>
          <w:rStyle w:val="FootnoteReference"/>
        </w:rPr>
        <w:footnoteRef/>
      </w:r>
      <w:r>
        <w:rPr>
          <w:lang w:val="fr-BE"/>
        </w:rPr>
        <w:tab/>
        <w:t>ABM: activity-based management (gestion par activité); ABB: activity-based budgeting (établissement du budget par activité).</w:t>
      </w:r>
    </w:p>
  </w:footnote>
  <w:footnote w:id="11">
    <w:p>
      <w:pPr>
        <w:pStyle w:val="FootnoteText"/>
        <w:rPr>
          <w:szCs w:val="24"/>
          <w:lang w:val="fr-BE"/>
        </w:rPr>
      </w:pPr>
      <w:r>
        <w:rPr>
          <w:rStyle w:val="FootnoteReference"/>
        </w:rPr>
        <w:footnoteRef/>
      </w:r>
      <w:r>
        <w:rPr>
          <w:lang w:val="fr-BE"/>
        </w:rPr>
        <w:tab/>
        <w:t>Tel(le) que visé(e) à l’article 54, paragraphe 2, point a) ou b), du règlement financier.</w:t>
      </w:r>
    </w:p>
  </w:footnote>
  <w:footnote w:id="12">
    <w:p>
      <w:pPr>
        <w:pStyle w:val="FootnoteText"/>
        <w:spacing w:after="120"/>
        <w:ind w:left="426" w:hanging="426"/>
        <w:rPr>
          <w:lang w:val="fr-BE"/>
        </w:rPr>
      </w:pPr>
      <w:r>
        <w:rPr>
          <w:rStyle w:val="FootnoteReference"/>
        </w:rPr>
        <w:footnoteRef/>
      </w:r>
      <w:r>
        <w:rPr>
          <w:lang w:val="fr-BE"/>
        </w:rPr>
        <w:tab/>
        <w:t>Pour obtenir des explications sur les modes de gestion ainsi que les références au règlement financier, voir:</w:t>
      </w:r>
      <w:r>
        <w:rPr>
          <w:lang w:val="fr-BE"/>
        </w:rPr>
        <w:tab/>
      </w:r>
      <w:r>
        <w:rPr>
          <w:lang w:val="fr-BE"/>
        </w:rPr>
        <w:br/>
      </w:r>
      <w:hyperlink r:id="rId1">
        <w:r>
          <w:rPr>
            <w:rStyle w:val="Hyperlink"/>
            <w:lang w:val="fr-BE"/>
          </w:rPr>
          <w:t>http://www.cc.cec/budg/man/budgmanag/budgmanag_fr.html</w:t>
        </w:r>
      </w:hyperlink>
    </w:p>
  </w:footnote>
  <w:footnote w:id="13">
    <w:p>
      <w:pPr>
        <w:pStyle w:val="FootnoteText"/>
        <w:spacing w:after="120"/>
        <w:ind w:left="426" w:hanging="426"/>
        <w:rPr>
          <w:lang w:val="fr-BE"/>
        </w:rPr>
      </w:pPr>
      <w:r>
        <w:rPr>
          <w:rStyle w:val="FootnoteReference"/>
        </w:rPr>
        <w:footnoteRef/>
      </w:r>
      <w:r>
        <w:rPr>
          <w:lang w:val="fr-BE"/>
        </w:rPr>
        <w:tab/>
        <w:t>CD = crédits dissociés; CND = crédits non dissociés.</w:t>
      </w:r>
    </w:p>
  </w:footnote>
  <w:footnote w:id="14">
    <w:p>
      <w:pPr>
        <w:pStyle w:val="FootnoteText"/>
        <w:spacing w:after="120"/>
        <w:ind w:left="426" w:hanging="426"/>
        <w:rPr>
          <w:lang w:val="fr-BE"/>
        </w:rPr>
      </w:pPr>
      <w:r>
        <w:rPr>
          <w:rStyle w:val="FootnoteReference"/>
        </w:rPr>
        <w:footnoteRef/>
      </w:r>
      <w:r>
        <w:rPr>
          <w:lang w:val="fr-BE"/>
        </w:rPr>
        <w:tab/>
        <w:t xml:space="preserve">Association européenne de libre-échange. </w:t>
      </w:r>
    </w:p>
  </w:footnote>
  <w:footnote w:id="15">
    <w:p>
      <w:pPr>
        <w:pStyle w:val="FootnoteText"/>
        <w:spacing w:after="120"/>
        <w:ind w:left="426" w:hanging="426"/>
        <w:rPr>
          <w:lang w:val="fr-BE"/>
        </w:rPr>
      </w:pPr>
      <w:r>
        <w:rPr>
          <w:rStyle w:val="FootnoteReference"/>
        </w:rPr>
        <w:footnoteRef/>
      </w:r>
      <w:r>
        <w:rPr>
          <w:lang w:val="fr-BE"/>
        </w:rPr>
        <w:tab/>
        <w:t>Pays candidats et, le cas échéant, pays candidats potentiels des Balkans occidentaux.</w:t>
      </w:r>
    </w:p>
  </w:footnote>
  <w:footnote w:id="16">
    <w:p>
      <w:pPr>
        <w:pStyle w:val="FootnoteText"/>
        <w:ind w:left="426" w:hanging="426"/>
        <w:rPr>
          <w:lang w:val="fr-BE"/>
        </w:rPr>
      </w:pPr>
      <w:r>
        <w:rPr>
          <w:rStyle w:val="FootnoteReference"/>
        </w:rPr>
        <w:footnoteRef/>
      </w:r>
      <w:r>
        <w:rPr>
          <w:lang w:val="fr-BE"/>
        </w:rPr>
        <w:tab/>
        <w:t>La ligne budgétaire 15 04 02 est une ligne réservée aux PECO et à l’AELE. L’action spécifique de l’EUYO ne sera pas soumise à l’accord de ces pays tiers.</w:t>
      </w:r>
    </w:p>
  </w:footnote>
  <w:footnote w:id="17">
    <w:p>
      <w:pPr>
        <w:pStyle w:val="FootnoteText"/>
        <w:spacing w:after="120"/>
        <w:ind w:left="426" w:hanging="426"/>
        <w:rPr>
          <w:lang w:val="fr-BE"/>
        </w:rPr>
      </w:pPr>
      <w:r>
        <w:rPr>
          <w:rStyle w:val="FootnoteReference"/>
        </w:rPr>
        <w:footnoteRef/>
      </w:r>
      <w:r>
        <w:rPr>
          <w:lang w:val="fr-BE"/>
        </w:rPr>
        <w:tab/>
        <w:t>L’année N est l’année du début de la mise en œuvre de la proposition/de l’initiative.</w:t>
      </w:r>
    </w:p>
  </w:footnote>
  <w:footnote w:id="18">
    <w:p>
      <w:pPr>
        <w:pStyle w:val="FootnoteText"/>
        <w:spacing w:after="120"/>
        <w:ind w:left="426" w:hanging="426"/>
        <w:rPr>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19">
    <w:p>
      <w:pPr>
        <w:pStyle w:val="FootnoteText"/>
        <w:spacing w:after="120"/>
        <w:ind w:left="426" w:hanging="426"/>
        <w:rPr>
          <w:lang w:val="fr-BE"/>
        </w:rPr>
      </w:pPr>
      <w:r>
        <w:rPr>
          <w:rStyle w:val="FootnoteReference"/>
        </w:rPr>
        <w:footnoteRef/>
      </w:r>
      <w:r>
        <w:rPr>
          <w:lang w:val="fr-BE"/>
        </w:rPr>
        <w:tab/>
        <w:t>L’année N est l’année du début de la mise en œuvre de la proposition/de l’initiative.</w:t>
      </w:r>
    </w:p>
  </w:footnote>
  <w:footnote w:id="20">
    <w:p>
      <w:pPr>
        <w:pStyle w:val="FootnoteText"/>
        <w:spacing w:after="120"/>
        <w:ind w:left="426" w:hanging="426"/>
        <w:rPr>
          <w:lang w:val="fr-BE"/>
        </w:rPr>
      </w:pPr>
      <w:r>
        <w:rPr>
          <w:rStyle w:val="FootnoteReference"/>
        </w:rPr>
        <w:footnoteRef/>
      </w:r>
      <w:r>
        <w:rPr>
          <w:lang w:val="fr-BE"/>
        </w:rPr>
        <w:tab/>
        <w:t>Les réalisations se réfèrent aux produits et services qui seront fournis (par exemple: nombre d’échanges d’étudiants financés, nombre de km de routes construites, etc.).</w:t>
      </w:r>
    </w:p>
  </w:footnote>
  <w:footnote w:id="21">
    <w:p>
      <w:pPr>
        <w:pStyle w:val="FootnoteText"/>
        <w:rPr>
          <w:szCs w:val="24"/>
          <w:lang w:val="fr-BE"/>
        </w:rPr>
      </w:pPr>
      <w:r>
        <w:rPr>
          <w:rStyle w:val="FootnoteReference"/>
        </w:rPr>
        <w:footnoteRef/>
      </w:r>
      <w:r>
        <w:rPr>
          <w:lang w:val="fr-BE"/>
        </w:rPr>
        <w:tab/>
        <w:t xml:space="preserve">Tels que décrits dans la partie 1.4.2. «Objectifs spécifiques». </w:t>
      </w:r>
    </w:p>
  </w:footnote>
  <w:footnote w:id="22">
    <w:p>
      <w:pPr>
        <w:pStyle w:val="FootnoteText"/>
        <w:rPr>
          <w:szCs w:val="24"/>
          <w:lang w:val="fr-BE"/>
        </w:rPr>
      </w:pPr>
      <w:r>
        <w:rPr>
          <w:rStyle w:val="FootnoteReference"/>
        </w:rPr>
        <w:footnoteRef/>
      </w:r>
      <w:r>
        <w:rPr>
          <w:lang w:val="fr-BE"/>
        </w:rPr>
        <w:tab/>
        <w:t>L’année N est l’année du début de la mise en œuvre de la proposition/de l’initiative.</w:t>
      </w:r>
    </w:p>
  </w:footnote>
  <w:footnote w:id="23">
    <w:p>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24">
    <w:p>
      <w:pPr>
        <w:pStyle w:val="FootnoteText"/>
        <w:spacing w:after="120"/>
        <w:ind w:left="426" w:hanging="426"/>
        <w:rPr>
          <w:lang w:val="fr-BE"/>
        </w:rPr>
      </w:pPr>
      <w:r>
        <w:rPr>
          <w:rStyle w:val="FootnoteReference"/>
        </w:rPr>
        <w:footnoteRef/>
      </w:r>
      <w:r>
        <w:rPr>
          <w:lang w:val="fr-BE"/>
        </w:rPr>
        <w:tab/>
        <w:t xml:space="preserve">AC = agent contractuel; AL = agent local; END = expert national détaché; INT = intérimaire; JED = jeunes experts en délégation. </w:t>
      </w:r>
    </w:p>
  </w:footnote>
  <w:footnote w:id="25">
    <w:p>
      <w:pPr>
        <w:pStyle w:val="FootnoteText"/>
        <w:spacing w:after="120"/>
        <w:ind w:left="426" w:hanging="426"/>
        <w:rPr>
          <w:lang w:val="fr-BE"/>
        </w:rPr>
      </w:pPr>
      <w:r>
        <w:rPr>
          <w:rStyle w:val="FootnoteReference"/>
        </w:rPr>
        <w:footnoteRef/>
      </w:r>
      <w:r>
        <w:rPr>
          <w:lang w:val="fr-BE"/>
        </w:rPr>
        <w:tab/>
        <w:t>Sous-plafonds de personnel externe financés sur crédits opérationnels (anciennes lignes «BA»).</w:t>
      </w:r>
    </w:p>
  </w:footnote>
  <w:footnote w:id="26">
    <w:p>
      <w:pPr>
        <w:pStyle w:val="FootnoteText"/>
        <w:rPr>
          <w:szCs w:val="24"/>
          <w:lang w:val="fr-BE"/>
        </w:rPr>
      </w:pPr>
      <w:r>
        <w:rPr>
          <w:rStyle w:val="FootnoteReference"/>
        </w:rPr>
        <w:footnoteRef/>
      </w:r>
      <w:r>
        <w:rPr>
          <w:lang w:val="fr-BE"/>
        </w:rP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DC6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D292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0EC5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E67F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B8C8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58D1B6B"/>
    <w:multiLevelType w:val="hybridMultilevel"/>
    <w:tmpl w:val="FFD05CB6"/>
    <w:styleLink w:val="Stileimportato2"/>
    <w:lvl w:ilvl="0" w:tplc="4242606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C4E8F6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5D4CC31E">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FA3C9D78">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3A0E04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732F2B8">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D408D1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C241C2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86F2D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700930"/>
    <w:multiLevelType w:val="hybridMultilevel"/>
    <w:tmpl w:val="43347B4A"/>
    <w:styleLink w:val="Stileimportato4"/>
    <w:lvl w:ilvl="0" w:tplc="62A26DC8">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05AE2482">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09F45A00">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BC8AD12">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B907EC4">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A2CD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E10698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1C89A60">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516D67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4"/>
  </w:num>
  <w:num w:numId="5">
    <w:abstractNumId w:val="20"/>
  </w:num>
  <w:num w:numId="6">
    <w:abstractNumId w:val="25"/>
  </w:num>
  <w:num w:numId="7">
    <w:abstractNumId w:val="4"/>
  </w:num>
  <w:num w:numId="8">
    <w:abstractNumId w:val="3"/>
  </w:num>
  <w:num w:numId="9">
    <w:abstractNumId w:val="26"/>
    <w:lvlOverride w:ilvl="0">
      <w:startOverride w:val="1"/>
    </w:lvlOverride>
  </w:num>
  <w:num w:numId="10">
    <w:abstractNumId w:val="2"/>
  </w:num>
  <w:num w:numId="11">
    <w:abstractNumId w:val="1"/>
  </w:num>
  <w:num w:numId="12">
    <w:abstractNumId w:val="0"/>
  </w:num>
  <w:num w:numId="13">
    <w:abstractNumId w:val="10"/>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lvlOverride w:ilvl="0">
      <w:startOverride w:val="1"/>
    </w:lvlOverride>
  </w:num>
  <w:num w:numId="18">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19"/>
  </w:num>
  <w:num w:numId="22">
    <w:abstractNumId w:val="11"/>
  </w:num>
  <w:num w:numId="23">
    <w:abstractNumId w:val="23"/>
  </w:num>
  <w:num w:numId="24">
    <w:abstractNumId w:val="9"/>
  </w:num>
  <w:num w:numId="25">
    <w:abstractNumId w:val="12"/>
  </w:num>
  <w:num w:numId="26">
    <w:abstractNumId w:val="7"/>
  </w:num>
  <w:num w:numId="27">
    <w:abstractNumId w:val="22"/>
  </w:num>
  <w:num w:numId="28">
    <w:abstractNumId w:val="6"/>
  </w:num>
  <w:num w:numId="29">
    <w:abstractNumId w:val="13"/>
  </w:num>
  <w:num w:numId="30">
    <w:abstractNumId w:val="17"/>
  </w:num>
  <w:num w:numId="31">
    <w:abstractNumId w:val="18"/>
  </w:num>
  <w:num w:numId="32">
    <w:abstractNumId w:val="8"/>
  </w:num>
  <w:num w:numId="33">
    <w:abstractNumId w:val="16"/>
  </w:num>
  <w:num w:numId="34">
    <w:abstractNumId w:val="26"/>
  </w:num>
  <w:num w:numId="35">
    <w:abstractNumId w:val="19"/>
  </w:num>
  <w:num w:numId="36">
    <w:abstractNumId w:val="11"/>
  </w:num>
  <w:num w:numId="37">
    <w:abstractNumId w:val="23"/>
  </w:num>
  <w:num w:numId="38">
    <w:abstractNumId w:val="9"/>
  </w:num>
  <w:num w:numId="39">
    <w:abstractNumId w:val="12"/>
  </w:num>
  <w:num w:numId="40">
    <w:abstractNumId w:val="7"/>
  </w:num>
  <w:num w:numId="41">
    <w:abstractNumId w:val="22"/>
  </w:num>
  <w:num w:numId="42">
    <w:abstractNumId w:val="6"/>
  </w:num>
  <w:num w:numId="43">
    <w:abstractNumId w:val="13"/>
  </w:num>
  <w:num w:numId="44">
    <w:abstractNumId w:val="17"/>
  </w:num>
  <w:num w:numId="45">
    <w:abstractNumId w:val="18"/>
  </w:num>
  <w:num w:numId="46">
    <w:abstractNumId w:val="8"/>
  </w:num>
  <w:num w:numId="47">
    <w:abstractNumId w:val="16"/>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4 15:27: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1D5B9ECFAE944429FEBA443491AA09E"/>
    <w:docVar w:name="LW_CROSSREFERENCE" w:val="&lt;UNUSED&gt;"/>
    <w:docVar w:name="LW_DocType" w:val="COM"/>
    <w:docVar w:name="LW_EMISSION" w:val="28.7.2017"/>
    <w:docVar w:name="LW_EMISSION_ISODATE" w:val="2017-07-28"/>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163"/>
    <w:docVar w:name="LW_REF.II.NEW.CP_YEAR" w:val="2017"/>
    <w:docVar w:name="LW_REF.INST.NEW" w:val="COM"/>
    <w:docVar w:name="LW_REF.INST.NEW_ADOPTED" w:val="final"/>
    <w:docVar w:name="LW_REF.INST.NEW_TEXT" w:val="(2017) 385"/>
    <w:docVar w:name="LW_REF.INTERNE" w:val="&lt;UNUSED&gt;"/>
    <w:docVar w:name="LW_SOUS.TITRE.OBJ.CP" w:val="&lt;UNUSED&gt;"/>
    <w:docVar w:name="LW_STATUT.CP" w:val="Proposition de"/>
    <w:docVar w:name="LW_SUPERTITRE" w:val="&lt;UNUSED&gt;"/>
    <w:docVar w:name="LW_TITRE.OBJ.CP" w:val="portant modification du règlement (UE) nº 1295/2013 établissant le programme «Europe créative» (2014 à 2020) "/>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eastAsia="en-GB"/>
    </w:rPr>
  </w:style>
  <w:style w:type="paragraph" w:styleId="ListBullet2">
    <w:name w:val="List Bullet 2"/>
    <w:basedOn w:val="Normal"/>
    <w:uiPriority w:val="99"/>
    <w:pPr>
      <w:numPr>
        <w:numId w:val="6"/>
      </w:numPr>
    </w:pPr>
    <w:rPr>
      <w:rFonts w:eastAsia="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customStyle="1" w:styleId="tiret10">
    <w:name w:val="tiret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character" w:customStyle="1" w:styleId="Hyperlink0">
    <w:name w:val="Hyperlink.0"/>
    <w:basedOn w:val="DefaultParagraphFont"/>
    <w:rPr>
      <w:color w:val="0000FF"/>
      <w:u w:val="single" w:color="0000FF"/>
      <w:lang w:val="pt-PT"/>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eastAsia="en-GB"/>
    </w:rPr>
  </w:style>
  <w:style w:type="paragraph" w:styleId="ListBullet2">
    <w:name w:val="List Bullet 2"/>
    <w:basedOn w:val="Normal"/>
    <w:uiPriority w:val="99"/>
    <w:pPr>
      <w:numPr>
        <w:numId w:val="6"/>
      </w:numPr>
    </w:pPr>
    <w:rPr>
      <w:rFonts w:eastAsia="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customStyle="1" w:styleId="tiret10">
    <w:name w:val="tiret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character" w:customStyle="1" w:styleId="Hyperlink0">
    <w:name w:val="Hyperlink.0"/>
    <w:basedOn w:val="DefaultParagraphFont"/>
    <w:rPr>
      <w:color w:val="0000FF"/>
      <w:u w:val="single" w:color="0000FF"/>
      <w:lang w:val="pt-PT"/>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6238">
      <w:bodyDiv w:val="1"/>
      <w:marLeft w:val="0"/>
      <w:marRight w:val="0"/>
      <w:marTop w:val="0"/>
      <w:marBottom w:val="0"/>
      <w:divBdr>
        <w:top w:val="none" w:sz="0" w:space="0" w:color="auto"/>
        <w:left w:val="none" w:sz="0" w:space="0" w:color="auto"/>
        <w:bottom w:val="none" w:sz="0" w:space="0" w:color="auto"/>
        <w:right w:val="none" w:sz="0" w:space="0" w:color="auto"/>
      </w:divBdr>
    </w:div>
    <w:div w:id="1333947615">
      <w:bodyDiv w:val="1"/>
      <w:marLeft w:val="0"/>
      <w:marRight w:val="0"/>
      <w:marTop w:val="0"/>
      <w:marBottom w:val="0"/>
      <w:divBdr>
        <w:top w:val="none" w:sz="0" w:space="0" w:color="auto"/>
        <w:left w:val="none" w:sz="0" w:space="0" w:color="auto"/>
        <w:bottom w:val="none" w:sz="0" w:space="0" w:color="auto"/>
        <w:right w:val="none" w:sz="0" w:space="0" w:color="auto"/>
      </w:divBdr>
    </w:div>
    <w:div w:id="16415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3D82-9136-4835-B22D-C490BBCE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4277</Words>
  <Characters>24512</Characters>
  <Application>Microsoft Office Word</Application>
  <DocSecurity>0</DocSecurity>
  <Lines>1225</Lines>
  <Paragraphs>587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2017-05-29T08:18:00Z</cp:lastPrinted>
  <dcterms:created xsi:type="dcterms:W3CDTF">2017-07-14T09:29:00Z</dcterms:created>
  <dcterms:modified xsi:type="dcterms:W3CDTF">2017-07-24T13:27:00Z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