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4957E50D064F44B9F3A6672EB13A4A" style="width:450.55pt;height:352.2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Point0"/>
        <w:rPr>
          <w:noProof/>
        </w:rPr>
      </w:pPr>
      <w:r>
        <w:rPr>
          <w:noProof/>
        </w:rPr>
        <w:t>1.</w:t>
      </w:r>
      <w:r>
        <w:rPr>
          <w:noProof/>
        </w:rPr>
        <w:tab/>
        <w:t>W kontekście społeczeństwa obywatelskiego w Europie Komisja przywiązuje wielką wagę do uproszczenia i uporządkowania prawa Unii, tak aby stało się ono bardziej przejrzyste i dostępne dla obywateli, otwierając im w ten sposób nowe możliwości korzystania z przysługujących im konkretnych uprawnień.</w:t>
      </w:r>
    </w:p>
    <w:p>
      <w:pPr>
        <w:pStyle w:val="Text1"/>
        <w:rPr>
          <w:noProof/>
        </w:rPr>
      </w:pPr>
      <w:r>
        <w:rPr>
          <w:noProof/>
        </w:rPr>
        <w:t>Ten cel nie może zostać osiągnięty tak długo, jak liczne przepisy, które były wielokrotnie zmieniane, często zasadniczo, pozostają rozproszone, tak iż trzeba ich szukać częściowo w oryginalnym akcie, a częściowo w późniejszych aktach zmieniających. Wymaga to pracochłonnego porównywania wielu różnych aktów w celu ustalenia obowiązujących norm prawnych.</w:t>
      </w:r>
    </w:p>
    <w:p>
      <w:pPr>
        <w:pStyle w:val="Text1"/>
        <w:rPr>
          <w:noProof/>
        </w:rPr>
      </w:pPr>
      <w:r>
        <w:rPr>
          <w:noProof/>
        </w:rPr>
        <w:t>Z tego powodu ujednolicenie przepisów często zmienianych jest potrzebne, aby prawo stało się jasne i zrozumiałe.</w:t>
      </w:r>
    </w:p>
    <w:p>
      <w:pPr>
        <w:pStyle w:val="Point0"/>
        <w:rPr>
          <w:noProof/>
        </w:rPr>
      </w:pPr>
      <w:r>
        <w:rPr>
          <w:noProof/>
        </w:rPr>
        <w:t>2.</w:t>
      </w:r>
      <w:r>
        <w:rPr>
          <w:noProof/>
        </w:rPr>
        <w:tab/>
        <w:t>W dniu 1 kwietnia 1987 r. Komisja postanowiła</w:t>
      </w:r>
      <w:r>
        <w:rPr>
          <w:rStyle w:val="FootnoteReference"/>
          <w:noProof/>
        </w:rPr>
        <w:footnoteReference w:id="1"/>
      </w:r>
      <w:r>
        <w:rPr>
          <w:noProof/>
        </w:rPr>
        <w:t xml:space="preserve"> zalecić swoim pracownikom, aby wszystkie akty były ujednolicane nie później niż po 10 zmianach, podkreślając, że jest to wymaganie minimalne i że odpowiednie jednostki powinny starać się nawet częściej ujednolicać teksty, za które są odpowiedzialne, tak aby przepisy tych aktów były jasne i łatwo zrozumiałe.</w:t>
      </w:r>
    </w:p>
    <w:p>
      <w:pPr>
        <w:pStyle w:val="Point0"/>
        <w:rPr>
          <w:noProof/>
        </w:rPr>
      </w:pPr>
      <w:r>
        <w:rPr>
          <w:noProof/>
        </w:rPr>
        <w:t>3.</w:t>
      </w:r>
      <w:r>
        <w:rPr>
          <w:noProof/>
        </w:rPr>
        <w:tab/>
        <w:t>Konkluzje Prezydencji Rady Europejskiej w Edynburgu (grudzień 1992 r.) potwierdziły to stanowisko</w:t>
      </w:r>
      <w:r>
        <w:rPr>
          <w:rStyle w:val="FootnoteReference"/>
          <w:noProof/>
        </w:rPr>
        <w:footnoteReference w:id="2"/>
      </w:r>
      <w:r>
        <w:rPr>
          <w:noProof/>
        </w:rPr>
        <w:t>, podkreślając wagę ujednolicania, które daje pewność co do prawa stosowanego wobec danej materii w danym czasie.</w:t>
      </w:r>
    </w:p>
    <w:p>
      <w:pPr>
        <w:pStyle w:val="Text1"/>
        <w:rPr>
          <w:noProof/>
        </w:rPr>
      </w:pPr>
      <w:r>
        <w:rPr>
          <w:noProof/>
        </w:rPr>
        <w:t>Ujednolicanie musi być podejmowane w pełnej zgodności z normalną procedurą przyjmowania aktów Unii.</w:t>
      </w:r>
    </w:p>
    <w:p>
      <w:pPr>
        <w:pStyle w:val="Text1"/>
        <w:rPr>
          <w:noProof/>
        </w:rPr>
      </w:pPr>
      <w:r>
        <w:rPr>
          <w:noProof/>
        </w:rPr>
        <w:t>Zważywszy, że żadne zmiany co do treści nie mogą być wprowadzane do ujednolicanych aktów, Parlament Europejski, Rada i Komisja uzgodniły, w drodze porozumienia międzyinstytucjonalnego z dnia 20 grudnia 1994 r., możliwość stosowania przyspieszonej procedury dla szybkiego przyjmowania takich aktów.</w:t>
      </w:r>
    </w:p>
    <w:p>
      <w:pPr>
        <w:pStyle w:val="Point0"/>
        <w:rPr>
          <w:noProof/>
        </w:rPr>
      </w:pPr>
      <w:r>
        <w:rPr>
          <w:noProof/>
        </w:rPr>
        <w:t>4.</w:t>
      </w:r>
      <w:r>
        <w:rPr>
          <w:noProof/>
        </w:rPr>
        <w:tab/>
        <w:t>Celem niniejszego wniosku jest ujednolicenie rozporządzenia Parlamentu Europejskiego i Rady (WE) nr 1365/2006 z dnia 6 września 2006 r. w sprawie statystyk dotyczących transportu towarów wodami śródlądowymi i uchylające dyrektywę Rady 80/1119/EWG</w:t>
      </w:r>
      <w:r>
        <w:rPr>
          <w:rStyle w:val="FootnoteReference"/>
          <w:noProof/>
        </w:rPr>
        <w:footnoteReference w:id="3"/>
      </w:r>
      <w:r>
        <w:rPr>
          <w:noProof/>
        </w:rPr>
        <w:t>. Nowe rozporządzenie zastąpi włączone do niego akty</w:t>
      </w:r>
      <w:r>
        <w:rPr>
          <w:rStyle w:val="FootnoteReference"/>
          <w:noProof/>
        </w:rPr>
        <w:footnoteReference w:id="4"/>
      </w:r>
      <w:r>
        <w:rPr>
          <w:noProof/>
        </w:rPr>
        <w:t>; niniejszy wniosek całkowicie zachowuje treść ujednolicanych aktów, zbiera je więc jedynie razem, dokonując tylko takich formalnych zmian, jakie wynikają z samego zadania ujednolicenia.</w:t>
      </w:r>
    </w:p>
    <w:p>
      <w:pPr>
        <w:pStyle w:val="Point0"/>
        <w:ind w:left="851" w:hanging="851"/>
        <w:rPr>
          <w:noProof/>
        </w:rPr>
      </w:pPr>
      <w:r>
        <w:rPr>
          <w:noProof/>
        </w:rPr>
        <w:t>5.</w:t>
      </w:r>
      <w:r>
        <w:rPr>
          <w:noProof/>
        </w:rPr>
        <w:tab/>
        <w:t>Wniosek w sprawie ujednolicenia został sporządzony na podstawie wstępnej konsolidacji, w 24 językach urzędowych, rozporządzenia (WE) nr 1365/2006 i aktów je zmieniających, przygotowanej przez Urząd Publikacji Unii Europejskiej za pomocą systemu przetwarzania danych. Tam, gdzie artykułom nadano nowe numery, korelacja pomiędzy starą i nową numeracją została określona w tabeli zawartej w załączniku VIII do ujednoliconego rozporządzenia.</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 (dostosowany)</w:t>
      </w:r>
    </w:p>
    <w:p>
      <w:pPr>
        <w:pStyle w:val="Rfrenceinterinstitutionnelle"/>
        <w:rPr>
          <w:noProof/>
        </w:rPr>
      </w:pPr>
      <w:r>
        <w:rPr>
          <w:noProof/>
        </w:rPr>
        <w:t>2013/0226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statystyk dotyczących transportu towarów wodami śródlądowymi (tekst jednolity)</w:t>
      </w:r>
    </w:p>
    <w:p>
      <w:pPr>
        <w:pStyle w:val="Institutionquiagit"/>
        <w:rPr>
          <w:noProof/>
        </w:rPr>
      </w:pPr>
      <w:r>
        <w:rPr>
          <w:noProof/>
        </w:rPr>
        <w:t>PARLAMENT EUROPEJSKI I RADA UNII EUROPEJSKIEJ,</w:t>
      </w:r>
    </w:p>
    <w:p>
      <w:pPr>
        <w:rPr>
          <w:rFonts w:eastAsia="Calibri"/>
          <w:noProof/>
        </w:rPr>
      </w:pPr>
      <w:r>
        <w:rPr>
          <w:rFonts w:eastAsia="Calibri"/>
          <w:noProof/>
        </w:rPr>
        <w:t>uwzględniając Traktat o funkcjonowaniu Unii Europejskiej, w szczególności jego art. </w:t>
      </w:r>
      <w:r>
        <w:rPr>
          <w:rFonts w:eastAsia="Calibri"/>
          <w:noProof/>
        </w:rPr>
        <w:fldChar w:fldCharType="begin"/>
      </w:r>
      <w:r>
        <w:rPr>
          <w:rFonts w:eastAsia="Calibri"/>
          <w:noProof/>
        </w:rPr>
        <w:instrText xml:space="preserve"> QUOTE "</w:instrText>
      </w:r>
      <w:r>
        <w:rPr>
          <w:rFonts w:ascii="Wingdings" w:eastAsia="Calibri" w:hAnsi="Wingdings" w:cs="Wingdings"/>
          <w:noProof/>
        </w:rPr>
        <w:instrText>Ö</w:instrText>
      </w:r>
      <w:r>
        <w:rPr>
          <w:rFonts w:eastAsia="Calibri"/>
          <w:noProof/>
        </w:rPr>
        <w:instrText xml:space="preserve">" </w:instrText>
      </w:r>
      <w:r>
        <w:rPr>
          <w:rFonts w:eastAsia="Calibri"/>
          <w:noProof/>
        </w:rPr>
        <w:fldChar w:fldCharType="separate"/>
      </w:r>
      <w:r>
        <w:rPr>
          <w:rFonts w:ascii="Wingdings" w:eastAsia="Calibri" w:hAnsi="Wingdings" w:cs="Wingdings"/>
          <w:noProof/>
        </w:rPr>
        <w:t>Ö</w:t>
      </w:r>
      <w:r>
        <w:rPr>
          <w:rFonts w:eastAsia="Calibri"/>
          <w:noProof/>
        </w:rPr>
        <w:fldChar w:fldCharType="end"/>
      </w:r>
      <w:r>
        <w:rPr>
          <w:rFonts w:eastAsia="Calibri"/>
          <w:noProof/>
        </w:rPr>
        <w:t> 338 ust. 1 </w:t>
      </w:r>
      <w:r>
        <w:rPr>
          <w:rFonts w:eastAsia="Calibri"/>
          <w:noProof/>
        </w:rPr>
        <w:fldChar w:fldCharType="begin"/>
      </w:r>
      <w:r>
        <w:rPr>
          <w:rFonts w:eastAsia="Calibri"/>
          <w:noProof/>
        </w:rPr>
        <w:instrText xml:space="preserve"> QUOTE "</w:instrText>
      </w:r>
      <w:r>
        <w:rPr>
          <w:rFonts w:ascii="Wingdings" w:eastAsia="Calibri" w:hAnsi="Wingdings" w:cs="Wingdings"/>
          <w:noProof/>
        </w:rPr>
        <w:instrText>Õ</w:instrText>
      </w:r>
      <w:r>
        <w:rPr>
          <w:rFonts w:eastAsia="Calibri"/>
          <w:noProof/>
        </w:rPr>
        <w:instrText xml:space="preserve">" </w:instrText>
      </w:r>
      <w:r>
        <w:rPr>
          <w:rFonts w:eastAsia="Calibri"/>
          <w:noProof/>
        </w:rPr>
        <w:fldChar w:fldCharType="separate"/>
      </w:r>
      <w:r>
        <w:rPr>
          <w:rFonts w:ascii="Wingdings" w:eastAsia="Calibri" w:hAnsi="Wingdings" w:cs="Wingdings"/>
          <w:noProof/>
        </w:rPr>
        <w:t>Õ</w:t>
      </w:r>
      <w:r>
        <w:rPr>
          <w:rFonts w:eastAsia="Calibri"/>
          <w:noProof/>
        </w:rPr>
        <w:fldChar w:fldCharType="end"/>
      </w:r>
      <w:r>
        <w:rPr>
          <w:rFonts w:eastAsia="Calibri"/>
          <w:noProof/>
        </w:rPr>
        <w:t>,</w:t>
      </w:r>
    </w:p>
    <w:p>
      <w:pPr>
        <w:rPr>
          <w:rFonts w:eastAsia="Calibri"/>
          <w:noProof/>
        </w:rPr>
      </w:pPr>
      <w:r>
        <w:rPr>
          <w:rFonts w:eastAsia="Calibri"/>
          <w:noProof/>
        </w:rPr>
        <w:t>uwzględniając wniosek Komisji Europejskiej,</w:t>
      </w:r>
    </w:p>
    <w:p>
      <w:pPr>
        <w:rPr>
          <w:rFonts w:eastAsia="Calibri"/>
          <w:noProof/>
        </w:rPr>
      </w:pPr>
      <w:r>
        <w:rPr>
          <w:rFonts w:eastAsia="Calibri"/>
          <w:noProof/>
        </w:rPr>
        <w:t>po przekazaniu projektu aktu ustawodawczego parlamentom narodowym,</w:t>
      </w:r>
    </w:p>
    <w:p>
      <w:pPr>
        <w:rPr>
          <w:rFonts w:eastAsia="Calibri"/>
          <w:noProof/>
        </w:rPr>
      </w:pPr>
      <w:r>
        <w:rPr>
          <w:rFonts w:eastAsia="Calibri"/>
          <w:noProof/>
          <w:spacing w:val="-2"/>
        </w:rPr>
        <w:t>uwzględniając opinię Europejskiego Komitetu Ekonomiczno-Społecznego</w:t>
      </w:r>
      <w:r>
        <w:rPr>
          <w:rStyle w:val="FootnoteReference"/>
          <w:noProof/>
        </w:rPr>
        <w:footnoteReference w:id="5"/>
      </w:r>
      <w:r>
        <w:rPr>
          <w:rFonts w:eastAsia="Calibri"/>
          <w:noProof/>
          <w:spacing w:val="-2"/>
        </w:rPr>
        <w:t xml:space="preserve">, </w:t>
      </w:r>
    </w:p>
    <w:p>
      <w:pPr>
        <w:rPr>
          <w:rFonts w:eastAsia="Calibri"/>
          <w:noProof/>
        </w:rPr>
      </w:pPr>
      <w:r>
        <w:rPr>
          <w:rFonts w:eastAsia="Calibri"/>
          <w:noProof/>
        </w:rPr>
        <w:t>stanowiąc zgodnie ze zwykłą procedurą ustawodawczą,</w:t>
      </w:r>
    </w:p>
    <w:p>
      <w:pPr>
        <w:rPr>
          <w:noProof/>
        </w:rPr>
      </w:pPr>
      <w:r>
        <w:rPr>
          <w:rFonts w:eastAsia="Calibri"/>
          <w:noProof/>
        </w:rPr>
        <w:t>a także mając na uwadze, co następuje:</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w:t>
      </w:r>
    </w:p>
    <w:p>
      <w:pPr>
        <w:pStyle w:val="ManualConsidrant"/>
        <w:rPr>
          <w:noProof/>
        </w:rPr>
      </w:pPr>
      <w:bookmarkStart w:id="1" w:name="DQPStarAt1DQPStarAtDE46D8E179A342AD9BC3B"/>
      <w:bookmarkEnd w:id="1"/>
      <w:r>
        <w:t>(1)</w:t>
      </w:r>
      <w:r>
        <w:tab/>
      </w:r>
      <w:r>
        <w:rPr>
          <w:noProof/>
        </w:rPr>
        <w:t>Rozporządzenie Parlamentu Europejskiego i Rady (WE) nr 1365/2006</w:t>
      </w:r>
      <w:r>
        <w:rPr>
          <w:rStyle w:val="FootnoteReference"/>
          <w:rFonts w:eastAsia="Calibri"/>
          <w:noProof/>
        </w:rPr>
        <w:footnoteReference w:id="6"/>
      </w:r>
      <w:r>
        <w:rPr>
          <w:noProof/>
        </w:rPr>
        <w:t xml:space="preserve"> zostało kilkakrotnie znacząco zmienione</w:t>
      </w:r>
      <w:r>
        <w:rPr>
          <w:rStyle w:val="FootnoteReference"/>
          <w:rFonts w:eastAsia="Calibri"/>
          <w:noProof/>
        </w:rPr>
        <w:footnoteReference w:id="7"/>
      </w:r>
      <w:r>
        <w:rPr>
          <w:noProof/>
        </w:rPr>
        <w:t>. Dla zachowania przejrzystości i zrozumiałości należy je ujednolicić.</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 motyw 1 (dostosowany)</w:t>
      </w:r>
    </w:p>
    <w:p>
      <w:pPr>
        <w:pStyle w:val="ManualConsidrant"/>
        <w:rPr>
          <w:rFonts w:eastAsia="Calibri"/>
          <w:noProof/>
        </w:rPr>
      </w:pPr>
      <w:r>
        <w:t>(2)</w:t>
      </w:r>
      <w:r>
        <w:tab/>
      </w:r>
      <w:r>
        <w:rPr>
          <w:noProof/>
        </w:rPr>
        <w:t xml:space="preserve">Wody śródlądowe są ważną częścią sieci transportowej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 promowanie transportu wodami śródlądowymi jest jednym z celów wspólnej polityki transportowej, zarówno z powodów opłacalności, jak i w celu ograniczenia zużycia energii oraz wpływu transportu na środowisko naturalne.</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 motyw 2</w:t>
      </w:r>
    </w:p>
    <w:p>
      <w:pPr>
        <w:pStyle w:val="ManualConsidrant"/>
        <w:rPr>
          <w:rFonts w:eastAsia="Calibri"/>
          <w:noProof/>
        </w:rPr>
      </w:pPr>
      <w:r>
        <w:t>(3)</w:t>
      </w:r>
      <w:r>
        <w:tab/>
      </w:r>
      <w:r>
        <w:rPr>
          <w:noProof/>
        </w:rPr>
        <w:t>Komisja potrzebuje statystyk dotyczących transportu towarów wodami śródlądowymi celem monitorowania i rozwijania wspólnej polityki transportowej, jak również elementów związanych z transportem w politykach regionalnych oraz w politykach dotyczących sieci transeuropejskich.</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 motyw 5 (dostosowany)</w:t>
      </w:r>
    </w:p>
    <w:p>
      <w:pPr>
        <w:pStyle w:val="ManualConsidrant"/>
        <w:rPr>
          <w:rFonts w:eastAsia="Calibri"/>
          <w:noProof/>
        </w:rPr>
      </w:pPr>
      <w:r>
        <w:t>(4)</w:t>
      </w:r>
      <w:r>
        <w:tab/>
      </w:r>
      <w:r>
        <w:rPr>
          <w:noProof/>
        </w:rPr>
        <w:t xml:space="preserve">Statystyki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europejskie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dotyczące wszelkich środków transportu należy gromadzić zgodnie ze wspólnymi koncepcjami i standardami w celu osiągnięcia możliwie najpełniejszej porównywalności różnych rodzajów transportu.</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 motyw 6</w:t>
      </w:r>
    </w:p>
    <w:p>
      <w:pPr>
        <w:pStyle w:val="ManualConsidrant"/>
        <w:rPr>
          <w:noProof/>
        </w:rPr>
      </w:pPr>
      <w:r>
        <w:t>(5)</w:t>
      </w:r>
      <w:r>
        <w:tab/>
      </w:r>
      <w:r>
        <w:rPr>
          <w:noProof/>
        </w:rPr>
        <w:t>Nie we wszystkich państwach członkowskich dokonuje się transportu wodami śródlądowymi i z tego też względu zakres obowiązywania niniejszego rozporządzenia ogranicza się do tych państw członkowskich, w których stosuje się tę formę transportu.</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 motyw 7 (dostosowany)</w:t>
      </w:r>
    </w:p>
    <w:p>
      <w:pPr>
        <w:pStyle w:val="ManualConsidrant"/>
        <w:rPr>
          <w:rFonts w:eastAsia="Calibri"/>
          <w:noProof/>
        </w:rPr>
      </w:pPr>
      <w:r>
        <w:t>(6)</w:t>
      </w:r>
      <w:r>
        <w:tab/>
      </w:r>
      <w:r>
        <w:rPr>
          <w:noProof/>
        </w:rPr>
        <w:t xml:space="preserve">Ponieważ cel niniejszego rozporządzenia, a mianowicie stworzenie wspólnych standardów statystycznych umożliwiających tworzenie zharmonizowanych danych, nie może być w odpowiedni sposób osiągnięty przez państwa członkowskie i w związku z tym może być on lepiej osiągnięty na poziomie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może podjąć działania zgodnie z zasadą pomocniczości określoną w art. 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Traktatu o Unii Europejskiej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Zgodnie z zasadą proporcjonalności określoną w tym artykule niniejsze rozporządzenie nie wykracza poza to, co jest niezbędne do osiągnięcia tego celu.</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 motyw 8</w:t>
      </w:r>
    </w:p>
    <w:p>
      <w:pPr>
        <w:pStyle w:val="ManualConsidrant"/>
        <w:rPr>
          <w:rFonts w:eastAsia="Calibri"/>
          <w:noProof/>
        </w:rPr>
      </w:pPr>
      <w:r>
        <w:t>(7)</w:t>
      </w:r>
      <w:r>
        <w:tab/>
      </w:r>
      <w:r>
        <w:rPr>
          <w:noProof/>
        </w:rPr>
        <w:t>Rozporządzenie Parlamentu Europejskiego i Rady (WE) nr 223/2009</w:t>
      </w:r>
      <w:r>
        <w:rPr>
          <w:rStyle w:val="FootnoteReference"/>
          <w:noProof/>
          <w:color w:val="000000"/>
        </w:rPr>
        <w:footnoteReference w:id="8"/>
      </w:r>
      <w:r>
        <w:rPr>
          <w:noProof/>
        </w:rPr>
        <w:t xml:space="preserve"> określa ramy referencyjne dla przepisów zawartych w niniejszym rozporządzeniu.</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2016/1954 motyw 5 (dostosowany)</w:t>
      </w:r>
    </w:p>
    <w:p>
      <w:pPr>
        <w:pStyle w:val="ManualConsidrant"/>
        <w:rPr>
          <w:noProof/>
        </w:rPr>
      </w:pPr>
      <w:r>
        <w:t>(8)</w:t>
      </w:r>
      <w:r>
        <w:tab/>
      </w:r>
      <w:r>
        <w:rPr>
          <w:noProof/>
        </w:rPr>
        <w:t xml:space="preserve">W celu uwzględnienia zmian gospodarczych i postępu technicznego oraz zmian w definicjach przyjętych na szczeblu międzynarodowym, należy przekazać Komisji uprawnienia do przyjęcia aktów zgodnie z art. 290 Traktatu o funkcjonowaniu Unii Europejskiej w odniesieniu do zmiany tego rozporządzenia celem podwyższenia progu powyżej 1 000 000 ton dla objęcia statystykami transportu wodami śródlądowymi, dostosowania definicji lub ustanowienia nowych definicji, a także dostosowania załączników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niniejszego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rozporządzenia, tak aby uwzględnić zmiany kodowania i nomenklatury na szczeblu międzynarodowym lub w odnośnych aktach ustawodawczych Unii.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w:t>
      </w:r>
      <w:r>
        <w:rPr>
          <w:rStyle w:val="FootnoteReference"/>
          <w:noProof/>
        </w:rPr>
        <w:footnoteReference w:id="9"/>
      </w:r>
      <w:r>
        <w:rPr>
          <w:noProof/>
        </w:rPr>
        <w:t xml:space="preserve"> </w:t>
      </w:r>
      <w:r>
        <w:rPr>
          <w:rFonts w:eastAsia="Calibri"/>
          <w:noProof/>
        </w:rPr>
        <w:t>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2016/1954 motyw 6</w:t>
      </w:r>
    </w:p>
    <w:p>
      <w:pPr>
        <w:pStyle w:val="ManualConsidrant"/>
        <w:rPr>
          <w:noProof/>
        </w:rPr>
      </w:pPr>
      <w:r>
        <w:t>(9)</w:t>
      </w:r>
      <w:r>
        <w:tab/>
      </w:r>
      <w:r>
        <w:rPr>
          <w:noProof/>
        </w:rPr>
        <w:t>Komisja powinna zapewnić, aby te akty delegowane nie nakładały znaczącego dodatkowego obciążenia na państwa członkowskie ani na respondentów.</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2016/1954 motyw 7 (dostosowany)</w:t>
      </w:r>
    </w:p>
    <w:p>
      <w:pPr>
        <w:pStyle w:val="ManualConsidrant"/>
        <w:rPr>
          <w:noProof/>
        </w:rPr>
      </w:pPr>
      <w:r>
        <w:t>(10)</w:t>
      </w:r>
      <w:r>
        <w:tab/>
      </w:r>
      <w:r>
        <w:rPr>
          <w:noProof/>
        </w:rPr>
        <w:t xml:space="preserve">W celu zapewnienia jednolitych warunków wykonania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niniejszego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rozporządzenia, należy powierzyć Komisji uprawnienia wykonawcze umożliwiające jej przyjmowanie uzgodnień w sprawie przekazywania danych obejmujących standardy dotyczące wymiany danych, uzgodnień dotyczących rozpowszechniania wyników przez Komisję (Eurostat), a także umożliwiające jej opracowywanie i publikowanie wymogów i kryteriów metodologicznych ustanowionych w celu zapewnienia jakości wytwarzanych danych. Uprawnienia te powinny być wykonywane zgodnie z rozporządzeniem Parlamentu Europejskiego i Rady (UE) nr 182/2011</w:t>
      </w:r>
      <w:r>
        <w:rPr>
          <w:rStyle w:val="FootnoteReference"/>
          <w:noProof/>
        </w:rPr>
        <w:footnoteReference w:id="10"/>
      </w:r>
      <w:r>
        <w:rPr>
          <w:noProof/>
        </w:rPr>
        <w:t>.</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2016/1954 motyw 9</w:t>
      </w:r>
    </w:p>
    <w:p>
      <w:pPr>
        <w:pStyle w:val="ManualConsidrant"/>
        <w:rPr>
          <w:noProof/>
        </w:rPr>
      </w:pPr>
      <w:r>
        <w:t>(11)</w:t>
      </w:r>
      <w:r>
        <w:tab/>
      </w:r>
      <w:r>
        <w:rPr>
          <w:noProof/>
        </w:rPr>
        <w:t>Konieczne jest, aby Komisja zorganizowała badania pilotażowe, które zostaną przeprowadzone w odniesieniu do dostępności danych statystycznych dotyczących przewozu osób śródlądowymi drogami wodnymi, w tym w ramach usług przewozu transgranicznego. Unia powinna wnieść wkład w koszty przeprowadzania tych badań pilotażowych. Taki wkład powinien przybrać formę dotacji udzielanych krajowym urzędom statystycznym i innym organom krajowym, o których mowa w art. 5 rozporządzenia (WE) nr 223/2009, zgodnie z rozporządzeniem Parlamentu Europejskiego i Rady (UE, Euratom) nr 966/2012</w:t>
      </w:r>
      <w:r>
        <w:rPr>
          <w:rStyle w:val="FootnoteReference"/>
          <w:noProof/>
        </w:rPr>
        <w:footnoteReference w:id="11"/>
      </w:r>
      <w:r>
        <w:rPr>
          <w:noProof/>
        </w:rPr>
        <w:t>,</w:t>
      </w:r>
    </w:p>
    <w:p>
      <w:pPr>
        <w:rPr>
          <w:noProof/>
        </w:rPr>
        <w:sectPr>
          <w:pgSz w:w="11907" w:h="16839"/>
          <w:pgMar w:top="1134" w:right="1417" w:bottom="1134" w:left="1417" w:header="709" w:footer="709" w:gutter="0"/>
          <w:cols w:space="708"/>
          <w:docGrid w:linePitch="360"/>
        </w:sectPr>
      </w:pP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 (dostosowany)</w:t>
      </w:r>
    </w:p>
    <w:p>
      <w:pPr>
        <w:pStyle w:val="Formuledadoption"/>
        <w:rPr>
          <w:noProof/>
        </w:rPr>
      </w:pPr>
      <w:r>
        <w:rPr>
          <w:noProof/>
        </w:rPr>
        <w:t>PRZYJMUJĄ NINIEJSZE ROZPORZĄDZENIE:</w:t>
      </w:r>
    </w:p>
    <w:p>
      <w:pPr>
        <w:pStyle w:val="Titrearticle"/>
        <w:rPr>
          <w:noProof/>
        </w:rPr>
      </w:pPr>
      <w:r>
        <w:rPr>
          <w:noProof/>
        </w:rPr>
        <w:t>Artykuł 1</w:t>
      </w:r>
    </w:p>
    <w:p>
      <w:pPr>
        <w:pStyle w:val="NormalCentered"/>
        <w:rPr>
          <w:b/>
          <w:bCs/>
          <w:noProof/>
        </w:rPr>
      </w:pPr>
      <w:r>
        <w:rPr>
          <w:b/>
          <w:bCs/>
          <w:noProof/>
        </w:rPr>
        <w:t>Przedmiot</w:t>
      </w:r>
    </w:p>
    <w:p>
      <w:pPr>
        <w:rPr>
          <w:noProof/>
        </w:rPr>
      </w:pPr>
      <w:r>
        <w:rPr>
          <w:noProof/>
        </w:rPr>
        <w:t xml:space="preserve">Niniejsze rozporządzenie określa wspólne zasady tworzenia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europejskich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statystyk dotyczących transportu wodami śródlądowymi.</w:t>
      </w:r>
    </w:p>
    <w:p>
      <w:pPr>
        <w:pStyle w:val="Titrearticle"/>
        <w:rPr>
          <w:noProof/>
        </w:rPr>
      </w:pPr>
      <w:r>
        <w:rPr>
          <w:noProof/>
        </w:rPr>
        <w:t>Artykuł 2</w:t>
      </w:r>
    </w:p>
    <w:p>
      <w:pPr>
        <w:pStyle w:val="NormalCentered"/>
        <w:rPr>
          <w:b/>
          <w:bCs/>
          <w:noProof/>
        </w:rPr>
      </w:pPr>
      <w:r>
        <w:rPr>
          <w:b/>
          <w:bCs/>
          <w:noProof/>
        </w:rPr>
        <w:t>Zakres stosowania</w:t>
      </w:r>
    </w:p>
    <w:p>
      <w:pPr>
        <w:rPr>
          <w:noProof/>
        </w:rPr>
      </w:pPr>
      <w:r>
        <w:rPr>
          <w:noProof/>
        </w:rPr>
        <w:t>1. Państwa członkowskie przekazują Komisji (Eurostatowi) statystyki dotyczące transportu wodami śródlądowymi na ich terytorium.</w:t>
      </w:r>
    </w:p>
    <w:p>
      <w:pPr>
        <w:rPr>
          <w:noProof/>
        </w:rPr>
      </w:pPr>
      <w:r>
        <w:rPr>
          <w:noProof/>
        </w:rPr>
        <w:t>2. Państwa członkowskie, w których całkowity wolumen towarów transportowanych rocznie wodami śródlądowymi w ramach transportu krajowego, międzynarodowego lub tranzytu przekracza 1 000 000 ton, przekazują statystyki, o których mowa w art. 4 ust. 1.</w:t>
      </w:r>
    </w:p>
    <w:p>
      <w:pPr>
        <w:rPr>
          <w:noProof/>
        </w:rPr>
      </w:pPr>
      <w:r>
        <w:rPr>
          <w:noProof/>
        </w:rPr>
        <w:t>3. W drodze odstępstwa od ust. 2 państwa członkowskie, w których nie występuje międzynarodowy lub tranzytowy transport wodami śródlądowymi, ale w których całkowity wolumen towarów transportowanych rocznie wodami śródlądowymi w ramach transportu krajowego przekracza 1 000 000 ton, przekazują statystyki wymagane na mocy art. 4 ust. 2.</w:t>
      </w:r>
    </w:p>
    <w:p>
      <w:pPr>
        <w:rPr>
          <w:noProof/>
        </w:rPr>
      </w:pPr>
      <w:r>
        <w:rPr>
          <w:noProof/>
        </w:rPr>
        <w:t>4. Niniejsze rozporządzenie nie ma zastosowania do:</w:t>
      </w:r>
    </w:p>
    <w:p>
      <w:pPr>
        <w:pStyle w:val="Point0"/>
        <w:rPr>
          <w:noProof/>
        </w:rPr>
      </w:pPr>
      <w:r>
        <w:rPr>
          <w:noProof/>
        </w:rPr>
        <w:t>a)</w:t>
      </w:r>
      <w:r>
        <w:rPr>
          <w:noProof/>
        </w:rPr>
        <w:tab/>
        <w:t>przewozu towarów statkami o nośności poniżej 50 ton;</w:t>
      </w:r>
    </w:p>
    <w:p>
      <w:pPr>
        <w:pStyle w:val="Point0"/>
        <w:rPr>
          <w:noProof/>
        </w:rPr>
      </w:pPr>
      <w:r>
        <w:rPr>
          <w:noProof/>
        </w:rPr>
        <w:t>b)</w:t>
      </w:r>
      <w:r>
        <w:rPr>
          <w:noProof/>
        </w:rPr>
        <w:tab/>
        <w:t>statków wykorzystywanych głównie do przewozu pasażerów;</w:t>
      </w:r>
    </w:p>
    <w:p>
      <w:pPr>
        <w:pStyle w:val="Point0"/>
        <w:rPr>
          <w:noProof/>
        </w:rPr>
      </w:pPr>
      <w:r>
        <w:rPr>
          <w:noProof/>
        </w:rPr>
        <w:t>c)</w:t>
      </w:r>
      <w:r>
        <w:rPr>
          <w:noProof/>
        </w:rPr>
        <w:tab/>
        <w:t>statków wykorzystywanych do przepraw promowych;</w:t>
      </w:r>
    </w:p>
    <w:p>
      <w:pPr>
        <w:pStyle w:val="Point0"/>
        <w:rPr>
          <w:noProof/>
        </w:rPr>
      </w:pPr>
      <w:r>
        <w:rPr>
          <w:noProof/>
        </w:rPr>
        <w:t>d)</w:t>
      </w:r>
      <w:r>
        <w:rPr>
          <w:noProof/>
        </w:rPr>
        <w:tab/>
        <w:t>statków wykorzystywanych wyłącznie w celach niekomercyjnych przez administracje portowe oraz organy publiczne;</w:t>
      </w:r>
    </w:p>
    <w:p>
      <w:pPr>
        <w:pStyle w:val="Point0"/>
        <w:rPr>
          <w:noProof/>
        </w:rPr>
      </w:pPr>
      <w:r>
        <w:rPr>
          <w:noProof/>
        </w:rPr>
        <w:t>e)</w:t>
      </w:r>
      <w:r>
        <w:rPr>
          <w:noProof/>
        </w:rPr>
        <w:tab/>
        <w:t>statków wykorzystywanych wyłącznie do bunkrowania lub magazynowania;</w:t>
      </w:r>
    </w:p>
    <w:p>
      <w:pPr>
        <w:pStyle w:val="Point0"/>
        <w:rPr>
          <w:noProof/>
        </w:rPr>
      </w:pPr>
      <w:r>
        <w:rPr>
          <w:noProof/>
        </w:rPr>
        <w:t>f)</w:t>
      </w:r>
      <w:r>
        <w:rPr>
          <w:noProof/>
        </w:rPr>
        <w:tab/>
        <w:t>statków niewykorzystywanych do przewozu towarów, takich jak statki rybackie, pogłębiarki, okręty szkoleniowe, łodzie mieszkalne i jednostki rekreacyjne.</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1</w:t>
      </w:r>
    </w:p>
    <w:p>
      <w:pPr>
        <w:rPr>
          <w:noProof/>
        </w:rPr>
      </w:pPr>
      <w:r>
        <w:rPr>
          <w:noProof/>
        </w:rPr>
        <w:t>5. Komisja jest uprawniona do przyjęcia aktów delegowanych zgodnie z art. 10, dotyczących zmiany ust. 2 niniejszego artykułu, celem podwyższenia progu dla objęcia statystykami transportu wodami śródlądowymi, o którym to progu mowa w tym ustępie, w celu uwzględnienia zmian gospodarczych i postępu technicznego. Wykonując to uprawnienie, Komisja zapewnia, aby akty delegowane nie nakładały znaczącego dodatkowego obciążenia na państwa członkowskie ani na respondentów. Ponadto Komisja należycie uzasadnia działania statystyczne przewidziane w tych aktach delegowanych, wykorzystując, w stosownych przypadkach, analizę opłacalności, w tym ocenę obciążenia respondentów i kosztów związanych z tworzeniem statystyk, o której mowa w art. 14 ust. 3 lit. c) rozporządzenia (WE) nr 223/2009.</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425/2007 art. 1 pkt 1</w:t>
      </w:r>
    </w:p>
    <w:p>
      <w:pPr>
        <w:pStyle w:val="Titrearticle"/>
        <w:rPr>
          <w:noProof/>
        </w:rPr>
      </w:pPr>
      <w:r>
        <w:rPr>
          <w:noProof/>
        </w:rPr>
        <w:t>Artykuł 3</w:t>
      </w:r>
    </w:p>
    <w:p>
      <w:pPr>
        <w:pStyle w:val="NormalCentered"/>
        <w:rPr>
          <w:b/>
          <w:bCs/>
          <w:noProof/>
        </w:rPr>
      </w:pPr>
      <w:r>
        <w:rPr>
          <w:b/>
          <w:bCs/>
          <w:noProof/>
        </w:rPr>
        <w:t>Definicje</w:t>
      </w:r>
    </w:p>
    <w:p>
      <w:pPr>
        <w:rPr>
          <w:noProof/>
        </w:rPr>
      </w:pPr>
      <w:r>
        <w:rPr>
          <w:noProof/>
        </w:rPr>
        <w:t>Dla celów niniejszego rozporządzenia stosuje się następujące definicje:</w:t>
      </w:r>
    </w:p>
    <w:p>
      <w:pPr>
        <w:pStyle w:val="Point0"/>
        <w:rPr>
          <w:noProof/>
        </w:rPr>
      </w:pPr>
      <w:r>
        <w:rPr>
          <w:noProof/>
        </w:rPr>
        <w:t>a)</w:t>
      </w:r>
      <w:r>
        <w:rPr>
          <w:noProof/>
        </w:rPr>
        <w:tab/>
        <w:t>„śródlądowe żeglowne drogi wodne” oznaczają szlaki wodne niebędące częścią wód morskich, które w wyniku swoich cech naturalnych lub przetworzenia przez człowieka nadają się do żeglugi, głównie prowadzonej przez statki żeglugi śródlądowej;</w:t>
      </w:r>
    </w:p>
    <w:p>
      <w:pPr>
        <w:pStyle w:val="Point0"/>
        <w:rPr>
          <w:noProof/>
        </w:rPr>
      </w:pPr>
      <w:r>
        <w:rPr>
          <w:noProof/>
        </w:rPr>
        <w:t>b)</w:t>
      </w:r>
      <w:r>
        <w:rPr>
          <w:noProof/>
        </w:rPr>
        <w:tab/>
        <w:t>„statek żeglugi śródlądowej” oznacza jednostkę pływającą zaprojektowaną w celu przewożenia towarów lub transportu publicznego pasażerów, poruszającą się głównie po śródlądowych żeglownych drogach wodnych bądź w obrębie lub bezpośrednim sąsiedztwie wód chronionych lub obszarów, gdzie stosuje się przepisy portowe;</w:t>
      </w:r>
    </w:p>
    <w:p>
      <w:pPr>
        <w:pStyle w:val="Point0"/>
        <w:rPr>
          <w:noProof/>
        </w:rPr>
      </w:pPr>
      <w:r>
        <w:rPr>
          <w:noProof/>
        </w:rPr>
        <w:t>c)</w:t>
      </w:r>
      <w:r>
        <w:rPr>
          <w:noProof/>
        </w:rPr>
        <w:tab/>
        <w:t>„przynależność państwowa statku” odnosi się do kraju, w którym statek jest zarejestrowany;</w:t>
      </w:r>
    </w:p>
    <w:p>
      <w:pPr>
        <w:pStyle w:val="Point0"/>
        <w:rPr>
          <w:noProof/>
        </w:rPr>
      </w:pPr>
      <w:r>
        <w:rPr>
          <w:noProof/>
        </w:rPr>
        <w:t>d)</w:t>
      </w:r>
      <w:r>
        <w:rPr>
          <w:noProof/>
        </w:rPr>
        <w:tab/>
        <w:t>„śródlądowy transport wodny” oznacza wszelki przewóz towarów i/lub pasażerów statkami żeglugi śródlądowej, odbywający się w całości lub częściowo po śródlądowych żeglownych drogach wodnych;</w:t>
      </w:r>
    </w:p>
    <w:p>
      <w:pPr>
        <w:pStyle w:val="Point0"/>
        <w:rPr>
          <w:noProof/>
        </w:rPr>
      </w:pPr>
      <w:r>
        <w:rPr>
          <w:noProof/>
        </w:rPr>
        <w:t>e)</w:t>
      </w:r>
      <w:r>
        <w:rPr>
          <w:noProof/>
        </w:rPr>
        <w:tab/>
        <w:t>„krajowy śródlądowy transport wodny” oznacza transport śródlądowymi drogami wodnymi pomiędzy dwoma portami znajdującymi się na terytorium jednego kraju, niezależnie od przynależności państwowej statku;</w:t>
      </w:r>
    </w:p>
    <w:p>
      <w:pPr>
        <w:pStyle w:val="Point0"/>
        <w:rPr>
          <w:noProof/>
        </w:rPr>
      </w:pPr>
      <w:r>
        <w:rPr>
          <w:noProof/>
        </w:rPr>
        <w:t>f)</w:t>
      </w:r>
      <w:r>
        <w:rPr>
          <w:noProof/>
        </w:rPr>
        <w:tab/>
        <w:t>„międzynarodowy śródlądowy transport wodny” oznacza transport śródlądowymi drogami wodnymi pomiędzy dwoma portami znajdującymi się na terytoriach różnych krajów;</w:t>
      </w:r>
    </w:p>
    <w:p>
      <w:pPr>
        <w:pStyle w:val="Point0"/>
        <w:rPr>
          <w:noProof/>
        </w:rPr>
      </w:pPr>
      <w:r>
        <w:rPr>
          <w:noProof/>
        </w:rPr>
        <w:t>g)</w:t>
      </w:r>
      <w:r>
        <w:rPr>
          <w:noProof/>
        </w:rPr>
        <w:tab/>
        <w:t>„tranzytowy śródlądowy transport wodny” oznacza transport śródlądowymi drogami wodnymi poprzez terytorium danego kraju pomiędzy dwoma portami, z których oba znajdują się na terytorium innego kraju lub innych krajów, o ile na całej trasie wewnątrz terytorium danego kraju nie następuje przeładunek;</w:t>
      </w:r>
    </w:p>
    <w:p>
      <w:pPr>
        <w:pStyle w:val="Point0"/>
        <w:rPr>
          <w:noProof/>
        </w:rPr>
      </w:pPr>
      <w:r>
        <w:rPr>
          <w:noProof/>
        </w:rPr>
        <w:t>h)</w:t>
      </w:r>
      <w:r>
        <w:rPr>
          <w:noProof/>
        </w:rPr>
        <w:tab/>
        <w:t>„żegluga śródlądowa” oznacza wszelkie przemieszczanie się statku po danej śródlądowej żeglownej drodze wodnej.</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2 (dostosowany)</w:t>
      </w:r>
    </w:p>
    <w:p>
      <w:pPr>
        <w:rPr>
          <w:noProof/>
        </w:rPr>
      </w:pPr>
      <w:r>
        <w:rPr>
          <w:noProof/>
        </w:rPr>
        <w:t xml:space="preserve">Komisja jest uprawniona do przyjęcia aktów delegowanych zgodnie z art. 10, dotyczących zmiany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akapitu pierwszego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niniejszego artykułu celem dostosowania definicji w nim zawartych lub ustanowienia nowych definicji w celu uwzględnienia odpowiednich definicji zmienionych lub przyjętych na szczeblu międzynarodowym. Wykonując to uprawnienie, Komisja zapewnia, aby akty delegowane nie nakładały znaczącego dodatkowego obciążenia na państwa członkowskie ani na respondentów. Ponadto Komisja należycie uzasadnia działania statystyczne przewidziane w tych aktach delegowanych, wykorzystując, w stosownych przypadkach, analizę opłacalności, w tym ocenę obciążenia respondentów i kosztów związanych z tworzeniem statystyk, o której mowa w art. 14 ust. 3 lit. c) rozporządzenia (WE) nr 223/2009.</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w:t>
      </w:r>
    </w:p>
    <w:p>
      <w:pPr>
        <w:pStyle w:val="Titrearticle"/>
        <w:rPr>
          <w:noProof/>
        </w:rPr>
      </w:pPr>
      <w:r>
        <w:rPr>
          <w:noProof/>
        </w:rPr>
        <w:t>Artykuł 4</w:t>
      </w:r>
    </w:p>
    <w:p>
      <w:pPr>
        <w:pStyle w:val="NormalCentered"/>
        <w:rPr>
          <w:b/>
          <w:bCs/>
          <w:noProof/>
        </w:rPr>
      </w:pPr>
      <w:r>
        <w:rPr>
          <w:b/>
          <w:bCs/>
          <w:noProof/>
        </w:rPr>
        <w:t>Gromadzenie danych</w:t>
      </w:r>
    </w:p>
    <w:p>
      <w:pPr>
        <w:rPr>
          <w:noProof/>
        </w:rPr>
      </w:pPr>
      <w:r>
        <w:rPr>
          <w:noProof/>
        </w:rPr>
        <w:t>1. Dane są gromadzone zgodnie z tabelami zamieszczonymi w załącznikach I–IV.</w:t>
      </w:r>
    </w:p>
    <w:p>
      <w:pPr>
        <w:rPr>
          <w:noProof/>
        </w:rPr>
      </w:pPr>
      <w:r>
        <w:rPr>
          <w:noProof/>
        </w:rPr>
        <w:t>2. W przypadku, o którym mowa w art. 2 ust. 3, dane są gromadzone zgodnie z tabelą zamieszczoną w załączniku V.</w:t>
      </w:r>
    </w:p>
    <w:p>
      <w:pPr>
        <w:rPr>
          <w:noProof/>
        </w:rPr>
      </w:pPr>
      <w:r>
        <w:rPr>
          <w:noProof/>
        </w:rPr>
        <w:t>3. Dla celów niniejszego rozporządzenia towary klasyfikuje się zgodnie z załącznikiem VI.</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3</w:t>
      </w:r>
    </w:p>
    <w:p>
      <w:pPr>
        <w:rPr>
          <w:noProof/>
        </w:rPr>
      </w:pPr>
      <w:r>
        <w:rPr>
          <w:noProof/>
        </w:rPr>
        <w:t>4. Komisja jest uprawniona do przyjęcia aktów delegowanych zgodnie z art. 10, dotyczących zmian załączników w celu uwzględnienia zmian kodowania i nomenklatury na szczeblu międzynarodowym lub w odnośnych aktach ustawodawczych Unii. Wykonując to uprawnienie, Komisja zapewnia, aby akty delegowane nie nakładały znaczącego dodatkowego obciążenia na państwa członkowskie ani na respondentów. Ponadto Komisja należycie uzasadnia działania statystyczne przewidziane w tych aktach delegowanych, wykorzystując, w stosownych przypadkach, analizę opłacalności, w tym ocenę obciążenia respondentów i kosztów związanych z tworzeniem statystyk, o której mowa w art. 14 ust. 3 lit. c) rozporządzenia (WE) nr 223/2009.</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4</w:t>
      </w:r>
    </w:p>
    <w:p>
      <w:pPr>
        <w:pStyle w:val="Titrearticle"/>
        <w:rPr>
          <w:noProof/>
        </w:rPr>
      </w:pPr>
      <w:r>
        <w:rPr>
          <w:noProof/>
        </w:rPr>
        <w:t>Artykuł 5</w:t>
      </w:r>
    </w:p>
    <w:p>
      <w:pPr>
        <w:pStyle w:val="NormalCentered"/>
        <w:rPr>
          <w:b/>
          <w:bCs/>
          <w:noProof/>
        </w:rPr>
      </w:pPr>
      <w:r>
        <w:rPr>
          <w:b/>
          <w:bCs/>
          <w:noProof/>
        </w:rPr>
        <w:t>Badania pilotażowe</w:t>
      </w:r>
    </w:p>
    <w:p>
      <w:pPr>
        <w:rPr>
          <w:noProof/>
        </w:rPr>
      </w:pPr>
      <w:r>
        <w:rPr>
          <w:noProof/>
        </w:rPr>
        <w:t>1. W terminie do dnia 8 grudnia 2018 r. Komisja, we współpracy z państwami członkowskimi, opracowuje odpowiednią metodykę sporządzania statystyk dotyczących przewozu osób śródlądowymi drogami wodnymi, w tym w ramach usług przewozu transgranicznego.</w:t>
      </w:r>
    </w:p>
    <w:p>
      <w:pPr>
        <w:rPr>
          <w:noProof/>
        </w:rPr>
      </w:pPr>
      <w:r>
        <w:rPr>
          <w:noProof/>
        </w:rPr>
        <w:t>2. W terminie do dnia 8 grudnia 2019 r. Komisja inicjuje dobrowolne badania pilotażowe, które zostaną przeprowadzone przez państwa członkowskie, które dostarczą dane objęte zakresem niniejszego rozporządzenia odnośnie do dostępności danych statystycznych dotyczących przewozu osób śródlądowymi drogami wodnymi, w tym w ramach usług przewozu transgranicznego. Te badania pilotażowe mają na celu ocenę wykonalności tego nowego gromadzenia danych, kosztów odnośnego gromadzenia danych i zakładanej jakości statystycznej.</w:t>
      </w:r>
    </w:p>
    <w:p>
      <w:pPr>
        <w:rPr>
          <w:noProof/>
        </w:rPr>
      </w:pPr>
      <w:r>
        <w:rPr>
          <w:noProof/>
        </w:rPr>
        <w:t>3. W terminie do dnia 8 grudnia 2020 r. Komisja przedstawi Parlamentowi Europejskiemu i Radzie sprawozdanie na temat wyników takich badań pilotażowych. W zależności od wyników tego sprawozdania Komisja przedstawi, w odpowiednich przypadkach oraz w rozsądnym terminie, wniosek ustawodawczy Parlamentowi Europejskiemu i Radzie w sprawie zmiany niniejszego rozporządzenia w odniesieniu do statystyk dotyczących przewozu osób śródlądowymi drogami wodnymi, w tym w ramach usług przewozu transgranicznego.</w:t>
      </w:r>
    </w:p>
    <w:p>
      <w:pPr>
        <w:rPr>
          <w:noProof/>
        </w:rPr>
      </w:pPr>
      <w:r>
        <w:rPr>
          <w:noProof/>
        </w:rPr>
        <w:t>4. Budżet ogólny Unii, w stosownych przypadkach i z uwzględnieniem unijnej wartości dodanej, zapewnia wkład w finansowanie tych badań pilotażowych.</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 (dostosowany)</w:t>
      </w:r>
    </w:p>
    <w:p>
      <w:pPr>
        <w:pStyle w:val="Titrearticle"/>
        <w:rPr>
          <w:noProof/>
        </w:rPr>
      </w:pPr>
      <w:r>
        <w:rPr>
          <w:noProof/>
        </w:rPr>
        <w:t>Artykuł 6</w:t>
      </w:r>
    </w:p>
    <w:p>
      <w:pPr>
        <w:pStyle w:val="NormalCentered"/>
        <w:rPr>
          <w:b/>
          <w:bCs/>
          <w:noProof/>
        </w:rPr>
      </w:pPr>
      <w:r>
        <w:rPr>
          <w:b/>
          <w:bCs/>
          <w:noProof/>
        </w:rPr>
        <w:t>Przekazywanie danych</w:t>
      </w:r>
    </w:p>
    <w:p>
      <w:pPr>
        <w:rPr>
          <w:noProof/>
        </w:rPr>
      </w:pPr>
      <w:r>
        <w:rPr>
          <w:noProof/>
        </w:rPr>
        <w:t>1. Przekazywanie danych odbywa się niezwłocznie i nie później niż pięć miesięcy po zakończeniu stosownego okresu obserwacji.</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5</w:t>
      </w:r>
    </w:p>
    <w:p>
      <w:pPr>
        <w:rPr>
          <w:noProof/>
        </w:rPr>
      </w:pPr>
      <w:r>
        <w:rPr>
          <w:noProof/>
        </w:rPr>
        <w:t>2. Komisja przyjmuje akty wykonawcze ustanawiające uzgodnienia w sprawie przekazywania danych Komisji (Eurostatowi), obejmujące standardy dotyczące wymiany danych. Te akty wykonawcze przyjmuje się zgodnie z procedurą sprawdzającą, o której mowa w art. 11 ust. 2.</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 (dostosowany)</w:t>
      </w:r>
    </w:p>
    <w:p>
      <w:pPr>
        <w:pStyle w:val="Titrearticle"/>
        <w:rPr>
          <w:noProof/>
        </w:rPr>
      </w:pPr>
      <w:r>
        <w:rPr>
          <w:noProof/>
        </w:rPr>
        <w:t>Artykuł 7</w:t>
      </w:r>
    </w:p>
    <w:p>
      <w:pPr>
        <w:pStyle w:val="NormalCentered"/>
        <w:rPr>
          <w:b/>
          <w:bCs/>
          <w:noProof/>
        </w:rPr>
      </w:pPr>
      <w:r>
        <w:rPr>
          <w:b/>
          <w:bCs/>
          <w:noProof/>
        </w:rPr>
        <w:t>Rozpowszechnianie danych</w:t>
      </w:r>
    </w:p>
    <w:p>
      <w:pPr>
        <w:rPr>
          <w:noProof/>
        </w:rPr>
      </w:pPr>
      <w:r>
        <w:rPr>
          <w:noProof/>
        </w:rPr>
        <w:t xml:space="preserve">Statystyki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europejskie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oparte na danych, o których mowa w art. 4, są rozpowszechniane z częstotliwością podobną do wyznaczonej na przekazywanie danych przez państwa członkowskie.</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6</w:t>
      </w:r>
    </w:p>
    <w:p>
      <w:pPr>
        <w:rPr>
          <w:noProof/>
        </w:rPr>
      </w:pPr>
      <w:r>
        <w:rPr>
          <w:noProof/>
        </w:rPr>
        <w:t>Komisja przyjmuje akty wykonawcze ustanawiające uzgodnienia dotyczące rozpowszechniania wyników. Te akty wykonawcze przyjmuje się zgodnie z procedurą sprawdzającą, o której mowa w art. 11 ust. 2.</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w:t>
      </w:r>
    </w:p>
    <w:p>
      <w:pPr>
        <w:pStyle w:val="Titrearticle"/>
        <w:rPr>
          <w:noProof/>
        </w:rPr>
      </w:pPr>
      <w:r>
        <w:rPr>
          <w:noProof/>
        </w:rPr>
        <w:t>Artykuł 8</w:t>
      </w:r>
    </w:p>
    <w:p>
      <w:pPr>
        <w:pStyle w:val="NormalCentered"/>
        <w:rPr>
          <w:b/>
          <w:bCs/>
          <w:noProof/>
        </w:rPr>
      </w:pPr>
      <w:r>
        <w:rPr>
          <w:b/>
          <w:bCs/>
          <w:noProof/>
        </w:rPr>
        <w:t>Jakość danych</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7</w:t>
      </w:r>
    </w:p>
    <w:p>
      <w:pPr>
        <w:rPr>
          <w:noProof/>
        </w:rPr>
      </w:pPr>
      <w:r>
        <w:rPr>
          <w:noProof/>
        </w:rPr>
        <w:t>1. Komisja przyjmuje akty wykonawcze ustanawiające wymogi oraz kryteria metodologiczne ustanowione w celu zapewnienia jakości wytwarzanych danych. Te akty wykonawcze przyjmuje się zgodnie z procedurą sprawdzającą, o której mowa w art. 11 ust. 2.</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1365/2006</w:t>
      </w:r>
    </w:p>
    <w:p>
      <w:pPr>
        <w:rPr>
          <w:noProof/>
        </w:rPr>
      </w:pPr>
      <w:r>
        <w:rPr>
          <w:noProof/>
        </w:rPr>
        <w:t>2. Państwa członkowskie podejmują wszelkie konieczne środki w celu zapewnienia jakości przekazywanych danych.</w:t>
      </w:r>
    </w:p>
    <w:p>
      <w:pPr>
        <w:rPr>
          <w:noProof/>
        </w:rPr>
      </w:pPr>
      <w:r>
        <w:rPr>
          <w:noProof/>
        </w:rPr>
        <w:t>3. Komisja (Eurostat) dokonuje oceny jakości przekazywanych danych. państwa członkowskie przekazują Komisji (Eurostatowi) sprawozdanie zawierające informacje i dane, których Komisja może wymagać w celu zweryfikowania jakości przekazywanych danych.</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8</w:t>
      </w:r>
    </w:p>
    <w:p>
      <w:pPr>
        <w:rPr>
          <w:noProof/>
        </w:rPr>
      </w:pPr>
      <w:r>
        <w:rPr>
          <w:noProof/>
        </w:rPr>
        <w:t>4. Do celów niniejszego rozporządzenia kryteriami jakości stosowanymi w odniesieniu do przekazywanych danych są kryteria, o których mowa w art. 12 ust. 1 rozporządzenia (WE) nr 223/2009.</w:t>
      </w:r>
    </w:p>
    <w:p>
      <w:pPr>
        <w:rPr>
          <w:noProof/>
        </w:rPr>
      </w:pPr>
      <w:r>
        <w:rPr>
          <w:noProof/>
        </w:rPr>
        <w:t>5. Komisja przyjmuje akty wykonawcze ustanawiające szczegółowe rozwiązania, strukturę, okresowość i elementy zapewniające porównywalność sprawozdań na temat jakości. Te akty wykonawcze przyjmuje się zgodnie z procedurą sprawdzającą, o której mowa w art. 11 ust. 2.</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9</w:t>
      </w:r>
    </w:p>
    <w:p>
      <w:pPr>
        <w:pStyle w:val="Titrearticle"/>
        <w:rPr>
          <w:noProof/>
        </w:rPr>
      </w:pPr>
      <w:r>
        <w:rPr>
          <w:noProof/>
        </w:rPr>
        <w:t>Artykuł 9</w:t>
      </w:r>
    </w:p>
    <w:p>
      <w:pPr>
        <w:pStyle w:val="NormalCentered"/>
        <w:rPr>
          <w:b/>
          <w:bCs/>
          <w:noProof/>
        </w:rPr>
      </w:pPr>
      <w:r>
        <w:rPr>
          <w:b/>
          <w:bCs/>
          <w:noProof/>
        </w:rPr>
        <w:t>Sprawozdania dotyczące wdrożenia</w:t>
      </w:r>
    </w:p>
    <w:p>
      <w:pPr>
        <w:rPr>
          <w:noProof/>
        </w:rPr>
      </w:pPr>
      <w:r>
        <w:rPr>
          <w:noProof/>
        </w:rPr>
        <w:t>Do dnia 31 grudnia 2020 r., a następnie co pięć lat, Komisja, po konsultacji z Komitetem ds. Europejskiego Systemu Statystycznego, przedstawia Parlamentowi Europejskiemu i Radzie sprawozdanie z wykonania niniejszego rozporządzenia oraz z rozwoju sytuacji.</w:t>
      </w:r>
    </w:p>
    <w:p>
      <w:pPr>
        <w:rPr>
          <w:noProof/>
        </w:rPr>
      </w:pPr>
      <w:r>
        <w:rPr>
          <w:noProof/>
        </w:rPr>
        <w:t>W sprawozdaniu tym Komisja uwzględnia stosowne informacje przekazane przez państwa członkowskie na temat możliwych ulepszeń oraz potrzeb użytkowników. Sprawozdanie to zawiera w szczególności ocenę:</w:t>
      </w:r>
    </w:p>
    <w:p>
      <w:pPr>
        <w:pStyle w:val="Point0"/>
        <w:rPr>
          <w:noProof/>
        </w:rPr>
      </w:pPr>
      <w:r>
        <w:rPr>
          <w:noProof/>
        </w:rPr>
        <w:t>a)</w:t>
      </w:r>
      <w:r>
        <w:rPr>
          <w:noProof/>
        </w:rPr>
        <w:tab/>
        <w:t>korzyści odniesionych dzięki tworzonym statystykom przez Unię, państwa członkowskie oraz dostawców i użytkowników informacji statystycznych w porównaniu z ich kosztami;</w:t>
      </w:r>
    </w:p>
    <w:p>
      <w:pPr>
        <w:pStyle w:val="Point0"/>
        <w:rPr>
          <w:noProof/>
        </w:rPr>
      </w:pPr>
      <w:r>
        <w:rPr>
          <w:noProof/>
        </w:rPr>
        <w:t>b)</w:t>
      </w:r>
      <w:r>
        <w:rPr>
          <w:noProof/>
        </w:rPr>
        <w:tab/>
        <w:t>jakości przekazywanych danych oraz wykorzystywanych metod gromadzenia danych.</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10</w:t>
      </w:r>
    </w:p>
    <w:p>
      <w:pPr>
        <w:pStyle w:val="Titrearticle"/>
        <w:rPr>
          <w:noProof/>
        </w:rPr>
      </w:pPr>
      <w:r>
        <w:rPr>
          <w:noProof/>
        </w:rPr>
        <w:t>Artykuł 10</w:t>
      </w:r>
    </w:p>
    <w:p>
      <w:pPr>
        <w:pStyle w:val="NormalCentered"/>
        <w:rPr>
          <w:b/>
          <w:bCs/>
          <w:noProof/>
        </w:rPr>
      </w:pPr>
      <w:r>
        <w:rPr>
          <w:b/>
          <w:bCs/>
          <w:noProof/>
        </w:rPr>
        <w:t>Wykonywanie przekazanych uprawnień</w:t>
      </w:r>
    </w:p>
    <w:p>
      <w:pPr>
        <w:rPr>
          <w:noProof/>
        </w:rPr>
      </w:pPr>
      <w:r>
        <w:rPr>
          <w:noProof/>
        </w:rPr>
        <w:t>1. Powierzenie Komisji uprawnień do przyjęcia aktów delegowanych podlega warunkom określonym w niniejszym artykule.</w:t>
      </w:r>
    </w:p>
    <w:p>
      <w:pPr>
        <w:rPr>
          <w:noProof/>
        </w:rPr>
      </w:pPr>
      <w:r>
        <w:rPr>
          <w:noProof/>
        </w:rPr>
        <w:t>2. Uprawnienia do przyjęcia aktów delegowanych, o których mowa w art. 2 ust. 5, art. 3 i art. 4 ust. 4, powierza się Komisji na okres pięciu lat od dnia 7 grudnia 2016 r.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pPr>
        <w:rPr>
          <w:noProof/>
        </w:rPr>
      </w:pPr>
      <w:r>
        <w:rPr>
          <w:noProof/>
        </w:rPr>
        <w:t xml:space="preserve">3. Przekazanie uprawnień, o którym mowa w art. 2 ust. 5, art. 3 i art. 4 ust. 4, może zostać w dowolnym momencie odwołane przez Parlament Europejski lub przez Radę. Decyzja o odwołaniu kończy przekazanie określonych w niej uprawnień. Decyzja o odwołaniu staje się skuteczna od następnego dnia po jej opublikowaniu w </w:t>
      </w:r>
      <w:r>
        <w:rPr>
          <w:i/>
          <w:iCs/>
          <w:noProof/>
        </w:rPr>
        <w:t>Dzienniku Urzędowym Unii Europejskiej</w:t>
      </w:r>
      <w:r>
        <w:rPr>
          <w:noProof/>
        </w:rPr>
        <w:t xml:space="preserve"> lub w określonym w tej decyzji późniejszym terminie. Nie wpływa ona na ważność jakichkolwiek już obowiązujących aktów delegowanych.</w:t>
      </w:r>
    </w:p>
    <w:p>
      <w:pPr>
        <w:rPr>
          <w:noProof/>
        </w:rPr>
      </w:pPr>
      <w:r>
        <w:rPr>
          <w:noProof/>
        </w:rPr>
        <w:t>4. Przed przyjęciem aktu delegowanego Komisja konsultuje się z ekspertami wyznaczonymi przez każde państwo członkowskie zgodnie z zasadami określonymi w Porozumieniu międzyinstytucjonalnym z dnia 13 kwietnia 2016 r. w sprawie lepszego stanowienia prawa.</w:t>
      </w:r>
    </w:p>
    <w:p>
      <w:pPr>
        <w:rPr>
          <w:noProof/>
        </w:rPr>
      </w:pPr>
      <w:r>
        <w:rPr>
          <w:noProof/>
        </w:rPr>
        <w:t>5. Niezwłocznie po przyjęciu aktu delegowanego Komisja przekazuje go równocześnie Parlamentowi Europejskiemu i Radzie.</w:t>
      </w:r>
    </w:p>
    <w:p>
      <w:pPr>
        <w:rPr>
          <w:noProof/>
        </w:rPr>
      </w:pPr>
      <w:r>
        <w:rPr>
          <w:noProof/>
        </w:rPr>
        <w:t>6. Akt delegowany przyjęty na podstawie art. 2 ust. 5, art. 3 lub art. 4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CRSeparator"/>
        <w:keepLines/>
        <w:rPr>
          <w:noProof/>
          <w:lang w:val="pl-PL"/>
        </w:rPr>
      </w:pPr>
    </w:p>
    <w:p>
      <w:pPr>
        <w:pStyle w:val="CRReference"/>
        <w:keepLines/>
        <w:rPr>
          <w:noProof/>
          <w:lang w:val="pl-PL"/>
        </w:rPr>
      </w:pPr>
      <w:r>
        <w:rPr>
          <w:noProof/>
          <w:lang w:val="pl-PL"/>
        </w:rPr>
        <w:fldChar w:fldCharType="begin"/>
      </w:r>
      <w:r>
        <w:rPr>
          <w:noProof/>
          <w:lang w:val="pl-PL"/>
        </w:rPr>
        <w:instrText xml:space="preserve"> QUOTE "</w:instrText>
      </w:r>
      <w:r>
        <w:rPr>
          <w:rStyle w:val="CRMarker"/>
          <w:noProof/>
          <w:lang w:val="pl-PL"/>
        </w:rPr>
        <w:instrText>ê</w:instrText>
      </w:r>
      <w:r>
        <w:rPr>
          <w:noProof/>
          <w:lang w:val="pl-PL"/>
        </w:rPr>
        <w:instrText xml:space="preserve">" </w:instrText>
      </w:r>
      <w:r>
        <w:rPr>
          <w:noProof/>
          <w:lang w:val="pl-PL"/>
        </w:rPr>
        <w:fldChar w:fldCharType="separate"/>
      </w:r>
      <w:r>
        <w:rPr>
          <w:rStyle w:val="CRMarker"/>
          <w:noProof/>
          <w:lang w:val="pl-PL"/>
        </w:rPr>
        <w:t>ê</w:t>
      </w:r>
      <w:r>
        <w:rPr>
          <w:noProof/>
          <w:lang w:val="pl-PL"/>
        </w:rPr>
        <w:fldChar w:fldCharType="end"/>
      </w:r>
      <w:r>
        <w:rPr>
          <w:noProof/>
          <w:lang w:val="pl-PL"/>
        </w:rPr>
        <w:t> 2016/1954 art. 1 pkt 11</w:t>
      </w:r>
    </w:p>
    <w:p>
      <w:pPr>
        <w:pStyle w:val="Titrearticle"/>
        <w:keepLines/>
        <w:rPr>
          <w:noProof/>
        </w:rPr>
      </w:pPr>
      <w:r>
        <w:rPr>
          <w:noProof/>
        </w:rPr>
        <w:t>Artykuł 11</w:t>
      </w:r>
    </w:p>
    <w:p>
      <w:pPr>
        <w:pStyle w:val="NormalCentered"/>
        <w:keepNext/>
        <w:keepLines/>
        <w:rPr>
          <w:b/>
          <w:bCs/>
          <w:noProof/>
        </w:rPr>
      </w:pPr>
      <w:r>
        <w:rPr>
          <w:b/>
          <w:bCs/>
          <w:noProof/>
        </w:rPr>
        <w:t>Procedura komitetowa</w:t>
      </w:r>
    </w:p>
    <w:p>
      <w:pPr>
        <w:keepNext/>
        <w:keepLines/>
        <w:rPr>
          <w:noProof/>
        </w:rPr>
      </w:pPr>
      <w:r>
        <w:rPr>
          <w:noProof/>
        </w:rPr>
        <w:t>1. Komisję wspomaga Komitet ds. Europejskiego Systemu Statystycznego, ustanowiony na mocy rozporządzenia (WE) nr 223/2009. Komitet ten jest komitetem w rozumieniu rozporządzenia (UE) nr 182/2011.</w:t>
      </w:r>
    </w:p>
    <w:p>
      <w:pPr>
        <w:rPr>
          <w:noProof/>
        </w:rPr>
      </w:pPr>
      <w:r>
        <w:rPr>
          <w:noProof/>
        </w:rPr>
        <w:t>2. W przypadku odesłania do niniejszego ustępu stosuje się art. 5 rozporządzenia (UE) nr 182/2011.</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w:t>
      </w:r>
    </w:p>
    <w:p>
      <w:pPr>
        <w:keepNext/>
        <w:spacing w:before="360"/>
        <w:jc w:val="center"/>
        <w:rPr>
          <w:i/>
          <w:noProof/>
        </w:rPr>
      </w:pPr>
      <w:r>
        <w:rPr>
          <w:i/>
          <w:noProof/>
        </w:rPr>
        <w:t>Artykuł 12</w:t>
      </w:r>
    </w:p>
    <w:p>
      <w:pPr>
        <w:pStyle w:val="NormalCentered"/>
        <w:rPr>
          <w:b/>
          <w:bCs/>
          <w:noProof/>
        </w:rPr>
      </w:pPr>
      <w:r>
        <w:rPr>
          <w:b/>
          <w:bCs/>
          <w:noProof/>
        </w:rPr>
        <w:t>Uchylenie</w:t>
      </w:r>
    </w:p>
    <w:p>
      <w:pPr>
        <w:rPr>
          <w:noProof/>
        </w:rPr>
      </w:pPr>
      <w:r>
        <w:rPr>
          <w:noProof/>
        </w:rPr>
        <w:t xml:space="preserve">Rozporządzenie (WE) nr </w:t>
      </w:r>
      <w:r>
        <w:rPr>
          <w:rFonts w:eastAsia="Times New Roman"/>
          <w:noProof/>
        </w:rPr>
        <w:t>1365/2006</w:t>
      </w:r>
      <w:r>
        <w:rPr>
          <w:noProof/>
        </w:rPr>
        <w:t xml:space="preserve"> traci moc.</w:t>
      </w:r>
    </w:p>
    <w:p>
      <w:pPr>
        <w:rPr>
          <w:noProof/>
        </w:rPr>
      </w:pPr>
      <w:r>
        <w:rPr>
          <w:noProof/>
        </w:rPr>
        <w:t>Odesłania do uchylonego rozporządzenia traktuje się jako odesłania do niniejszego rozporządzenia zgodnie z tabelą korelacji w załączniku VIII.</w:t>
      </w:r>
    </w:p>
    <w:p>
      <w:pPr>
        <w:pStyle w:val="CRSeparator"/>
        <w:rPr>
          <w:noProof/>
          <w:lang w:val="pl-PL"/>
        </w:rPr>
      </w:pPr>
    </w:p>
    <w:p>
      <w:pPr>
        <w:pStyle w:val="CRReference"/>
        <w:rPr>
          <w:noProof/>
          <w:lang w:val="pl-PL"/>
        </w:rPr>
      </w:pPr>
      <w:r>
        <w:rPr>
          <w:noProof/>
          <w:lang w:val="pl-PL"/>
        </w:rPr>
        <w:fldChar w:fldCharType="begin"/>
      </w:r>
      <w:r>
        <w:rPr>
          <w:noProof/>
          <w:lang w:val="pl-PL"/>
        </w:rPr>
        <w:instrText xml:space="preserve"> QUOTE "</w:instrText>
      </w:r>
      <w:r>
        <w:rPr>
          <w:rFonts w:ascii="Wingdings" w:hAnsi="Wingdings" w:cs="Wingdings"/>
          <w:noProof/>
          <w:lang w:val="pl-PL"/>
        </w:rPr>
        <w:instrText>ê</w:instrText>
      </w:r>
      <w:r>
        <w:rPr>
          <w:noProof/>
          <w:lang w:val="pl-PL"/>
        </w:rPr>
        <w:instrText xml:space="preserve">" </w:instrText>
      </w:r>
      <w:r>
        <w:rPr>
          <w:noProof/>
          <w:lang w:val="pl-PL"/>
        </w:rPr>
        <w:fldChar w:fldCharType="separate"/>
      </w:r>
      <w:r>
        <w:rPr>
          <w:rFonts w:ascii="Wingdings" w:hAnsi="Wingdings" w:cs="Wingdings"/>
          <w:noProof/>
          <w:lang w:val="pl-PL"/>
        </w:rPr>
        <w:t>ê</w:t>
      </w:r>
      <w:r>
        <w:rPr>
          <w:noProof/>
          <w:lang w:val="pl-PL"/>
        </w:rPr>
        <w:fldChar w:fldCharType="end"/>
      </w:r>
      <w:r>
        <w:rPr>
          <w:noProof/>
          <w:lang w:val="pl-PL"/>
        </w:rPr>
        <w:t> 1365/2006</w:t>
      </w:r>
    </w:p>
    <w:p>
      <w:pPr>
        <w:pStyle w:val="Titrearticle"/>
        <w:keepLines/>
        <w:rPr>
          <w:noProof/>
        </w:rPr>
      </w:pPr>
      <w:r>
        <w:rPr>
          <w:noProof/>
        </w:rPr>
        <w:t>Artykuł 13</w:t>
      </w:r>
    </w:p>
    <w:p>
      <w:pPr>
        <w:pStyle w:val="NormalCentered"/>
        <w:keepNext/>
        <w:keepLines/>
        <w:rPr>
          <w:b/>
          <w:bCs/>
          <w:noProof/>
        </w:rPr>
      </w:pPr>
      <w:r>
        <w:rPr>
          <w:b/>
          <w:bCs/>
          <w:noProof/>
        </w:rPr>
        <w:t>Wejście w życie</w:t>
      </w:r>
    </w:p>
    <w:p>
      <w:pPr>
        <w:keepNext/>
        <w:keepLines/>
        <w:rPr>
          <w:noProof/>
        </w:rPr>
      </w:pPr>
      <w:r>
        <w:rPr>
          <w:noProof/>
        </w:rPr>
        <w:t>Niniejsze rozporządzenie wchodzi w życie dwudziestego dnia po jego opublikowaniu w </w:t>
      </w:r>
      <w:r>
        <w:rPr>
          <w:i/>
          <w:iCs/>
          <w:noProof/>
        </w:rPr>
        <w:t>Dzienniku Urzędowym Unii Europejskiej</w:t>
      </w:r>
      <w:r>
        <w:rPr>
          <w:noProof/>
        </w:rPr>
        <w:t>.</w:t>
      </w:r>
    </w:p>
    <w:p>
      <w:pPr>
        <w:pStyle w:val="Fait"/>
        <w:rPr>
          <w:noProof/>
        </w:rPr>
      </w:pPr>
      <w:r>
        <w:rPr>
          <w:noProof/>
        </w:rPr>
        <w:t>Sporządzono w Brukseli dnia […] r.</w:t>
      </w:r>
    </w:p>
    <w:p>
      <w:pPr>
        <w:pStyle w:val="Institutionquisigne"/>
        <w:keepLines/>
        <w:rPr>
          <w:noProof/>
        </w:rPr>
      </w:pPr>
      <w:r>
        <w:rPr>
          <w:noProof/>
        </w:rPr>
        <w:t>W imieniu Parlamentu Europejskiego</w:t>
      </w:r>
      <w:r>
        <w:rPr>
          <w:noProof/>
        </w:rPr>
        <w:tab/>
        <w:t>W imieniu Rady</w:t>
      </w:r>
    </w:p>
    <w:p>
      <w:pPr>
        <w:pStyle w:val="Personnequisigne"/>
        <w:keepNext/>
        <w:keepLines/>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Fonts w:cs="EUAlbertina"/>
          <w:color w:val="000000"/>
        </w:rPr>
      </w:pPr>
      <w:r>
        <w:rPr>
          <w:rStyle w:val="FootnoteReference"/>
        </w:rPr>
        <w:footnoteRef/>
      </w:r>
      <w:r>
        <w:tab/>
      </w:r>
      <w:r>
        <w:rPr>
          <w:rFonts w:cs="EUAlbertina"/>
          <w:color w:val="000000"/>
        </w:rPr>
        <w:t>COM(87) 868 PV.</w:t>
      </w:r>
    </w:p>
  </w:footnote>
  <w:footnote w:id="2">
    <w:p>
      <w:pPr>
        <w:pStyle w:val="FootnoteText"/>
        <w:rPr>
          <w:rFonts w:cs="EUAlbertina"/>
          <w:color w:val="000000"/>
        </w:rPr>
      </w:pPr>
      <w:r>
        <w:rPr>
          <w:rStyle w:val="FootnoteReference"/>
        </w:rPr>
        <w:footnoteRef/>
      </w:r>
      <w:r>
        <w:tab/>
      </w:r>
      <w:r>
        <w:rPr>
          <w:rFonts w:cs="EUAlbertina"/>
          <w:color w:val="000000"/>
        </w:rPr>
        <w:t>Zob. załącznik 3 do części A konkluzji.</w:t>
      </w:r>
    </w:p>
  </w:footnote>
  <w:footnote w:id="3">
    <w:p>
      <w:pPr>
        <w:pStyle w:val="FootnoteText"/>
        <w:rPr>
          <w:rFonts w:cs="EUAlbertina"/>
          <w:color w:val="000000"/>
        </w:rPr>
      </w:pPr>
      <w:r>
        <w:rPr>
          <w:rStyle w:val="FootnoteReference"/>
        </w:rPr>
        <w:footnoteRef/>
      </w:r>
      <w:r>
        <w:tab/>
      </w:r>
      <w:r>
        <w:rPr>
          <w:rFonts w:cs="EUAlbertina"/>
          <w:color w:val="000000"/>
        </w:rPr>
        <w:t>Włączone do programu legislacyjnego na 2017 r.</w:t>
      </w:r>
    </w:p>
  </w:footnote>
  <w:footnote w:id="4">
    <w:p>
      <w:pPr>
        <w:pStyle w:val="FootnoteText"/>
        <w:rPr>
          <w:rFonts w:cs="EUAlbertina"/>
          <w:color w:val="000000"/>
        </w:rPr>
      </w:pPr>
      <w:r>
        <w:rPr>
          <w:rStyle w:val="FootnoteReference"/>
        </w:rPr>
        <w:footnoteRef/>
      </w:r>
      <w:r>
        <w:tab/>
      </w:r>
      <w:r>
        <w:rPr>
          <w:rFonts w:cs="EUAlbertina"/>
          <w:color w:val="000000"/>
        </w:rPr>
        <w:t>Zob. załącznik VII do niniejszego wniosku.</w:t>
      </w:r>
    </w:p>
  </w:footnote>
  <w:footnote w:id="5">
    <w:p>
      <w:pPr>
        <w:pStyle w:val="FootnoteText"/>
      </w:pPr>
      <w:r>
        <w:rPr>
          <w:rStyle w:val="FootnoteReference"/>
        </w:rPr>
        <w:footnoteRef/>
      </w:r>
      <w:r>
        <w:tab/>
        <w:t>Dz.U. C […] z […], s. […].</w:t>
      </w:r>
    </w:p>
  </w:footnote>
  <w:footnote w:id="6">
    <w:p>
      <w:pPr>
        <w:pStyle w:val="FootnoteText"/>
      </w:pPr>
      <w:r>
        <w:rPr>
          <w:rStyle w:val="FootnoteReference"/>
        </w:rPr>
        <w:footnoteRef/>
      </w:r>
      <w:r>
        <w:tab/>
        <w:t>Rozporządzenie (WE) nr 1365/2006 Parlamentu Europejskiego i Rady z dnia 6 września 2006 r. w sprawie statystyk dotyczących transportu towarów wodami śródlądowymi i uchylające dyrektywę Rady 80/1119/EWG (Dz.U. L 264 z 25.9.2006, s. 1).</w:t>
      </w:r>
    </w:p>
  </w:footnote>
  <w:footnote w:id="7">
    <w:p>
      <w:pPr>
        <w:pStyle w:val="FootnoteText"/>
      </w:pPr>
      <w:r>
        <w:rPr>
          <w:rStyle w:val="FootnoteReference"/>
        </w:rPr>
        <w:footnoteRef/>
      </w:r>
      <w:r>
        <w:tab/>
      </w:r>
      <w:r>
        <w:rPr>
          <w:rFonts w:eastAsia="Calibri" w:cs="EUAlbertina"/>
          <w:color w:val="000000"/>
        </w:rPr>
        <w:t>Zob. załącznik VII.</w:t>
      </w:r>
    </w:p>
  </w:footnote>
  <w:footnote w:id="8">
    <w:p>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w:t>
      </w:r>
      <w:r>
        <w:rPr>
          <w:spacing w:val="-6"/>
        </w:rPr>
        <w:t xml:space="preserve"> (Dz.U. L 87, 31.3.2009, s. 164).</w:t>
      </w:r>
    </w:p>
  </w:footnote>
  <w:footnote w:id="9">
    <w:p>
      <w:pPr>
        <w:pStyle w:val="FootnoteText"/>
      </w:pPr>
      <w:r>
        <w:rPr>
          <w:rStyle w:val="FootnoteReference"/>
        </w:rPr>
        <w:footnoteRef/>
      </w:r>
      <w:r>
        <w:tab/>
        <w:t>Dz.U. L 123 z 12.5.2016, s. 1.</w:t>
      </w:r>
    </w:p>
  </w:footnote>
  <w:footnote w:id="10">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w:t>
      </w:r>
      <w:hyperlink r:id="rId1" w:history="1">
        <w:r>
          <w:t>Dz.U. L 55 z 28.2.2011, s. </w:t>
        </w:r>
      </w:hyperlink>
      <w:r>
        <w:t>13).</w:t>
      </w:r>
    </w:p>
  </w:footnote>
  <w:footnote w:id="11">
    <w:p>
      <w:pPr>
        <w:pStyle w:val="FootnoteText"/>
      </w:pPr>
      <w:r>
        <w:rPr>
          <w:rStyle w:val="FootnoteReference"/>
        </w:rPr>
        <w:footnoteRef/>
      </w:r>
      <w:r>
        <w:tab/>
        <w:t xml:space="preserve">Rozporządzenie Parlamentu Europejskiego i Rady (UE, Euratom) nr 966/2012 z dnia 25 października 2012 r. w sprawie zasad finansowych mających zastosowanie do budżetu ogólnego </w:t>
      </w:r>
      <w:r>
        <w:rPr>
          <w:spacing w:val="-4"/>
        </w:rPr>
        <w:t>Unii oraz uchylające rozporządzenie Rady (WE, Euratom) nr 1605/2002 (Dz.U. L 298 z 26.10.2012,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7418C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786E745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24E7A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106FA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0283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64B9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8B52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D08E74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6"/>
  </w:num>
  <w:num w:numId="3">
    <w:abstractNumId w:val="1"/>
  </w:num>
  <w:num w:numId="4">
    <w:abstractNumId w:val="5"/>
  </w:num>
  <w:num w:numId="5">
    <w:abstractNumId w:val="4"/>
  </w:num>
  <w:num w:numId="6">
    <w:abstractNumId w:val="3"/>
  </w:num>
  <w:num w:numId="7">
    <w:abstractNumId w:val="0"/>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displayBackgroundShape/>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5:38:16"/>
    <w:docVar w:name="DQCDateTime" w:val="2017-09-26 09:09: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A04957E50D064F44B9F3A6672EB13A4A"/>
    <w:docVar w:name="LW_CROSSREFERENCE" w:val="&lt;UNUSED&gt;"/>
    <w:docVar w:name="LW_DocType" w:val="COM"/>
    <w:docVar w:name="LW_EMISSION" w:val="26.9.2017"/>
    <w:docVar w:name="LW_EMISSION_ISODATE" w:val="2017-09-26"/>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26"/>
    <w:docVar w:name="LW_REF.II.NEW.CP_YEAR" w:val="2013"/>
    <w:docVar w:name="LW_REF.INST.NEW" w:val="COM"/>
    <w:docVar w:name="LW_REF.INST.NEW_ADOPTED" w:val="final"/>
    <w:docVar w:name="LW_REF.INST.NEW_TEXT" w:val="(2017) 545"/>
    <w:docVar w:name="LW_REF.INTERNE" w:val="&lt;UNUSED&gt;"/>
    <w:docVar w:name="LW_SOUS.TITRE.OBJ.CP" w:val="&lt;UNUSED&gt;"/>
    <w:docVar w:name="LW_STATUT.CP" w:val="Wniosek"/>
    <w:docVar w:name="LW_SUPERTITRE" w:val="&lt;UNUSED&gt;"/>
    <w:docVar w:name="LW_TITRE.OBJ.CP" w:val="w sprawie statystyk dotycz\u261?cych transportu towarów wodami \u347?ródl\u261?dowymi (tekst jednolity)"/>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CRDeleted">
    <w:name w:val="CR Deleted"/>
    <w:basedOn w:val="DefaultParagraphFont"/>
    <w:rPr>
      <w:strike w:val="0"/>
      <w:dstrike/>
    </w:rPr>
  </w:style>
  <w:style w:type="character" w:customStyle="1" w:styleId="CRMinorChangeAdded">
    <w:name w:val="CR Minor Change Added"/>
    <w:rPr>
      <w:noProof w:val="0"/>
      <w:u w:val="double"/>
    </w:rPr>
  </w:style>
  <w:style w:type="character" w:customStyle="1" w:styleId="CRMinorChangeDeleted">
    <w:name w:val="CR Minor Change Deleted"/>
    <w:rPr>
      <w:strike w:val="0"/>
      <w:dstrike/>
      <w:u w:val="double"/>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l-P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l-P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l-P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l-P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CRDeleted">
    <w:name w:val="CR Deleted"/>
    <w:basedOn w:val="DefaultParagraphFont"/>
    <w:rPr>
      <w:strike w:val="0"/>
      <w:dstrike/>
    </w:rPr>
  </w:style>
  <w:style w:type="character" w:customStyle="1" w:styleId="CRMinorChangeAdded">
    <w:name w:val="CR Minor Change Added"/>
    <w:rPr>
      <w:noProof w:val="0"/>
      <w:u w:val="double"/>
    </w:rPr>
  </w:style>
  <w:style w:type="character" w:customStyle="1" w:styleId="CRMinorChangeDeleted">
    <w:name w:val="CR Minor Change Deleted"/>
    <w:rPr>
      <w:strike w:val="0"/>
      <w:dstrike/>
      <w:u w:val="double"/>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l-P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l-P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l-P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l-P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14011">
      <w:bodyDiv w:val="1"/>
      <w:marLeft w:val="390"/>
      <w:marRight w:val="390"/>
      <w:marTop w:val="0"/>
      <w:marBottom w:val="0"/>
      <w:divBdr>
        <w:top w:val="none" w:sz="0" w:space="0" w:color="auto"/>
        <w:left w:val="none" w:sz="0" w:space="0" w:color="auto"/>
        <w:bottom w:val="none" w:sz="0" w:space="0" w:color="auto"/>
        <w:right w:val="none" w:sz="0" w:space="0" w:color="auto"/>
      </w:divBdr>
    </w:div>
    <w:div w:id="156371408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AUTO/?uri=OJ:L:1989:18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C2CF-5886-4BF8-B749-2CC61A9D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2948</Words>
  <Characters>19135</Characters>
  <Application>Microsoft Office Word</Application>
  <DocSecurity>0</DocSecurity>
  <Lines>407</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2017-07-25T12:00:00Z</cp:lastPrinted>
  <dcterms:created xsi:type="dcterms:W3CDTF">2017-08-17T13:39:00Z</dcterms:created>
  <dcterms:modified xsi:type="dcterms:W3CDTF">2017-09-26T07:09:00Z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5.8.3, Build 20140113</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LWCR IsRefonte">
    <vt:lpwstr>False</vt:lpwstr>
  </property>
  <property fmtid="{D5CDD505-2E9C-101B-9397-08002B2CF9AE}" pid="13" name="DQCStatus">
    <vt:lpwstr>Green (DQC version 03)</vt:lpwstr>
  </property>
</Properties>
</file>