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4B9437F9155447087986402C68B45A6" style="width:450.45pt;height:338.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Point0"/>
        <w:rPr>
          <w:noProof/>
        </w:rPr>
      </w:pPr>
      <w:r>
        <w:rPr>
          <w:noProof/>
        </w:rPr>
        <w:t>1.</w:t>
      </w:r>
      <w:r>
        <w:rPr>
          <w:noProof/>
        </w:rPr>
        <w:tab/>
        <w:t>V rámci Európy občanov Komisia prikladá veľkú dôležitosť zjednodušovaniu a </w:t>
      </w:r>
      <w:r>
        <w:rPr>
          <w:rFonts w:eastAsia="Times New Roman"/>
          <w:noProof/>
          <w:szCs w:val="24"/>
        </w:rPr>
        <w:t>sprehľadňovaniu</w:t>
      </w:r>
      <w:r>
        <w:rPr>
          <w:noProof/>
        </w:rPr>
        <w:t xml:space="preserve"> práva Únie s cieľom jeho lepšieho pochopenia a sprístupnenia občanom, dávajúc im nové príležitosti, ako aj šancu na efektívnejšie využívanie osobitných práv, ktoré im poskytuje.</w:t>
      </w:r>
    </w:p>
    <w:p>
      <w:pPr>
        <w:pStyle w:val="Text1"/>
        <w:rPr>
          <w:noProof/>
        </w:rPr>
      </w:pPr>
      <w:r>
        <w:rPr>
          <w:noProof/>
        </w:rPr>
        <w:t>Tento cieľ však nemožno dosiahnuť pokým pretrváva stav rozptýlenia mnohých ustanovení, opakovane a často pozmenených v podstatnom rozsahu, vo viacerých právnych aktoch, a to počínajúc pôvodným právnym aktom až po jeho poslednú zmenu, čo si vyžaduje vyčerpávajúce hľadanie a komparáciu mnohých právnych aktov za účelom identifikácie pozitívneho práva.</w:t>
      </w:r>
    </w:p>
    <w:p>
      <w:pPr>
        <w:pStyle w:val="Text1"/>
        <w:rPr>
          <w:noProof/>
        </w:rPr>
      </w:pPr>
      <w:r>
        <w:rPr>
          <w:noProof/>
        </w:rPr>
        <w:t>Jasnosť a prehľadnosť práva preto so sebou prináša potrebu častej kodifikácie pozmenených právnych aktov.</w:t>
      </w:r>
    </w:p>
    <w:p>
      <w:pPr>
        <w:pStyle w:val="Point0"/>
        <w:rPr>
          <w:noProof/>
        </w:rPr>
      </w:pPr>
      <w:r>
        <w:rPr>
          <w:rFonts w:eastAsia="Times New Roman"/>
          <w:noProof/>
          <w:szCs w:val="24"/>
        </w:rPr>
        <w:t>2.</w:t>
      </w:r>
      <w:r>
        <w:rPr>
          <w:rFonts w:eastAsia="Times New Roman"/>
          <w:noProof/>
          <w:szCs w:val="24"/>
        </w:rPr>
        <w:tab/>
        <w:t>Komisia sa 1. apríla 1987</w:t>
      </w:r>
      <w:r>
        <w:rPr>
          <w:rStyle w:val="FootnoteReference"/>
          <w:noProof/>
        </w:rPr>
        <w:footnoteReference w:id="1"/>
      </w:r>
      <w:r>
        <w:rPr>
          <w:rFonts w:eastAsia="Times New Roman"/>
          <w:noProof/>
          <w:szCs w:val="24"/>
        </w:rPr>
        <w:t xml:space="preserve"> rozhodla inštruovať svojich úradníkov, aby pristúpili ku kodifikácii všetkých právnych aktov najneskôr po ich desiatej zmene, zdôrazniac však, že ide o minimálnu požiadavku, keďže príslušné oddelenia by sa mali v záujme prehľadnosti a správneho pochopenia textov, za ktoré sú zodpovedné, usilovať o kodifikáciu ich ustanovení v kratších intervaloch. </w:t>
      </w:r>
    </w:p>
    <w:p>
      <w:pPr>
        <w:pStyle w:val="Point0"/>
        <w:rPr>
          <w:noProof/>
        </w:rPr>
      </w:pPr>
      <w:r>
        <w:rPr>
          <w:noProof/>
        </w:rPr>
        <w:t>3.</w:t>
      </w:r>
      <w:r>
        <w:rPr>
          <w:noProof/>
        </w:rPr>
        <w:tab/>
        <w:t>V podobnom zmysle vyzneli aj závery Európskej rady z Edinburgu z decembra 1992</w:t>
      </w:r>
      <w:r>
        <w:rPr>
          <w:rStyle w:val="FootnoteReference"/>
          <w:noProof/>
        </w:rPr>
        <w:footnoteReference w:id="2"/>
      </w:r>
      <w:r>
        <w:rPr>
          <w:noProof/>
        </w:rPr>
        <w:t>, v ktorých táto podčiarkla dôležitosť kodifikácie, poskytujúcej právnu istotu pri nachádzaní práva uplatniteľného v konkrétnom časovom momente na špecifický predmet úpravy.</w:t>
      </w:r>
    </w:p>
    <w:p>
      <w:pPr>
        <w:pStyle w:val="Text1"/>
        <w:rPr>
          <w:noProof/>
        </w:rPr>
      </w:pPr>
      <w:r>
        <w:rPr>
          <w:noProof/>
        </w:rPr>
        <w:t>Pri kodifikácii je potrebné dodržiavať štandardné postupy prijímania aktov Únie.</w:t>
      </w:r>
    </w:p>
    <w:p>
      <w:pPr>
        <w:pStyle w:val="Text1"/>
        <w:rPr>
          <w:noProof/>
        </w:rPr>
      </w:pPr>
      <w:r>
        <w:rPr>
          <w:noProof/>
        </w:rPr>
        <w:t>Vylúčenie obsahových zmien aktov prechádzajúcich kodifikáciou umožnilo Európskemu parlamentu, Rade a Komisii 20. decembra 1994 odsúhlasiť skrátené legislatívne konanie pre rýchle prijatie kodifikovaných právnych aktov vo forme medziinštitucionálnej dohody.</w:t>
      </w:r>
    </w:p>
    <w:p>
      <w:pPr>
        <w:pStyle w:val="Point0"/>
        <w:rPr>
          <w:noProof/>
        </w:rPr>
      </w:pPr>
      <w:r>
        <w:rPr>
          <w:noProof/>
        </w:rPr>
        <w:t>4.</w:t>
      </w:r>
      <w:r>
        <w:rPr>
          <w:noProof/>
        </w:rPr>
        <w:tab/>
        <w:t>Predkladaný návrh sleduje kodifikáciu nariadenia Európskeho parlamentu a Rady (ES) č. 1365/2006 zo 6. septembra 2006 o štatistike prepravy tovaru po vnútrozemských vodných cestách, ktorým sa zrušuje smernica Rady 80/1119/EHS</w:t>
      </w:r>
      <w:r>
        <w:rPr>
          <w:rStyle w:val="FootnoteReference"/>
          <w:noProof/>
        </w:rPr>
        <w:footnoteReference w:id="3"/>
      </w:r>
      <w:r>
        <w:rPr>
          <w:noProof/>
        </w:rPr>
        <w:t>. Nové nariadenie nahrádza viaceré právne akty tvoriace predmet kodifikácie</w:t>
      </w:r>
      <w:r>
        <w:rPr>
          <w:rStyle w:val="FootnoteReference"/>
          <w:noProof/>
        </w:rPr>
        <w:footnoteReference w:id="4"/>
      </w:r>
      <w:r>
        <w:rPr>
          <w:noProof/>
        </w:rPr>
        <w:t>. Návrh plne zachováva obsah kodifikovaných právnych aktov a obmedzuje sa výlučne na ich zjednotenie do jedného právneho aktu, pričom formálne zmeny nepresahujú nevyhnutný kodifikačný účel.</w:t>
      </w:r>
    </w:p>
    <w:p>
      <w:pPr>
        <w:pStyle w:val="Point0"/>
        <w:rPr>
          <w:noProof/>
        </w:rPr>
      </w:pPr>
      <w:r>
        <w:rPr>
          <w:noProof/>
        </w:rPr>
        <w:t>5.</w:t>
      </w:r>
      <w:r>
        <w:rPr>
          <w:noProof/>
        </w:rPr>
        <w:tab/>
        <w:t xml:space="preserve">Kodifikačný </w:t>
      </w:r>
      <w:r>
        <w:rPr>
          <w:rFonts w:eastAsia="Times New Roman"/>
          <w:noProof/>
          <w:szCs w:val="24"/>
        </w:rPr>
        <w:t>návrh bol vypracovaný na základe predbežného konsolidovaného znenia nariadenia (ES) č. </w:t>
      </w:r>
      <w:r>
        <w:rPr>
          <w:noProof/>
        </w:rPr>
        <w:t>1365/2006</w:t>
      </w:r>
      <w:r>
        <w:rPr>
          <w:rFonts w:eastAsia="Times New Roman"/>
          <w:noProof/>
          <w:szCs w:val="24"/>
        </w:rPr>
        <w:t>, ako aj jeho zmien. Toto konsolidované znenie bolo zostavené pre 24 úradných jazykov Úradom pre vydávanie publikácií Európskej únie za pomoci systému na spracovanie údajov. V prípade, že dochádza k prečíslovaniu článkov, tak starý, ako aj nový spôsob číslovania je obsiahnutý v tabuľke tvoriacej obsah prílohy VIII kodifikovaného nariadenia.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CRSeparator"/>
        <w:rPr>
          <w:noProof/>
        </w:rPr>
      </w:pPr>
    </w:p>
    <w:p>
      <w:pPr>
        <w:pStyle w:val="CRReference"/>
      </w:pPr>
      <w:r>
        <w:rPr>
          <w:lang w:val="sk-SK"/>
        </w:rPr>
        <w:fldChar w:fldCharType="begin"/>
      </w:r>
      <w:r>
        <w:rPr>
          <w:lang w:val="sk-SK"/>
        </w:rPr>
        <w:instrText xml:space="preserve"> QUOTE "</w:instrText>
      </w:r>
      <w:r>
        <w:rPr>
          <w:rFonts w:ascii="Wingdings" w:hAnsi="Wingdings" w:cs="Wingdings"/>
          <w:lang w:val="sk-SK"/>
        </w:rPr>
        <w:instrText>ê</w:instrText>
      </w:r>
      <w:r>
        <w:rPr>
          <w:lang w:val="sk-SK"/>
        </w:rPr>
        <w:instrText xml:space="preserve">" </w:instrText>
      </w:r>
      <w:r>
        <w:rPr>
          <w:lang w:val="sk-SK"/>
        </w:rPr>
        <w:fldChar w:fldCharType="separate"/>
      </w:r>
      <w:r>
        <w:rPr>
          <w:rFonts w:ascii="Wingdings" w:hAnsi="Wingdings" w:cs="Wingdings"/>
          <w:lang w:val="sk-SK"/>
        </w:rPr>
        <w:t>ê</w:t>
      </w:r>
      <w:r>
        <w:rPr>
          <w:lang w:val="sk-SK"/>
        </w:rPr>
        <w:fldChar w:fldCharType="end"/>
      </w:r>
      <w:r>
        <w:rPr>
          <w:lang w:val="sk-SK"/>
        </w:rPr>
        <w:t> 1365/2006 (prispôsobené)</w:t>
      </w:r>
    </w:p>
    <w:p>
      <w:pPr>
        <w:pStyle w:val="Rfrenceinterinstitutionnelle"/>
        <w:rPr>
          <w:noProof/>
        </w:rPr>
      </w:pPr>
      <w:r>
        <w:rPr>
          <w:noProof/>
        </w:rPr>
        <w:t>2013/0226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o štatistike prepravy tovaru po vnútrozemských vodných cestách (kodifikované znenie)</w:t>
      </w:r>
    </w:p>
    <w:p>
      <w:pPr>
        <w:pStyle w:val="Institutionquiagit"/>
        <w:outlineLvl w:val="0"/>
        <w:rPr>
          <w:noProof/>
        </w:rPr>
      </w:pPr>
      <w:r>
        <w:rPr>
          <w:noProof/>
        </w:rPr>
        <w:t>EURÓPSKY PARLAMENT A RADA EURÓPSKEJ ÚNIE,</w:t>
      </w:r>
    </w:p>
    <w:p>
      <w:pPr>
        <w:rPr>
          <w:noProof/>
        </w:rPr>
      </w:pPr>
      <w:r>
        <w:rPr>
          <w:noProof/>
        </w:rPr>
        <w:t>so zreteľom na Zmluvu o fungovaní Európskej únie, a najmä na jej článok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338 ods. 1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5"/>
      </w:r>
      <w:r>
        <w:rPr>
          <w:noProof/>
        </w:rPr>
        <w:t>,</w:t>
      </w:r>
    </w:p>
    <w:p>
      <w:pPr>
        <w:rPr>
          <w:noProof/>
        </w:rPr>
      </w:pPr>
      <w:r>
        <w:rPr>
          <w:noProof/>
        </w:rPr>
        <w:t>konajúc v súlade s riadnym legislatívnym postupom,</w:t>
      </w:r>
    </w:p>
    <w:p>
      <w:pPr>
        <w:rPr>
          <w:noProof/>
        </w:rPr>
      </w:pPr>
      <w:r>
        <w:rPr>
          <w:noProof/>
        </w:rPr>
        <w:t>keďže:</w:t>
      </w:r>
    </w:p>
    <w:p>
      <w:pPr>
        <w:pStyle w:val="CRSeparator"/>
        <w:rPr>
          <w:noProof/>
          <w:lang w:val="sk-SK"/>
        </w:rPr>
      </w:pPr>
    </w:p>
    <w:p>
      <w:pPr>
        <w:pStyle w:val="CRReference"/>
        <w:rPr>
          <w:lang w:val="sk-SK"/>
        </w:rPr>
      </w:pPr>
      <w:r>
        <w:rPr>
          <w:lang w:val="sk-SK"/>
        </w:rPr>
        <w:fldChar w:fldCharType="begin"/>
      </w:r>
      <w:r>
        <w:rPr>
          <w:lang w:val="sk-SK"/>
        </w:rPr>
        <w:instrText xml:space="preserve"> QUOTE "</w:instrText>
      </w:r>
      <w:r>
        <w:rPr>
          <w:rFonts w:ascii="Wingdings" w:hAnsi="Wingdings" w:cs="Wingdings"/>
          <w:lang w:val="sk-SK"/>
        </w:rPr>
        <w:instrText>ê</w:instrText>
      </w:r>
      <w:r>
        <w:rPr>
          <w:lang w:val="sk-SK"/>
        </w:rPr>
        <w:instrText xml:space="preserve">" </w:instrText>
      </w:r>
      <w:r>
        <w:rPr>
          <w:lang w:val="sk-SK"/>
        </w:rPr>
        <w:fldChar w:fldCharType="separate"/>
      </w:r>
      <w:r>
        <w:rPr>
          <w:rFonts w:ascii="Wingdings" w:hAnsi="Wingdings" w:cs="Wingdings"/>
          <w:lang w:val="sk-SK"/>
        </w:rPr>
        <w:t>ê</w:t>
      </w:r>
      <w:r>
        <w:rPr>
          <w:lang w:val="sk-SK"/>
        </w:rPr>
        <w:fldChar w:fldCharType="end"/>
      </w:r>
      <w:r>
        <w:rPr>
          <w:lang w:val="sk-SK"/>
        </w:rPr>
        <w:t> </w:t>
      </w:r>
    </w:p>
    <w:p>
      <w:pPr>
        <w:pStyle w:val="ManualConsidrant"/>
        <w:rPr>
          <w:rFonts w:eastAsia="Calibri"/>
          <w:noProof/>
        </w:rPr>
      </w:pPr>
      <w:bookmarkStart w:id="1" w:name="DQPStarAt1DQPStarAtDE46D8E179A342AD9BC3B"/>
      <w:bookmarkEnd w:id="1"/>
      <w:r>
        <w:t>(1)</w:t>
      </w:r>
      <w:r>
        <w:tab/>
      </w:r>
      <w:r>
        <w:rPr>
          <w:noProof/>
        </w:rPr>
        <w:t>Nariadenie Európskeho parlamentu a Rady</w:t>
      </w:r>
      <w:r>
        <w:rPr>
          <w:rFonts w:eastAsia="Calibri"/>
          <w:noProof/>
        </w:rPr>
        <w:t xml:space="preserve"> (ES) č. </w:t>
      </w:r>
      <w:r>
        <w:rPr>
          <w:rFonts w:eastAsia="Times New Roman"/>
          <w:noProof/>
        </w:rPr>
        <w:t>1365/2006</w:t>
      </w:r>
      <w:r>
        <w:rPr>
          <w:rStyle w:val="FootnoteReference"/>
          <w:rFonts w:eastAsia="Times New Roman"/>
          <w:noProof/>
        </w:rPr>
        <w:footnoteReference w:id="6"/>
      </w:r>
      <w:r>
        <w:rPr>
          <w:rFonts w:eastAsia="Calibri"/>
          <w:noProof/>
        </w:rPr>
        <w:t xml:space="preserve"> bolo opakovane podstatným spôsobom zmenené</w:t>
      </w:r>
      <w:r>
        <w:rPr>
          <w:rStyle w:val="FootnoteReference"/>
          <w:rFonts w:eastAsia="Calibri"/>
          <w:noProof/>
        </w:rPr>
        <w:footnoteReference w:id="7"/>
      </w:r>
      <w:r>
        <w:rPr>
          <w:rFonts w:eastAsia="Calibri"/>
          <w:noProof/>
        </w:rPr>
        <w:t xml:space="preserve">. </w:t>
      </w:r>
      <w:r>
        <w:rPr>
          <w:noProof/>
        </w:rPr>
        <w:t>V záujme jasnosti a prehľadnosti by sa malo toto nariadenie kodifikovať.</w:t>
      </w:r>
    </w:p>
    <w:p>
      <w:pPr>
        <w:pStyle w:val="CRSeparator"/>
        <w:rPr>
          <w:noProof/>
          <w:lang w:val="sk-SK"/>
        </w:rPr>
      </w:pPr>
    </w:p>
    <w:p>
      <w:pPr>
        <w:pStyle w:val="CRReference"/>
      </w:pPr>
      <w:r>
        <w:rPr>
          <w:lang w:val="sk-SK"/>
        </w:rPr>
        <w:fldChar w:fldCharType="begin"/>
      </w:r>
      <w:r>
        <w:rPr>
          <w:lang w:val="sk-SK"/>
        </w:rPr>
        <w:instrText xml:space="preserve"> QUOTE "</w:instrText>
      </w:r>
      <w:r>
        <w:rPr>
          <w:rFonts w:ascii="Wingdings" w:hAnsi="Wingdings" w:cs="Wingdings"/>
          <w:lang w:val="sk-SK"/>
        </w:rPr>
        <w:instrText>ê</w:instrText>
      </w:r>
      <w:r>
        <w:rPr>
          <w:lang w:val="sk-SK"/>
        </w:rPr>
        <w:instrText xml:space="preserve">" </w:instrText>
      </w:r>
      <w:r>
        <w:rPr>
          <w:lang w:val="sk-SK"/>
        </w:rPr>
        <w:fldChar w:fldCharType="separate"/>
      </w:r>
      <w:r>
        <w:rPr>
          <w:rFonts w:ascii="Wingdings" w:hAnsi="Wingdings" w:cs="Wingdings"/>
          <w:lang w:val="sk-SK"/>
        </w:rPr>
        <w:t>ê</w:t>
      </w:r>
      <w:r>
        <w:rPr>
          <w:lang w:val="sk-SK"/>
        </w:rPr>
        <w:fldChar w:fldCharType="end"/>
      </w:r>
      <w:r>
        <w:rPr>
          <w:lang w:val="sk-SK"/>
        </w:rPr>
        <w:t> 1365/2006 odôvodnenie 1 (prispôsobené)</w:t>
      </w:r>
    </w:p>
    <w:p>
      <w:pPr>
        <w:pStyle w:val="ManualConsidrant"/>
        <w:rPr>
          <w:noProof/>
        </w:rPr>
      </w:pPr>
      <w:r>
        <w:t>(2)</w:t>
      </w:r>
      <w:r>
        <w:tab/>
      </w:r>
      <w:r>
        <w:rPr>
          <w:noProof/>
        </w:rPr>
        <w:t xml:space="preserve">Vnútrozemské vodné cesty sú dôležitou časťou dopravnej siete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Únie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podpora tohto druhu dopravy je jedným z cieľov spoločnej dopravnej politiky z dôvodu hospodárnosti, ako aj s cieľom znížiť spotrebu energie a zmierniť vplyv dopravy na životné prostredie.</w:t>
      </w:r>
    </w:p>
    <w:p>
      <w:pPr>
        <w:pStyle w:val="CRSeparator"/>
        <w:rPr>
          <w:noProof/>
          <w:lang w:val="sk-SK"/>
        </w:rPr>
      </w:pPr>
    </w:p>
    <w:p>
      <w:pPr>
        <w:pStyle w:val="CRReference"/>
        <w:rPr>
          <w:lang w:val="sk-SK"/>
        </w:rPr>
      </w:pPr>
      <w:r>
        <w:rPr>
          <w:lang w:val="sk-SK"/>
        </w:rPr>
        <w:fldChar w:fldCharType="begin"/>
      </w:r>
      <w:r>
        <w:rPr>
          <w:lang w:val="sk-SK"/>
        </w:rPr>
        <w:instrText xml:space="preserve"> QUOTE "</w:instrText>
      </w:r>
      <w:r>
        <w:rPr>
          <w:rFonts w:ascii="Wingdings" w:hAnsi="Wingdings" w:cs="Wingdings"/>
          <w:lang w:val="sk-SK"/>
        </w:rPr>
        <w:instrText>ê</w:instrText>
      </w:r>
      <w:r>
        <w:rPr>
          <w:lang w:val="sk-SK"/>
        </w:rPr>
        <w:instrText xml:space="preserve">" </w:instrText>
      </w:r>
      <w:r>
        <w:rPr>
          <w:lang w:val="sk-SK"/>
        </w:rPr>
        <w:fldChar w:fldCharType="separate"/>
      </w:r>
      <w:r>
        <w:rPr>
          <w:rFonts w:ascii="Wingdings" w:hAnsi="Wingdings" w:cs="Wingdings"/>
          <w:lang w:val="sk-SK"/>
        </w:rPr>
        <w:t>ê</w:t>
      </w:r>
      <w:r>
        <w:rPr>
          <w:lang w:val="sk-SK"/>
        </w:rPr>
        <w:fldChar w:fldCharType="end"/>
      </w:r>
      <w:r>
        <w:rPr>
          <w:lang w:val="sk-SK"/>
        </w:rPr>
        <w:t> 1365/2006 odôvodnenie 2</w:t>
      </w:r>
    </w:p>
    <w:p>
      <w:pPr>
        <w:pStyle w:val="ManualConsidrant"/>
        <w:rPr>
          <w:noProof/>
        </w:rPr>
      </w:pPr>
      <w:r>
        <w:t>(3)</w:t>
      </w:r>
      <w:r>
        <w:tab/>
      </w:r>
      <w:r>
        <w:rPr>
          <w:noProof/>
        </w:rPr>
        <w:t>Komisia potrebuje štatistiku týkajúcu sa prepravy tovaru po vnútrozemských vodných cestách preto, aby mohla monitorovať a rozvíjať spoločnú dopravnú politiku, ako aj dopravné prvky politiky, ktoré sa týkajú regiónov a transeurópskych sietí.</w:t>
      </w:r>
    </w:p>
    <w:p>
      <w:pPr>
        <w:pStyle w:val="CRSeparator"/>
        <w:rPr>
          <w:noProof/>
        </w:rPr>
      </w:pPr>
    </w:p>
    <w:p>
      <w:pPr>
        <w:pStyle w:val="CRReference"/>
      </w:pPr>
      <w:r>
        <w:rPr>
          <w:lang w:val="sk-SK"/>
        </w:rPr>
        <w:fldChar w:fldCharType="begin"/>
      </w:r>
      <w:r>
        <w:rPr>
          <w:lang w:val="sk-SK"/>
        </w:rPr>
        <w:instrText xml:space="preserve"> QUOTE "</w:instrText>
      </w:r>
      <w:r>
        <w:rPr>
          <w:rFonts w:ascii="Wingdings" w:hAnsi="Wingdings" w:cs="Wingdings"/>
          <w:lang w:val="sk-SK"/>
        </w:rPr>
        <w:instrText>ê</w:instrText>
      </w:r>
      <w:r>
        <w:rPr>
          <w:lang w:val="sk-SK"/>
        </w:rPr>
        <w:instrText xml:space="preserve">" </w:instrText>
      </w:r>
      <w:r>
        <w:rPr>
          <w:lang w:val="sk-SK"/>
        </w:rPr>
        <w:fldChar w:fldCharType="separate"/>
      </w:r>
      <w:r>
        <w:rPr>
          <w:rFonts w:ascii="Wingdings" w:hAnsi="Wingdings" w:cs="Wingdings"/>
          <w:lang w:val="sk-SK"/>
        </w:rPr>
        <w:t>ê</w:t>
      </w:r>
      <w:r>
        <w:rPr>
          <w:lang w:val="sk-SK"/>
        </w:rPr>
        <w:fldChar w:fldCharType="end"/>
      </w:r>
      <w:r>
        <w:rPr>
          <w:lang w:val="sk-SK"/>
        </w:rPr>
        <w:t> 1365/2006 odôvodnenie 5 (prispôsobené)</w:t>
      </w:r>
    </w:p>
    <w:p>
      <w:pPr>
        <w:pStyle w:val="ManualConsidrant"/>
        <w:rPr>
          <w:noProof/>
        </w:rPr>
      </w:pPr>
      <w:r>
        <w:t>(4)</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Európska štatistika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týkajúca sa všetkých druhov dopravy by sa mala zozbierať na základe jednotnej koncepcie a noriem s cieľom dosiahnuť čo najväčšiu porovnateľnosť medzi jednotlivými druhmi dopravy.</w:t>
      </w:r>
    </w:p>
    <w:p>
      <w:pPr>
        <w:pStyle w:val="CRSeparator"/>
        <w:rPr>
          <w:noProof/>
        </w:rPr>
      </w:pPr>
    </w:p>
    <w:p>
      <w:pPr>
        <w:pStyle w:val="CRReference"/>
      </w:pPr>
      <w:r>
        <w:fldChar w:fldCharType="begin"/>
      </w:r>
      <w:r>
        <w:instrText xml:space="preserve"> QUOTE "</w:instrText>
      </w:r>
      <w:r>
        <w:rPr>
          <w:rStyle w:val="CRMarker"/>
        </w:rPr>
        <w:instrText>ê</w:instrText>
      </w:r>
      <w:r>
        <w:instrText xml:space="preserve">" </w:instrText>
      </w:r>
      <w:r>
        <w:fldChar w:fldCharType="separate"/>
      </w:r>
      <w:r>
        <w:rPr>
          <w:rStyle w:val="CRMarker"/>
        </w:rPr>
        <w:t>ê</w:t>
      </w:r>
      <w:r>
        <w:fldChar w:fldCharType="end"/>
      </w:r>
      <w:r>
        <w:t> 1365/2006</w:t>
      </w:r>
      <w:r>
        <w:rPr>
          <w:lang w:val="sk-SK"/>
        </w:rPr>
        <w:t xml:space="preserve"> odôvodnenie 6</w:t>
      </w:r>
    </w:p>
    <w:p>
      <w:pPr>
        <w:pStyle w:val="ManualConsidrant"/>
        <w:rPr>
          <w:noProof/>
        </w:rPr>
      </w:pPr>
      <w:r>
        <w:t>(5)</w:t>
      </w:r>
      <w:r>
        <w:tab/>
      </w:r>
      <w:r>
        <w:rPr>
          <w:noProof/>
        </w:rPr>
        <w:t>Vnútrozemská vodná doprava sa neuskutočňuje vo všetkých členských štátoch, a preto sa účinok tohto nariadenia obmedzuje len na členské štáty, v ktorých tento spôsob dopravy existuje.</w:t>
      </w:r>
    </w:p>
    <w:p>
      <w:pPr>
        <w:pStyle w:val="CRSeparator"/>
        <w:rPr>
          <w:noProof/>
        </w:rPr>
      </w:pPr>
    </w:p>
    <w:p>
      <w:pPr>
        <w:pStyle w:val="CRReference"/>
      </w:pPr>
      <w:r>
        <w:fldChar w:fldCharType="begin"/>
      </w:r>
      <w:r>
        <w:instrText xml:space="preserve"> QUOTE "</w:instrText>
      </w:r>
      <w:r>
        <w:rPr>
          <w:rStyle w:val="CRMarker"/>
        </w:rPr>
        <w:instrText>ê</w:instrText>
      </w:r>
      <w:r>
        <w:instrText xml:space="preserve">" </w:instrText>
      </w:r>
      <w:r>
        <w:fldChar w:fldCharType="separate"/>
      </w:r>
      <w:r>
        <w:rPr>
          <w:rStyle w:val="CRMarker"/>
        </w:rPr>
        <w:t>ê</w:t>
      </w:r>
      <w:r>
        <w:fldChar w:fldCharType="end"/>
      </w:r>
      <w:r>
        <w:t> 1365/2006</w:t>
      </w:r>
      <w:r>
        <w:rPr>
          <w:lang w:val="sk-SK"/>
        </w:rPr>
        <w:t xml:space="preserve"> odôvodnenie 7 (prispôsobené)</w:t>
      </w:r>
    </w:p>
    <w:p>
      <w:pPr>
        <w:pStyle w:val="ManualConsidrant"/>
        <w:rPr>
          <w:noProof/>
        </w:rPr>
      </w:pPr>
      <w:r>
        <w:t>(6)</w:t>
      </w:r>
      <w:r>
        <w:tab/>
      </w:r>
      <w:r>
        <w:rPr>
          <w:noProof/>
        </w:rPr>
        <w:t xml:space="preserve">Keďže cieľ tohto nariadenia, a to vytvorenie jednotných štatistických štandardov na získavanie harmonizovaných údajov, nie je možné uspokojivo dosiahnuť na úrovni jednotlivých členských štátov, a preto ho možno lepšie dosiahnuť na úrovni </w:t>
      </w:r>
      <w:r>
        <w:rPr>
          <w:noProof/>
        </w:rPr>
        <w:fldChar w:fldCharType="begin"/>
      </w:r>
      <w:r>
        <w:rPr>
          <w:noProof/>
        </w:rPr>
        <w:instrText xml:space="preserve"> QUOTE "</w:instrText>
      </w:r>
      <w:r>
        <w:rPr>
          <w:rStyle w:val="CRMarker"/>
          <w:rFonts w:hint="eastAsia"/>
          <w:noProof/>
        </w:rPr>
        <w:instrText>Ö</w:instrText>
      </w:r>
      <w:r>
        <w:rPr>
          <w:noProof/>
        </w:rPr>
        <w:instrText xml:space="preserve">" </w:instrText>
      </w:r>
      <w:r>
        <w:rPr>
          <w:noProof/>
        </w:rPr>
        <w:fldChar w:fldCharType="separate"/>
      </w:r>
      <w:r>
        <w:rPr>
          <w:rStyle w:val="CRMarker"/>
          <w:rFonts w:hint="eastAsia"/>
          <w:noProof/>
        </w:rPr>
        <w:t>Ö</w:t>
      </w:r>
      <w:r>
        <w:rPr>
          <w:noProof/>
        </w:rPr>
        <w:fldChar w:fldCharType="end"/>
      </w:r>
      <w:r>
        <w:rPr>
          <w:noProof/>
        </w:rPr>
        <w:t> Únie </w:t>
      </w:r>
      <w:r>
        <w:rPr>
          <w:noProof/>
        </w:rPr>
        <w:fldChar w:fldCharType="begin"/>
      </w:r>
      <w:r>
        <w:rPr>
          <w:noProof/>
        </w:rPr>
        <w:instrText xml:space="preserve"> QUOTE "</w:instrText>
      </w:r>
      <w:r>
        <w:rPr>
          <w:rStyle w:val="CRMarker"/>
          <w:rFonts w:hint="eastAsia"/>
          <w:noProof/>
        </w:rPr>
        <w:instrText>Õ</w:instrText>
      </w:r>
      <w:r>
        <w:rPr>
          <w:noProof/>
        </w:rPr>
        <w:instrText xml:space="preserve">" </w:instrText>
      </w:r>
      <w:r>
        <w:rPr>
          <w:noProof/>
        </w:rPr>
        <w:fldChar w:fldCharType="separate"/>
      </w:r>
      <w:r>
        <w:rPr>
          <w:rStyle w:val="CRMarker"/>
          <w:rFonts w:hint="eastAsia"/>
          <w:noProof/>
        </w:rPr>
        <w:t>Õ</w:t>
      </w:r>
      <w:r>
        <w:rPr>
          <w:noProof/>
        </w:rPr>
        <w:fldChar w:fldCharType="end"/>
      </w:r>
      <w:r>
        <w:rPr>
          <w:noProof/>
        </w:rPr>
        <w:t xml:space="preserve">, môže </w:t>
      </w:r>
      <w:r>
        <w:rPr>
          <w:noProof/>
        </w:rPr>
        <w:fldChar w:fldCharType="begin"/>
      </w:r>
      <w:r>
        <w:rPr>
          <w:noProof/>
        </w:rPr>
        <w:instrText xml:space="preserve"> QUOTE "</w:instrText>
      </w:r>
      <w:r>
        <w:rPr>
          <w:rStyle w:val="CRMarker"/>
          <w:rFonts w:hint="eastAsia"/>
          <w:noProof/>
        </w:rPr>
        <w:instrText>Ö</w:instrText>
      </w:r>
      <w:r>
        <w:rPr>
          <w:noProof/>
        </w:rPr>
        <w:instrText xml:space="preserve">" </w:instrText>
      </w:r>
      <w:r>
        <w:rPr>
          <w:noProof/>
        </w:rPr>
        <w:fldChar w:fldCharType="separate"/>
      </w:r>
      <w:r>
        <w:rPr>
          <w:rStyle w:val="CRMarker"/>
          <w:rFonts w:hint="eastAsia"/>
          <w:noProof/>
        </w:rPr>
        <w:t>Ö</w:t>
      </w:r>
      <w:r>
        <w:rPr>
          <w:noProof/>
        </w:rPr>
        <w:fldChar w:fldCharType="end"/>
      </w:r>
      <w:r>
        <w:rPr>
          <w:noProof/>
        </w:rPr>
        <w:t> Únia </w:t>
      </w:r>
      <w:r>
        <w:rPr>
          <w:noProof/>
        </w:rPr>
        <w:fldChar w:fldCharType="begin"/>
      </w:r>
      <w:r>
        <w:rPr>
          <w:noProof/>
        </w:rPr>
        <w:instrText xml:space="preserve"> QUOTE "</w:instrText>
      </w:r>
      <w:r>
        <w:rPr>
          <w:rStyle w:val="CRMarker"/>
          <w:rFonts w:hint="eastAsia"/>
          <w:noProof/>
        </w:rPr>
        <w:instrText>Õ</w:instrText>
      </w:r>
      <w:r>
        <w:rPr>
          <w:noProof/>
        </w:rPr>
        <w:instrText xml:space="preserve">" </w:instrText>
      </w:r>
      <w:r>
        <w:rPr>
          <w:noProof/>
        </w:rPr>
        <w:fldChar w:fldCharType="separate"/>
      </w:r>
      <w:r>
        <w:rPr>
          <w:rStyle w:val="CRMarker"/>
          <w:rFonts w:hint="eastAsia"/>
          <w:noProof/>
        </w:rPr>
        <w:t>Õ</w:t>
      </w:r>
      <w:r>
        <w:rPr>
          <w:noProof/>
        </w:rPr>
        <w:fldChar w:fldCharType="end"/>
      </w:r>
      <w:r>
        <w:rPr>
          <w:noProof/>
        </w:rPr>
        <w:t xml:space="preserve"> prijať opatrenia v súlade so zásadou subsidiarity podľa článku 5 zmluvy </w:t>
      </w:r>
      <w:r>
        <w:rPr>
          <w:noProof/>
        </w:rPr>
        <w:fldChar w:fldCharType="begin"/>
      </w:r>
      <w:r>
        <w:rPr>
          <w:noProof/>
        </w:rPr>
        <w:instrText xml:space="preserve"> QUOTE "</w:instrText>
      </w:r>
      <w:r>
        <w:rPr>
          <w:rFonts w:ascii="Wingdings" w:hAnsi="Wingdings" w:cs="Wingdings"/>
          <w:noProof/>
        </w:rPr>
        <w:instrText>Ö</w:instrText>
      </w:r>
      <w:r>
        <w:rPr>
          <w:noProof/>
        </w:rPr>
        <w:instrText xml:space="preserve">" </w:instrText>
      </w:r>
      <w:r>
        <w:rPr>
          <w:noProof/>
        </w:rPr>
        <w:fldChar w:fldCharType="separate"/>
      </w:r>
      <w:r>
        <w:rPr>
          <w:rFonts w:ascii="Wingdings" w:hAnsi="Wingdings" w:cs="Wingdings"/>
          <w:noProof/>
        </w:rPr>
        <w:t>Ö</w:t>
      </w:r>
      <w:r>
        <w:rPr>
          <w:noProof/>
        </w:rPr>
        <w:fldChar w:fldCharType="end"/>
      </w:r>
      <w:r>
        <w:rPr>
          <w:noProof/>
        </w:rPr>
        <w:t> o Európskej únii </w:t>
      </w:r>
      <w:r>
        <w:rPr>
          <w:noProof/>
        </w:rPr>
        <w:fldChar w:fldCharType="begin"/>
      </w:r>
      <w:r>
        <w:rPr>
          <w:noProof/>
        </w:rPr>
        <w:instrText xml:space="preserve"> QUOTE "</w:instrText>
      </w:r>
      <w:r>
        <w:rPr>
          <w:rFonts w:ascii="Wingdings" w:hAnsi="Wingdings" w:cs="Wingdings"/>
          <w:noProof/>
        </w:rPr>
        <w:instrText>Õ</w:instrText>
      </w:r>
      <w:r>
        <w:rPr>
          <w:noProof/>
        </w:rPr>
        <w:instrText xml:space="preserve">" </w:instrText>
      </w:r>
      <w:r>
        <w:rPr>
          <w:noProof/>
        </w:rPr>
        <w:fldChar w:fldCharType="separate"/>
      </w:r>
      <w:r>
        <w:rPr>
          <w:rFonts w:ascii="Wingdings" w:hAnsi="Wingdings" w:cs="Wingdings"/>
          <w:noProof/>
        </w:rPr>
        <w:t>Õ</w:t>
      </w:r>
      <w:r>
        <w:rPr>
          <w:noProof/>
        </w:rPr>
        <w:fldChar w:fldCharType="end"/>
      </w:r>
      <w:r>
        <w:rPr>
          <w:noProof/>
        </w:rPr>
        <w:t>. V súlade so zásadou proporcionality podľa uvedeného článku, toto nariadenie neprekračuje rámec nevyhnutný na dosiahnutie tohto cieľa.</w:t>
      </w:r>
    </w:p>
    <w:p>
      <w:pPr>
        <w:pStyle w:val="CRSeparator"/>
        <w:rPr>
          <w:rFonts w:eastAsia="Calibri"/>
          <w:noProof/>
        </w:rPr>
      </w:pPr>
    </w:p>
    <w:p>
      <w:pPr>
        <w:pStyle w:val="CRReference"/>
        <w:rPr>
          <w:rFonts w:eastAsia="Calibri"/>
        </w:rPr>
      </w:pPr>
      <w:r>
        <w:rPr>
          <w:rFonts w:eastAsia="Calibri"/>
        </w:rPr>
        <w:fldChar w:fldCharType="begin"/>
      </w:r>
      <w:r>
        <w:rPr>
          <w:rFonts w:eastAsia="Calibri"/>
        </w:rPr>
        <w:instrText xml:space="preserve"> QUOTE "</w:instrText>
      </w:r>
      <w:r>
        <w:rPr>
          <w:rStyle w:val="CRMarker"/>
          <w:rFonts w:eastAsia="Calibri"/>
        </w:rPr>
        <w:instrText>ê</w:instrText>
      </w:r>
      <w:r>
        <w:rPr>
          <w:rFonts w:eastAsia="Calibri"/>
        </w:rPr>
        <w:instrText xml:space="preserve">" </w:instrText>
      </w:r>
      <w:r>
        <w:rPr>
          <w:rFonts w:eastAsia="Calibri"/>
        </w:rPr>
        <w:fldChar w:fldCharType="separate"/>
      </w:r>
      <w:r>
        <w:rPr>
          <w:rStyle w:val="CRMarker"/>
          <w:rFonts w:eastAsia="Calibri"/>
        </w:rPr>
        <w:t>ê</w:t>
      </w:r>
      <w:r>
        <w:rPr>
          <w:rFonts w:eastAsia="Calibri"/>
        </w:rPr>
        <w:fldChar w:fldCharType="end"/>
      </w:r>
      <w:r>
        <w:rPr>
          <w:rFonts w:eastAsia="Calibri"/>
        </w:rPr>
        <w:t> 1365/2006</w:t>
      </w:r>
      <w:r>
        <w:rPr>
          <w:lang w:val="sk-SK"/>
        </w:rPr>
        <w:t xml:space="preserve"> odôvodnenie 8</w:t>
      </w:r>
    </w:p>
    <w:p>
      <w:pPr>
        <w:pStyle w:val="ManualConsidrant"/>
        <w:rPr>
          <w:noProof/>
        </w:rPr>
      </w:pPr>
      <w:r>
        <w:t>(7)</w:t>
      </w:r>
      <w:r>
        <w:tab/>
      </w:r>
      <w:r>
        <w:rPr>
          <w:noProof/>
        </w:rPr>
        <w:t>Nariadenie Európskeho parlamentu a Rady (EÚ) č. 223/2009</w:t>
      </w:r>
      <w:r>
        <w:rPr>
          <w:rStyle w:val="FootnoteReference"/>
          <w:noProof/>
        </w:rPr>
        <w:footnoteReference w:id="8"/>
      </w:r>
      <w:r>
        <w:rPr>
          <w:noProof/>
        </w:rPr>
        <w:t xml:space="preserve"> poskytuje referenčný rámec ustanovení, ktoré sú stanovené v tomto nariadení.</w:t>
      </w:r>
    </w:p>
    <w:p>
      <w:pPr>
        <w:pStyle w:val="CRSeparator"/>
        <w:rPr>
          <w:rFonts w:eastAsia="Calibri"/>
          <w:noProof/>
        </w:rPr>
      </w:pPr>
    </w:p>
    <w:p>
      <w:pPr>
        <w:pStyle w:val="CRReference"/>
        <w:rPr>
          <w:rFonts w:eastAsia="Calibri"/>
        </w:rPr>
      </w:pPr>
      <w:r>
        <w:rPr>
          <w:rFonts w:eastAsia="Calibri"/>
        </w:rPr>
        <w:fldChar w:fldCharType="begin"/>
      </w:r>
      <w:r>
        <w:rPr>
          <w:rFonts w:eastAsia="Calibri"/>
        </w:rPr>
        <w:instrText xml:space="preserve"> QUOTE "</w:instrText>
      </w:r>
      <w:r>
        <w:rPr>
          <w:rStyle w:val="CRMarker"/>
          <w:rFonts w:eastAsia="Calibri"/>
        </w:rPr>
        <w:instrText>ê</w:instrText>
      </w:r>
      <w:r>
        <w:rPr>
          <w:rFonts w:eastAsia="Calibri"/>
        </w:rPr>
        <w:instrText xml:space="preserve">" </w:instrText>
      </w:r>
      <w:r>
        <w:rPr>
          <w:rFonts w:eastAsia="Calibri"/>
        </w:rPr>
        <w:fldChar w:fldCharType="separate"/>
      </w:r>
      <w:r>
        <w:rPr>
          <w:rStyle w:val="CRMarker"/>
          <w:rFonts w:eastAsia="Calibri"/>
        </w:rPr>
        <w:t>ê</w:t>
      </w:r>
      <w:r>
        <w:rPr>
          <w:rFonts w:eastAsia="Calibri"/>
        </w:rPr>
        <w:fldChar w:fldCharType="end"/>
      </w:r>
      <w:r>
        <w:rPr>
          <w:rFonts w:eastAsia="Calibri"/>
        </w:rPr>
        <w:t> 2016/1954</w:t>
      </w:r>
      <w:r>
        <w:rPr>
          <w:lang w:val="sk-SK"/>
        </w:rPr>
        <w:t xml:space="preserve"> odôvodnenie 5 (prispôsobené)</w:t>
      </w:r>
    </w:p>
    <w:p>
      <w:pPr>
        <w:pStyle w:val="ManualConsidrant"/>
        <w:rPr>
          <w:noProof/>
        </w:rPr>
      </w:pPr>
      <w:r>
        <w:t>(8)</w:t>
      </w:r>
      <w:r>
        <w:tab/>
      </w:r>
      <w:r>
        <w:rPr>
          <w:noProof/>
        </w:rPr>
        <w:t xml:space="preserve">S cieľom zohľadniť hospodársky a technický vývoj a zmeny vo vymedzeniach pojmov prijatých na medzinárodnej úrovni by sa mala na Komisiu delegovať právomoc prijímať akty v súlade s článkom 290 zmluvy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 fungovaní Európskej únie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 súvislosti so zmenou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tohto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nariadenia, pokiaľ ide o zvýšenie prahovej hodnoty nad 1 000 000 ton pre štatistické zisťovanie o vnútrozemskej vodnej doprave, prispôsobenie vymedzení pojmov alebo stanovenie nových vymedzení pojmov, ako aj prispôsobenie príloh k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tomuto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nariadeniu na účely zohľadnenia zmien v kódovaní a nomenklatúre na medzinárodnej úrovni alebo v príslušných legislatívnych aktoch Únie. Je osobitne dôležité, aby Komisia počas prípravných prác uskutočnila príslušné konzultácie, a to aj na úrovni expertov, a aby tieto konzultácie vykonávala v súlade so zásadami stanovenými v Medziinštitucionálnej dohode z 13. apríla 2016 o lepšej tvorbe práva</w:t>
      </w:r>
      <w:r>
        <w:rPr>
          <w:rStyle w:val="FootnoteReference"/>
          <w:rFonts w:eastAsia="Calibri"/>
          <w:noProof/>
        </w:rPr>
        <w:footnoteReference w:id="9"/>
      </w:r>
      <w:r>
        <w:rPr>
          <w:noProof/>
        </w:rPr>
        <w:t>. Predovšetkým v záujme rovnakého zastúpenia pri príprave delegovaných aktov sa všetky dokumenty doručujú Európskemu parlamentu a Rade v rovnakom čase ako odborníkom z členských štátov a odborníci Európskeho parlamentu a Rady majú systematicky prístup na zasadnutia expertných skupín Komisie, ktoré sa zaoberajú prípravou delegovaných aktov.</w:t>
      </w:r>
    </w:p>
    <w:p>
      <w:pPr>
        <w:pStyle w:val="CRSeparator"/>
        <w:rPr>
          <w:rFonts w:eastAsia="Calibri"/>
          <w:noProof/>
        </w:rPr>
      </w:pPr>
    </w:p>
    <w:p>
      <w:pPr>
        <w:pStyle w:val="CRReference"/>
        <w:rPr>
          <w:rFonts w:eastAsia="Calibri"/>
        </w:rPr>
      </w:pPr>
      <w:r>
        <w:rPr>
          <w:rFonts w:eastAsia="Calibri"/>
        </w:rPr>
        <w:fldChar w:fldCharType="begin"/>
      </w:r>
      <w:r>
        <w:rPr>
          <w:rFonts w:eastAsia="Calibri"/>
        </w:rPr>
        <w:instrText xml:space="preserve"> QUOTE "</w:instrText>
      </w:r>
      <w:r>
        <w:rPr>
          <w:rStyle w:val="CRMarker"/>
          <w:rFonts w:eastAsia="Calibri"/>
        </w:rPr>
        <w:instrText>ê</w:instrText>
      </w:r>
      <w:r>
        <w:rPr>
          <w:rFonts w:eastAsia="Calibri"/>
        </w:rPr>
        <w:instrText xml:space="preserve">" </w:instrText>
      </w:r>
      <w:r>
        <w:rPr>
          <w:rFonts w:eastAsia="Calibri"/>
        </w:rPr>
        <w:fldChar w:fldCharType="separate"/>
      </w:r>
      <w:r>
        <w:rPr>
          <w:rStyle w:val="CRMarker"/>
          <w:rFonts w:eastAsia="Calibri"/>
        </w:rPr>
        <w:t>ê</w:t>
      </w:r>
      <w:r>
        <w:rPr>
          <w:rFonts w:eastAsia="Calibri"/>
        </w:rPr>
        <w:fldChar w:fldCharType="end"/>
      </w:r>
      <w:r>
        <w:rPr>
          <w:rFonts w:eastAsia="Calibri"/>
        </w:rPr>
        <w:t> 2016/1954</w:t>
      </w:r>
      <w:r>
        <w:rPr>
          <w:lang w:val="sk-SK"/>
        </w:rPr>
        <w:t xml:space="preserve"> odôvodnenie 6</w:t>
      </w:r>
    </w:p>
    <w:p>
      <w:pPr>
        <w:pStyle w:val="ManualConsidrant"/>
        <w:rPr>
          <w:noProof/>
        </w:rPr>
      </w:pPr>
      <w:r>
        <w:t>(9)</w:t>
      </w:r>
      <w:r>
        <w:tab/>
      </w:r>
      <w:r>
        <w:rPr>
          <w:noProof/>
        </w:rPr>
        <w:t>Komisia by mala zabezpečiť, aby uvedené delegované akty nespôsobovali výrazné dodatočné zaťaženie členských štátov alebo respondentov.</w:t>
      </w:r>
    </w:p>
    <w:p>
      <w:pPr>
        <w:pStyle w:val="CRSeparator"/>
        <w:rPr>
          <w:noProof/>
        </w:rPr>
      </w:pPr>
    </w:p>
    <w:p>
      <w:pPr>
        <w:pStyle w:val="CRReference"/>
        <w:rPr>
          <w:lang w:val="sk-SK"/>
        </w:rPr>
      </w:pPr>
      <w:r>
        <w:rPr>
          <w:lang w:val="sk-SK"/>
        </w:rPr>
        <w:fldChar w:fldCharType="begin"/>
      </w:r>
      <w:r>
        <w:rPr>
          <w:lang w:val="sk-SK"/>
        </w:rPr>
        <w:instrText xml:space="preserve"> QUOTE "</w:instrText>
      </w:r>
      <w:r>
        <w:rPr>
          <w:rFonts w:ascii="Wingdings" w:hAnsi="Wingdings" w:cs="Wingdings"/>
          <w:lang w:val="sk-SK"/>
        </w:rPr>
        <w:instrText>ê</w:instrText>
      </w:r>
      <w:r>
        <w:rPr>
          <w:lang w:val="sk-SK"/>
        </w:rPr>
        <w:instrText xml:space="preserve">" </w:instrText>
      </w:r>
      <w:r>
        <w:rPr>
          <w:lang w:val="sk-SK"/>
        </w:rPr>
        <w:fldChar w:fldCharType="separate"/>
      </w:r>
      <w:r>
        <w:rPr>
          <w:rFonts w:ascii="Wingdings" w:hAnsi="Wingdings" w:cs="Wingdings"/>
          <w:lang w:val="sk-SK"/>
        </w:rPr>
        <w:t>ê</w:t>
      </w:r>
      <w:r>
        <w:rPr>
          <w:lang w:val="sk-SK"/>
        </w:rPr>
        <w:fldChar w:fldCharType="end"/>
      </w:r>
      <w:r>
        <w:rPr>
          <w:lang w:val="sk-SK"/>
        </w:rPr>
        <w:t> 2016/1954 odôvodnenie 7 (prispôsobené)</w:t>
      </w:r>
    </w:p>
    <w:p>
      <w:pPr>
        <w:pStyle w:val="ManualConsidrant"/>
        <w:rPr>
          <w:noProof/>
        </w:rPr>
      </w:pPr>
      <w:r>
        <w:t>(10)</w:t>
      </w:r>
      <w:r>
        <w:tab/>
      </w:r>
      <w:r>
        <w:rPr>
          <w:noProof/>
        </w:rPr>
        <w:t xml:space="preserve">S cieľom zabezpečiť jednotné podmienky vykonávania </w:t>
      </w:r>
      <w:r>
        <w:rPr>
          <w:noProof/>
        </w:rPr>
        <w:fldChar w:fldCharType="begin"/>
      </w:r>
      <w:r>
        <w:rPr>
          <w:noProof/>
        </w:rPr>
        <w:instrText xml:space="preserve"> QUOTE "</w:instrText>
      </w:r>
      <w:r>
        <w:rPr>
          <w:rFonts w:ascii="Wingdings" w:hAnsi="Wingdings" w:cs="Wingdings"/>
          <w:noProof/>
        </w:rPr>
        <w:instrText>Ö</w:instrText>
      </w:r>
      <w:r>
        <w:rPr>
          <w:noProof/>
        </w:rPr>
        <w:instrText xml:space="preserve">" </w:instrText>
      </w:r>
      <w:r>
        <w:rPr>
          <w:noProof/>
        </w:rPr>
        <w:fldChar w:fldCharType="separate"/>
      </w:r>
      <w:r>
        <w:rPr>
          <w:rFonts w:ascii="Wingdings" w:hAnsi="Wingdings" w:cs="Wingdings"/>
          <w:noProof/>
        </w:rPr>
        <w:t>Ö</w:t>
      </w:r>
      <w:r>
        <w:rPr>
          <w:noProof/>
        </w:rPr>
        <w:fldChar w:fldCharType="end"/>
      </w:r>
      <w:r>
        <w:rPr>
          <w:noProof/>
        </w:rPr>
        <w:t> tohto </w:t>
      </w:r>
      <w:r>
        <w:rPr>
          <w:noProof/>
        </w:rPr>
        <w:fldChar w:fldCharType="begin"/>
      </w:r>
      <w:r>
        <w:rPr>
          <w:noProof/>
        </w:rPr>
        <w:instrText xml:space="preserve"> QUOTE "</w:instrText>
      </w:r>
      <w:r>
        <w:rPr>
          <w:rFonts w:ascii="Wingdings" w:hAnsi="Wingdings" w:cs="Wingdings"/>
          <w:noProof/>
        </w:rPr>
        <w:instrText>Õ</w:instrText>
      </w:r>
      <w:r>
        <w:rPr>
          <w:noProof/>
        </w:rPr>
        <w:instrText xml:space="preserve">" </w:instrText>
      </w:r>
      <w:r>
        <w:rPr>
          <w:noProof/>
        </w:rPr>
        <w:fldChar w:fldCharType="separate"/>
      </w:r>
      <w:r>
        <w:rPr>
          <w:rFonts w:ascii="Wingdings" w:hAnsi="Wingdings" w:cs="Wingdings"/>
          <w:noProof/>
        </w:rPr>
        <w:t>Õ</w:t>
      </w:r>
      <w:r>
        <w:rPr>
          <w:noProof/>
        </w:rPr>
        <w:fldChar w:fldCharType="end"/>
      </w:r>
      <w:r>
        <w:rPr>
          <w:noProof/>
        </w:rPr>
        <w:t xml:space="preserve"> nariadenia by sa mali na Komisiu preniesť vykonávacie právomoci, ktoré jej umožnia prijať podrobnosti týkajúce sa zasielania údajov vrátane štandardov na výmenu údajov, zverejňovania výsledkov Komisiou (Eurostatom) a tiež rozvíjať a publikovať metodické požiadavky a kritériá, ktoré majú zabezpečiť kvalitu zostavovaných údajov. Uvedené právomoci by sa mali vykonávať v súlade s nariadením Európskeho parlamentu a Rady (EÚ) č. 182/2011</w:t>
      </w:r>
      <w:r>
        <w:rPr>
          <w:rStyle w:val="FootnoteReference"/>
          <w:noProof/>
        </w:rPr>
        <w:footnoteReference w:id="10"/>
      </w:r>
      <w:r>
        <w:rPr>
          <w:noProof/>
        </w:rPr>
        <w:t>.</w:t>
      </w:r>
    </w:p>
    <w:p>
      <w:pPr>
        <w:pStyle w:val="CRSeparator"/>
        <w:rPr>
          <w:noProof/>
        </w:rPr>
      </w:pPr>
    </w:p>
    <w:p>
      <w:pPr>
        <w:pStyle w:val="CRReference"/>
        <w:rPr>
          <w:lang w:val="sk-SK"/>
        </w:rPr>
      </w:pPr>
      <w:r>
        <w:rPr>
          <w:lang w:val="sk-SK"/>
        </w:rPr>
        <w:fldChar w:fldCharType="begin"/>
      </w:r>
      <w:r>
        <w:rPr>
          <w:lang w:val="sk-SK"/>
        </w:rPr>
        <w:instrText xml:space="preserve"> QUOTE "</w:instrText>
      </w:r>
      <w:r>
        <w:rPr>
          <w:rFonts w:ascii="Wingdings" w:hAnsi="Wingdings" w:cs="Wingdings"/>
          <w:lang w:val="sk-SK"/>
        </w:rPr>
        <w:instrText>ê</w:instrText>
      </w:r>
      <w:r>
        <w:rPr>
          <w:lang w:val="sk-SK"/>
        </w:rPr>
        <w:instrText xml:space="preserve">" </w:instrText>
      </w:r>
      <w:r>
        <w:rPr>
          <w:lang w:val="sk-SK"/>
        </w:rPr>
        <w:fldChar w:fldCharType="separate"/>
      </w:r>
      <w:r>
        <w:rPr>
          <w:rFonts w:ascii="Wingdings" w:hAnsi="Wingdings" w:cs="Wingdings"/>
          <w:lang w:val="sk-SK"/>
        </w:rPr>
        <w:t>ê</w:t>
      </w:r>
      <w:r>
        <w:rPr>
          <w:lang w:val="sk-SK"/>
        </w:rPr>
        <w:fldChar w:fldCharType="end"/>
      </w:r>
      <w:r>
        <w:rPr>
          <w:lang w:val="sk-SK"/>
        </w:rPr>
        <w:t> 2016/1954 odôvodnenie 9</w:t>
      </w:r>
    </w:p>
    <w:p>
      <w:pPr>
        <w:pStyle w:val="ManualConsidrant"/>
        <w:rPr>
          <w:noProof/>
        </w:rPr>
      </w:pPr>
      <w:r>
        <w:t>(11)</w:t>
      </w:r>
      <w:r>
        <w:tab/>
      </w:r>
      <w:r>
        <w:rPr>
          <w:noProof/>
        </w:rPr>
        <w:t>Je potrebné, aby Komisia zabezpečila vykonanie pilotných štúdií o dostupnosti štatistických údajov týkajúcich sa prepravy osôb po vnútrozemských vodných cestách vrátane cezhraničných dopravných služieb. Únia by mala prispieť na náklady spojené s vykonaním uvedených pilotných štúdií. Tieto príspevky by mali mať formu grantov udelených národným štatistickým úradom a iným vnútroštátnym orgánom uvedeným v článku 5 nariadenia (ES) č. 223/2009 v súlade s nariadením Európskeho parlamentu a Rady (EÚ, Euratom) č. 966/2012</w:t>
      </w:r>
      <w:r>
        <w:rPr>
          <w:rStyle w:val="FootnoteReference"/>
          <w:noProof/>
        </w:rPr>
        <w:footnoteReference w:id="11"/>
      </w:r>
      <w:r>
        <w:rPr>
          <w:noProof/>
        </w:rPr>
        <w:t>,</w:t>
      </w:r>
    </w:p>
    <w:p>
      <w:pPr>
        <w:pStyle w:val="CRSeparator"/>
        <w:rPr>
          <w:rFonts w:eastAsiaTheme="minorEastAsia"/>
          <w:noProof/>
        </w:rPr>
      </w:pPr>
    </w:p>
    <w:p>
      <w:pPr>
        <w:pStyle w:val="CRReference"/>
        <w:rPr>
          <w:rFonts w:eastAsiaTheme="minorEastAsia"/>
        </w:rPr>
      </w:pPr>
      <w:r>
        <w:rPr>
          <w:rFonts w:eastAsiaTheme="minorEastAsia"/>
          <w:lang w:val="sk-SK"/>
        </w:rPr>
        <w:fldChar w:fldCharType="begin"/>
      </w:r>
      <w:r>
        <w:rPr>
          <w:rFonts w:eastAsiaTheme="minorEastAsia"/>
          <w:lang w:val="sk-SK"/>
        </w:rPr>
        <w:instrText xml:space="preserve"> QUOTE "</w:instrText>
      </w:r>
      <w:r>
        <w:rPr>
          <w:rFonts w:ascii="Wingdings" w:eastAsiaTheme="minorEastAsia" w:hAnsi="Wingdings" w:cs="Wingdings"/>
          <w:lang w:val="sk-SK"/>
        </w:rPr>
        <w:instrText>ê</w:instrText>
      </w:r>
      <w:r>
        <w:rPr>
          <w:rFonts w:eastAsiaTheme="minorEastAsia"/>
          <w:lang w:val="sk-SK"/>
        </w:rPr>
        <w:instrText xml:space="preserve">" </w:instrText>
      </w:r>
      <w:r>
        <w:rPr>
          <w:rFonts w:eastAsiaTheme="minorEastAsia"/>
          <w:lang w:val="sk-SK"/>
        </w:rPr>
        <w:fldChar w:fldCharType="separate"/>
      </w:r>
      <w:r>
        <w:rPr>
          <w:rFonts w:ascii="Wingdings" w:eastAsiaTheme="minorEastAsia" w:hAnsi="Wingdings" w:cs="Wingdings"/>
          <w:lang w:val="sk-SK"/>
        </w:rPr>
        <w:t>ê</w:t>
      </w:r>
      <w:r>
        <w:rPr>
          <w:rFonts w:eastAsiaTheme="minorEastAsia"/>
          <w:lang w:val="sk-SK"/>
        </w:rPr>
        <w:fldChar w:fldCharType="end"/>
      </w:r>
      <w:r>
        <w:rPr>
          <w:rFonts w:eastAsiaTheme="minorEastAsia"/>
          <w:lang w:val="sk-SK"/>
        </w:rPr>
        <w:t xml:space="preserve"> 1365/2006 </w:t>
      </w:r>
      <w:r>
        <w:rPr>
          <w:lang w:val="sk-SK"/>
        </w:rPr>
        <w:t>(prispôsobené)</w:t>
      </w:r>
    </w:p>
    <w:p>
      <w:pPr>
        <w:pStyle w:val="Formuledadoption"/>
        <w:rPr>
          <w:noProof/>
        </w:rPr>
      </w:pPr>
      <w:r>
        <w:rPr>
          <w:noProof/>
        </w:rPr>
        <w:t>PRIJALI TOTO NARIADENIE:</w:t>
      </w:r>
    </w:p>
    <w:p>
      <w:pPr>
        <w:pStyle w:val="Titrearticle"/>
        <w:outlineLvl w:val="0"/>
        <w:rPr>
          <w:noProof/>
        </w:rPr>
      </w:pPr>
      <w:r>
        <w:rPr>
          <w:noProof/>
        </w:rPr>
        <w:t>Článok 1</w:t>
      </w:r>
    </w:p>
    <w:p>
      <w:pPr>
        <w:keepNext/>
        <w:autoSpaceDE w:val="0"/>
        <w:autoSpaceDN w:val="0"/>
        <w:jc w:val="center"/>
        <w:rPr>
          <w:rFonts w:eastAsiaTheme="minorEastAsia"/>
          <w:b/>
          <w:bCs/>
          <w:noProof/>
          <w:szCs w:val="24"/>
          <w:lang w:eastAsia="en-GB"/>
        </w:rPr>
      </w:pPr>
      <w:r>
        <w:rPr>
          <w:rFonts w:eastAsiaTheme="minorEastAsia"/>
          <w:b/>
          <w:bCs/>
          <w:noProof/>
          <w:szCs w:val="24"/>
          <w:lang w:eastAsia="en-GB"/>
        </w:rPr>
        <w:t>Predmet úpravy</w:t>
      </w:r>
    </w:p>
    <w:p>
      <w:pPr>
        <w:autoSpaceDE w:val="0"/>
        <w:autoSpaceDN w:val="0"/>
        <w:rPr>
          <w:rFonts w:eastAsiaTheme="minorEastAsia"/>
          <w:noProof/>
          <w:szCs w:val="24"/>
          <w:lang w:eastAsia="en-GB"/>
        </w:rPr>
      </w:pPr>
      <w:r>
        <w:rPr>
          <w:rFonts w:eastAsiaTheme="minorEastAsia"/>
          <w:noProof/>
          <w:szCs w:val="24"/>
          <w:lang w:eastAsia="en-GB"/>
        </w:rPr>
        <w:t xml:space="preserve">Toto nariadenie stanovuje spoločné pravidlá tvorby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európskej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Fonts w:eastAsiaTheme="minorEastAsia"/>
          <w:noProof/>
          <w:szCs w:val="24"/>
          <w:lang w:eastAsia="en-GB"/>
        </w:rPr>
        <w:t>štatistiky, ktorá sa týka vnútrozemskej vodnej dopravy.</w:t>
      </w:r>
    </w:p>
    <w:p>
      <w:pPr>
        <w:pStyle w:val="Titrearticle"/>
        <w:outlineLvl w:val="0"/>
        <w:rPr>
          <w:noProof/>
        </w:rPr>
      </w:pPr>
      <w:r>
        <w:rPr>
          <w:noProof/>
        </w:rPr>
        <w:t>Článok 2</w:t>
      </w:r>
    </w:p>
    <w:p>
      <w:pPr>
        <w:keepNext/>
        <w:autoSpaceDE w:val="0"/>
        <w:autoSpaceDN w:val="0"/>
        <w:jc w:val="center"/>
        <w:rPr>
          <w:rFonts w:eastAsiaTheme="minorEastAsia"/>
          <w:b/>
          <w:bCs/>
          <w:noProof/>
          <w:szCs w:val="24"/>
          <w:lang w:eastAsia="en-GB"/>
        </w:rPr>
      </w:pPr>
      <w:r>
        <w:rPr>
          <w:rFonts w:eastAsiaTheme="minorEastAsia"/>
          <w:b/>
          <w:bCs/>
          <w:noProof/>
          <w:szCs w:val="24"/>
          <w:lang w:eastAsia="en-GB"/>
        </w:rPr>
        <w:t>Rozsah pôsobnosti</w:t>
      </w:r>
    </w:p>
    <w:p>
      <w:pPr>
        <w:autoSpaceDE w:val="0"/>
        <w:autoSpaceDN w:val="0"/>
        <w:rPr>
          <w:rFonts w:eastAsiaTheme="minorEastAsia"/>
          <w:noProof/>
          <w:szCs w:val="24"/>
          <w:lang w:eastAsia="en-GB"/>
        </w:rPr>
      </w:pPr>
      <w:r>
        <w:rPr>
          <w:rFonts w:eastAsiaTheme="minorEastAsia"/>
          <w:noProof/>
          <w:szCs w:val="24"/>
          <w:lang w:eastAsia="en-GB"/>
        </w:rPr>
        <w:t>1. Členské štáty zašlú Komisii (Eurostatu) štatistické údaje, ktoré sa vzťahujú na vnútrozemskú vodnú dopravu na ich štátnych územiach.</w:t>
      </w:r>
    </w:p>
    <w:p>
      <w:pPr>
        <w:autoSpaceDE w:val="0"/>
        <w:autoSpaceDN w:val="0"/>
        <w:rPr>
          <w:rFonts w:eastAsiaTheme="minorEastAsia"/>
          <w:noProof/>
          <w:szCs w:val="24"/>
          <w:lang w:eastAsia="en-GB"/>
        </w:rPr>
      </w:pPr>
      <w:r>
        <w:rPr>
          <w:rFonts w:eastAsiaTheme="minorEastAsia"/>
          <w:noProof/>
          <w:szCs w:val="24"/>
          <w:lang w:eastAsia="en-GB"/>
        </w:rPr>
        <w:t>2. Členské štáty, v ktorých celkový objem tovaru prepraveného po vnútrozemských vodných cestách v rámci vnútroštátnej, medzinárodnej alebo tranzitnej dopravy ročne prekročí 1 000 000 ton, poskytnú štatistické údaje uvedené v článku 4 ods. 1.</w:t>
      </w:r>
    </w:p>
    <w:p>
      <w:pPr>
        <w:autoSpaceDE w:val="0"/>
        <w:autoSpaceDN w:val="0"/>
        <w:rPr>
          <w:rFonts w:eastAsiaTheme="minorEastAsia"/>
          <w:noProof/>
          <w:szCs w:val="24"/>
          <w:lang w:eastAsia="en-GB"/>
        </w:rPr>
      </w:pPr>
      <w:r>
        <w:rPr>
          <w:rFonts w:eastAsiaTheme="minorEastAsia"/>
          <w:noProof/>
          <w:szCs w:val="24"/>
          <w:lang w:eastAsia="en-GB"/>
        </w:rPr>
        <w:t>3. Bez toho, aby bol dotknutý odsek 2, členské štáty, v ktorých sa medzinárodná alebo tranzitná vnútrozemská vodná doprava nevykonáva, ale v ktorých celkový objem ročne prepraveného tovaru po vnútrozemských vodných cestách v rámci vnútroštátnej prepravy prekročí 1 000 000 ton, poskytnú iba tie štatistické údaje, ktoré sú uvedené v článku 4 ods. 2.</w:t>
      </w:r>
    </w:p>
    <w:p>
      <w:pPr>
        <w:keepNext/>
        <w:autoSpaceDE w:val="0"/>
        <w:autoSpaceDN w:val="0"/>
        <w:rPr>
          <w:rFonts w:eastAsiaTheme="minorEastAsia"/>
          <w:noProof/>
          <w:szCs w:val="24"/>
          <w:lang w:eastAsia="en-GB"/>
        </w:rPr>
      </w:pPr>
      <w:r>
        <w:rPr>
          <w:rFonts w:eastAsiaTheme="minorEastAsia"/>
          <w:noProof/>
          <w:szCs w:val="24"/>
          <w:lang w:eastAsia="en-GB"/>
        </w:rPr>
        <w:t>4. Toto nariadenie sa nevzťahuje na:</w:t>
      </w:r>
    </w:p>
    <w:p>
      <w:pPr>
        <w:pStyle w:val="Point0"/>
        <w:rPr>
          <w:noProof/>
          <w:lang w:eastAsia="en-GB"/>
        </w:rPr>
      </w:pPr>
      <w:r>
        <w:rPr>
          <w:noProof/>
          <w:lang w:eastAsia="en-GB"/>
        </w:rPr>
        <w:t>a)</w:t>
      </w:r>
      <w:r>
        <w:rPr>
          <w:noProof/>
          <w:lang w:eastAsia="en-GB"/>
        </w:rPr>
        <w:tab/>
        <w:t>prepravu tovaru plavidlami s nosnosťou do 50 veľkých ton (1 veľká tona = 1 016 kg);</w:t>
      </w:r>
    </w:p>
    <w:p>
      <w:pPr>
        <w:pStyle w:val="Point0"/>
        <w:rPr>
          <w:noProof/>
          <w:lang w:eastAsia="en-GB"/>
        </w:rPr>
      </w:pPr>
      <w:r>
        <w:rPr>
          <w:noProof/>
          <w:lang w:eastAsia="en-GB"/>
        </w:rPr>
        <w:t>b)</w:t>
      </w:r>
      <w:r>
        <w:rPr>
          <w:noProof/>
          <w:lang w:eastAsia="en-GB"/>
        </w:rPr>
        <w:tab/>
        <w:t>plavidlá, ktoré sa používajú najmä na prepravu cestujúcich;</w:t>
      </w:r>
    </w:p>
    <w:p>
      <w:pPr>
        <w:pStyle w:val="Point0"/>
        <w:rPr>
          <w:noProof/>
          <w:lang w:eastAsia="en-GB"/>
        </w:rPr>
      </w:pPr>
      <w:r>
        <w:rPr>
          <w:noProof/>
          <w:lang w:eastAsia="en-GB"/>
        </w:rPr>
        <w:t>c)</w:t>
      </w:r>
      <w:r>
        <w:rPr>
          <w:noProof/>
          <w:lang w:eastAsia="en-GB"/>
        </w:rPr>
        <w:tab/>
        <w:t>plavidlá, ktoré sa používajú ako trajekty;</w:t>
      </w:r>
    </w:p>
    <w:p>
      <w:pPr>
        <w:pStyle w:val="Point0"/>
        <w:rPr>
          <w:noProof/>
          <w:lang w:eastAsia="en-GB"/>
        </w:rPr>
      </w:pPr>
      <w:r>
        <w:rPr>
          <w:noProof/>
          <w:lang w:eastAsia="en-GB"/>
        </w:rPr>
        <w:t>d)</w:t>
      </w:r>
      <w:r>
        <w:rPr>
          <w:noProof/>
          <w:lang w:eastAsia="en-GB"/>
        </w:rPr>
        <w:tab/>
        <w:t>plavidlá, ktoré správa prístavu alebo verejné orgány výhradne používajú na nekomerčné účely;</w:t>
      </w:r>
    </w:p>
    <w:p>
      <w:pPr>
        <w:pStyle w:val="Point0"/>
        <w:rPr>
          <w:noProof/>
          <w:lang w:eastAsia="en-GB"/>
        </w:rPr>
      </w:pPr>
      <w:r>
        <w:rPr>
          <w:noProof/>
          <w:lang w:eastAsia="en-GB"/>
        </w:rPr>
        <w:t>e)</w:t>
      </w:r>
      <w:r>
        <w:rPr>
          <w:noProof/>
          <w:lang w:eastAsia="en-GB"/>
        </w:rPr>
        <w:tab/>
        <w:t>plavidlá, ktoré sa výhradne používajú na zásobovanie paliva alebo skladovanie;</w:t>
      </w:r>
    </w:p>
    <w:p>
      <w:pPr>
        <w:pStyle w:val="Point0"/>
        <w:rPr>
          <w:noProof/>
          <w:lang w:eastAsia="en-GB"/>
        </w:rPr>
      </w:pPr>
      <w:r>
        <w:rPr>
          <w:noProof/>
          <w:lang w:eastAsia="en-GB"/>
        </w:rPr>
        <w:t>f)</w:t>
      </w:r>
      <w:r>
        <w:rPr>
          <w:noProof/>
          <w:lang w:eastAsia="en-GB"/>
        </w:rPr>
        <w:tab/>
        <w:t>plavidlá, ktoré sa nepoužívajú na prepravu tovaru, ako sú rybárske plavidlá, plávajúce bagre a dielne, obytné a rekreačné plavidlá.</w:t>
      </w:r>
    </w:p>
    <w:p>
      <w:pPr>
        <w:pStyle w:val="CRSeparator"/>
        <w:rPr>
          <w:rFonts w:eastAsiaTheme="minorEastAsia"/>
          <w:noProof/>
          <w:lang w:val="sk-SK"/>
        </w:rPr>
      </w:pPr>
    </w:p>
    <w:p>
      <w:pPr>
        <w:pStyle w:val="CRReference"/>
        <w:rPr>
          <w:rFonts w:eastAsiaTheme="minorEastAsia"/>
          <w:lang w:val="sk-SK"/>
        </w:rPr>
      </w:pPr>
      <w:r>
        <w:rPr>
          <w:rFonts w:eastAsiaTheme="minorEastAsia"/>
          <w:lang w:val="sk-SK"/>
        </w:rPr>
        <w:fldChar w:fldCharType="begin"/>
      </w:r>
      <w:r>
        <w:rPr>
          <w:rFonts w:eastAsiaTheme="minorEastAsia"/>
          <w:lang w:val="sk-SK"/>
        </w:rPr>
        <w:instrText xml:space="preserve"> QUOTE "</w:instrText>
      </w:r>
      <w:r>
        <w:rPr>
          <w:rFonts w:ascii="Wingdings" w:eastAsiaTheme="minorEastAsia" w:hAnsi="Wingdings" w:cs="Wingdings"/>
          <w:lang w:val="sk-SK"/>
        </w:rPr>
        <w:instrText>ê</w:instrText>
      </w:r>
      <w:r>
        <w:rPr>
          <w:rFonts w:eastAsiaTheme="minorEastAsia"/>
          <w:lang w:val="sk-SK"/>
        </w:rPr>
        <w:instrText xml:space="preserve">" </w:instrText>
      </w:r>
      <w:r>
        <w:rPr>
          <w:rFonts w:eastAsiaTheme="minorEastAsia"/>
          <w:lang w:val="sk-SK"/>
        </w:rPr>
        <w:fldChar w:fldCharType="separate"/>
      </w:r>
      <w:r>
        <w:rPr>
          <w:rFonts w:ascii="Wingdings" w:eastAsiaTheme="minorEastAsia" w:hAnsi="Wingdings" w:cs="Wingdings"/>
          <w:lang w:val="sk-SK"/>
        </w:rPr>
        <w:t>ê</w:t>
      </w:r>
      <w:r>
        <w:rPr>
          <w:rFonts w:eastAsiaTheme="minorEastAsia"/>
          <w:lang w:val="sk-SK"/>
        </w:rPr>
        <w:fldChar w:fldCharType="end"/>
      </w:r>
      <w:r>
        <w:rPr>
          <w:rFonts w:eastAsiaTheme="minorEastAsia"/>
          <w:lang w:val="sk-SK"/>
        </w:rPr>
        <w:t xml:space="preserve"> 2016/1954 článok 1 bod </w:t>
      </w:r>
      <w:r>
        <w:rPr>
          <w:lang w:val="sk-SK"/>
        </w:rPr>
        <w:t>1</w:t>
      </w:r>
    </w:p>
    <w:p>
      <w:pPr>
        <w:autoSpaceDE w:val="0"/>
        <w:autoSpaceDN w:val="0"/>
        <w:rPr>
          <w:rFonts w:eastAsiaTheme="minorEastAsia"/>
          <w:noProof/>
          <w:szCs w:val="24"/>
          <w:lang w:eastAsia="en-GB"/>
        </w:rPr>
      </w:pPr>
      <w:r>
        <w:rPr>
          <w:rFonts w:eastAsiaTheme="minorEastAsia"/>
          <w:noProof/>
          <w:szCs w:val="24"/>
          <w:lang w:eastAsia="en-GB"/>
        </w:rPr>
        <w:t>5. Komisia je splnomocnená prijímať delegované akty v súlade s článkom 10 týkajúce sa zmeny odseku 2 tohto článku, pokiaľ ide o zvýšenie v ňom uvedenej prahovej hodnoty pre štatistické zisťovanie o vnútrozemskej vodnej doprave, s cieľom zohľadniť hospodársky a technický vývoj. Komisia pri výkone uvedenej právomoci zabezpečí, aby delegované akty nespôsobovali členským štátom ani respondentom výrazné dodatočné zaťaženie. Komisia okrem toho riadne odôvodní štatistické opatrenia stanovené v uvedených delegovaných aktoch, pričom v prípade potreby použije analýzu efektívnosti vynaložených nákladov vrátane posúdenia zaťaženia respondentov a nákladov na tvorbu, ako sa uvádza v článku 14 ods. 3 písm. c) nariadenia (ES) č. 223/2009.</w:t>
      </w:r>
    </w:p>
    <w:p>
      <w:pPr>
        <w:pStyle w:val="CRSeparator"/>
        <w:rPr>
          <w:rFonts w:eastAsiaTheme="minorEastAsia"/>
          <w:noProof/>
          <w:lang w:val="sk-SK"/>
        </w:rPr>
      </w:pPr>
    </w:p>
    <w:p>
      <w:pPr>
        <w:pStyle w:val="CRReference"/>
        <w:rPr>
          <w:rFonts w:eastAsiaTheme="minorEastAsia"/>
          <w:lang w:val="sk-SK"/>
        </w:rPr>
      </w:pPr>
      <w:r>
        <w:rPr>
          <w:rFonts w:eastAsiaTheme="minorEastAsia"/>
          <w:lang w:val="sk-SK"/>
        </w:rPr>
        <w:fldChar w:fldCharType="begin"/>
      </w:r>
      <w:r>
        <w:rPr>
          <w:rFonts w:eastAsiaTheme="minorEastAsia"/>
          <w:lang w:val="sk-SK"/>
        </w:rPr>
        <w:instrText xml:space="preserve"> QUOTE "</w:instrText>
      </w:r>
      <w:r>
        <w:rPr>
          <w:rFonts w:ascii="Wingdings" w:eastAsiaTheme="minorEastAsia" w:hAnsi="Wingdings" w:cs="Wingdings"/>
          <w:lang w:val="sk-SK"/>
        </w:rPr>
        <w:instrText>ê</w:instrText>
      </w:r>
      <w:r>
        <w:rPr>
          <w:rFonts w:eastAsiaTheme="minorEastAsia"/>
          <w:lang w:val="sk-SK"/>
        </w:rPr>
        <w:instrText xml:space="preserve">" </w:instrText>
      </w:r>
      <w:r>
        <w:rPr>
          <w:rFonts w:eastAsiaTheme="minorEastAsia"/>
          <w:lang w:val="sk-SK"/>
        </w:rPr>
        <w:fldChar w:fldCharType="separate"/>
      </w:r>
      <w:r>
        <w:rPr>
          <w:rFonts w:ascii="Wingdings" w:eastAsiaTheme="minorEastAsia" w:hAnsi="Wingdings" w:cs="Wingdings"/>
          <w:lang w:val="sk-SK"/>
        </w:rPr>
        <w:t>ê</w:t>
      </w:r>
      <w:r>
        <w:rPr>
          <w:rFonts w:eastAsiaTheme="minorEastAsia"/>
          <w:lang w:val="sk-SK"/>
        </w:rPr>
        <w:fldChar w:fldCharType="end"/>
      </w:r>
      <w:r>
        <w:rPr>
          <w:rFonts w:eastAsiaTheme="minorEastAsia"/>
          <w:lang w:val="sk-SK"/>
        </w:rPr>
        <w:t> 425/2007 článok 1 bod</w:t>
      </w:r>
      <w:r>
        <w:rPr>
          <w:lang w:val="sk-SK"/>
        </w:rPr>
        <w:t xml:space="preserve"> 1 (prispôsobené)</w:t>
      </w:r>
    </w:p>
    <w:p>
      <w:pPr>
        <w:pStyle w:val="Titrearticle"/>
        <w:outlineLvl w:val="0"/>
        <w:rPr>
          <w:noProof/>
        </w:rPr>
      </w:pPr>
      <w:r>
        <w:rPr>
          <w:noProof/>
        </w:rPr>
        <w:t>Článok 3</w:t>
      </w:r>
    </w:p>
    <w:p>
      <w:pPr>
        <w:keepNext/>
        <w:autoSpaceDE w:val="0"/>
        <w:autoSpaceDN w:val="0"/>
        <w:jc w:val="center"/>
        <w:rPr>
          <w:rFonts w:eastAsiaTheme="minorEastAsia"/>
          <w:b/>
          <w:bCs/>
          <w:noProof/>
          <w:szCs w:val="24"/>
          <w:lang w:eastAsia="en-GB"/>
        </w:rPr>
      </w:pPr>
      <w:r>
        <w:rPr>
          <w:rFonts w:eastAsiaTheme="minorEastAsia"/>
          <w:b/>
          <w:bCs/>
          <w:noProof/>
          <w:szCs w:val="24"/>
          <w:lang w:eastAsia="en-GB"/>
        </w:rPr>
        <w:t>Vymedzenie pojmov</w:t>
      </w:r>
    </w:p>
    <w:p>
      <w:pPr>
        <w:keepNext/>
        <w:autoSpaceDE w:val="0"/>
        <w:autoSpaceDN w:val="0"/>
        <w:rPr>
          <w:rFonts w:eastAsiaTheme="minorEastAsia"/>
          <w:noProof/>
          <w:szCs w:val="24"/>
          <w:lang w:eastAsia="en-GB"/>
        </w:rPr>
      </w:pPr>
      <w:r>
        <w:rPr>
          <w:rFonts w:eastAsiaTheme="minorEastAsia"/>
          <w:noProof/>
          <w:szCs w:val="24"/>
          <w:lang w:eastAsia="en-GB"/>
        </w:rPr>
        <w:t>Na účely tohto nariadenia sa uplatňujú nasledujúce vymedzenia pojmov:</w:t>
      </w:r>
    </w:p>
    <w:p>
      <w:pPr>
        <w:pStyle w:val="Point0"/>
        <w:rPr>
          <w:noProof/>
          <w:lang w:eastAsia="en-GB"/>
        </w:rPr>
      </w:pPr>
      <w:r>
        <w:rPr>
          <w:noProof/>
          <w:lang w:eastAsia="en-GB"/>
        </w:rPr>
        <w:t>a)</w:t>
      </w:r>
      <w:r>
        <w:rPr>
          <w:noProof/>
          <w:lang w:eastAsia="en-GB"/>
        </w:rPr>
        <w:tab/>
        <w:t>„splavné vnútrozemské vodné cesty“ sú vodné toky, ktoré nie sú časťou mora a ktoré sú vďaka svojim prirodzeným vlastnostiam alebo vlastnostiam vytvoreným človekom vhodné na plavbu, najmä na plavidlách vnútrozemskej vodnej dopravy;</w:t>
      </w:r>
    </w:p>
    <w:p>
      <w:pPr>
        <w:pStyle w:val="Point0"/>
        <w:rPr>
          <w:noProof/>
          <w:lang w:eastAsia="en-GB"/>
        </w:rPr>
      </w:pPr>
      <w:r>
        <w:rPr>
          <w:noProof/>
          <w:lang w:eastAsia="en-GB"/>
        </w:rPr>
        <w:t>b)</w:t>
      </w:r>
      <w:r>
        <w:rPr>
          <w:noProof/>
          <w:lang w:eastAsia="en-GB"/>
        </w:rPr>
        <w:tab/>
        <w:t>„plavidlo vnútrozemskej vodnej dopravy“ je plavidlo určené na prepravu tovaru alebo na hromadnú dopravu cestujúcich, ktoré sa plaví najmä po splavných vnútrozemských vodných cestách alebo v chránených vodách, alebo vodách v bezprostrednej blízkosti chránených vôd, alebo v oblastiach, v ktorých platia prístavné predpisy;</w:t>
      </w:r>
    </w:p>
    <w:p>
      <w:pPr>
        <w:pStyle w:val="Point0"/>
        <w:rPr>
          <w:noProof/>
          <w:lang w:eastAsia="en-GB"/>
        </w:rPr>
      </w:pPr>
      <w:r>
        <w:rPr>
          <w:noProof/>
          <w:lang w:eastAsia="en-GB"/>
        </w:rPr>
        <w:t>c)</w:t>
      </w:r>
      <w:r>
        <w:rPr>
          <w:noProof/>
          <w:lang w:eastAsia="en-GB"/>
        </w:rPr>
        <w:tab/>
        <w:t xml:space="preserve">„krajina registrácie plavidla“ je krajina,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eastAsia="en-GB"/>
        </w:rPr>
        <w:t>je plavidlo registrované;</w:t>
      </w:r>
    </w:p>
    <w:p>
      <w:pPr>
        <w:pStyle w:val="Point0"/>
        <w:rPr>
          <w:noProof/>
          <w:lang w:eastAsia="en-GB"/>
        </w:rPr>
      </w:pPr>
      <w:r>
        <w:rPr>
          <w:noProof/>
          <w:lang w:eastAsia="en-GB"/>
        </w:rPr>
        <w:t>d)</w:t>
      </w:r>
      <w:r>
        <w:rPr>
          <w:noProof/>
          <w:lang w:eastAsia="en-GB"/>
        </w:rPr>
        <w:tab/>
        <w:t>„vnútrozemská vodná doprava“ je každý presun tovaru a (alebo) cestujúcich pomocou plavidiel vnútrozemskej vodnej dopravy, ktorý sa úplne alebo čiastočne realizuje na splavných vnútrozemských vodných cestách;</w:t>
      </w:r>
    </w:p>
    <w:p>
      <w:pPr>
        <w:pStyle w:val="Point0"/>
        <w:rPr>
          <w:noProof/>
          <w:lang w:eastAsia="en-GB"/>
        </w:rPr>
      </w:pPr>
      <w:r>
        <w:rPr>
          <w:noProof/>
          <w:lang w:eastAsia="en-GB"/>
        </w:rPr>
        <w:t>e)</w:t>
      </w:r>
      <w:r>
        <w:rPr>
          <w:noProof/>
          <w:lang w:eastAsia="en-GB"/>
        </w:rPr>
        <w:tab/>
        <w:t>„vnútroštátna vnútrozemská vodná doprava“ je vnútrozemská vodná doprava medzi dvoma prístavmi na území určitého štátu bez ohľadu na krajinu registrácie plavidla;</w:t>
      </w:r>
    </w:p>
    <w:p>
      <w:pPr>
        <w:pStyle w:val="Point0"/>
        <w:rPr>
          <w:noProof/>
          <w:lang w:eastAsia="en-GB"/>
        </w:rPr>
      </w:pPr>
      <w:r>
        <w:rPr>
          <w:noProof/>
          <w:lang w:eastAsia="en-GB"/>
        </w:rPr>
        <w:t>f)</w:t>
      </w:r>
      <w:r>
        <w:rPr>
          <w:noProof/>
          <w:lang w:eastAsia="en-GB"/>
        </w:rPr>
        <w:tab/>
        <w:t>„medzinárodná vnútrozemská vodná doprava“ je vnútrozemská vodná doprava medzi dvoma prístavmi, ktoré sa nachádzajú na území rôznych štátov;</w:t>
      </w:r>
    </w:p>
    <w:p>
      <w:pPr>
        <w:pStyle w:val="Point0"/>
        <w:rPr>
          <w:noProof/>
          <w:lang w:eastAsia="en-GB"/>
        </w:rPr>
      </w:pPr>
      <w:r>
        <w:rPr>
          <w:noProof/>
          <w:lang w:eastAsia="en-GB"/>
        </w:rPr>
        <w:t>g)</w:t>
      </w:r>
      <w:r>
        <w:rPr>
          <w:noProof/>
          <w:lang w:eastAsia="en-GB"/>
        </w:rPr>
        <w:tab/>
        <w:t>„tranzitná vnútrozemská vodná doprava“ je vnútrozemská vodná doprava cez územie určitého štátu medzi dvoma prístavmi, ktoré sa oba nachádzajú na území iného štátu alebo iných štátov, ak na celej ceste na území daného štátu nedôjde k prekládke;</w:t>
      </w:r>
    </w:p>
    <w:p>
      <w:pPr>
        <w:pStyle w:val="Point0"/>
        <w:rPr>
          <w:noProof/>
          <w:lang w:eastAsia="en-GB"/>
        </w:rPr>
      </w:pPr>
      <w:r>
        <w:rPr>
          <w:noProof/>
          <w:lang w:eastAsia="en-GB"/>
        </w:rPr>
        <w:t>h)</w:t>
      </w:r>
      <w:r>
        <w:rPr>
          <w:noProof/>
          <w:lang w:eastAsia="en-GB"/>
        </w:rPr>
        <w:tab/>
        <w:t>„premávka na vnútrozemských vodných cestách“ je akýkoľvek presun plavidla na určitej splavnej vnútrozemskej vodnej ceste.</w:t>
      </w:r>
    </w:p>
    <w:p>
      <w:pPr>
        <w:pStyle w:val="CRSeparator"/>
        <w:rPr>
          <w:rFonts w:eastAsiaTheme="minorEastAsia"/>
          <w:noProof/>
          <w:lang w:val="sk-SK"/>
        </w:rPr>
      </w:pPr>
    </w:p>
    <w:p>
      <w:pPr>
        <w:pStyle w:val="CRReference"/>
        <w:rPr>
          <w:rFonts w:eastAsiaTheme="minorEastAsia"/>
          <w:lang w:val="sk-SK"/>
        </w:rPr>
      </w:pPr>
      <w:r>
        <w:rPr>
          <w:rFonts w:eastAsiaTheme="minorEastAsia"/>
          <w:lang w:val="sk-SK"/>
        </w:rPr>
        <w:fldChar w:fldCharType="begin"/>
      </w:r>
      <w:r>
        <w:rPr>
          <w:rFonts w:eastAsiaTheme="minorEastAsia"/>
          <w:lang w:val="sk-SK"/>
        </w:rPr>
        <w:instrText xml:space="preserve"> QUOTE "</w:instrText>
      </w:r>
      <w:r>
        <w:rPr>
          <w:rFonts w:ascii="Wingdings" w:eastAsiaTheme="minorEastAsia" w:hAnsi="Wingdings" w:cs="Wingdings"/>
          <w:lang w:val="sk-SK"/>
        </w:rPr>
        <w:instrText>ê</w:instrText>
      </w:r>
      <w:r>
        <w:rPr>
          <w:rFonts w:eastAsiaTheme="minorEastAsia"/>
          <w:lang w:val="sk-SK"/>
        </w:rPr>
        <w:instrText xml:space="preserve">" </w:instrText>
      </w:r>
      <w:r>
        <w:rPr>
          <w:rFonts w:eastAsiaTheme="minorEastAsia"/>
          <w:lang w:val="sk-SK"/>
        </w:rPr>
        <w:fldChar w:fldCharType="separate"/>
      </w:r>
      <w:r>
        <w:rPr>
          <w:rFonts w:ascii="Wingdings" w:eastAsiaTheme="minorEastAsia" w:hAnsi="Wingdings" w:cs="Wingdings"/>
          <w:lang w:val="sk-SK"/>
        </w:rPr>
        <w:t>ê</w:t>
      </w:r>
      <w:r>
        <w:rPr>
          <w:rFonts w:eastAsiaTheme="minorEastAsia"/>
          <w:lang w:val="sk-SK"/>
        </w:rPr>
        <w:fldChar w:fldCharType="end"/>
      </w:r>
      <w:r>
        <w:rPr>
          <w:rFonts w:eastAsiaTheme="minorEastAsia"/>
          <w:lang w:val="sk-SK"/>
        </w:rPr>
        <w:t xml:space="preserve"> 2016/1954 článok </w:t>
      </w:r>
      <w:r>
        <w:rPr>
          <w:lang w:val="sk-SK"/>
        </w:rPr>
        <w:t>1 bod 2 (prispôsobené)</w:t>
      </w:r>
    </w:p>
    <w:p>
      <w:pPr>
        <w:autoSpaceDE w:val="0"/>
        <w:autoSpaceDN w:val="0"/>
        <w:rPr>
          <w:rFonts w:eastAsiaTheme="minorEastAsia"/>
          <w:noProof/>
          <w:szCs w:val="24"/>
          <w:lang w:eastAsia="en-GB"/>
        </w:rPr>
      </w:pPr>
      <w:r>
        <w:rPr>
          <w:rFonts w:eastAsiaTheme="minorEastAsia"/>
          <w:noProof/>
          <w:szCs w:val="24"/>
          <w:lang w:eastAsia="en-GB"/>
        </w:rPr>
        <w:t xml:space="preserve">Komisia je splnomocnená prijímať delegované akty v súlade s článkom 10 týkajúce sa zmeny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prvého odseku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Fonts w:eastAsiaTheme="minorEastAsia"/>
          <w:noProof/>
          <w:szCs w:val="24"/>
          <w:lang w:eastAsia="en-GB"/>
        </w:rPr>
        <w:t>tohto článku, pokiaľ ide o prispôsobenie vymedzení pojmov v ňom uvedených alebo stanovenie nových vymedzení pojmov s cieľom zohľadniť príslušné vymedzenia pojmov zmenené alebo prijaté na medzinárodnej úrovni. Komisia pri výkone uvedenej právomoci zabezpečí, aby delegované akty nespôsobovali členským štátom ani respondentom výrazné dodatočné zaťaženie. Komisia okrem toho riadne odôvodní štatistické opatrenia stanovené v uvedených delegovaných aktoch, pričom v prípade potreby použije analýzu efektívnosti vynaložených nákladov vrátane posúdenia zaťaženia respondentov a nákladov na tvorbu, ako sa uvádza v článku 14 ods. 3 písm. c) nariadenia (ES) č. 223/2009.</w:t>
      </w:r>
    </w:p>
    <w:p>
      <w:pPr>
        <w:pStyle w:val="CRSeparator"/>
        <w:rPr>
          <w:rFonts w:eastAsiaTheme="minorEastAsia"/>
          <w:noProof/>
          <w:lang w:val="sk-SK"/>
        </w:rPr>
      </w:pPr>
    </w:p>
    <w:p>
      <w:pPr>
        <w:pStyle w:val="CRReference"/>
        <w:rPr>
          <w:rFonts w:eastAsiaTheme="minorEastAsia"/>
          <w:lang w:val="sk-SK"/>
        </w:rPr>
      </w:pPr>
      <w:r>
        <w:rPr>
          <w:rFonts w:eastAsiaTheme="minorEastAsia"/>
          <w:lang w:val="sk-SK"/>
        </w:rPr>
        <w:fldChar w:fldCharType="begin"/>
      </w:r>
      <w:r>
        <w:rPr>
          <w:rFonts w:eastAsiaTheme="minorEastAsia"/>
          <w:lang w:val="sk-SK"/>
        </w:rPr>
        <w:instrText xml:space="preserve"> QUOTE "</w:instrText>
      </w:r>
      <w:r>
        <w:rPr>
          <w:rFonts w:ascii="Wingdings" w:eastAsiaTheme="minorEastAsia" w:hAnsi="Wingdings" w:cs="Wingdings"/>
          <w:lang w:val="sk-SK"/>
        </w:rPr>
        <w:instrText>ê</w:instrText>
      </w:r>
      <w:r>
        <w:rPr>
          <w:rFonts w:eastAsiaTheme="minorEastAsia"/>
          <w:lang w:val="sk-SK"/>
        </w:rPr>
        <w:instrText xml:space="preserve">" </w:instrText>
      </w:r>
      <w:r>
        <w:rPr>
          <w:rFonts w:eastAsiaTheme="minorEastAsia"/>
          <w:lang w:val="sk-SK"/>
        </w:rPr>
        <w:fldChar w:fldCharType="separate"/>
      </w:r>
      <w:r>
        <w:rPr>
          <w:rFonts w:ascii="Wingdings" w:eastAsiaTheme="minorEastAsia" w:hAnsi="Wingdings" w:cs="Wingdings"/>
          <w:lang w:val="sk-SK"/>
        </w:rPr>
        <w:t>ê</w:t>
      </w:r>
      <w:r>
        <w:rPr>
          <w:rFonts w:eastAsiaTheme="minorEastAsia"/>
          <w:lang w:val="sk-SK"/>
        </w:rPr>
        <w:fldChar w:fldCharType="end"/>
      </w:r>
      <w:r>
        <w:rPr>
          <w:rFonts w:eastAsiaTheme="minorEastAsia"/>
          <w:lang w:val="sk-SK"/>
        </w:rPr>
        <w:t> 1365/2006</w:t>
      </w:r>
    </w:p>
    <w:p>
      <w:pPr>
        <w:pStyle w:val="Titrearticle"/>
        <w:outlineLvl w:val="0"/>
        <w:rPr>
          <w:noProof/>
        </w:rPr>
      </w:pPr>
      <w:r>
        <w:rPr>
          <w:noProof/>
        </w:rPr>
        <w:t>Článok 4</w:t>
      </w:r>
    </w:p>
    <w:p>
      <w:pPr>
        <w:keepNext/>
        <w:autoSpaceDE w:val="0"/>
        <w:autoSpaceDN w:val="0"/>
        <w:jc w:val="center"/>
        <w:rPr>
          <w:rFonts w:eastAsiaTheme="minorEastAsia"/>
          <w:b/>
          <w:bCs/>
          <w:noProof/>
          <w:szCs w:val="24"/>
          <w:lang w:eastAsia="en-GB"/>
        </w:rPr>
      </w:pPr>
      <w:r>
        <w:rPr>
          <w:rFonts w:eastAsiaTheme="minorEastAsia"/>
          <w:b/>
          <w:bCs/>
          <w:noProof/>
          <w:szCs w:val="24"/>
          <w:lang w:eastAsia="en-GB"/>
        </w:rPr>
        <w:t>Zber údajov</w:t>
      </w:r>
    </w:p>
    <w:p>
      <w:pPr>
        <w:autoSpaceDE w:val="0"/>
        <w:autoSpaceDN w:val="0"/>
        <w:rPr>
          <w:rFonts w:eastAsiaTheme="minorEastAsia"/>
          <w:noProof/>
          <w:szCs w:val="24"/>
          <w:lang w:eastAsia="en-GB"/>
        </w:rPr>
      </w:pPr>
      <w:r>
        <w:rPr>
          <w:rFonts w:eastAsiaTheme="minorEastAsia"/>
          <w:noProof/>
          <w:szCs w:val="24"/>
          <w:lang w:eastAsia="en-GB"/>
        </w:rPr>
        <w:t>1. Údaje sa zbierajú v súlade s tabuľkami uvedenými v prílohách I až IV.</w:t>
      </w:r>
    </w:p>
    <w:p>
      <w:pPr>
        <w:autoSpaceDE w:val="0"/>
        <w:autoSpaceDN w:val="0"/>
        <w:rPr>
          <w:rFonts w:eastAsiaTheme="minorEastAsia"/>
          <w:noProof/>
          <w:szCs w:val="24"/>
          <w:lang w:eastAsia="en-GB"/>
        </w:rPr>
      </w:pPr>
      <w:r>
        <w:rPr>
          <w:rFonts w:eastAsiaTheme="minorEastAsia"/>
          <w:noProof/>
          <w:szCs w:val="24"/>
          <w:lang w:eastAsia="en-GB"/>
        </w:rPr>
        <w:t>2. V prípade uvedenom v článku 2 ods. 3 sa údaje zbierajú v súlade s tabuľkou uvedenou v prílohe V.</w:t>
      </w:r>
    </w:p>
    <w:p>
      <w:pPr>
        <w:autoSpaceDE w:val="0"/>
        <w:autoSpaceDN w:val="0"/>
        <w:rPr>
          <w:rFonts w:eastAsiaTheme="minorEastAsia"/>
          <w:noProof/>
          <w:szCs w:val="24"/>
          <w:lang w:eastAsia="en-GB"/>
        </w:rPr>
      </w:pPr>
      <w:r>
        <w:rPr>
          <w:rFonts w:eastAsiaTheme="minorEastAsia"/>
          <w:noProof/>
          <w:szCs w:val="24"/>
          <w:lang w:eastAsia="en-GB"/>
        </w:rPr>
        <w:t>3. Na účely tohto nariadenia sa tovar klasifikuje v súlade s prílohou VI.</w:t>
      </w:r>
    </w:p>
    <w:p>
      <w:pPr>
        <w:pStyle w:val="CRSeparator"/>
        <w:rPr>
          <w:rFonts w:eastAsiaTheme="minorEastAsia"/>
          <w:noProof/>
          <w:lang w:val="sk-SK"/>
        </w:rPr>
      </w:pPr>
    </w:p>
    <w:p>
      <w:pPr>
        <w:pStyle w:val="CRReference"/>
        <w:rPr>
          <w:rFonts w:eastAsiaTheme="minorEastAsia"/>
          <w:lang w:val="sk-SK"/>
        </w:rPr>
      </w:pPr>
      <w:r>
        <w:rPr>
          <w:rFonts w:eastAsiaTheme="minorEastAsia"/>
          <w:lang w:val="sk-SK"/>
        </w:rPr>
        <w:fldChar w:fldCharType="begin"/>
      </w:r>
      <w:r>
        <w:rPr>
          <w:rFonts w:eastAsiaTheme="minorEastAsia"/>
          <w:lang w:val="sk-SK"/>
        </w:rPr>
        <w:instrText xml:space="preserve"> QUOTE "</w:instrText>
      </w:r>
      <w:r>
        <w:rPr>
          <w:rFonts w:ascii="Wingdings" w:eastAsiaTheme="minorEastAsia" w:hAnsi="Wingdings" w:cs="Wingdings"/>
          <w:lang w:val="sk-SK"/>
        </w:rPr>
        <w:instrText>ê</w:instrText>
      </w:r>
      <w:r>
        <w:rPr>
          <w:rFonts w:eastAsiaTheme="minorEastAsia"/>
          <w:lang w:val="sk-SK"/>
        </w:rPr>
        <w:instrText xml:space="preserve">" </w:instrText>
      </w:r>
      <w:r>
        <w:rPr>
          <w:rFonts w:eastAsiaTheme="minorEastAsia"/>
          <w:lang w:val="sk-SK"/>
        </w:rPr>
        <w:fldChar w:fldCharType="separate"/>
      </w:r>
      <w:r>
        <w:rPr>
          <w:rFonts w:ascii="Wingdings" w:eastAsiaTheme="minorEastAsia" w:hAnsi="Wingdings" w:cs="Wingdings"/>
          <w:lang w:val="sk-SK"/>
        </w:rPr>
        <w:t>ê</w:t>
      </w:r>
      <w:r>
        <w:rPr>
          <w:rFonts w:eastAsiaTheme="minorEastAsia"/>
          <w:lang w:val="sk-SK"/>
        </w:rPr>
        <w:fldChar w:fldCharType="end"/>
      </w:r>
      <w:r>
        <w:rPr>
          <w:rFonts w:eastAsiaTheme="minorEastAsia"/>
          <w:lang w:val="sk-SK"/>
        </w:rPr>
        <w:t xml:space="preserve"> 2016/1954 článok </w:t>
      </w:r>
      <w:r>
        <w:rPr>
          <w:lang w:val="sk-SK"/>
        </w:rPr>
        <w:t>1 bod 3</w:t>
      </w:r>
    </w:p>
    <w:p>
      <w:pPr>
        <w:autoSpaceDE w:val="0"/>
        <w:autoSpaceDN w:val="0"/>
        <w:rPr>
          <w:rFonts w:eastAsiaTheme="minorEastAsia"/>
          <w:noProof/>
          <w:szCs w:val="24"/>
          <w:lang w:eastAsia="en-GB"/>
        </w:rPr>
      </w:pPr>
      <w:r>
        <w:rPr>
          <w:rFonts w:eastAsiaTheme="minorEastAsia"/>
          <w:noProof/>
          <w:szCs w:val="24"/>
          <w:lang w:eastAsia="en-GB"/>
        </w:rPr>
        <w:t>4. Komisia je splnomocnená prijímať delegované akty v súlade s článkom 10 týkajúce sa zmeny príloh s cieľom zohľadniť zmeny v kódovaní a nomenklatúre na medzinárodnej úrovni alebo v príslušných legislatívnych aktoch Únie. Komisia pri výkone uvedenej právomoci zabezpečí, aby delegované akty nespôsobovali členským štátom ani respondentom výrazné dodatočné zaťaženie. Komisia okrem toho riadne odôvodní štatistické opatrenia stanovené v uvedených delegovaných aktoch, pričom v prípade potreby použije analýzu efektívnosti vynaložených nákladov vrátane posúdenia zaťaženia respondentov a nákladov na tvorbu, ako sa uvádza v článku 14 ods. 3 písm. c) nariadenia (ES) č. 223/2009.</w:t>
      </w:r>
    </w:p>
    <w:p>
      <w:pPr>
        <w:pStyle w:val="CRSeparator"/>
        <w:rPr>
          <w:rFonts w:eastAsiaTheme="minorEastAsia"/>
          <w:noProof/>
          <w:lang w:val="sk-SK"/>
        </w:rPr>
      </w:pPr>
    </w:p>
    <w:p>
      <w:pPr>
        <w:pStyle w:val="CRReference"/>
        <w:rPr>
          <w:rFonts w:eastAsiaTheme="minorEastAsia"/>
          <w:lang w:val="sk-SK"/>
        </w:rPr>
      </w:pPr>
      <w:r>
        <w:rPr>
          <w:rFonts w:eastAsiaTheme="minorEastAsia"/>
          <w:lang w:val="sk-SK"/>
        </w:rPr>
        <w:fldChar w:fldCharType="begin"/>
      </w:r>
      <w:r>
        <w:rPr>
          <w:rFonts w:eastAsiaTheme="minorEastAsia"/>
          <w:lang w:val="sk-SK"/>
        </w:rPr>
        <w:instrText xml:space="preserve"> QUOTE "</w:instrText>
      </w:r>
      <w:r>
        <w:rPr>
          <w:rFonts w:ascii="Wingdings" w:eastAsiaTheme="minorEastAsia" w:hAnsi="Wingdings" w:cs="Wingdings"/>
          <w:lang w:val="sk-SK"/>
        </w:rPr>
        <w:instrText>ê</w:instrText>
      </w:r>
      <w:r>
        <w:rPr>
          <w:rFonts w:eastAsiaTheme="minorEastAsia"/>
          <w:lang w:val="sk-SK"/>
        </w:rPr>
        <w:instrText xml:space="preserve">" </w:instrText>
      </w:r>
      <w:r>
        <w:rPr>
          <w:rFonts w:eastAsiaTheme="minorEastAsia"/>
          <w:lang w:val="sk-SK"/>
        </w:rPr>
        <w:fldChar w:fldCharType="separate"/>
      </w:r>
      <w:r>
        <w:rPr>
          <w:rFonts w:ascii="Wingdings" w:eastAsiaTheme="minorEastAsia" w:hAnsi="Wingdings" w:cs="Wingdings"/>
          <w:lang w:val="sk-SK"/>
        </w:rPr>
        <w:t>ê</w:t>
      </w:r>
      <w:r>
        <w:rPr>
          <w:rFonts w:eastAsiaTheme="minorEastAsia"/>
          <w:lang w:val="sk-SK"/>
        </w:rPr>
        <w:fldChar w:fldCharType="end"/>
      </w:r>
      <w:r>
        <w:rPr>
          <w:rFonts w:eastAsiaTheme="minorEastAsia"/>
          <w:lang w:val="sk-SK"/>
        </w:rPr>
        <w:t xml:space="preserve"> 2016/1954 článok </w:t>
      </w:r>
      <w:r>
        <w:rPr>
          <w:lang w:val="sk-SK"/>
        </w:rPr>
        <w:t>1 bod 4</w:t>
      </w:r>
    </w:p>
    <w:p>
      <w:pPr>
        <w:pStyle w:val="Titrearticle"/>
        <w:outlineLvl w:val="0"/>
        <w:rPr>
          <w:noProof/>
        </w:rPr>
      </w:pPr>
      <w:r>
        <w:rPr>
          <w:noProof/>
        </w:rPr>
        <w:t>Článok 5</w:t>
      </w:r>
    </w:p>
    <w:p>
      <w:pPr>
        <w:keepNext/>
        <w:autoSpaceDE w:val="0"/>
        <w:autoSpaceDN w:val="0"/>
        <w:jc w:val="center"/>
        <w:rPr>
          <w:rFonts w:eastAsiaTheme="minorEastAsia"/>
          <w:b/>
          <w:bCs/>
          <w:noProof/>
          <w:szCs w:val="24"/>
          <w:lang w:eastAsia="en-GB"/>
        </w:rPr>
      </w:pPr>
      <w:r>
        <w:rPr>
          <w:rFonts w:eastAsiaTheme="minorEastAsia"/>
          <w:b/>
          <w:bCs/>
          <w:noProof/>
          <w:szCs w:val="24"/>
          <w:lang w:eastAsia="en-GB"/>
        </w:rPr>
        <w:t>Pilotné štúdie</w:t>
      </w:r>
    </w:p>
    <w:p>
      <w:pPr>
        <w:autoSpaceDE w:val="0"/>
        <w:autoSpaceDN w:val="0"/>
        <w:rPr>
          <w:rFonts w:eastAsiaTheme="minorEastAsia"/>
          <w:noProof/>
          <w:szCs w:val="24"/>
          <w:lang w:eastAsia="en-GB"/>
        </w:rPr>
      </w:pPr>
      <w:r>
        <w:rPr>
          <w:rFonts w:eastAsiaTheme="minorEastAsia"/>
          <w:noProof/>
          <w:szCs w:val="24"/>
          <w:lang w:eastAsia="en-GB"/>
        </w:rPr>
        <w:t>1. Do 8. decembra 2018 Komisia v spolupráci s členskými štátmi vypracuje vhodnú metodiku na zostavovanie štatistiky o preprave osôb po vnútrozemských vodných cestách vrátane cezhraničných dopravných služieb.</w:t>
      </w:r>
    </w:p>
    <w:p>
      <w:pPr>
        <w:autoSpaceDE w:val="0"/>
        <w:autoSpaceDN w:val="0"/>
        <w:rPr>
          <w:rFonts w:eastAsiaTheme="minorEastAsia"/>
          <w:noProof/>
          <w:szCs w:val="24"/>
          <w:lang w:eastAsia="en-GB"/>
        </w:rPr>
      </w:pPr>
      <w:r>
        <w:rPr>
          <w:rFonts w:eastAsiaTheme="minorEastAsia"/>
          <w:noProof/>
          <w:szCs w:val="24"/>
          <w:lang w:eastAsia="en-GB"/>
        </w:rPr>
        <w:t>2. Do 8. decembra 2019 Komisia začne dobrovoľné pilotné štúdie, ktoré budú vykonávať členské štáty, ktoré poskytujú údaje v rámci rozsahu pôsobnosti tohto nariadenia o dostupnosti štatistických údajov týkajúcich sa prepravy osôb po vnútrozemských vodných cestách vrátane cezhraničných dopravných služieb. Cieľom uvedených pilotných štúdií je posúdiť uskutočniteľnosť zberu uvedených nových údajov, náklady na zber súvisiacich údajov a implikovanú štatistickú kvalitu.</w:t>
      </w:r>
    </w:p>
    <w:p>
      <w:pPr>
        <w:autoSpaceDE w:val="0"/>
        <w:autoSpaceDN w:val="0"/>
        <w:rPr>
          <w:rFonts w:eastAsiaTheme="minorEastAsia"/>
          <w:noProof/>
          <w:szCs w:val="24"/>
          <w:lang w:eastAsia="en-GB"/>
        </w:rPr>
      </w:pPr>
      <w:r>
        <w:rPr>
          <w:rFonts w:eastAsiaTheme="minorEastAsia"/>
          <w:noProof/>
          <w:szCs w:val="24"/>
          <w:lang w:eastAsia="en-GB"/>
        </w:rPr>
        <w:t>3. Do 8. decembra 2020 Komisia predloží Európskemu parlamentu a Rade správu o výsledkoch takýchto pilotných štúdií. Komisia v závislosti od výsledkov uvedenej správy a v primeranej lehote v prípade potreby predloží legislatívny návrh Európskemu parlamentu a Rade na zmenu tohto nariadenia, pokiaľ ide o štatistiky týkajúce sa prepravy osôb po vnútrozemských vodných cestách vrátane cezhraničných dopravných služieb.</w:t>
      </w:r>
    </w:p>
    <w:p>
      <w:pPr>
        <w:autoSpaceDE w:val="0"/>
        <w:autoSpaceDN w:val="0"/>
        <w:rPr>
          <w:rFonts w:eastAsiaTheme="minorEastAsia"/>
          <w:noProof/>
          <w:szCs w:val="24"/>
          <w:lang w:eastAsia="en-GB"/>
        </w:rPr>
      </w:pPr>
      <w:r>
        <w:rPr>
          <w:rFonts w:eastAsiaTheme="minorEastAsia"/>
          <w:noProof/>
          <w:szCs w:val="24"/>
          <w:lang w:eastAsia="en-GB"/>
        </w:rPr>
        <w:t>4. K financovaniu uvedených pilotných štúdií sa v prípade potreby a so zreteľom na pridanú hodnotu Únie prispeje zo všeobecného rozpočtu Únie.</w:t>
      </w:r>
    </w:p>
    <w:p>
      <w:pPr>
        <w:pStyle w:val="CRSeparator"/>
        <w:rPr>
          <w:rFonts w:eastAsiaTheme="minorEastAsia"/>
          <w:noProof/>
          <w:lang w:val="sk-SK"/>
        </w:rPr>
      </w:pPr>
    </w:p>
    <w:p>
      <w:pPr>
        <w:pStyle w:val="CRReference"/>
        <w:rPr>
          <w:rFonts w:eastAsiaTheme="minorEastAsia"/>
          <w:lang w:val="sk-SK"/>
        </w:rPr>
      </w:pPr>
      <w:r>
        <w:rPr>
          <w:rFonts w:eastAsiaTheme="minorEastAsia"/>
          <w:lang w:val="sk-SK"/>
        </w:rPr>
        <w:fldChar w:fldCharType="begin"/>
      </w:r>
      <w:r>
        <w:rPr>
          <w:rFonts w:eastAsiaTheme="minorEastAsia"/>
          <w:lang w:val="sk-SK"/>
        </w:rPr>
        <w:instrText xml:space="preserve"> QUOTE "</w:instrText>
      </w:r>
      <w:r>
        <w:rPr>
          <w:rFonts w:ascii="Wingdings" w:eastAsiaTheme="minorEastAsia" w:hAnsi="Wingdings" w:cs="Wingdings"/>
          <w:lang w:val="sk-SK"/>
        </w:rPr>
        <w:instrText>ê</w:instrText>
      </w:r>
      <w:r>
        <w:rPr>
          <w:rFonts w:eastAsiaTheme="minorEastAsia"/>
          <w:lang w:val="sk-SK"/>
        </w:rPr>
        <w:instrText xml:space="preserve">" </w:instrText>
      </w:r>
      <w:r>
        <w:rPr>
          <w:rFonts w:eastAsiaTheme="minorEastAsia"/>
          <w:lang w:val="sk-SK"/>
        </w:rPr>
        <w:fldChar w:fldCharType="separate"/>
      </w:r>
      <w:r>
        <w:rPr>
          <w:rFonts w:ascii="Wingdings" w:eastAsiaTheme="minorEastAsia" w:hAnsi="Wingdings" w:cs="Wingdings"/>
          <w:lang w:val="sk-SK"/>
        </w:rPr>
        <w:t>ê</w:t>
      </w:r>
      <w:r>
        <w:rPr>
          <w:rFonts w:eastAsiaTheme="minorEastAsia"/>
          <w:lang w:val="sk-SK"/>
        </w:rPr>
        <w:fldChar w:fldCharType="end"/>
      </w:r>
      <w:r>
        <w:rPr>
          <w:rFonts w:eastAsiaTheme="minorEastAsia"/>
          <w:lang w:val="sk-SK"/>
        </w:rPr>
        <w:t> 1365/2006 (prispôsobené)</w:t>
      </w:r>
    </w:p>
    <w:p>
      <w:pPr>
        <w:pStyle w:val="Titrearticle"/>
        <w:outlineLvl w:val="0"/>
        <w:rPr>
          <w:noProof/>
        </w:rPr>
      </w:pPr>
      <w:r>
        <w:rPr>
          <w:noProof/>
        </w:rPr>
        <w:t>Článok 6</w:t>
      </w:r>
    </w:p>
    <w:p>
      <w:pPr>
        <w:keepNext/>
        <w:autoSpaceDE w:val="0"/>
        <w:autoSpaceDN w:val="0"/>
        <w:jc w:val="center"/>
        <w:rPr>
          <w:rFonts w:eastAsiaTheme="minorEastAsia"/>
          <w:b/>
          <w:bCs/>
          <w:noProof/>
          <w:szCs w:val="24"/>
          <w:lang w:eastAsia="en-GB"/>
        </w:rPr>
      </w:pPr>
      <w:r>
        <w:rPr>
          <w:rFonts w:eastAsiaTheme="minorEastAsia"/>
          <w:b/>
          <w:bCs/>
          <w:noProof/>
          <w:szCs w:val="24"/>
          <w:lang w:eastAsia="en-GB"/>
        </w:rPr>
        <w:t>Prenos údajov</w:t>
      </w:r>
    </w:p>
    <w:p>
      <w:pPr>
        <w:autoSpaceDE w:val="0"/>
        <w:autoSpaceDN w:val="0"/>
        <w:rPr>
          <w:rFonts w:eastAsiaTheme="minorEastAsia"/>
          <w:noProof/>
          <w:szCs w:val="24"/>
          <w:lang w:eastAsia="en-GB"/>
        </w:rPr>
      </w:pPr>
      <w:r>
        <w:rPr>
          <w:rFonts w:eastAsiaTheme="minorEastAsia"/>
          <w:noProof/>
          <w:szCs w:val="24"/>
          <w:lang w:eastAsia="en-GB"/>
        </w:rPr>
        <w:t>1. Prenos údajov sa uskutoční čo možno najskôr, najneskôr však do piatich mesiacov po skončení príslušného sledovaného obdobia.</w:t>
      </w:r>
    </w:p>
    <w:p>
      <w:pPr>
        <w:pStyle w:val="CRSeparator"/>
        <w:rPr>
          <w:rFonts w:eastAsiaTheme="minorEastAsia"/>
          <w:noProof/>
          <w:lang w:val="sk-SK"/>
        </w:rPr>
      </w:pPr>
    </w:p>
    <w:p>
      <w:pPr>
        <w:pStyle w:val="CRReference"/>
        <w:rPr>
          <w:rFonts w:eastAsiaTheme="minorEastAsia"/>
          <w:lang w:val="sk-SK"/>
        </w:rPr>
      </w:pPr>
      <w:r>
        <w:rPr>
          <w:rFonts w:eastAsiaTheme="minorEastAsia"/>
          <w:lang w:val="sk-SK"/>
        </w:rPr>
        <w:fldChar w:fldCharType="begin"/>
      </w:r>
      <w:r>
        <w:rPr>
          <w:rFonts w:eastAsiaTheme="minorEastAsia"/>
          <w:lang w:val="sk-SK"/>
        </w:rPr>
        <w:instrText xml:space="preserve"> QUOTE "</w:instrText>
      </w:r>
      <w:r>
        <w:rPr>
          <w:rFonts w:ascii="Wingdings" w:eastAsiaTheme="minorEastAsia" w:hAnsi="Wingdings" w:cs="Wingdings"/>
          <w:lang w:val="sk-SK"/>
        </w:rPr>
        <w:instrText>ê</w:instrText>
      </w:r>
      <w:r>
        <w:rPr>
          <w:rFonts w:eastAsiaTheme="minorEastAsia"/>
          <w:lang w:val="sk-SK"/>
        </w:rPr>
        <w:instrText xml:space="preserve">" </w:instrText>
      </w:r>
      <w:r>
        <w:rPr>
          <w:rFonts w:eastAsiaTheme="minorEastAsia"/>
          <w:lang w:val="sk-SK"/>
        </w:rPr>
        <w:fldChar w:fldCharType="separate"/>
      </w:r>
      <w:r>
        <w:rPr>
          <w:rFonts w:ascii="Wingdings" w:eastAsiaTheme="minorEastAsia" w:hAnsi="Wingdings" w:cs="Wingdings"/>
          <w:lang w:val="sk-SK"/>
        </w:rPr>
        <w:t>ê</w:t>
      </w:r>
      <w:r>
        <w:rPr>
          <w:rFonts w:eastAsiaTheme="minorEastAsia"/>
          <w:lang w:val="sk-SK"/>
        </w:rPr>
        <w:fldChar w:fldCharType="end"/>
      </w:r>
      <w:r>
        <w:rPr>
          <w:rFonts w:eastAsiaTheme="minorEastAsia"/>
          <w:lang w:val="sk-SK"/>
        </w:rPr>
        <w:t xml:space="preserve"> 2016/1954 článok </w:t>
      </w:r>
      <w:r>
        <w:rPr>
          <w:lang w:val="sk-SK"/>
        </w:rPr>
        <w:t>1 bod 5</w:t>
      </w:r>
    </w:p>
    <w:p>
      <w:pPr>
        <w:autoSpaceDE w:val="0"/>
        <w:autoSpaceDN w:val="0"/>
        <w:rPr>
          <w:rFonts w:eastAsiaTheme="minorEastAsia"/>
          <w:noProof/>
          <w:szCs w:val="24"/>
          <w:lang w:eastAsia="en-GB"/>
        </w:rPr>
      </w:pPr>
      <w:r>
        <w:rPr>
          <w:rFonts w:eastAsiaTheme="minorEastAsia"/>
          <w:noProof/>
          <w:szCs w:val="24"/>
          <w:lang w:eastAsia="en-GB"/>
        </w:rPr>
        <w:t>2. Komisia prijme vykonávacie akty stanovujúce podrobnosti zasielania údajov Komisii (Eurostatu) vrátane štandardov na výmenu údajov. Uvedené vykonávacie akty sa prijmú v súlade s postupom preskúmania uvedeným v článku 11 ods. 2.</w:t>
      </w:r>
    </w:p>
    <w:p>
      <w:pPr>
        <w:pStyle w:val="CRSeparator"/>
        <w:rPr>
          <w:rFonts w:eastAsiaTheme="minorEastAsia"/>
          <w:noProof/>
          <w:lang w:val="sk-SK"/>
        </w:rPr>
      </w:pPr>
    </w:p>
    <w:p>
      <w:pPr>
        <w:pStyle w:val="CRReference"/>
        <w:rPr>
          <w:rFonts w:eastAsiaTheme="minorEastAsia"/>
          <w:lang w:val="sk-SK"/>
        </w:rPr>
      </w:pPr>
      <w:r>
        <w:rPr>
          <w:rFonts w:eastAsiaTheme="minorEastAsia"/>
          <w:lang w:val="sk-SK"/>
        </w:rPr>
        <w:fldChar w:fldCharType="begin"/>
      </w:r>
      <w:r>
        <w:rPr>
          <w:rFonts w:eastAsiaTheme="minorEastAsia"/>
          <w:lang w:val="sk-SK"/>
        </w:rPr>
        <w:instrText xml:space="preserve"> QUOTE "</w:instrText>
      </w:r>
      <w:r>
        <w:rPr>
          <w:rFonts w:ascii="Wingdings" w:eastAsiaTheme="minorEastAsia" w:hAnsi="Wingdings" w:cs="Wingdings"/>
          <w:lang w:val="sk-SK"/>
        </w:rPr>
        <w:instrText>ê</w:instrText>
      </w:r>
      <w:r>
        <w:rPr>
          <w:rFonts w:eastAsiaTheme="minorEastAsia"/>
          <w:lang w:val="sk-SK"/>
        </w:rPr>
        <w:instrText xml:space="preserve">" </w:instrText>
      </w:r>
      <w:r>
        <w:rPr>
          <w:rFonts w:eastAsiaTheme="minorEastAsia"/>
          <w:lang w:val="sk-SK"/>
        </w:rPr>
        <w:fldChar w:fldCharType="separate"/>
      </w:r>
      <w:r>
        <w:rPr>
          <w:rFonts w:ascii="Wingdings" w:eastAsiaTheme="minorEastAsia" w:hAnsi="Wingdings" w:cs="Wingdings"/>
          <w:lang w:val="sk-SK"/>
        </w:rPr>
        <w:t>ê</w:t>
      </w:r>
      <w:r>
        <w:rPr>
          <w:rFonts w:eastAsiaTheme="minorEastAsia"/>
          <w:lang w:val="sk-SK"/>
        </w:rPr>
        <w:fldChar w:fldCharType="end"/>
      </w:r>
      <w:r>
        <w:rPr>
          <w:rFonts w:eastAsiaTheme="minorEastAsia"/>
          <w:lang w:val="sk-SK"/>
        </w:rPr>
        <w:t> 1365/2006 (prispôsobené)</w:t>
      </w:r>
    </w:p>
    <w:p>
      <w:pPr>
        <w:pStyle w:val="Titrearticle"/>
        <w:outlineLvl w:val="0"/>
        <w:rPr>
          <w:noProof/>
        </w:rPr>
      </w:pPr>
      <w:r>
        <w:rPr>
          <w:noProof/>
        </w:rPr>
        <w:t>Článok 7</w:t>
      </w:r>
    </w:p>
    <w:p>
      <w:pPr>
        <w:keepNext/>
        <w:autoSpaceDE w:val="0"/>
        <w:autoSpaceDN w:val="0"/>
        <w:jc w:val="center"/>
        <w:rPr>
          <w:rFonts w:eastAsiaTheme="minorEastAsia"/>
          <w:b/>
          <w:bCs/>
          <w:noProof/>
          <w:szCs w:val="24"/>
          <w:lang w:eastAsia="en-GB"/>
        </w:rPr>
      </w:pPr>
      <w:r>
        <w:rPr>
          <w:rFonts w:eastAsiaTheme="minorEastAsia"/>
          <w:b/>
          <w:bCs/>
          <w:noProof/>
          <w:szCs w:val="24"/>
          <w:lang w:eastAsia="en-GB"/>
        </w:rPr>
        <w:t>Šírenie</w:t>
      </w:r>
    </w:p>
    <w:p>
      <w:pPr>
        <w:autoSpaceDE w:val="0"/>
        <w:autoSpaceDN w:val="0"/>
        <w:rPr>
          <w:rFonts w:eastAsiaTheme="minorEastAsia"/>
          <w:noProof/>
          <w:szCs w:val="24"/>
          <w:lang w:eastAsia="en-GB"/>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Európska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Fonts w:eastAsiaTheme="minorEastAsia"/>
          <w:noProof/>
          <w:szCs w:val="24"/>
          <w:lang w:eastAsia="en-GB"/>
        </w:rPr>
        <w:t>štatistika založená na údajoch uvedených v článku 4 sa rozširuje s podobnou frekvenciou, ktorá je stanovená pre prenos údajov členskými štátmi.</w:t>
      </w:r>
    </w:p>
    <w:p>
      <w:pPr>
        <w:pStyle w:val="CRSeparator"/>
        <w:rPr>
          <w:rFonts w:eastAsiaTheme="minorEastAsia"/>
          <w:noProof/>
          <w:lang w:val="sk-SK"/>
        </w:rPr>
      </w:pPr>
    </w:p>
    <w:p>
      <w:pPr>
        <w:pStyle w:val="CRReference"/>
      </w:pPr>
      <w:r>
        <w:rPr>
          <w:rFonts w:eastAsiaTheme="minorEastAsia"/>
        </w:rPr>
        <w:fldChar w:fldCharType="begin"/>
      </w:r>
      <w:r>
        <w:rPr>
          <w:rFonts w:eastAsiaTheme="minorEastAsia"/>
        </w:rPr>
        <w:instrText xml:space="preserve"> QUOTE "</w:instrText>
      </w:r>
      <w:r>
        <w:rPr>
          <w:rFonts w:ascii="Wingdings" w:eastAsiaTheme="minorEastAsia" w:hAnsi="Wingdings" w:cs="Wingdings"/>
        </w:rPr>
        <w:instrText>ê</w:instrText>
      </w:r>
      <w:r>
        <w:rPr>
          <w:rFonts w:eastAsiaTheme="minorEastAsia"/>
        </w:rPr>
        <w:instrText xml:space="preserve">" </w:instrText>
      </w:r>
      <w:r>
        <w:rPr>
          <w:rFonts w:eastAsiaTheme="minorEastAsia"/>
        </w:rPr>
        <w:fldChar w:fldCharType="separate"/>
      </w:r>
      <w:r>
        <w:rPr>
          <w:rFonts w:ascii="Wingdings" w:eastAsiaTheme="minorEastAsia" w:hAnsi="Wingdings" w:cs="Wingdings"/>
        </w:rPr>
        <w:t>ê</w:t>
      </w:r>
      <w:r>
        <w:rPr>
          <w:rFonts w:eastAsiaTheme="minorEastAsia"/>
        </w:rPr>
        <w:fldChar w:fldCharType="end"/>
      </w:r>
      <w:r>
        <w:rPr>
          <w:rFonts w:eastAsiaTheme="minorEastAsia"/>
        </w:rPr>
        <w:t xml:space="preserve"> 2016/1954 článok </w:t>
      </w:r>
      <w:r>
        <w:t>1 bod 6</w:t>
      </w:r>
    </w:p>
    <w:p>
      <w:pPr>
        <w:autoSpaceDE w:val="0"/>
        <w:autoSpaceDN w:val="0"/>
        <w:rPr>
          <w:rFonts w:eastAsiaTheme="minorEastAsia"/>
          <w:noProof/>
          <w:szCs w:val="24"/>
          <w:lang w:eastAsia="en-GB"/>
        </w:rPr>
      </w:pPr>
      <w:r>
        <w:rPr>
          <w:rFonts w:eastAsiaTheme="minorEastAsia"/>
          <w:noProof/>
          <w:szCs w:val="24"/>
          <w:lang w:eastAsia="en-GB"/>
        </w:rPr>
        <w:t>Komisia prijme vykonávacie akty stanovujúce podrobnosti šírenia výsledkov. Uvedené vykonávacie akty sa prijmú v súlade s postupom preskúmania uvedeným v článku 11 ods. 2.</w:t>
      </w:r>
    </w:p>
    <w:p>
      <w:pPr>
        <w:pStyle w:val="CRSeparator"/>
        <w:rPr>
          <w:rFonts w:eastAsiaTheme="minorEastAsia"/>
          <w:noProof/>
          <w:lang w:val="sk-SK"/>
        </w:rPr>
      </w:pPr>
    </w:p>
    <w:p>
      <w:pPr>
        <w:pStyle w:val="CRReference"/>
        <w:rPr>
          <w:rFonts w:eastAsiaTheme="minorEastAsia"/>
          <w:lang w:val="sk-SK"/>
        </w:rPr>
      </w:pPr>
      <w:r>
        <w:rPr>
          <w:rFonts w:eastAsiaTheme="minorEastAsia"/>
          <w:lang w:val="sk-SK"/>
        </w:rPr>
        <w:fldChar w:fldCharType="begin"/>
      </w:r>
      <w:r>
        <w:rPr>
          <w:rFonts w:eastAsiaTheme="minorEastAsia"/>
          <w:lang w:val="sk-SK"/>
        </w:rPr>
        <w:instrText xml:space="preserve"> QUOTE "</w:instrText>
      </w:r>
      <w:r>
        <w:rPr>
          <w:rFonts w:ascii="Wingdings" w:eastAsiaTheme="minorEastAsia" w:hAnsi="Wingdings" w:cs="Wingdings"/>
          <w:lang w:val="sk-SK"/>
        </w:rPr>
        <w:instrText>ê</w:instrText>
      </w:r>
      <w:r>
        <w:rPr>
          <w:rFonts w:eastAsiaTheme="minorEastAsia"/>
          <w:lang w:val="sk-SK"/>
        </w:rPr>
        <w:instrText xml:space="preserve">" </w:instrText>
      </w:r>
      <w:r>
        <w:rPr>
          <w:rFonts w:eastAsiaTheme="minorEastAsia"/>
          <w:lang w:val="sk-SK"/>
        </w:rPr>
        <w:fldChar w:fldCharType="separate"/>
      </w:r>
      <w:r>
        <w:rPr>
          <w:rFonts w:ascii="Wingdings" w:eastAsiaTheme="minorEastAsia" w:hAnsi="Wingdings" w:cs="Wingdings"/>
          <w:lang w:val="sk-SK"/>
        </w:rPr>
        <w:t>ê</w:t>
      </w:r>
      <w:r>
        <w:rPr>
          <w:rFonts w:eastAsiaTheme="minorEastAsia"/>
          <w:lang w:val="sk-SK"/>
        </w:rPr>
        <w:fldChar w:fldCharType="end"/>
      </w:r>
      <w:r>
        <w:rPr>
          <w:rFonts w:eastAsiaTheme="minorEastAsia"/>
          <w:lang w:val="sk-SK"/>
        </w:rPr>
        <w:t> 1365/2006</w:t>
      </w:r>
    </w:p>
    <w:p>
      <w:pPr>
        <w:pStyle w:val="Titrearticle"/>
        <w:outlineLvl w:val="0"/>
        <w:rPr>
          <w:noProof/>
        </w:rPr>
      </w:pPr>
      <w:r>
        <w:rPr>
          <w:noProof/>
        </w:rPr>
        <w:t>Článok 8</w:t>
      </w:r>
    </w:p>
    <w:p>
      <w:pPr>
        <w:keepNext/>
        <w:autoSpaceDE w:val="0"/>
        <w:autoSpaceDN w:val="0"/>
        <w:jc w:val="center"/>
        <w:rPr>
          <w:rFonts w:eastAsiaTheme="minorEastAsia"/>
          <w:b/>
          <w:bCs/>
          <w:noProof/>
          <w:szCs w:val="24"/>
          <w:lang w:eastAsia="en-GB"/>
        </w:rPr>
      </w:pPr>
      <w:r>
        <w:rPr>
          <w:rFonts w:eastAsiaTheme="minorEastAsia"/>
          <w:b/>
          <w:bCs/>
          <w:noProof/>
          <w:szCs w:val="24"/>
          <w:lang w:eastAsia="en-GB"/>
        </w:rPr>
        <w:t>Kvalita údajov</w:t>
      </w:r>
    </w:p>
    <w:p>
      <w:pPr>
        <w:pStyle w:val="CRSeparator"/>
        <w:rPr>
          <w:rFonts w:eastAsiaTheme="minorEastAsia"/>
          <w:noProof/>
          <w:lang w:val="sk-SK"/>
        </w:rPr>
      </w:pPr>
    </w:p>
    <w:p>
      <w:pPr>
        <w:pStyle w:val="CRReference"/>
        <w:rPr>
          <w:rFonts w:eastAsiaTheme="minorEastAsia"/>
          <w:lang w:val="sk-SK"/>
        </w:rPr>
      </w:pPr>
      <w:r>
        <w:rPr>
          <w:rFonts w:eastAsiaTheme="minorEastAsia"/>
          <w:lang w:val="sk-SK"/>
        </w:rPr>
        <w:fldChar w:fldCharType="begin"/>
      </w:r>
      <w:r>
        <w:rPr>
          <w:rFonts w:eastAsiaTheme="minorEastAsia"/>
          <w:lang w:val="sk-SK"/>
        </w:rPr>
        <w:instrText xml:space="preserve"> QUOTE "</w:instrText>
      </w:r>
      <w:r>
        <w:rPr>
          <w:rFonts w:ascii="Wingdings" w:eastAsiaTheme="minorEastAsia" w:hAnsi="Wingdings" w:cs="Wingdings"/>
          <w:lang w:val="sk-SK"/>
        </w:rPr>
        <w:instrText>ê</w:instrText>
      </w:r>
      <w:r>
        <w:rPr>
          <w:rFonts w:eastAsiaTheme="minorEastAsia"/>
          <w:lang w:val="sk-SK"/>
        </w:rPr>
        <w:instrText xml:space="preserve">" </w:instrText>
      </w:r>
      <w:r>
        <w:rPr>
          <w:rFonts w:eastAsiaTheme="minorEastAsia"/>
          <w:lang w:val="sk-SK"/>
        </w:rPr>
        <w:fldChar w:fldCharType="separate"/>
      </w:r>
      <w:r>
        <w:rPr>
          <w:rFonts w:ascii="Wingdings" w:eastAsiaTheme="minorEastAsia" w:hAnsi="Wingdings" w:cs="Wingdings"/>
          <w:lang w:val="sk-SK"/>
        </w:rPr>
        <w:t>ê</w:t>
      </w:r>
      <w:r>
        <w:rPr>
          <w:rFonts w:eastAsiaTheme="minorEastAsia"/>
          <w:lang w:val="sk-SK"/>
        </w:rPr>
        <w:fldChar w:fldCharType="end"/>
      </w:r>
      <w:r>
        <w:rPr>
          <w:rFonts w:eastAsiaTheme="minorEastAsia"/>
          <w:lang w:val="sk-SK"/>
        </w:rPr>
        <w:t xml:space="preserve"> 2016/1954 článok </w:t>
      </w:r>
      <w:r>
        <w:rPr>
          <w:lang w:val="sk-SK"/>
        </w:rPr>
        <w:t>1 bod 7</w:t>
      </w:r>
    </w:p>
    <w:p>
      <w:pPr>
        <w:autoSpaceDE w:val="0"/>
        <w:autoSpaceDN w:val="0"/>
        <w:rPr>
          <w:rFonts w:eastAsiaTheme="minorEastAsia"/>
          <w:noProof/>
          <w:szCs w:val="24"/>
          <w:lang w:eastAsia="en-GB"/>
        </w:rPr>
      </w:pPr>
      <w:r>
        <w:rPr>
          <w:rFonts w:eastAsiaTheme="minorEastAsia"/>
          <w:noProof/>
          <w:szCs w:val="24"/>
          <w:lang w:eastAsia="en-GB"/>
        </w:rPr>
        <w:t>1. Komisia prijme vykonávacie akty stanovujúce metodologické požiadavky a kritériá, ktoré majú zabezpečiť kvalitu zostavovaných údajov. Uvedené vykonávacie akty sa prijmú v súlade s postupom preskúmania uvedeným v článku 11 ods. 2.</w:t>
      </w:r>
    </w:p>
    <w:p>
      <w:pPr>
        <w:pStyle w:val="CRSeparator"/>
        <w:rPr>
          <w:rFonts w:eastAsiaTheme="minorEastAsia"/>
          <w:noProof/>
          <w:lang w:val="sk-SK"/>
        </w:rPr>
      </w:pPr>
    </w:p>
    <w:p>
      <w:pPr>
        <w:pStyle w:val="CRReference"/>
        <w:rPr>
          <w:rFonts w:eastAsiaTheme="minorEastAsia"/>
          <w:lang w:val="sk-SK"/>
        </w:rPr>
      </w:pPr>
      <w:r>
        <w:rPr>
          <w:rFonts w:eastAsiaTheme="minorEastAsia"/>
          <w:lang w:val="sk-SK"/>
        </w:rPr>
        <w:fldChar w:fldCharType="begin"/>
      </w:r>
      <w:r>
        <w:rPr>
          <w:rFonts w:eastAsiaTheme="minorEastAsia"/>
          <w:lang w:val="sk-SK"/>
        </w:rPr>
        <w:instrText xml:space="preserve"> QUOTE "</w:instrText>
      </w:r>
      <w:r>
        <w:rPr>
          <w:rFonts w:ascii="Wingdings" w:eastAsiaTheme="minorEastAsia" w:hAnsi="Wingdings" w:cs="Wingdings"/>
          <w:lang w:val="sk-SK"/>
        </w:rPr>
        <w:instrText>ê</w:instrText>
      </w:r>
      <w:r>
        <w:rPr>
          <w:rFonts w:eastAsiaTheme="minorEastAsia"/>
          <w:lang w:val="sk-SK"/>
        </w:rPr>
        <w:instrText xml:space="preserve">" </w:instrText>
      </w:r>
      <w:r>
        <w:rPr>
          <w:rFonts w:eastAsiaTheme="minorEastAsia"/>
          <w:lang w:val="sk-SK"/>
        </w:rPr>
        <w:fldChar w:fldCharType="separate"/>
      </w:r>
      <w:r>
        <w:rPr>
          <w:rFonts w:ascii="Wingdings" w:eastAsiaTheme="minorEastAsia" w:hAnsi="Wingdings" w:cs="Wingdings"/>
          <w:lang w:val="sk-SK"/>
        </w:rPr>
        <w:t>ê</w:t>
      </w:r>
      <w:r>
        <w:rPr>
          <w:rFonts w:eastAsiaTheme="minorEastAsia"/>
          <w:lang w:val="sk-SK"/>
        </w:rPr>
        <w:fldChar w:fldCharType="end"/>
      </w:r>
      <w:r>
        <w:rPr>
          <w:rFonts w:eastAsiaTheme="minorEastAsia"/>
          <w:lang w:val="sk-SK"/>
        </w:rPr>
        <w:t> 1365/2006</w:t>
      </w:r>
    </w:p>
    <w:p>
      <w:pPr>
        <w:autoSpaceDE w:val="0"/>
        <w:autoSpaceDN w:val="0"/>
        <w:rPr>
          <w:rFonts w:eastAsiaTheme="minorEastAsia"/>
          <w:noProof/>
          <w:szCs w:val="24"/>
          <w:lang w:eastAsia="en-GB"/>
        </w:rPr>
      </w:pPr>
      <w:r>
        <w:rPr>
          <w:rFonts w:eastAsiaTheme="minorEastAsia"/>
          <w:noProof/>
          <w:szCs w:val="24"/>
          <w:lang w:eastAsia="en-GB"/>
        </w:rPr>
        <w:t>2. Členské štáty prijmú všetky opatrenia potrebné na to, aby sa zabezpečila kvalita prenosu údajov.</w:t>
      </w:r>
    </w:p>
    <w:p>
      <w:pPr>
        <w:autoSpaceDE w:val="0"/>
        <w:autoSpaceDN w:val="0"/>
        <w:rPr>
          <w:rFonts w:eastAsiaTheme="minorEastAsia"/>
          <w:noProof/>
          <w:szCs w:val="24"/>
          <w:lang w:eastAsia="en-GB"/>
        </w:rPr>
      </w:pPr>
      <w:r>
        <w:rPr>
          <w:rFonts w:eastAsiaTheme="minorEastAsia"/>
          <w:noProof/>
          <w:szCs w:val="24"/>
          <w:lang w:eastAsia="en-GB"/>
        </w:rPr>
        <w:t>3. Komisia (Eurostat) vyhodnotí kvalitu poskytnutých údajov. Členské štáty poskytnú Komisii (Eurostatu) správu, ktorá bude obsahovať tie informácie a údaje, ktoré sú potrebné na to, aby sa mohla overiť kvalita poskytnutých údajov.</w:t>
      </w:r>
    </w:p>
    <w:p>
      <w:pPr>
        <w:pStyle w:val="CRSeparator"/>
        <w:rPr>
          <w:rFonts w:eastAsiaTheme="minorEastAsia"/>
          <w:noProof/>
          <w:lang w:val="sk-SK"/>
        </w:rPr>
      </w:pPr>
    </w:p>
    <w:p>
      <w:pPr>
        <w:pStyle w:val="CRReference"/>
        <w:rPr>
          <w:rFonts w:eastAsiaTheme="minorEastAsia"/>
          <w:lang w:val="sk-SK"/>
        </w:rPr>
      </w:pPr>
      <w:r>
        <w:rPr>
          <w:rFonts w:eastAsiaTheme="minorEastAsia"/>
          <w:lang w:val="sk-SK"/>
        </w:rPr>
        <w:fldChar w:fldCharType="begin"/>
      </w:r>
      <w:r>
        <w:rPr>
          <w:rFonts w:eastAsiaTheme="minorEastAsia"/>
          <w:lang w:val="sk-SK"/>
        </w:rPr>
        <w:instrText xml:space="preserve"> QUOTE "</w:instrText>
      </w:r>
      <w:r>
        <w:rPr>
          <w:rFonts w:ascii="Wingdings" w:eastAsiaTheme="minorEastAsia" w:hAnsi="Wingdings" w:cs="Wingdings"/>
          <w:lang w:val="sk-SK"/>
        </w:rPr>
        <w:instrText>ê</w:instrText>
      </w:r>
      <w:r>
        <w:rPr>
          <w:rFonts w:eastAsiaTheme="minorEastAsia"/>
          <w:lang w:val="sk-SK"/>
        </w:rPr>
        <w:instrText xml:space="preserve">" </w:instrText>
      </w:r>
      <w:r>
        <w:rPr>
          <w:rFonts w:eastAsiaTheme="minorEastAsia"/>
          <w:lang w:val="sk-SK"/>
        </w:rPr>
        <w:fldChar w:fldCharType="separate"/>
      </w:r>
      <w:r>
        <w:rPr>
          <w:rFonts w:ascii="Wingdings" w:eastAsiaTheme="minorEastAsia" w:hAnsi="Wingdings" w:cs="Wingdings"/>
          <w:lang w:val="sk-SK"/>
        </w:rPr>
        <w:t>ê</w:t>
      </w:r>
      <w:r>
        <w:rPr>
          <w:rFonts w:eastAsiaTheme="minorEastAsia"/>
          <w:lang w:val="sk-SK"/>
        </w:rPr>
        <w:fldChar w:fldCharType="end"/>
      </w:r>
      <w:r>
        <w:rPr>
          <w:rFonts w:eastAsiaTheme="minorEastAsia"/>
          <w:lang w:val="sk-SK"/>
        </w:rPr>
        <w:t xml:space="preserve"> 2016/1954 článok </w:t>
      </w:r>
      <w:r>
        <w:rPr>
          <w:lang w:val="sk-SK"/>
        </w:rPr>
        <w:t>1 bod 8</w:t>
      </w:r>
    </w:p>
    <w:p>
      <w:pPr>
        <w:autoSpaceDE w:val="0"/>
        <w:autoSpaceDN w:val="0"/>
        <w:rPr>
          <w:rFonts w:eastAsiaTheme="minorEastAsia"/>
          <w:noProof/>
          <w:szCs w:val="24"/>
          <w:lang w:eastAsia="en-GB"/>
        </w:rPr>
      </w:pPr>
      <w:r>
        <w:rPr>
          <w:rFonts w:eastAsiaTheme="minorEastAsia"/>
          <w:noProof/>
          <w:szCs w:val="24"/>
          <w:lang w:eastAsia="en-GB"/>
        </w:rPr>
        <w:t>4. Na účely tohto nariadenia sa na údaje, ktoré sa majú odovzdávať, vzťahujú kritériá kvality, ktoré sa uvádzajú v článku 12 ods. 1 nariadenia (ES) č. 223/2009.</w:t>
      </w:r>
    </w:p>
    <w:p>
      <w:pPr>
        <w:autoSpaceDE w:val="0"/>
        <w:autoSpaceDN w:val="0"/>
        <w:rPr>
          <w:rFonts w:eastAsiaTheme="minorEastAsia"/>
          <w:noProof/>
          <w:szCs w:val="24"/>
          <w:lang w:eastAsia="en-GB"/>
        </w:rPr>
      </w:pPr>
      <w:r>
        <w:rPr>
          <w:rFonts w:eastAsiaTheme="minorEastAsia"/>
          <w:noProof/>
          <w:szCs w:val="24"/>
          <w:lang w:eastAsia="en-GB"/>
        </w:rPr>
        <w:t>5. Komisia prijme vykonávacie akty stanovujúce podrobné podmienky, štruktúru, periodicitu a prvky porovnateľnosti pre správy o kvalite. Uvedené vykonávacie akty sa prijmú v súlade s postupom preskúmania uvedeným v článku 11 ods. 2.</w:t>
      </w:r>
    </w:p>
    <w:p>
      <w:pPr>
        <w:pStyle w:val="CRSeparator"/>
        <w:rPr>
          <w:rFonts w:eastAsiaTheme="minorEastAsia"/>
          <w:noProof/>
          <w:lang w:val="sk-SK"/>
        </w:rPr>
      </w:pPr>
    </w:p>
    <w:p>
      <w:pPr>
        <w:pStyle w:val="CRReference"/>
        <w:rPr>
          <w:rFonts w:eastAsiaTheme="minorEastAsia"/>
          <w:lang w:val="sk-SK"/>
        </w:rPr>
      </w:pPr>
      <w:r>
        <w:rPr>
          <w:rFonts w:eastAsiaTheme="minorEastAsia"/>
          <w:lang w:val="sk-SK"/>
        </w:rPr>
        <w:fldChar w:fldCharType="begin"/>
      </w:r>
      <w:r>
        <w:rPr>
          <w:rFonts w:eastAsiaTheme="minorEastAsia"/>
          <w:lang w:val="sk-SK"/>
        </w:rPr>
        <w:instrText xml:space="preserve"> QUOTE "</w:instrText>
      </w:r>
      <w:r>
        <w:rPr>
          <w:rFonts w:ascii="Wingdings" w:eastAsiaTheme="minorEastAsia" w:hAnsi="Wingdings" w:cs="Wingdings"/>
          <w:lang w:val="sk-SK"/>
        </w:rPr>
        <w:instrText>ê</w:instrText>
      </w:r>
      <w:r>
        <w:rPr>
          <w:rFonts w:eastAsiaTheme="minorEastAsia"/>
          <w:lang w:val="sk-SK"/>
        </w:rPr>
        <w:instrText xml:space="preserve">" </w:instrText>
      </w:r>
      <w:r>
        <w:rPr>
          <w:rFonts w:eastAsiaTheme="minorEastAsia"/>
          <w:lang w:val="sk-SK"/>
        </w:rPr>
        <w:fldChar w:fldCharType="separate"/>
      </w:r>
      <w:r>
        <w:rPr>
          <w:rFonts w:ascii="Wingdings" w:eastAsiaTheme="minorEastAsia" w:hAnsi="Wingdings" w:cs="Wingdings"/>
          <w:lang w:val="sk-SK"/>
        </w:rPr>
        <w:t>ê</w:t>
      </w:r>
      <w:r>
        <w:rPr>
          <w:rFonts w:eastAsiaTheme="minorEastAsia"/>
          <w:lang w:val="sk-SK"/>
        </w:rPr>
        <w:fldChar w:fldCharType="end"/>
      </w:r>
      <w:r>
        <w:rPr>
          <w:rFonts w:eastAsiaTheme="minorEastAsia"/>
          <w:lang w:val="sk-SK"/>
        </w:rPr>
        <w:t> 2016/1954</w:t>
      </w:r>
      <w:r>
        <w:rPr>
          <w:lang w:val="sk-SK"/>
        </w:rPr>
        <w:t xml:space="preserve"> článok 1 bod 9 (prispôsobené)</w:t>
      </w:r>
    </w:p>
    <w:p>
      <w:pPr>
        <w:pStyle w:val="Titrearticle"/>
        <w:outlineLvl w:val="0"/>
        <w:rPr>
          <w:noProof/>
        </w:rPr>
      </w:pPr>
      <w:r>
        <w:rPr>
          <w:noProof/>
        </w:rPr>
        <w:t>Článok 9</w:t>
      </w:r>
    </w:p>
    <w:p>
      <w:pPr>
        <w:keepNext/>
        <w:autoSpaceDE w:val="0"/>
        <w:autoSpaceDN w:val="0"/>
        <w:jc w:val="center"/>
        <w:rPr>
          <w:rFonts w:eastAsiaTheme="minorEastAsia"/>
          <w:b/>
          <w:bCs/>
          <w:noProof/>
          <w:szCs w:val="24"/>
          <w:lang w:eastAsia="en-GB"/>
        </w:rPr>
      </w:pPr>
      <w:r>
        <w:rPr>
          <w:rFonts w:eastAsiaTheme="minorEastAsia"/>
          <w:b/>
          <w:bCs/>
          <w:noProof/>
          <w:szCs w:val="24"/>
          <w:lang w:eastAsia="en-GB"/>
        </w:rPr>
        <w:t>Správy o vykonávaní</w:t>
      </w:r>
    </w:p>
    <w:p>
      <w:pPr>
        <w:autoSpaceDE w:val="0"/>
        <w:autoSpaceDN w:val="0"/>
        <w:rPr>
          <w:rFonts w:eastAsiaTheme="minorEastAsia"/>
          <w:noProof/>
          <w:szCs w:val="24"/>
          <w:lang w:eastAsia="en-GB"/>
        </w:rPr>
      </w:pPr>
      <w:r>
        <w:rPr>
          <w:rFonts w:eastAsiaTheme="minorEastAsia"/>
          <w:noProof/>
          <w:szCs w:val="24"/>
          <w:lang w:eastAsia="en-GB"/>
        </w:rPr>
        <w:t>Komisia po konzultácii s Výborom pre Európsky štatistický systém predloží Európskemu parlamentu a Rade do 31. decembra 2020 a následne každých päť rokov správu o vykonávaní tohto nariadenia a budúcom vývoji.</w:t>
      </w:r>
    </w:p>
    <w:p>
      <w:pPr>
        <w:keepNext/>
        <w:autoSpaceDE w:val="0"/>
        <w:autoSpaceDN w:val="0"/>
        <w:rPr>
          <w:rFonts w:eastAsiaTheme="minorEastAsia"/>
          <w:noProof/>
          <w:szCs w:val="24"/>
          <w:lang w:eastAsia="en-GB"/>
        </w:rPr>
      </w:pPr>
      <w:r>
        <w:rPr>
          <w:rFonts w:eastAsiaTheme="minorEastAsia"/>
          <w:noProof/>
          <w:szCs w:val="24"/>
          <w:lang w:eastAsia="en-GB"/>
        </w:rPr>
        <w:t xml:space="preserve">Komisia v tejto správe zohľadní príslušné informácie poskytnuté členskými štátmi o potenciálnych zlepšeniach a potrebách užívateľov. V správe sa najmą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posúdi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eastAsiaTheme="minorEastAsia"/>
          <w:noProof/>
          <w:szCs w:val="24"/>
          <w:lang w:eastAsia="en-GB"/>
        </w:rPr>
        <w:t>:</w:t>
      </w:r>
    </w:p>
    <w:p>
      <w:pPr>
        <w:pStyle w:val="Point0"/>
        <w:rPr>
          <w:noProof/>
          <w:lang w:eastAsia="en-GB"/>
        </w:rPr>
      </w:pPr>
      <w:r>
        <w:rPr>
          <w:noProof/>
          <w:lang w:eastAsia="en-GB"/>
        </w:rPr>
        <w:t>a)</w:t>
      </w:r>
      <w:r>
        <w:rPr>
          <w:noProof/>
          <w:lang w:eastAsia="en-GB"/>
        </w:rPr>
        <w:tab/>
        <w:t>prínos zostavených štatistík pre Úniu, členské štáty a poskytovateľov a používateľov štatistických informácií v pomere k ich nákladom;</w:t>
      </w:r>
    </w:p>
    <w:p>
      <w:pPr>
        <w:pStyle w:val="Point0"/>
        <w:rPr>
          <w:rFonts w:eastAsiaTheme="minorEastAsia"/>
          <w:noProof/>
          <w:szCs w:val="24"/>
          <w:lang w:eastAsia="en-GB"/>
        </w:rPr>
      </w:pPr>
      <w:r>
        <w:rPr>
          <w:rFonts w:eastAsiaTheme="minorEastAsia"/>
          <w:noProof/>
          <w:szCs w:val="24"/>
          <w:lang w:eastAsia="en-GB"/>
        </w:rPr>
        <w:t>b)</w:t>
      </w:r>
      <w:r>
        <w:rPr>
          <w:rFonts w:eastAsiaTheme="minorEastAsia"/>
          <w:noProof/>
          <w:szCs w:val="24"/>
          <w:lang w:eastAsia="en-GB"/>
        </w:rPr>
        <w:tab/>
      </w:r>
      <w:r>
        <w:rPr>
          <w:noProof/>
          <w:lang w:eastAsia="en-GB"/>
        </w:rPr>
        <w:t>kvalita</w:t>
      </w:r>
      <w:r>
        <w:rPr>
          <w:rFonts w:eastAsiaTheme="minorEastAsia"/>
          <w:noProof/>
          <w:szCs w:val="24"/>
          <w:lang w:eastAsia="en-GB"/>
        </w:rPr>
        <w:t xml:space="preserve"> zasielaných údajov a použité metódy zberu údajov.</w:t>
      </w:r>
    </w:p>
    <w:p>
      <w:pPr>
        <w:pStyle w:val="CRSeparator"/>
        <w:rPr>
          <w:rFonts w:eastAsiaTheme="minorEastAsia"/>
          <w:noProof/>
          <w:lang w:val="sk-SK"/>
        </w:rPr>
      </w:pPr>
    </w:p>
    <w:p>
      <w:pPr>
        <w:pStyle w:val="CRReference"/>
        <w:rPr>
          <w:rFonts w:eastAsiaTheme="minorEastAsia"/>
          <w:lang w:val="sk-SK"/>
        </w:rPr>
      </w:pPr>
      <w:r>
        <w:rPr>
          <w:rFonts w:eastAsiaTheme="minorEastAsia"/>
          <w:lang w:val="sk-SK"/>
        </w:rPr>
        <w:fldChar w:fldCharType="begin"/>
      </w:r>
      <w:r>
        <w:rPr>
          <w:rFonts w:eastAsiaTheme="minorEastAsia"/>
          <w:lang w:val="sk-SK"/>
        </w:rPr>
        <w:instrText xml:space="preserve"> QUOTE "</w:instrText>
      </w:r>
      <w:r>
        <w:rPr>
          <w:rFonts w:ascii="Wingdings" w:eastAsiaTheme="minorEastAsia" w:hAnsi="Wingdings" w:cs="Wingdings"/>
          <w:lang w:val="sk-SK"/>
        </w:rPr>
        <w:instrText>ê</w:instrText>
      </w:r>
      <w:r>
        <w:rPr>
          <w:rFonts w:eastAsiaTheme="minorEastAsia"/>
          <w:lang w:val="sk-SK"/>
        </w:rPr>
        <w:instrText xml:space="preserve">" </w:instrText>
      </w:r>
      <w:r>
        <w:rPr>
          <w:rFonts w:eastAsiaTheme="minorEastAsia"/>
          <w:lang w:val="sk-SK"/>
        </w:rPr>
        <w:fldChar w:fldCharType="separate"/>
      </w:r>
      <w:r>
        <w:rPr>
          <w:rFonts w:ascii="Wingdings" w:eastAsiaTheme="minorEastAsia" w:hAnsi="Wingdings" w:cs="Wingdings"/>
          <w:lang w:val="sk-SK"/>
        </w:rPr>
        <w:t>ê</w:t>
      </w:r>
      <w:r>
        <w:rPr>
          <w:rFonts w:eastAsiaTheme="minorEastAsia"/>
          <w:lang w:val="sk-SK"/>
        </w:rPr>
        <w:fldChar w:fldCharType="end"/>
      </w:r>
      <w:r>
        <w:rPr>
          <w:rFonts w:eastAsiaTheme="minorEastAsia"/>
          <w:lang w:val="sk-SK"/>
        </w:rPr>
        <w:t> 2016/1954 článok</w:t>
      </w:r>
      <w:r>
        <w:rPr>
          <w:lang w:val="sk-SK"/>
        </w:rPr>
        <w:t xml:space="preserve"> 1 bod 10</w:t>
      </w:r>
    </w:p>
    <w:p>
      <w:pPr>
        <w:pStyle w:val="Titrearticle"/>
        <w:outlineLvl w:val="0"/>
        <w:rPr>
          <w:noProof/>
        </w:rPr>
      </w:pPr>
      <w:r>
        <w:rPr>
          <w:noProof/>
        </w:rPr>
        <w:t>Článok 10</w:t>
      </w:r>
    </w:p>
    <w:p>
      <w:pPr>
        <w:keepNext/>
        <w:autoSpaceDE w:val="0"/>
        <w:autoSpaceDN w:val="0"/>
        <w:jc w:val="center"/>
        <w:rPr>
          <w:rFonts w:eastAsiaTheme="minorEastAsia"/>
          <w:b/>
          <w:bCs/>
          <w:noProof/>
          <w:szCs w:val="24"/>
          <w:lang w:eastAsia="en-GB"/>
        </w:rPr>
      </w:pPr>
      <w:r>
        <w:rPr>
          <w:rFonts w:eastAsiaTheme="minorEastAsia"/>
          <w:b/>
          <w:bCs/>
          <w:noProof/>
          <w:szCs w:val="24"/>
          <w:lang w:eastAsia="en-GB"/>
        </w:rPr>
        <w:t>Vykonávanie delegovania právomoci</w:t>
      </w:r>
    </w:p>
    <w:p>
      <w:pPr>
        <w:autoSpaceDE w:val="0"/>
        <w:autoSpaceDN w:val="0"/>
        <w:rPr>
          <w:rFonts w:eastAsiaTheme="minorEastAsia"/>
          <w:noProof/>
          <w:szCs w:val="24"/>
          <w:lang w:eastAsia="en-GB"/>
        </w:rPr>
      </w:pPr>
      <w:r>
        <w:rPr>
          <w:rFonts w:eastAsiaTheme="minorEastAsia"/>
          <w:noProof/>
          <w:szCs w:val="24"/>
          <w:lang w:eastAsia="en-GB"/>
        </w:rPr>
        <w:t>1. Komisii sa udeľuje právomoc prijímať delegované akty za podmienok stanovených v tomto článku.</w:t>
      </w:r>
    </w:p>
    <w:p>
      <w:pPr>
        <w:autoSpaceDE w:val="0"/>
        <w:autoSpaceDN w:val="0"/>
        <w:rPr>
          <w:rFonts w:eastAsiaTheme="minorEastAsia"/>
          <w:noProof/>
          <w:szCs w:val="24"/>
          <w:lang w:eastAsia="en-GB"/>
        </w:rPr>
      </w:pPr>
      <w:r>
        <w:rPr>
          <w:rFonts w:eastAsiaTheme="minorEastAsia"/>
          <w:noProof/>
          <w:szCs w:val="24"/>
          <w:lang w:eastAsia="en-GB"/>
        </w:rPr>
        <w:t>2. Právomoc prijímať delegované akty uvedené v článku 2 ods. 5, článku 3 a článku 4 ods. 4 sa Komisii udeľuje na obdobie piatich rokov od 7. decembra 2016.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p>
      <w:pPr>
        <w:autoSpaceDE w:val="0"/>
        <w:autoSpaceDN w:val="0"/>
        <w:rPr>
          <w:rFonts w:eastAsiaTheme="minorEastAsia"/>
          <w:noProof/>
          <w:szCs w:val="24"/>
          <w:lang w:eastAsia="en-GB"/>
        </w:rPr>
      </w:pPr>
      <w:r>
        <w:rPr>
          <w:rFonts w:eastAsiaTheme="minorEastAsia"/>
          <w:noProof/>
          <w:szCs w:val="24"/>
          <w:lang w:eastAsia="en-GB"/>
        </w:rPr>
        <w:t xml:space="preserve">3. Delegovanie právomoci uvedené v článku 2 ods. 5, článku 3 a článku 4 ods. 4 môže Európsky parlament alebo Rada kedykoľvek odvolať. Rozhodnutím o odvolaní sa ukončuje delegovanie právomoci, ktoré sa v ňom uvádza. Rozhodnutie nadobúda účinnosť dňom nasledujúcim po jeho uverejnení v </w:t>
      </w:r>
      <w:r>
        <w:rPr>
          <w:rFonts w:eastAsiaTheme="minorEastAsia"/>
          <w:i/>
          <w:iCs/>
          <w:noProof/>
          <w:szCs w:val="24"/>
          <w:lang w:eastAsia="en-GB"/>
        </w:rPr>
        <w:t>Úradnom vestníku Európskej únie</w:t>
      </w:r>
      <w:r>
        <w:rPr>
          <w:rFonts w:eastAsiaTheme="minorEastAsia"/>
          <w:noProof/>
          <w:szCs w:val="24"/>
          <w:lang w:eastAsia="en-GB"/>
        </w:rPr>
        <w:t xml:space="preserve"> alebo k neskoršiemu dátumu, ktorý je v ňom určený. Nie je ním dotknutá platnosť delegovaných aktov, ktoré už nadobudli účinnosť.</w:t>
      </w:r>
    </w:p>
    <w:p>
      <w:pPr>
        <w:autoSpaceDE w:val="0"/>
        <w:autoSpaceDN w:val="0"/>
        <w:rPr>
          <w:rFonts w:eastAsiaTheme="minorEastAsia"/>
          <w:noProof/>
          <w:szCs w:val="24"/>
          <w:lang w:eastAsia="en-GB"/>
        </w:rPr>
      </w:pPr>
      <w:r>
        <w:rPr>
          <w:rFonts w:eastAsiaTheme="minorEastAsia"/>
          <w:noProof/>
          <w:szCs w:val="24"/>
          <w:lang w:eastAsia="en-GB"/>
        </w:rPr>
        <w:t>4. Komisia pred prijatím delegovaného aktu konzultuje s odborníkmi určenými jednotlivými členskými štátmi v súlade so zásadami stanovenými v Medziinštitucionálnej dohode z 13. apríla 2016 o lepšej tvorbe práva.</w:t>
      </w:r>
    </w:p>
    <w:p>
      <w:pPr>
        <w:autoSpaceDE w:val="0"/>
        <w:autoSpaceDN w:val="0"/>
        <w:rPr>
          <w:rFonts w:eastAsiaTheme="minorEastAsia"/>
          <w:noProof/>
          <w:szCs w:val="24"/>
          <w:lang w:eastAsia="en-GB"/>
        </w:rPr>
      </w:pPr>
      <w:r>
        <w:rPr>
          <w:rFonts w:eastAsiaTheme="minorEastAsia"/>
          <w:noProof/>
          <w:szCs w:val="24"/>
          <w:lang w:eastAsia="en-GB"/>
        </w:rPr>
        <w:t>5. Komisia oznamuje delegovaný akt hneď po jeho prijatí súčasne Európskemu parlamentu a Rade.</w:t>
      </w:r>
    </w:p>
    <w:p>
      <w:pPr>
        <w:autoSpaceDE w:val="0"/>
        <w:autoSpaceDN w:val="0"/>
        <w:rPr>
          <w:rFonts w:eastAsiaTheme="minorEastAsia"/>
          <w:noProof/>
          <w:szCs w:val="24"/>
          <w:lang w:eastAsia="en-GB"/>
        </w:rPr>
      </w:pPr>
      <w:r>
        <w:rPr>
          <w:rFonts w:eastAsiaTheme="minorEastAsia"/>
          <w:noProof/>
          <w:szCs w:val="24"/>
          <w:lang w:eastAsia="en-GB"/>
        </w:rPr>
        <w:t>6. Delegovaný akt prijatý podľa článku 2 ods. 5, článku 3 alebo článku 4 ods. 4 nadobúda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Style w:val="CRSeparator"/>
        <w:rPr>
          <w:rFonts w:eastAsiaTheme="minorEastAsia"/>
          <w:noProof/>
          <w:lang w:val="sk-SK"/>
        </w:rPr>
      </w:pPr>
    </w:p>
    <w:p>
      <w:pPr>
        <w:pStyle w:val="CRReference"/>
        <w:rPr>
          <w:rFonts w:eastAsiaTheme="minorEastAsia"/>
          <w:lang w:val="sk-SK"/>
        </w:rPr>
      </w:pPr>
      <w:r>
        <w:rPr>
          <w:rFonts w:eastAsiaTheme="minorEastAsia"/>
          <w:lang w:val="sk-SK"/>
        </w:rPr>
        <w:fldChar w:fldCharType="begin"/>
      </w:r>
      <w:r>
        <w:rPr>
          <w:rFonts w:eastAsiaTheme="minorEastAsia"/>
          <w:lang w:val="sk-SK"/>
        </w:rPr>
        <w:instrText xml:space="preserve"> QUOTE "</w:instrText>
      </w:r>
      <w:r>
        <w:rPr>
          <w:rFonts w:ascii="Wingdings" w:eastAsiaTheme="minorEastAsia" w:hAnsi="Wingdings" w:cs="Wingdings"/>
          <w:lang w:val="sk-SK"/>
        </w:rPr>
        <w:instrText>ê</w:instrText>
      </w:r>
      <w:r>
        <w:rPr>
          <w:rFonts w:eastAsiaTheme="minorEastAsia"/>
          <w:lang w:val="sk-SK"/>
        </w:rPr>
        <w:instrText xml:space="preserve">" </w:instrText>
      </w:r>
      <w:r>
        <w:rPr>
          <w:rFonts w:eastAsiaTheme="minorEastAsia"/>
          <w:lang w:val="sk-SK"/>
        </w:rPr>
        <w:fldChar w:fldCharType="separate"/>
      </w:r>
      <w:r>
        <w:rPr>
          <w:rFonts w:ascii="Wingdings" w:eastAsiaTheme="minorEastAsia" w:hAnsi="Wingdings" w:cs="Wingdings"/>
          <w:lang w:val="sk-SK"/>
        </w:rPr>
        <w:t>ê</w:t>
      </w:r>
      <w:r>
        <w:rPr>
          <w:rFonts w:eastAsiaTheme="minorEastAsia"/>
          <w:lang w:val="sk-SK"/>
        </w:rPr>
        <w:fldChar w:fldCharType="end"/>
      </w:r>
      <w:r>
        <w:rPr>
          <w:rFonts w:eastAsiaTheme="minorEastAsia"/>
          <w:lang w:val="sk-SK"/>
        </w:rPr>
        <w:t xml:space="preserve"> 2016/1954 článok </w:t>
      </w:r>
      <w:r>
        <w:rPr>
          <w:lang w:val="sk-SK"/>
        </w:rPr>
        <w:t>1 bod 11</w:t>
      </w:r>
    </w:p>
    <w:p>
      <w:pPr>
        <w:pStyle w:val="Titrearticle"/>
        <w:outlineLvl w:val="0"/>
        <w:rPr>
          <w:noProof/>
        </w:rPr>
      </w:pPr>
      <w:r>
        <w:rPr>
          <w:noProof/>
        </w:rPr>
        <w:t>Článok 11</w:t>
      </w:r>
    </w:p>
    <w:p>
      <w:pPr>
        <w:keepNext/>
        <w:autoSpaceDE w:val="0"/>
        <w:autoSpaceDN w:val="0"/>
        <w:jc w:val="center"/>
        <w:rPr>
          <w:rFonts w:eastAsiaTheme="minorEastAsia"/>
          <w:b/>
          <w:bCs/>
          <w:noProof/>
          <w:szCs w:val="24"/>
          <w:lang w:eastAsia="en-GB"/>
        </w:rPr>
      </w:pPr>
      <w:r>
        <w:rPr>
          <w:rFonts w:eastAsiaTheme="minorEastAsia"/>
          <w:b/>
          <w:bCs/>
          <w:noProof/>
          <w:szCs w:val="24"/>
          <w:lang w:eastAsia="en-GB"/>
        </w:rPr>
        <w:t>Postup výboru</w:t>
      </w:r>
    </w:p>
    <w:p>
      <w:pPr>
        <w:autoSpaceDE w:val="0"/>
        <w:autoSpaceDN w:val="0"/>
        <w:rPr>
          <w:rFonts w:eastAsiaTheme="minorEastAsia"/>
          <w:noProof/>
          <w:szCs w:val="24"/>
          <w:lang w:eastAsia="en-GB"/>
        </w:rPr>
      </w:pPr>
      <w:r>
        <w:rPr>
          <w:rFonts w:eastAsiaTheme="minorEastAsia"/>
          <w:noProof/>
          <w:szCs w:val="24"/>
          <w:lang w:eastAsia="en-GB"/>
        </w:rPr>
        <w:t>1. Komisii pomáha Výbor pre Európsky štatistický systém zriadený nariadením (ES) č. 223/2009. Uvedený výbor je výborom v zmysle nariadenia (EÚ) č. 182/2011.</w:t>
      </w:r>
    </w:p>
    <w:p>
      <w:pPr>
        <w:autoSpaceDE w:val="0"/>
        <w:autoSpaceDN w:val="0"/>
        <w:rPr>
          <w:rFonts w:eastAsiaTheme="minorEastAsia"/>
          <w:noProof/>
          <w:szCs w:val="24"/>
          <w:lang w:eastAsia="en-GB"/>
        </w:rPr>
      </w:pPr>
      <w:r>
        <w:rPr>
          <w:rFonts w:eastAsiaTheme="minorEastAsia"/>
          <w:noProof/>
          <w:szCs w:val="24"/>
          <w:lang w:eastAsia="en-GB"/>
        </w:rPr>
        <w:t>2. Ak sa odkazuje na tento odsek, uplatňuje sa článok 5 nariadenia (EÚ) č. 182/2011.</w:t>
      </w:r>
    </w:p>
    <w:p>
      <w:pPr>
        <w:pStyle w:val="CRSeparator"/>
        <w:rPr>
          <w:noProof/>
        </w:rPr>
      </w:pPr>
    </w:p>
    <w:p>
      <w:pPr>
        <w:pStyle w:val="CRReference"/>
      </w:pPr>
      <w:r>
        <w:fldChar w:fldCharType="begin"/>
      </w:r>
      <w:r>
        <w:instrText xml:space="preserve"> QUOTE "</w:instrText>
      </w:r>
      <w:r>
        <w:rPr>
          <w:rFonts w:ascii="Wingdings" w:hAnsi="Wingdings" w:cs="Wingdings"/>
        </w:rPr>
        <w:instrText>ê</w:instrText>
      </w:r>
      <w:r>
        <w:instrText xml:space="preserve">" </w:instrText>
      </w:r>
      <w:r>
        <w:fldChar w:fldCharType="separate"/>
      </w:r>
      <w:r>
        <w:rPr>
          <w:rFonts w:ascii="Wingdings" w:hAnsi="Wingdings" w:cs="Wingdings"/>
        </w:rPr>
        <w:t>ê</w:t>
      </w:r>
      <w:r>
        <w:fldChar w:fldCharType="end"/>
      </w:r>
      <w:r>
        <w:t> </w:t>
      </w:r>
    </w:p>
    <w:p>
      <w:pPr>
        <w:keepNext/>
        <w:spacing w:before="360"/>
        <w:jc w:val="center"/>
        <w:rPr>
          <w:rFonts w:eastAsia="Calibri"/>
          <w:i/>
          <w:noProof/>
        </w:rPr>
      </w:pPr>
      <w:r>
        <w:rPr>
          <w:rFonts w:eastAsia="Calibri"/>
          <w:i/>
          <w:noProof/>
        </w:rPr>
        <w:t>Článok 12</w:t>
      </w:r>
    </w:p>
    <w:p>
      <w:pPr>
        <w:keepNext/>
        <w:autoSpaceDE w:val="0"/>
        <w:autoSpaceDN w:val="0"/>
        <w:jc w:val="center"/>
        <w:rPr>
          <w:rFonts w:eastAsia="Calibri"/>
          <w:b/>
          <w:bCs/>
          <w:noProof/>
        </w:rPr>
      </w:pPr>
      <w:r>
        <w:rPr>
          <w:rFonts w:eastAsia="Calibri"/>
          <w:b/>
          <w:bCs/>
          <w:noProof/>
        </w:rPr>
        <w:t>Zrušenie</w:t>
      </w:r>
    </w:p>
    <w:p>
      <w:pPr>
        <w:spacing w:before="0" w:after="0"/>
        <w:jc w:val="left"/>
        <w:rPr>
          <w:rFonts w:eastAsia="Times New Roman"/>
          <w:noProof/>
          <w:szCs w:val="20"/>
          <w:lang w:eastAsia="fr-BE"/>
        </w:rPr>
      </w:pPr>
      <w:r>
        <w:rPr>
          <w:rFonts w:eastAsia="Times New Roman"/>
          <w:noProof/>
          <w:szCs w:val="20"/>
        </w:rPr>
        <w:t xml:space="preserve">Nariadenie (ES) č. </w:t>
      </w:r>
      <w:r>
        <w:rPr>
          <w:rFonts w:eastAsia="Times New Roman"/>
          <w:noProof/>
        </w:rPr>
        <w:t xml:space="preserve">1365/2006 sa zrušuje. </w:t>
      </w:r>
    </w:p>
    <w:p>
      <w:pPr>
        <w:autoSpaceDE w:val="0"/>
        <w:autoSpaceDN w:val="0"/>
        <w:spacing w:before="360"/>
        <w:rPr>
          <w:rFonts w:eastAsia="Times New Roman"/>
          <w:iCs/>
          <w:noProof/>
          <w:szCs w:val="24"/>
        </w:rPr>
      </w:pPr>
      <w:r>
        <w:rPr>
          <w:rFonts w:eastAsia="Times New Roman"/>
          <w:iCs/>
          <w:noProof/>
          <w:szCs w:val="24"/>
        </w:rPr>
        <w:t>Odkazy na zrušené nariadenie sa považujú za odkazy na toto nariadenie a znejú v súlade s tabuľkou zhody uvedenou v prílohe VIII.</w:t>
      </w:r>
    </w:p>
    <w:p>
      <w:pPr>
        <w:pStyle w:val="CRSeparator"/>
        <w:rPr>
          <w:noProof/>
        </w:rPr>
      </w:pPr>
    </w:p>
    <w:p>
      <w:pPr>
        <w:pStyle w:val="CRReference"/>
      </w:pPr>
      <w:r>
        <w:fldChar w:fldCharType="begin"/>
      </w:r>
      <w:r>
        <w:instrText xml:space="preserve"> QUOTE "</w:instrText>
      </w:r>
      <w:r>
        <w:rPr>
          <w:rStyle w:val="CRMarker"/>
        </w:rPr>
        <w:instrText>ê</w:instrText>
      </w:r>
      <w:r>
        <w:instrText xml:space="preserve">" </w:instrText>
      </w:r>
      <w:r>
        <w:fldChar w:fldCharType="separate"/>
      </w:r>
      <w:r>
        <w:rPr>
          <w:rStyle w:val="CRMarker"/>
        </w:rPr>
        <w:t>ê</w:t>
      </w:r>
      <w:r>
        <w:fldChar w:fldCharType="end"/>
      </w:r>
      <w:r>
        <w:t> 1365/2006</w:t>
      </w:r>
    </w:p>
    <w:p>
      <w:pPr>
        <w:pStyle w:val="Titrearticle"/>
        <w:outlineLvl w:val="0"/>
        <w:rPr>
          <w:noProof/>
        </w:rPr>
      </w:pPr>
      <w:r>
        <w:rPr>
          <w:noProof/>
        </w:rPr>
        <w:t>Článok 13</w:t>
      </w:r>
    </w:p>
    <w:p>
      <w:pPr>
        <w:keepNext/>
        <w:autoSpaceDE w:val="0"/>
        <w:autoSpaceDN w:val="0"/>
        <w:jc w:val="center"/>
        <w:rPr>
          <w:rFonts w:eastAsiaTheme="minorEastAsia"/>
          <w:b/>
          <w:bCs/>
          <w:noProof/>
          <w:szCs w:val="24"/>
          <w:lang w:eastAsia="en-GB"/>
        </w:rPr>
      </w:pPr>
      <w:r>
        <w:rPr>
          <w:rFonts w:eastAsiaTheme="minorEastAsia"/>
          <w:b/>
          <w:bCs/>
          <w:noProof/>
          <w:szCs w:val="24"/>
          <w:lang w:eastAsia="en-GB"/>
        </w:rPr>
        <w:t>Nadobudnutie účinnosti</w:t>
      </w:r>
    </w:p>
    <w:p>
      <w:pPr>
        <w:autoSpaceDE w:val="0"/>
        <w:autoSpaceDN w:val="0"/>
        <w:rPr>
          <w:rFonts w:eastAsiaTheme="minorEastAsia"/>
          <w:noProof/>
          <w:szCs w:val="24"/>
          <w:lang w:eastAsia="en-GB"/>
        </w:rPr>
      </w:pPr>
      <w:r>
        <w:rPr>
          <w:rFonts w:eastAsiaTheme="minorEastAsia"/>
          <w:noProof/>
          <w:szCs w:val="24"/>
          <w:lang w:eastAsia="en-GB"/>
        </w:rPr>
        <w:t>Toto nariadenie nadobúda účinnosť dvadsiatym dňom po jeho uverejnení v </w:t>
      </w:r>
      <w:r>
        <w:rPr>
          <w:rFonts w:eastAsiaTheme="minorEastAsia"/>
          <w:i/>
          <w:iCs/>
          <w:noProof/>
          <w:szCs w:val="24"/>
          <w:lang w:eastAsia="en-GB"/>
        </w:rPr>
        <w:t>Úradnom vestníku Európskej únie</w:t>
      </w:r>
      <w:r>
        <w:rPr>
          <w:rFonts w:eastAsiaTheme="minorEastAsia"/>
          <w:noProof/>
          <w:szCs w:val="24"/>
          <w:lang w:eastAsia="en-GB"/>
        </w:rPr>
        <w:t>.</w:t>
      </w:r>
    </w:p>
    <w:p>
      <w:pPr>
        <w:pStyle w:val="Applicationdirecte"/>
        <w:keepNext/>
        <w:rPr>
          <w:noProof/>
          <w:lang w:eastAsia="en-GB"/>
        </w:rPr>
      </w:pPr>
      <w:r>
        <w:rPr>
          <w:noProof/>
          <w:lang w:eastAsia="en-GB"/>
        </w:rPr>
        <w:t>Toto nariadenie je záväzné v celom rozsahu a priamo uplatniteľné vo všetkých členských štátoch.</w:t>
      </w:r>
    </w:p>
    <w:p>
      <w:pPr>
        <w:pStyle w:val="Fait"/>
        <w:rPr>
          <w:noProof/>
        </w:rPr>
      </w:pPr>
      <w:r>
        <w:rPr>
          <w:noProof/>
        </w:rP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KOM(87) 868 PV.</w:t>
      </w:r>
    </w:p>
  </w:footnote>
  <w:footnote w:id="2">
    <w:p>
      <w:pPr>
        <w:pStyle w:val="FootnoteText"/>
      </w:pPr>
      <w:r>
        <w:rPr>
          <w:rStyle w:val="FootnoteReference"/>
        </w:rPr>
        <w:footnoteRef/>
      </w:r>
      <w:r>
        <w:tab/>
        <w:t>Pozri prílohu 3 časti A záverov.</w:t>
      </w:r>
    </w:p>
  </w:footnote>
  <w:footnote w:id="3">
    <w:p>
      <w:pPr>
        <w:pStyle w:val="FootnoteText"/>
      </w:pPr>
      <w:r>
        <w:rPr>
          <w:rStyle w:val="FootnoteReference"/>
        </w:rPr>
        <w:footnoteRef/>
      </w:r>
      <w:r>
        <w:tab/>
        <w:t>Zaradený do legislatívneho plánu pre rok 2017.</w:t>
      </w:r>
    </w:p>
  </w:footnote>
  <w:footnote w:id="4">
    <w:p>
      <w:pPr>
        <w:pStyle w:val="FootnoteText"/>
      </w:pPr>
      <w:r>
        <w:rPr>
          <w:rStyle w:val="FootnoteReference"/>
        </w:rPr>
        <w:footnoteRef/>
      </w:r>
      <w:r>
        <w:tab/>
        <w:t>Pozri prílohu VII tohto návrhu.</w:t>
      </w:r>
    </w:p>
  </w:footnote>
  <w:footnote w:id="5">
    <w:p>
      <w:pPr>
        <w:pStyle w:val="FootnoteText"/>
      </w:pPr>
      <w:r>
        <w:rPr>
          <w:rStyle w:val="FootnoteReference"/>
        </w:rPr>
        <w:footnoteRef/>
      </w:r>
      <w:r>
        <w:tab/>
        <w:t>Ú. v. EÚ C [...], [...], s. [...].</w:t>
      </w:r>
    </w:p>
  </w:footnote>
  <w:footnote w:id="6">
    <w:p>
      <w:pPr>
        <w:pStyle w:val="FootnoteText"/>
      </w:pPr>
      <w:r>
        <w:rPr>
          <w:rStyle w:val="FootnoteReference"/>
        </w:rPr>
        <w:footnoteRef/>
      </w:r>
      <w:r>
        <w:tab/>
        <w:t>Nariadenie Európskeho parlamentu a Rady (ES) č. 1365/2006 zo 6. septembra 2006 o štatistike prepravy tovaru po vnútrozemských vodných cestách, ktorým sa zrušuje smernica Rady 80/1119/EHS (Ú. v. ES L 264, 25.9.2006, s. 1).</w:t>
      </w:r>
    </w:p>
  </w:footnote>
  <w:footnote w:id="7">
    <w:p>
      <w:pPr>
        <w:pStyle w:val="FootnoteText"/>
      </w:pPr>
      <w:r>
        <w:rPr>
          <w:rStyle w:val="FootnoteReference"/>
        </w:rPr>
        <w:footnoteRef/>
      </w:r>
      <w:r>
        <w:tab/>
        <w:t>Pozri prílohu VII.</w:t>
      </w:r>
    </w:p>
  </w:footnote>
  <w:footnote w:id="8">
    <w:p>
      <w:pPr>
        <w:pStyle w:val="FootnoteText"/>
      </w:pPr>
      <w:r>
        <w:rPr>
          <w:rStyle w:val="FootnoteReference"/>
        </w:rPr>
        <w:footnoteRef/>
      </w:r>
      <w:r>
        <w:tab/>
        <w:t>Nariadenie Európskeho parlamentu a Rady (ES) č. 223/2009 z 11. marca 2009 o európskej štatistike a o zrušení nariadenia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w:t>
      </w:r>
      <w:r>
        <w:rPr>
          <w:rFonts w:hint="eastAsia"/>
        </w:rPr>
        <w:t>Ú</w:t>
      </w:r>
      <w:r>
        <w:t>. v. EÚ L 87, 31.3.2009, s. 164).</w:t>
      </w:r>
    </w:p>
  </w:footnote>
  <w:footnote w:id="9">
    <w:p>
      <w:pPr>
        <w:pStyle w:val="FootnoteText"/>
      </w:pPr>
      <w:r>
        <w:rPr>
          <w:rStyle w:val="FootnoteReference"/>
        </w:rPr>
        <w:footnoteRef/>
      </w:r>
      <w:r>
        <w:tab/>
        <w:t>Ú. v. EÚ L 123, 12.5.2016, s. 1.</w:t>
      </w:r>
    </w:p>
  </w:footnote>
  <w:footnote w:id="10">
    <w:p>
      <w:pPr>
        <w:pStyle w:val="FootnoteText"/>
      </w:pPr>
      <w:r>
        <w:rPr>
          <w:rStyle w:val="FootnoteReference"/>
        </w:rPr>
        <w:footnoteRef/>
      </w:r>
      <w:r>
        <w:tab/>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 w:id="11">
    <w:p>
      <w:pPr>
        <w:pStyle w:val="FootnoteText"/>
      </w:pPr>
      <w:r>
        <w:rPr>
          <w:rStyle w:val="FootnoteReference"/>
        </w:rPr>
        <w:footnoteRef/>
      </w:r>
      <w:r>
        <w:tab/>
        <w:t>Nariadenie Európskeho parlamentu a Rady (EÚ, Euratom) č. 966/2012 z 25. októbra 2012 o rozpočtových pravidlách, ktoré sa vzťahujú na všeobecný rozpočet Únie, a zrušení nariadenia Rady (ES, Euratom) č. 1605/2002 (Ú. v. EÚ L 298, 26.10.2012,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64D8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BA29304"/>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8430B6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EB3E47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C0E2BC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B96961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3C89764"/>
    <w:lvl w:ilvl="0">
      <w:start w:val="1"/>
      <w:numFmt w:val="decimal"/>
      <w:pStyle w:val="ListNumber"/>
      <w:lvlText w:val="%1."/>
      <w:lvlJc w:val="left"/>
      <w:pPr>
        <w:tabs>
          <w:tab w:val="num" w:pos="360"/>
        </w:tabs>
        <w:ind w:left="360" w:hanging="360"/>
      </w:pPr>
    </w:lvl>
  </w:abstractNum>
  <w:abstractNum w:abstractNumId="7">
    <w:nsid w:val="FFFFFF89"/>
    <w:multiLevelType w:val="singleLevel"/>
    <w:tmpl w:val="58DEA6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
  </w:num>
  <w:num w:numId="3">
    <w:abstractNumId w:val="7"/>
  </w:num>
  <w:num w:numId="4">
    <w:abstractNumId w:val="5"/>
  </w:num>
  <w:num w:numId="5">
    <w:abstractNumId w:val="4"/>
  </w:num>
  <w:num w:numId="6">
    <w:abstractNumId w:val="3"/>
  </w:num>
  <w:num w:numId="7">
    <w:abstractNumId w:val="2"/>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Ref0" w:val="1365/2006"/>
    <w:docVar w:name="CR_Ref1" w:val="2016/1954"/>
    <w:docVar w:name="CR_RefCount" w:val="2"/>
    <w:docVar w:name="CR_RefLast" w:val="4"/>
    <w:docVar w:name="CR_TimeStamp" w:val="9:56:10"/>
    <w:docVar w:name="DQCDateTime" w:val="2017-09-26 09:09:1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NFIDENCE" w:val=" "/>
    <w:docVar w:name="LW_CONST_RESTREINT_UE" w:val="RESTREINT UE"/>
    <w:docVar w:name="LW_CORRIGENDUM" w:val="&lt;UNUSED&gt;"/>
    <w:docVar w:name="LW_COVERPAGE_GUID" w:val="C4B9437F9155447087986402C68B45A6"/>
    <w:docVar w:name="LW_CROSSREFERENCE" w:val="&lt;UNUSED&gt;"/>
    <w:docVar w:name="LW_DocType" w:val="COM"/>
    <w:docVar w:name="LW_EMISSION" w:val="26. 9. 2017"/>
    <w:docVar w:name="LW_EMISSION_ISODATE" w:val="2017-09-26"/>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226"/>
    <w:docVar w:name="LW_REF.II.NEW.CP_YEAR" w:val="2013"/>
    <w:docVar w:name="LW_REF.INST.NEW" w:val="COM"/>
    <w:docVar w:name="LW_REF.INST.NEW_ADOPTED" w:val="final"/>
    <w:docVar w:name="LW_REF.INST.NEW_TEXT" w:val="(2017) 545"/>
    <w:docVar w:name="LW_REF.INTERNE" w:val="&lt;UNUSED&gt;"/>
    <w:docVar w:name="LW_SOUS.TITRE.OBJ.CP" w:val="&lt;UNUSED&gt;"/>
    <w:docVar w:name="LW_STATUT.CP" w:val="Návrh"/>
    <w:docVar w:name="LW_SUPERTITRE" w:val="&lt;UNUSED&gt;"/>
    <w:docVar w:name="LW_TITRE.OBJ.CP" w:val="o \u353?tatistike prepravy tovaru po vnútrozemských vodných cestách (kodifikované znenie)"/>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CRSeparator">
    <w:name w:val="CR Separator"/>
    <w:basedOn w:val="Normal"/>
    <w:pPr>
      <w:keepNext/>
      <w:pBdr>
        <w:top w:val="single" w:sz="4" w:space="1" w:color="auto"/>
      </w:pBdr>
      <w:autoSpaceDE w:val="0"/>
      <w:autoSpaceDN w:val="0"/>
      <w:spacing w:before="0" w:after="0"/>
    </w:pPr>
    <w:rPr>
      <w:rFonts w:eastAsia="Times New Roman"/>
      <w:szCs w:val="24"/>
      <w:lang w:val="en-GB" w:eastAsia="en-GB"/>
    </w:rPr>
  </w:style>
  <w:style w:type="paragraph" w:customStyle="1" w:styleId="CRReference">
    <w:name w:val="CR Reference"/>
    <w:basedOn w:val="Normal"/>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noProof/>
      <w:szCs w:val="24"/>
      <w:lang w:val="en-GB" w:eastAsia="en-GB"/>
    </w:rPr>
  </w:style>
  <w:style w:type="character" w:customStyle="1" w:styleId="CRDeleted">
    <w:name w:val="CR Deleted"/>
    <w:basedOn w:val="DefaultParagraphFont"/>
    <w:rPr>
      <w:strike w:val="0"/>
      <w:dstrike/>
    </w:rPr>
  </w:style>
  <w:style w:type="character" w:customStyle="1" w:styleId="CRMarker">
    <w:name w:val="CR Marker"/>
    <w:basedOn w:val="DefaultParagraphFont"/>
    <w:rPr>
      <w:rFonts w:ascii="Wingdings" w:hAnsi="Wingdings"/>
    </w:rPr>
  </w:style>
  <w:style w:type="character" w:customStyle="1" w:styleId="CRMinorChangeAdded">
    <w:name w:val="CR Minor Change Added"/>
    <w:rPr>
      <w:noProof w:val="0"/>
      <w:u w:val="double"/>
    </w:rPr>
  </w:style>
  <w:style w:type="character" w:customStyle="1" w:styleId="CRMinorChangeDeleted">
    <w:name w:val="CR Minor Change Deleted"/>
    <w:rPr>
      <w:strike w:val="0"/>
      <w:dstrike/>
      <w:u w:val="double"/>
    </w:rPr>
  </w:style>
  <w:style w:type="character" w:styleId="Hyperlink">
    <w:name w:val="Hyperlink"/>
    <w:basedOn w:val="DefaultParagraphFont"/>
    <w:uiPriority w:val="99"/>
    <w:unhideWhenUsed/>
    <w:rPr>
      <w:color w:val="0000FF" w:themeColor="hyperlink"/>
      <w:u w:val="single"/>
    </w:rPr>
  </w:style>
  <w:style w:type="paragraph" w:customStyle="1" w:styleId="Normal1">
    <w:name w:val="Normal1"/>
    <w:basedOn w:val="Normal"/>
    <w:pPr>
      <w:spacing w:after="0"/>
    </w:pPr>
    <w:rPr>
      <w:rFonts w:eastAsia="Times New Roman"/>
      <w:szCs w:val="24"/>
      <w:lang w:val="en-GB" w:eastAsia="en-GB"/>
    </w:rPr>
  </w:style>
  <w:style w:type="character" w:customStyle="1" w:styleId="super">
    <w:name w:val="super"/>
    <w:basedOn w:val="DefaultParagraphFont"/>
    <w:rPr>
      <w:sz w:val="17"/>
      <w:szCs w:val="17"/>
      <w:vertAlign w:val="superscript"/>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CRSeparator">
    <w:name w:val="CR Separator"/>
    <w:basedOn w:val="Normal"/>
    <w:pPr>
      <w:keepNext/>
      <w:pBdr>
        <w:top w:val="single" w:sz="4" w:space="1" w:color="auto"/>
      </w:pBdr>
      <w:autoSpaceDE w:val="0"/>
      <w:autoSpaceDN w:val="0"/>
      <w:spacing w:before="0" w:after="0"/>
    </w:pPr>
    <w:rPr>
      <w:rFonts w:eastAsia="Times New Roman"/>
      <w:szCs w:val="24"/>
      <w:lang w:val="en-GB" w:eastAsia="en-GB"/>
    </w:rPr>
  </w:style>
  <w:style w:type="paragraph" w:customStyle="1" w:styleId="CRReference">
    <w:name w:val="CR Reference"/>
    <w:basedOn w:val="Normal"/>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noProof/>
      <w:szCs w:val="24"/>
      <w:lang w:val="en-GB" w:eastAsia="en-GB"/>
    </w:rPr>
  </w:style>
  <w:style w:type="character" w:customStyle="1" w:styleId="CRDeleted">
    <w:name w:val="CR Deleted"/>
    <w:basedOn w:val="DefaultParagraphFont"/>
    <w:rPr>
      <w:strike w:val="0"/>
      <w:dstrike/>
    </w:rPr>
  </w:style>
  <w:style w:type="character" w:customStyle="1" w:styleId="CRMarker">
    <w:name w:val="CR Marker"/>
    <w:basedOn w:val="DefaultParagraphFont"/>
    <w:rPr>
      <w:rFonts w:ascii="Wingdings" w:hAnsi="Wingdings"/>
    </w:rPr>
  </w:style>
  <w:style w:type="character" w:customStyle="1" w:styleId="CRMinorChangeAdded">
    <w:name w:val="CR Minor Change Added"/>
    <w:rPr>
      <w:noProof w:val="0"/>
      <w:u w:val="double"/>
    </w:rPr>
  </w:style>
  <w:style w:type="character" w:customStyle="1" w:styleId="CRMinorChangeDeleted">
    <w:name w:val="CR Minor Change Deleted"/>
    <w:rPr>
      <w:strike w:val="0"/>
      <w:dstrike/>
      <w:u w:val="double"/>
    </w:rPr>
  </w:style>
  <w:style w:type="character" w:styleId="Hyperlink">
    <w:name w:val="Hyperlink"/>
    <w:basedOn w:val="DefaultParagraphFont"/>
    <w:uiPriority w:val="99"/>
    <w:unhideWhenUsed/>
    <w:rPr>
      <w:color w:val="0000FF" w:themeColor="hyperlink"/>
      <w:u w:val="single"/>
    </w:rPr>
  </w:style>
  <w:style w:type="paragraph" w:customStyle="1" w:styleId="Normal1">
    <w:name w:val="Normal1"/>
    <w:basedOn w:val="Normal"/>
    <w:pPr>
      <w:spacing w:after="0"/>
    </w:pPr>
    <w:rPr>
      <w:rFonts w:eastAsia="Times New Roman"/>
      <w:szCs w:val="24"/>
      <w:lang w:val="en-GB" w:eastAsia="en-GB"/>
    </w:rPr>
  </w:style>
  <w:style w:type="character" w:customStyle="1" w:styleId="super">
    <w:name w:val="super"/>
    <w:basedOn w:val="DefaultParagraphFont"/>
    <w:rPr>
      <w:sz w:val="17"/>
      <w:szCs w:val="17"/>
      <w:vertAlign w:val="superscript"/>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3697">
      <w:bodyDiv w:val="1"/>
      <w:marLeft w:val="390"/>
      <w:marRight w:val="390"/>
      <w:marTop w:val="0"/>
      <w:marBottom w:val="0"/>
      <w:divBdr>
        <w:top w:val="none" w:sz="0" w:space="0" w:color="auto"/>
        <w:left w:val="none" w:sz="0" w:space="0" w:color="auto"/>
        <w:bottom w:val="none" w:sz="0" w:space="0" w:color="auto"/>
        <w:right w:val="none" w:sz="0" w:space="0" w:color="auto"/>
      </w:divBdr>
    </w:div>
    <w:div w:id="213582299">
      <w:bodyDiv w:val="1"/>
      <w:marLeft w:val="390"/>
      <w:marRight w:val="390"/>
      <w:marTop w:val="0"/>
      <w:marBottom w:val="0"/>
      <w:divBdr>
        <w:top w:val="none" w:sz="0" w:space="0" w:color="auto"/>
        <w:left w:val="none" w:sz="0" w:space="0" w:color="auto"/>
        <w:bottom w:val="none" w:sz="0" w:space="0" w:color="auto"/>
        <w:right w:val="none" w:sz="0" w:space="0" w:color="auto"/>
      </w:divBdr>
    </w:div>
    <w:div w:id="267851828">
      <w:bodyDiv w:val="1"/>
      <w:marLeft w:val="390"/>
      <w:marRight w:val="390"/>
      <w:marTop w:val="0"/>
      <w:marBottom w:val="0"/>
      <w:divBdr>
        <w:top w:val="none" w:sz="0" w:space="0" w:color="auto"/>
        <w:left w:val="none" w:sz="0" w:space="0" w:color="auto"/>
        <w:bottom w:val="none" w:sz="0" w:space="0" w:color="auto"/>
        <w:right w:val="none" w:sz="0" w:space="0" w:color="auto"/>
      </w:divBdr>
    </w:div>
    <w:div w:id="577520249">
      <w:bodyDiv w:val="1"/>
      <w:marLeft w:val="390"/>
      <w:marRight w:val="390"/>
      <w:marTop w:val="0"/>
      <w:marBottom w:val="0"/>
      <w:divBdr>
        <w:top w:val="none" w:sz="0" w:space="0" w:color="auto"/>
        <w:left w:val="none" w:sz="0" w:space="0" w:color="auto"/>
        <w:bottom w:val="none" w:sz="0" w:space="0" w:color="auto"/>
        <w:right w:val="none" w:sz="0" w:space="0" w:color="auto"/>
      </w:divBdr>
    </w:div>
    <w:div w:id="686105040">
      <w:bodyDiv w:val="1"/>
      <w:marLeft w:val="390"/>
      <w:marRight w:val="390"/>
      <w:marTop w:val="0"/>
      <w:marBottom w:val="0"/>
      <w:divBdr>
        <w:top w:val="none" w:sz="0" w:space="0" w:color="auto"/>
        <w:left w:val="none" w:sz="0" w:space="0" w:color="auto"/>
        <w:bottom w:val="none" w:sz="0" w:space="0" w:color="auto"/>
        <w:right w:val="none" w:sz="0" w:space="0" w:color="auto"/>
      </w:divBdr>
    </w:div>
    <w:div w:id="986710127">
      <w:bodyDiv w:val="1"/>
      <w:marLeft w:val="390"/>
      <w:marRight w:val="390"/>
      <w:marTop w:val="0"/>
      <w:marBottom w:val="0"/>
      <w:divBdr>
        <w:top w:val="none" w:sz="0" w:space="0" w:color="auto"/>
        <w:left w:val="none" w:sz="0" w:space="0" w:color="auto"/>
        <w:bottom w:val="none" w:sz="0" w:space="0" w:color="auto"/>
        <w:right w:val="none" w:sz="0" w:space="0" w:color="auto"/>
      </w:divBdr>
    </w:div>
    <w:div w:id="1033043974">
      <w:bodyDiv w:val="1"/>
      <w:marLeft w:val="390"/>
      <w:marRight w:val="390"/>
      <w:marTop w:val="0"/>
      <w:marBottom w:val="0"/>
      <w:divBdr>
        <w:top w:val="none" w:sz="0" w:space="0" w:color="auto"/>
        <w:left w:val="none" w:sz="0" w:space="0" w:color="auto"/>
        <w:bottom w:val="none" w:sz="0" w:space="0" w:color="auto"/>
        <w:right w:val="none" w:sz="0" w:space="0" w:color="auto"/>
      </w:divBdr>
    </w:div>
    <w:div w:id="1242835076">
      <w:bodyDiv w:val="1"/>
      <w:marLeft w:val="390"/>
      <w:marRight w:val="390"/>
      <w:marTop w:val="0"/>
      <w:marBottom w:val="0"/>
      <w:divBdr>
        <w:top w:val="none" w:sz="0" w:space="0" w:color="auto"/>
        <w:left w:val="none" w:sz="0" w:space="0" w:color="auto"/>
        <w:bottom w:val="none" w:sz="0" w:space="0" w:color="auto"/>
        <w:right w:val="none" w:sz="0" w:space="0" w:color="auto"/>
      </w:divBdr>
    </w:div>
    <w:div w:id="1286958838">
      <w:bodyDiv w:val="1"/>
      <w:marLeft w:val="390"/>
      <w:marRight w:val="390"/>
      <w:marTop w:val="0"/>
      <w:marBottom w:val="0"/>
      <w:divBdr>
        <w:top w:val="none" w:sz="0" w:space="0" w:color="auto"/>
        <w:left w:val="none" w:sz="0" w:space="0" w:color="auto"/>
        <w:bottom w:val="none" w:sz="0" w:space="0" w:color="auto"/>
        <w:right w:val="none" w:sz="0" w:space="0" w:color="auto"/>
      </w:divBdr>
    </w:div>
    <w:div w:id="1487698374">
      <w:bodyDiv w:val="1"/>
      <w:marLeft w:val="390"/>
      <w:marRight w:val="390"/>
      <w:marTop w:val="0"/>
      <w:marBottom w:val="0"/>
      <w:divBdr>
        <w:top w:val="none" w:sz="0" w:space="0" w:color="auto"/>
        <w:left w:val="none" w:sz="0" w:space="0" w:color="auto"/>
        <w:bottom w:val="none" w:sz="0" w:space="0" w:color="auto"/>
        <w:right w:val="none" w:sz="0" w:space="0" w:color="auto"/>
      </w:divBdr>
    </w:div>
    <w:div w:id="1539900309">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1471-92FB-43C5-A48E-FBB928B4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12</Pages>
  <Words>2984</Words>
  <Characters>17788</Characters>
  <Application>Microsoft Office Word</Application>
  <DocSecurity>0</DocSecurity>
  <Lines>386</Lines>
  <Paragraphs>180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2017-07-28T10:53:00Z</cp:lastPrinted>
  <dcterms:created xsi:type="dcterms:W3CDTF">2017-08-17T07:56:00Z</dcterms:created>
  <dcterms:modified xsi:type="dcterms:W3CDTF">2017-09-26T07:09:00Z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LWCR Document">
    <vt:lpwstr>True</vt:lpwstr>
  </property>
  <property fmtid="{D5CDD505-2E9C-101B-9397-08002B2CF9AE}" pid="11" name="LWCR Version">
    <vt:lpwstr>1.6.413</vt:lpwstr>
  </property>
  <property fmtid="{D5CDD505-2E9C-101B-9397-08002B2CF9AE}" pid="12" name="LWCR IsRefonte">
    <vt:lpwstr>False</vt:lpwstr>
  </property>
  <property fmtid="{D5CDD505-2E9C-101B-9397-08002B2CF9AE}" pid="13" name="DQCStatus">
    <vt:lpwstr>Green (DQC version 03)</vt:lpwstr>
  </property>
</Properties>
</file>