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40CA1E9C73048DE85EF1C8BE8DEBB21" style="width:450.75pt;height:352.15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lastRenderedPageBreak/>
        <w:t>OBRAZLOŽENJE</w:t>
      </w:r>
    </w:p>
    <w:p>
      <w:pPr>
        <w:pStyle w:val="Point0"/>
        <w:rPr>
          <w:noProof/>
        </w:rPr>
      </w:pPr>
      <w:r>
        <w:rPr>
          <w:noProof/>
        </w:rPr>
        <w:t>1.</w:t>
      </w:r>
      <w:r>
        <w:rPr>
          <w:noProof/>
        </w:rPr>
        <w:tab/>
        <w:t>U kontekstu Europe građana Komisija veliku važnost pridaje pojednostavnjenju i objašnjenju prava Unije kako bi ono bilo jasnije i pristupačnije građanima te kako bi se građanima dala mogućnost i prilika da ostvare svoja posebna prava koja su im njime dana.</w:t>
      </w:r>
    </w:p>
    <w:p>
      <w:pPr>
        <w:pStyle w:val="Text1"/>
        <w:rPr>
          <w:noProof/>
        </w:rPr>
      </w:pPr>
      <w:r>
        <w:rPr>
          <w:noProof/>
        </w:rPr>
        <w:t>Taj cilj ne može se ostvariti sve dok brojne odredbe koje su nekoliko puta izmijenjene, često i znatno, ostaju razasute u različitim aktima, pa se moraju tražiti dijelom u izvornom aktu, a dijelom u aktima o izmjenama. Kako bi se pronašla pravila na snazi, potreban je opsežan istraživački rad i usporedba mnogih različitih akata.</w:t>
      </w:r>
    </w:p>
    <w:p>
      <w:pPr>
        <w:pStyle w:val="Text1"/>
        <w:rPr>
          <w:noProof/>
        </w:rPr>
      </w:pPr>
      <w:r>
        <w:rPr>
          <w:noProof/>
        </w:rPr>
        <w:t>Zbog toga je od ključne važnosti i kodifikacija pravila koja su često mijenjana kako bi pravo bilo jasno i transparentno.</w:t>
      </w:r>
    </w:p>
    <w:p>
      <w:pPr>
        <w:pStyle w:val="Point0"/>
        <w:rPr>
          <w:noProof/>
        </w:rPr>
      </w:pPr>
      <w:r>
        <w:rPr>
          <w:noProof/>
        </w:rPr>
        <w:t>2.</w:t>
      </w:r>
      <w:r>
        <w:rPr>
          <w:noProof/>
        </w:rPr>
        <w:tab/>
        <w:t>Komisija je 1. travnja 1987. donijela odluku</w:t>
      </w:r>
      <w:r>
        <w:rPr>
          <w:rStyle w:val="FootnoteReference"/>
          <w:noProof/>
        </w:rPr>
        <w:footnoteReference w:id="1"/>
      </w:r>
      <w:r>
        <w:rPr>
          <w:noProof/>
        </w:rPr>
        <w:t xml:space="preserve"> da će svojem osoblju dati uputu o tome da bi sve akte trebalo kodificirati nakon najviše deset izmjena, naglasivši kako je riječ o minimalnom zahtjevu te da bi odjeli morali nastojati kodificirati tekstove za koje su nadležni i u kraćim razmacima kako bi se osiguralo da su odredbe jasno i lako razumljive.</w:t>
      </w:r>
    </w:p>
    <w:p>
      <w:pPr>
        <w:pStyle w:val="Point0"/>
        <w:rPr>
          <w:noProof/>
        </w:rPr>
      </w:pPr>
      <w:r>
        <w:rPr>
          <w:noProof/>
        </w:rPr>
        <w:t>3.</w:t>
      </w:r>
      <w:r>
        <w:rPr>
          <w:noProof/>
        </w:rPr>
        <w:tab/>
        <w:t>To je potvrđeno u Zaključcima predsjedništva Europskog vijeća u Edinburghu (u prosincu 1992.)</w:t>
      </w:r>
      <w:r>
        <w:rPr>
          <w:rStyle w:val="FootnoteReference"/>
          <w:noProof/>
        </w:rPr>
        <w:footnoteReference w:id="2"/>
      </w:r>
      <w:r>
        <w:rPr>
          <w:noProof/>
        </w:rPr>
        <w:t xml:space="preserve"> te je naglašena važnost kodifikacije jer se njome osigurava izvjesnost u pogledu prava koje se primjenjuje na određeni predmet u određeno vrijeme.</w:t>
      </w:r>
    </w:p>
    <w:p>
      <w:pPr>
        <w:pStyle w:val="Text1"/>
        <w:rPr>
          <w:noProof/>
        </w:rPr>
      </w:pPr>
      <w:r>
        <w:rPr>
          <w:noProof/>
        </w:rPr>
        <w:t>Kodifikacija se mora obaviti u cijelosti u skladu s uobičajenim postupkom za donošenje akata Unije.</w:t>
      </w:r>
    </w:p>
    <w:p>
      <w:pPr>
        <w:pStyle w:val="Text1"/>
        <w:rPr>
          <w:noProof/>
        </w:rPr>
      </w:pPr>
      <w:r>
        <w:rPr>
          <w:noProof/>
        </w:rPr>
        <w:t>Budući da se akti koji se kodificiraju sadržajno ne izmjenjuju, Europski parlament, Vijeće i Komisija sporazumjeli su se u međuinstitucijskom sporazumu od 20. prosinca 1994. da se za brzo donošenje kodificiranih akata može primijeniti ubrzani postupak.</w:t>
      </w:r>
    </w:p>
    <w:p>
      <w:pPr>
        <w:pStyle w:val="Point0"/>
        <w:rPr>
          <w:noProof/>
        </w:rPr>
      </w:pPr>
      <w:r>
        <w:rPr>
          <w:noProof/>
        </w:rPr>
        <w:t>4.</w:t>
      </w:r>
      <w:r>
        <w:rPr>
          <w:noProof/>
        </w:rPr>
        <w:tab/>
        <w:t xml:space="preserve">Svrha je ovog prijedloga kodificirati </w:t>
      </w:r>
      <w:r>
        <w:rPr>
          <w:rStyle w:val="Strong"/>
          <w:b w:val="0"/>
          <w:noProof/>
          <w:szCs w:val="24"/>
        </w:rPr>
        <w:t>Uredba (EZ) br. 1365/2006 Europskog parlamenta i Vijeća od 6. rujna 2006. o statistici prijevoza robe na unutarnjim vodnim putovima i o stavljanju izvan snage Direktive Vijeća 80/1119/EEZ</w:t>
      </w:r>
      <w:r>
        <w:rPr>
          <w:rStyle w:val="FootnoteReference"/>
          <w:noProof/>
        </w:rPr>
        <w:footnoteReference w:id="3"/>
      </w:r>
      <w:r>
        <w:rPr>
          <w:noProof/>
        </w:rPr>
        <w:t>. Novom uredbom nadomjestit će se razni akti koji su u nju ugrađeni</w:t>
      </w:r>
      <w:r>
        <w:rPr>
          <w:rStyle w:val="FootnoteReference"/>
          <w:noProof/>
        </w:rPr>
        <w:footnoteReference w:id="4"/>
      </w:r>
      <w:r>
        <w:rPr>
          <w:noProof/>
        </w:rPr>
        <w:t>; u ovaj se prijedlog u cijelosti prenosi sadržaj akata koji se kodificiraju te se njime oni objedinjuju u jedan akt samo uz one formalne izmjene koje su potrebne za kodifikaciju.</w:t>
      </w:r>
    </w:p>
    <w:p>
      <w:pPr>
        <w:pStyle w:val="Point0"/>
        <w:rPr>
          <w:noProof/>
        </w:rPr>
      </w:pPr>
      <w:r>
        <w:rPr>
          <w:noProof/>
        </w:rPr>
        <w:t>5.</w:t>
      </w:r>
      <w:r>
        <w:rPr>
          <w:noProof/>
        </w:rPr>
        <w:tab/>
        <w:t>Prijedlog kodifikacije izrađen je na temelju privremene konsolidacije, na 24 službena jezika Uredbe (EZ) br. 1365/2006 i akata o njihovim izmjenama, koju je obavio Ured za publikacije Europske unije s pomoću sustava za obradu podataka. U slučajevima kada su člancima dani novi brojevi, korelacija između starih i novih brojeva prikazana je u tablici u Prilogu VIII. ovoj Uredbi.</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(prilagođeno)</w:t>
      </w:r>
    </w:p>
    <w:p>
      <w:pPr>
        <w:pStyle w:val="Rfrenceinterinstitutionnelle"/>
        <w:rPr>
          <w:noProof/>
        </w:rPr>
      </w:pPr>
      <w:r>
        <w:rPr>
          <w:noProof/>
        </w:rPr>
        <w:t>2013/0226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statistici prijevoza robe na unutarnjim vodnim putovima</w:t>
      </w:r>
      <w:r>
        <w:rPr>
          <w:noProof/>
        </w:rPr>
        <w:br/>
        <w:t>(kodificirani tekst)</w:t>
      </w:r>
    </w:p>
    <w:p>
      <w:pPr>
        <w:pStyle w:val="Institutionquiagit"/>
        <w:rPr>
          <w:noProof/>
        </w:rPr>
      </w:pPr>
      <w:r>
        <w:rPr>
          <w:noProof/>
        </w:rPr>
        <w:t>EUROPSKI PARLAMENT I VIJEĆE EUROPSKE UNIJE,</w:t>
      </w:r>
    </w:p>
    <w:p>
      <w:pPr>
        <w:rPr>
          <w:noProof/>
        </w:rPr>
      </w:pPr>
      <w:r>
        <w:rPr>
          <w:noProof/>
        </w:rPr>
        <w:t xml:space="preserve">uzimajući u obzir Ugovor 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funkcioniranju Europske unije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a posebno njegov članak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338.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stavak 1.,</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5"/>
      </w:r>
      <w:r>
        <w:rPr>
          <w:noProof/>
        </w:rPr>
        <w:t>,</w:t>
      </w:r>
    </w:p>
    <w:p>
      <w:pPr>
        <w:rPr>
          <w:noProof/>
        </w:rPr>
      </w:pPr>
      <w:r>
        <w:rPr>
          <w:noProof/>
        </w:rPr>
        <w:t>u skladu s redovnim zakonodavnim postupkom,</w:t>
      </w:r>
    </w:p>
    <w:p>
      <w:pPr>
        <w:rPr>
          <w:noProof/>
        </w:rPr>
      </w:pPr>
      <w:r>
        <w:rPr>
          <w:noProof/>
        </w:rPr>
        <w:t>budući da: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w:t>
      </w:r>
    </w:p>
    <w:p>
      <w:pPr>
        <w:pStyle w:val="ManualConsidrant"/>
        <w:rPr>
          <w:noProof/>
        </w:rPr>
      </w:pPr>
      <w:bookmarkStart w:id="1" w:name="DQPStarAt1DQPStarAtDE46D8E179A342AD9BC3B"/>
      <w:bookmarkEnd w:id="1"/>
      <w:r>
        <w:rPr>
          <w:noProof/>
        </w:rPr>
        <w:t>(1)</w:t>
      </w:r>
      <w:r>
        <w:rPr>
          <w:noProof/>
        </w:rPr>
        <w:tab/>
        <w:t>Uredba (EZ) br. 1365/2006 Europskog parlamenta i Vijeća</w:t>
      </w:r>
      <w:r>
        <w:rPr>
          <w:rStyle w:val="FootnoteReference"/>
          <w:noProof/>
        </w:rPr>
        <w:footnoteReference w:id="6"/>
      </w:r>
      <w:r>
        <w:rPr>
          <w:noProof/>
        </w:rPr>
        <w:t xml:space="preserve"> bila je značajno izmijenjena nekoliko puta</w:t>
      </w:r>
      <w:r>
        <w:rPr>
          <w:rStyle w:val="FootnoteReference"/>
          <w:noProof/>
        </w:rPr>
        <w:footnoteReference w:id="7"/>
      </w:r>
      <w:r>
        <w:rPr>
          <w:noProof/>
        </w:rPr>
        <w:t>. U interesu jasnoće i racionalnosti, ovu Uredbu potrebno je kodificirati.</w:t>
      </w:r>
    </w:p>
    <w:p>
      <w:pPr>
        <w:pStyle w:val="CRSeparator"/>
        <w:rPr>
          <w:rFonts w:eastAsia="Calibri"/>
          <w:noProof/>
          <w:lang w:val="hr-HR"/>
        </w:rPr>
      </w:pPr>
    </w:p>
    <w:p>
      <w:pPr>
        <w:pStyle w:val="CRReference"/>
        <w:rPr>
          <w:rFonts w:eastAsia="Calibri"/>
          <w:noProof/>
          <w:lang w:val="hr-HR"/>
        </w:rPr>
      </w:pPr>
      <w:r>
        <w:rPr>
          <w:rFonts w:eastAsia="Calibri"/>
          <w:noProof/>
          <w:lang w:val="hr-HR"/>
        </w:rPr>
        <w:fldChar w:fldCharType="begin"/>
      </w:r>
      <w:r>
        <w:rPr>
          <w:rFonts w:eastAsia="Calibri"/>
          <w:noProof/>
          <w:lang w:val="hr-HR"/>
        </w:rPr>
        <w:instrText xml:space="preserve"> QUOTE "</w:instrText>
      </w:r>
      <w:r>
        <w:rPr>
          <w:rStyle w:val="CRMarker"/>
          <w:rFonts w:eastAsia="Calibri"/>
          <w:noProof/>
          <w:lang w:val="hr-HR"/>
        </w:rPr>
        <w:instrText>ê</w:instrText>
      </w:r>
      <w:r>
        <w:rPr>
          <w:rFonts w:eastAsia="Calibri"/>
          <w:noProof/>
          <w:lang w:val="hr-HR"/>
        </w:rPr>
        <w:instrText xml:space="preserve">" </w:instrText>
      </w:r>
      <w:r>
        <w:rPr>
          <w:rFonts w:eastAsia="Calibri"/>
          <w:noProof/>
          <w:lang w:val="hr-HR"/>
        </w:rPr>
        <w:fldChar w:fldCharType="separate"/>
      </w:r>
      <w:r>
        <w:rPr>
          <w:rStyle w:val="CRMarker"/>
          <w:rFonts w:eastAsia="Calibri"/>
          <w:noProof/>
          <w:lang w:val="hr-HR"/>
        </w:rPr>
        <w:t>ê</w:t>
      </w:r>
      <w:r>
        <w:rPr>
          <w:rFonts w:eastAsia="Calibri"/>
          <w:noProof/>
          <w:lang w:val="hr-HR"/>
        </w:rPr>
        <w:fldChar w:fldCharType="end"/>
      </w:r>
      <w:r>
        <w:rPr>
          <w:rFonts w:eastAsia="Calibri"/>
          <w:noProof/>
          <w:lang w:val="hr-HR"/>
        </w:rPr>
        <w:t xml:space="preserve"> 1365/2006 </w:t>
      </w:r>
      <w:r>
        <w:rPr>
          <w:noProof/>
          <w:lang w:val="hr-HR"/>
        </w:rPr>
        <w:t>uv. izjava 1. (prilagođeno)</w:t>
      </w:r>
    </w:p>
    <w:p>
      <w:pPr>
        <w:pStyle w:val="ManualConsidrant"/>
        <w:rPr>
          <w:noProof/>
        </w:rPr>
      </w:pPr>
      <w:r>
        <w:rPr>
          <w:noProof/>
        </w:rPr>
        <w:t>(2)</w:t>
      </w:r>
      <w:r>
        <w:rPr>
          <w:noProof/>
        </w:rPr>
        <w:tab/>
        <w:t xml:space="preserve">Unutarnji vodni putovi su važan dio prometne mreže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Unije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 promidžba prometa unutarnjim vodnim putovima je jedan od ciljeva zajedničke prometne politike, zbog ekonomske učinkovitosti kao i s ciljem smanjenja potrošnje energije i učinka prometa na okoliš.</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uv. izjava 2.</w:t>
      </w:r>
    </w:p>
    <w:p>
      <w:pPr>
        <w:pStyle w:val="ManualConsidrant"/>
        <w:rPr>
          <w:rFonts w:eastAsia="Times New Roman"/>
          <w:noProof/>
          <w:color w:val="000000"/>
          <w:szCs w:val="24"/>
        </w:rPr>
      </w:pPr>
      <w:r>
        <w:rPr>
          <w:rFonts w:eastAsia="Times New Roman"/>
          <w:noProof/>
          <w:color w:val="000000"/>
          <w:szCs w:val="24"/>
        </w:rPr>
        <w:t>(3)</w:t>
      </w:r>
      <w:r>
        <w:rPr>
          <w:rFonts w:eastAsia="Times New Roman"/>
          <w:noProof/>
          <w:color w:val="000000"/>
          <w:szCs w:val="24"/>
        </w:rPr>
        <w:tab/>
        <w:t>Komisiji je potrebna statistika o prijevozu robe unutarnjim vodnim putovima kako bi pratila i razvijala zajedničku prometnu politiku, kao i prometne elemente politike o regijama i o transeuropskim mrežama.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uv. izjava 5. (prilagođeno)</w:t>
      </w:r>
    </w:p>
    <w:p>
      <w:pPr>
        <w:pStyle w:val="ManualConsidrant"/>
        <w:rPr>
          <w:noProof/>
        </w:rPr>
      </w:pPr>
      <w:r>
        <w:rPr>
          <w:rFonts w:eastAsia="Times New Roman"/>
          <w:noProof/>
          <w:color w:val="000000"/>
          <w:szCs w:val="24"/>
        </w:rPr>
        <w:t>(4)</w:t>
      </w:r>
      <w:r>
        <w:rPr>
          <w:rFonts w:eastAsia="Times New Roman"/>
          <w:noProof/>
          <w:color w:val="000000"/>
          <w:szCs w:val="24"/>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rPr>
        <w:t>Europsku</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rPr>
        <w:t xml:space="preserve"> statistiku o svim vrstama prijevoza potrebno je prikupiti u skladu sa zajedničkim pojmovima i normama, s ciljem postizanja najveće moguće usporedivosti između vrsta prijevoza.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uv. izjava 6.</w:t>
      </w:r>
    </w:p>
    <w:p>
      <w:pPr>
        <w:pStyle w:val="ManualConsidrant"/>
        <w:rPr>
          <w:rFonts w:eastAsia="Times New Roman"/>
          <w:noProof/>
          <w:color w:val="000000"/>
          <w:szCs w:val="24"/>
        </w:rPr>
      </w:pPr>
      <w:r>
        <w:rPr>
          <w:rFonts w:eastAsia="Times New Roman"/>
          <w:noProof/>
          <w:color w:val="000000"/>
          <w:szCs w:val="24"/>
        </w:rPr>
        <w:t>(5)</w:t>
      </w:r>
      <w:r>
        <w:rPr>
          <w:rFonts w:eastAsia="Times New Roman"/>
          <w:noProof/>
          <w:color w:val="000000"/>
          <w:szCs w:val="24"/>
        </w:rPr>
        <w:tab/>
        <w:t>Promet na unutarnjim vodama ne odvija se u svim državama članicama te je stoga učinak ove Uredbe ograničen na one države članice u kojima ova vrsta prijevoza postoji.</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uv. izjava 7. (prilagođeno)</w:t>
      </w:r>
    </w:p>
    <w:p>
      <w:pPr>
        <w:pStyle w:val="ManualConsidrant"/>
        <w:rPr>
          <w:rFonts w:eastAsia="Times New Roman"/>
          <w:noProof/>
          <w:color w:val="000000"/>
          <w:szCs w:val="24"/>
        </w:rPr>
      </w:pPr>
      <w:r>
        <w:rPr>
          <w:rFonts w:eastAsia="Times New Roman"/>
          <w:noProof/>
          <w:color w:val="000000"/>
          <w:szCs w:val="24"/>
        </w:rPr>
        <w:t>(6)</w:t>
      </w:r>
      <w:r>
        <w:rPr>
          <w:rFonts w:eastAsia="Times New Roman"/>
          <w:noProof/>
          <w:color w:val="000000"/>
          <w:szCs w:val="24"/>
        </w:rPr>
        <w:tab/>
        <w:t xml:space="preserve">Budući da cilj ove Uredbe, a to je stvaranje zajedničkih statističkih standarda koji omogućavaju dostavljanje usklađenih podataka, ne mogu dostatno ostvariti države članice, nego ih se može na bolji način ostvariti na razini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rPr>
        <w:t>Unije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rPr>
        <w:t xml:space="preserve">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rPr>
        <w:t>Unija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rPr>
        <w:t xml:space="preserve"> može usvojiti mjere, u skladu s načelom supsidijarnosti, kako je određeno u članku 5. Ugovora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rPr>
        <w:t>o Europskoj uniji</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rPr>
        <w:t>. U skladu s načelom proporcionalnosti, određenim u tom članku, ova Uredba ne prelazi ono što je potrebno za ostvarivanje tog cilja.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uv. izjava 8.</w:t>
      </w:r>
    </w:p>
    <w:p>
      <w:pPr>
        <w:pStyle w:val="ManualConsidrant"/>
        <w:rPr>
          <w:rFonts w:eastAsia="Times New Roman"/>
          <w:noProof/>
          <w:color w:val="000000"/>
          <w:szCs w:val="24"/>
        </w:rPr>
      </w:pPr>
      <w:r>
        <w:rPr>
          <w:rFonts w:eastAsia="Times New Roman"/>
          <w:noProof/>
          <w:color w:val="000000"/>
          <w:szCs w:val="24"/>
        </w:rPr>
        <w:t>(7)</w:t>
      </w:r>
      <w:r>
        <w:rPr>
          <w:rFonts w:eastAsia="Times New Roman"/>
          <w:noProof/>
          <w:color w:val="000000"/>
          <w:szCs w:val="24"/>
        </w:rPr>
        <w:tab/>
      </w:r>
      <w:r>
        <w:rPr>
          <w:noProof/>
        </w:rPr>
        <w:t>Uredba (EZ) br. 223/2009 Europskog parlamenta i Vijeća</w:t>
      </w:r>
      <w:r>
        <w:rPr>
          <w:rStyle w:val="FootnoteReference"/>
          <w:noProof/>
        </w:rPr>
        <w:footnoteReference w:id="8"/>
      </w:r>
      <w:hyperlink r:id="rId13" w:anchor="ntr3-L_2006264HR.01000101-E0003" w:history="1"/>
      <w:r>
        <w:rPr>
          <w:rFonts w:eastAsia="Times New Roman"/>
          <w:noProof/>
          <w:color w:val="000000"/>
          <w:szCs w:val="24"/>
        </w:rPr>
        <w:t xml:space="preserve"> pruža referentni okvir za odredbe utvrđene ovom Uredbom.</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uv. izjava 5. (prilagođeno)</w:t>
      </w:r>
    </w:p>
    <w:p>
      <w:pPr>
        <w:pStyle w:val="ManualConsidrant"/>
        <w:rPr>
          <w:rFonts w:eastAsia="Times New Roman"/>
          <w:noProof/>
          <w:color w:val="000000"/>
          <w:szCs w:val="24"/>
        </w:rPr>
      </w:pPr>
      <w:r>
        <w:rPr>
          <w:rFonts w:eastAsia="Times New Roman"/>
          <w:noProof/>
          <w:color w:val="000000"/>
          <w:szCs w:val="24"/>
        </w:rPr>
        <w:t>(8)</w:t>
      </w:r>
      <w:r>
        <w:rPr>
          <w:rFonts w:eastAsia="Times New Roman"/>
          <w:noProof/>
          <w:color w:val="000000"/>
          <w:szCs w:val="24"/>
        </w:rPr>
        <w:tab/>
      </w:r>
      <w:r>
        <w:rPr>
          <w:noProof/>
          <w:color w:val="000000"/>
        </w:rPr>
        <w:t>K</w:t>
      </w:r>
      <w:r>
        <w:rPr>
          <w:rFonts w:eastAsia="Times New Roman"/>
          <w:noProof/>
          <w:color w:val="000000"/>
          <w:szCs w:val="24"/>
        </w:rPr>
        <w:t xml:space="preserve">ako bi se uzeli u obzir gospodarski i tehnički trendovi te promjene u definicijama donesenima na međunarodnoj razini, ovlast za donošenje akata u skladu s člankom 290. Ugovora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rPr>
        <w:t>o funkcioniranju Europske unije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rPr>
        <w:t xml:space="preserve"> trebalo bi delegirati Komisiji u vezi s izmjenom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rPr>
        <w:t>ove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rPr>
        <w:t xml:space="preserve"> Uredbe radi povećanja praga iznad 1 000 000 tona za statističku pokrivenost prijevoza unutarnjim vodnim putovima, radi prilagodbe definicija ili predviđanja novih te radi prilagodbe prilogâ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rPr>
        <w:t>ovoj</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rPr>
        <w:t xml:space="preserve"> Uredbi tako da se u njima odražavaju promjene u označivanju i nomenklaturi na međunarodnoj razini ili u odgovarajućim zakonodavnim aktima Unije.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Pr>
          <w:rStyle w:val="FootnoteReference"/>
          <w:rFonts w:eastAsia="Times New Roman"/>
          <w:noProof/>
          <w:color w:val="000000"/>
          <w:szCs w:val="24"/>
        </w:rPr>
        <w:footnoteReference w:id="9"/>
      </w:r>
      <w:r>
        <w:rPr>
          <w:rFonts w:eastAsia="Times New Roman"/>
          <w:noProof/>
          <w:color w:val="000000"/>
          <w:szCs w:val="24"/>
        </w:rPr>
        <w:t>.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uv. izjava 6.</w:t>
      </w:r>
    </w:p>
    <w:p>
      <w:pPr>
        <w:pStyle w:val="ManualConsidrant"/>
        <w:rPr>
          <w:rFonts w:eastAsia="Times New Roman"/>
          <w:noProof/>
          <w:color w:val="000000"/>
          <w:szCs w:val="24"/>
        </w:rPr>
      </w:pPr>
      <w:r>
        <w:rPr>
          <w:rFonts w:eastAsia="Times New Roman"/>
          <w:noProof/>
          <w:color w:val="000000"/>
          <w:szCs w:val="24"/>
        </w:rPr>
        <w:t>(9)</w:t>
      </w:r>
      <w:r>
        <w:rPr>
          <w:rFonts w:eastAsia="Times New Roman"/>
          <w:noProof/>
          <w:color w:val="000000"/>
          <w:szCs w:val="24"/>
        </w:rPr>
        <w:tab/>
        <w:t>Komisija bi trebala osigurati da se tim delegiranim aktima ne nameće znatno dodatno opterećenje državama članicama niti davateljima podataka.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uv. izjava 7. (prilagođeno)</w:t>
      </w:r>
    </w:p>
    <w:p>
      <w:pPr>
        <w:pStyle w:val="ManualConsidrant"/>
        <w:rPr>
          <w:rFonts w:eastAsia="Times New Roman"/>
          <w:noProof/>
          <w:color w:val="000000"/>
          <w:szCs w:val="24"/>
        </w:rPr>
      </w:pPr>
      <w:r>
        <w:rPr>
          <w:rFonts w:eastAsia="Times New Roman"/>
          <w:noProof/>
          <w:color w:val="000000"/>
          <w:szCs w:val="24"/>
        </w:rPr>
        <w:t>(10)</w:t>
      </w:r>
      <w:r>
        <w:rPr>
          <w:rFonts w:eastAsia="Times New Roman"/>
          <w:noProof/>
          <w:color w:val="000000"/>
          <w:szCs w:val="24"/>
        </w:rPr>
        <w:tab/>
        <w:t xml:space="preserve">Radi osiguranja jedinstvenih uvjeta za provedbu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color w:val="000000"/>
          <w:szCs w:val="24"/>
        </w:rPr>
        <w:t>ove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color w:val="000000"/>
          <w:szCs w:val="24"/>
        </w:rPr>
        <w:t xml:space="preserve"> Uredbe, provedbene ovlasti trebalo bi dodijeliti Komisiji kako bi joj se omogućilo usvajanje aranžmana za dostavljanje podataka, uključujući standarde za razmjenu podataka, te za diseminaciju rezultata od strane Komisije (Eurostata) kao i razvoj i objavljivanje metodoloških zahtjeva i kriterija koji su oblikovani radi osiguravanja kvalitete dobivenih podataka. Te bi ovlasti trebalo izvršavati u skladu s Uredbom (EU) br. 182/2011 </w:t>
      </w:r>
      <w:r>
        <w:rPr>
          <w:noProof/>
        </w:rPr>
        <w:t>Europskog parlamenta i Vijeća</w:t>
      </w:r>
      <w:r>
        <w:rPr>
          <w:rStyle w:val="FootnoteReference"/>
          <w:noProof/>
        </w:rPr>
        <w:footnoteReference w:id="10"/>
      </w:r>
      <w:r>
        <w:rPr>
          <w:noProof/>
        </w:rPr>
        <w:t>.</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uv. izjava 9.</w:t>
      </w:r>
    </w:p>
    <w:p>
      <w:pPr>
        <w:pStyle w:val="ManualConsidrant"/>
        <w:rPr>
          <w:rFonts w:eastAsia="Times New Roman"/>
          <w:noProof/>
          <w:color w:val="000000"/>
          <w:szCs w:val="24"/>
        </w:rPr>
      </w:pPr>
      <w:r>
        <w:rPr>
          <w:rFonts w:eastAsia="Times New Roman"/>
          <w:noProof/>
          <w:color w:val="000000"/>
          <w:szCs w:val="24"/>
        </w:rPr>
        <w:t>(11)</w:t>
      </w:r>
      <w:r>
        <w:rPr>
          <w:rFonts w:eastAsia="Times New Roman"/>
          <w:noProof/>
          <w:color w:val="000000"/>
          <w:szCs w:val="24"/>
        </w:rPr>
        <w:tab/>
        <w:t xml:space="preserve">Komisija treba organizirati provođenje pilot-studija o dostupnosti statističkih podataka koji se odnose na putnički prijevoz unutarnjim vodnim putovima, uključujući </w:t>
      </w:r>
      <w:r>
        <w:rPr>
          <w:rFonts w:eastAsia="Times New Roman"/>
          <w:noProof/>
          <w:color w:val="000000"/>
          <w:szCs w:val="24"/>
        </w:rPr>
        <w:lastRenderedPageBreak/>
        <w:t>prekogranične usluge prijevoza. Unija bi trebala doprinositi pokrivanju troškova provođenja tih pilot-studija. Ti bi doprinosi trebali biti u obliku bespovratnih sredstava koja se dodjeljuju nacionalnim statističkim uredima i drugim nacionalnim tijelima navedenima u članku 5. Uredbe (EZ) br. 223/2009</w:t>
      </w:r>
      <w:hyperlink r:id="rId14" w:anchor="ntr6-L_2016311HR.01002001-E0006" w:history="1"/>
      <w:r>
        <w:rPr>
          <w:rFonts w:eastAsia="Times New Roman"/>
          <w:noProof/>
          <w:color w:val="000000"/>
          <w:szCs w:val="24"/>
        </w:rPr>
        <w:t>, u skladu s Uredbom (EU, Euratom) br. 966/2012 Europskog parlamenta i Vijeća</w:t>
      </w:r>
      <w:r>
        <w:rPr>
          <w:rStyle w:val="FootnoteReference"/>
          <w:rFonts w:eastAsia="Times New Roman"/>
          <w:noProof/>
          <w:color w:val="000000"/>
          <w:szCs w:val="24"/>
        </w:rPr>
        <w:footnoteReference w:id="11"/>
      </w:r>
      <w:r>
        <w:rPr>
          <w:noProof/>
          <w:color w:val="000000"/>
        </w:rPr>
        <w:t>,</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(prilagođeno)</w:t>
      </w:r>
    </w:p>
    <w:p>
      <w:pPr>
        <w:pStyle w:val="Formuledadoption"/>
        <w:rPr>
          <w:noProof/>
        </w:rPr>
      </w:pPr>
      <w:r>
        <w:rPr>
          <w:noProof/>
        </w:rPr>
        <w:t>DONIJELI SU OVU UREDBU:</w:t>
      </w:r>
    </w:p>
    <w:p>
      <w:pPr>
        <w:pStyle w:val="Titrearticle"/>
        <w:rPr>
          <w:noProof/>
        </w:rPr>
      </w:pPr>
      <w:r>
        <w:rPr>
          <w:noProof/>
        </w:rPr>
        <w:t>Članak 1.</w:t>
      </w:r>
    </w:p>
    <w:p>
      <w:pPr>
        <w:pStyle w:val="NormalCentered"/>
        <w:keepNext/>
        <w:rPr>
          <w:b/>
          <w:bCs/>
          <w:noProof/>
        </w:rPr>
      </w:pPr>
      <w:r>
        <w:rPr>
          <w:b/>
          <w:bCs/>
          <w:noProof/>
        </w:rPr>
        <w:t>Predmet</w:t>
      </w:r>
    </w:p>
    <w:p>
      <w:pPr>
        <w:rPr>
          <w:noProof/>
        </w:rPr>
      </w:pPr>
      <w:r>
        <w:rPr>
          <w:noProof/>
        </w:rPr>
        <w:t xml:space="preserve">Ovom se Uredbom utvrđuju zajednička pravila za izradu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europske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statistike o prijevozu unutarnjim vodnim putovima.</w:t>
      </w:r>
    </w:p>
    <w:p>
      <w:pPr>
        <w:pStyle w:val="Titrearticle"/>
        <w:rPr>
          <w:noProof/>
        </w:rPr>
      </w:pPr>
      <w:r>
        <w:rPr>
          <w:noProof/>
        </w:rPr>
        <w:t>Članak 2.</w:t>
      </w:r>
    </w:p>
    <w:p>
      <w:pPr>
        <w:pStyle w:val="NormalCentered"/>
        <w:keepNext/>
        <w:rPr>
          <w:b/>
          <w:bCs/>
          <w:noProof/>
        </w:rPr>
      </w:pPr>
      <w:r>
        <w:rPr>
          <w:b/>
          <w:bCs/>
          <w:noProof/>
        </w:rPr>
        <w:t>Područje primjene</w:t>
      </w:r>
    </w:p>
    <w:p>
      <w:pPr>
        <w:rPr>
          <w:noProof/>
        </w:rPr>
      </w:pPr>
      <w:r>
        <w:rPr>
          <w:noProof/>
        </w:rPr>
        <w:t>1. Države članice dostavljaju Komisiji (Eurostatu) podatke o prijevozu unutarnjim vodnim putovima na svom području.</w:t>
      </w:r>
    </w:p>
    <w:p>
      <w:pPr>
        <w:rPr>
          <w:noProof/>
        </w:rPr>
      </w:pPr>
      <w:r>
        <w:rPr>
          <w:noProof/>
        </w:rPr>
        <w:t>2. Države članice u kojima ukupna količina robe prevezene unutarnjim vodnim putovima godišnje, bilo u nacionalnom, međunarodnom prijevozu ili u tranzitu premaši 1 000 000 tona dostavljaju podatke iz članka 4. stavka 1.</w:t>
      </w:r>
    </w:p>
    <w:p>
      <w:pPr>
        <w:rPr>
          <w:noProof/>
        </w:rPr>
      </w:pPr>
      <w:r>
        <w:rPr>
          <w:noProof/>
        </w:rPr>
        <w:t>3. Odstupajući od stavka 2., države članice u kojima se ne odvija međunarodni prijevoz ili tranzit unutarnjim vodnim putovima, ali u kojima je ukupna količina robe prevezene unutarnjim vodnim putovima u nacionalnom prometu godišnje veća od 1 000 000 tona, dostavljaju samo podatke zahtijevane u članku 4. stavku 2.</w:t>
      </w:r>
    </w:p>
    <w:p>
      <w:pPr>
        <w:keepNext/>
        <w:rPr>
          <w:noProof/>
        </w:rPr>
      </w:pPr>
      <w:r>
        <w:rPr>
          <w:noProof/>
        </w:rPr>
        <w:t>4. Ova se Uredba ne primjenjuje na:</w:t>
      </w:r>
    </w:p>
    <w:p>
      <w:pPr>
        <w:pStyle w:val="Point0"/>
        <w:rPr>
          <w:noProof/>
        </w:rPr>
      </w:pPr>
      <w:r>
        <w:rPr>
          <w:noProof/>
        </w:rPr>
        <w:t>(a)</w:t>
      </w:r>
      <w:r>
        <w:rPr>
          <w:noProof/>
        </w:rPr>
        <w:tab/>
        <w:t>prijevoz robe plovilima ukupne nosivosti manje od 50 tona;</w:t>
      </w:r>
    </w:p>
    <w:p>
      <w:pPr>
        <w:pStyle w:val="Point0"/>
        <w:rPr>
          <w:noProof/>
        </w:rPr>
      </w:pPr>
      <w:r>
        <w:rPr>
          <w:noProof/>
        </w:rPr>
        <w:t>(b)</w:t>
      </w:r>
      <w:r>
        <w:rPr>
          <w:noProof/>
        </w:rPr>
        <w:tab/>
        <w:t>plovila koja se rabe uglavnom za prijevoz putnika;</w:t>
      </w:r>
    </w:p>
    <w:p>
      <w:pPr>
        <w:pStyle w:val="Point0"/>
        <w:rPr>
          <w:noProof/>
        </w:rPr>
      </w:pPr>
      <w:r>
        <w:rPr>
          <w:noProof/>
        </w:rPr>
        <w:t>(c)</w:t>
      </w:r>
      <w:r>
        <w:rPr>
          <w:noProof/>
        </w:rPr>
        <w:tab/>
        <w:t>plovila za trajektni prijevoz;</w:t>
      </w:r>
    </w:p>
    <w:p>
      <w:pPr>
        <w:pStyle w:val="Point0"/>
        <w:rPr>
          <w:noProof/>
        </w:rPr>
      </w:pPr>
      <w:r>
        <w:rPr>
          <w:noProof/>
        </w:rPr>
        <w:t>(d)</w:t>
      </w:r>
      <w:r>
        <w:rPr>
          <w:noProof/>
        </w:rPr>
        <w:tab/>
        <w:t>plovila koje rabe lučke uprave i javna tijela samo u nekomercijalne svrhe;</w:t>
      </w:r>
    </w:p>
    <w:p>
      <w:pPr>
        <w:pStyle w:val="Point0"/>
        <w:rPr>
          <w:noProof/>
        </w:rPr>
      </w:pPr>
      <w:r>
        <w:rPr>
          <w:noProof/>
        </w:rPr>
        <w:t>(e)</w:t>
      </w:r>
      <w:r>
        <w:rPr>
          <w:noProof/>
        </w:rPr>
        <w:tab/>
        <w:t>plovila koja se rabe samo za pohranu goriva i pohranu općenito;</w:t>
      </w:r>
    </w:p>
    <w:p>
      <w:pPr>
        <w:pStyle w:val="Point0"/>
        <w:rPr>
          <w:noProof/>
        </w:rPr>
      </w:pPr>
      <w:r>
        <w:rPr>
          <w:noProof/>
        </w:rPr>
        <w:t>(f)</w:t>
      </w:r>
      <w:r>
        <w:rPr>
          <w:noProof/>
        </w:rPr>
        <w:tab/>
        <w:t>plovila koja se ne rabe za prijevoz robe, kao što su ribarski brodovi, ploveća jaružala, ploveće radionice, plovila za stanovanje i izletnička plovila.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1.</w:t>
      </w:r>
    </w:p>
    <w:p>
      <w:pPr>
        <w:rPr>
          <w:noProof/>
        </w:rPr>
      </w:pPr>
      <w:r>
        <w:rPr>
          <w:noProof/>
        </w:rPr>
        <w:t>5. Komisija je ovlaštena donijeti delegirane akte u skladu s člankom 10. u vezi s izmjenom stavka 2. ovog članka radi povećanja tamo navedenog praga za statističku pokrivenost prijevoza unutarnjim vodnim putovima kako bi se uzeli u obzir gospodarski i tehnički trendovi. Pri izvršavanju te ovlasti Komisija osigurava da se delegiranim aktima ne nameće znatno dodatno opterećenje državama članicama niti davateljima podataka. Nadalje, Komisija propisno opravdava statistička djelovanja koja ti delegirani akti predviđaju, upotrebljavajući, kada je to prikladno, analizu isplativosti, uključujući ocjenu opterećenja za davatelje podataka i troškova proizvodnje, kako je navedeno u članku 14. stavku 3. točki (c) Uredbe (EZ) br. 223/2009.</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425/2007 čl. 1. toč. 1.</w:t>
      </w:r>
    </w:p>
    <w:p>
      <w:pPr>
        <w:pStyle w:val="Titrearticle"/>
        <w:rPr>
          <w:noProof/>
        </w:rPr>
      </w:pPr>
      <w:r>
        <w:rPr>
          <w:noProof/>
        </w:rPr>
        <w:t>Članak 3.</w:t>
      </w:r>
    </w:p>
    <w:p>
      <w:pPr>
        <w:pStyle w:val="NormalCentered"/>
        <w:keepNext/>
        <w:rPr>
          <w:b/>
          <w:bCs/>
          <w:noProof/>
        </w:rPr>
      </w:pPr>
      <w:r>
        <w:rPr>
          <w:b/>
          <w:bCs/>
          <w:noProof/>
        </w:rPr>
        <w:t>Definicije</w:t>
      </w:r>
    </w:p>
    <w:p>
      <w:pPr>
        <w:keepNext/>
        <w:rPr>
          <w:noProof/>
        </w:rPr>
      </w:pPr>
      <w:r>
        <w:rPr>
          <w:noProof/>
        </w:rPr>
        <w:t>Za potrebe ove Uredbe primjenjuju se sljedeće definicije:</w:t>
      </w:r>
    </w:p>
    <w:p>
      <w:pPr>
        <w:pStyle w:val="Point0"/>
        <w:rPr>
          <w:noProof/>
        </w:rPr>
      </w:pPr>
      <w:r>
        <w:rPr>
          <w:noProof/>
        </w:rPr>
        <w:t>(a)</w:t>
      </w:r>
      <w:r>
        <w:rPr>
          <w:noProof/>
        </w:rPr>
        <w:tab/>
        <w:t>„unutarnji vodni put” znači vodeni tok koji nije dio mora, a koji je zbog prirodnih ili umjetnih obilježja pogodan za plovidbu, prvenstveno plovila unutarnje plovidbe;</w:t>
      </w:r>
    </w:p>
    <w:p>
      <w:pPr>
        <w:pStyle w:val="Point0"/>
        <w:rPr>
          <w:noProof/>
        </w:rPr>
      </w:pPr>
      <w:r>
        <w:rPr>
          <w:noProof/>
        </w:rPr>
        <w:t>(b)</w:t>
      </w:r>
      <w:r>
        <w:rPr>
          <w:noProof/>
        </w:rPr>
        <w:tab/>
        <w:t>„plovilo unutarnje plovidbe” znači plutajući objekt namijenjen za prijevoz robe ili za javni prijevoz putnika, koji plovi pretežno po unutarnjim vodnim putovima ili unutar zaštićenih voda ili u blizini tih voda ili područja u kojima se primjenjuju lučki propisi;</w:t>
      </w:r>
    </w:p>
    <w:p>
      <w:pPr>
        <w:pStyle w:val="Point0"/>
        <w:rPr>
          <w:noProof/>
        </w:rPr>
      </w:pPr>
      <w:r>
        <w:rPr>
          <w:noProof/>
        </w:rPr>
        <w:t>(c)</w:t>
      </w:r>
      <w:r>
        <w:rPr>
          <w:noProof/>
        </w:rPr>
        <w:tab/>
        <w:t>„nacionalna pripadnost plovila” znači država u kojoj je plovilo registrirano;</w:t>
      </w:r>
    </w:p>
    <w:p>
      <w:pPr>
        <w:pStyle w:val="Point0"/>
        <w:rPr>
          <w:noProof/>
        </w:rPr>
      </w:pPr>
      <w:r>
        <w:rPr>
          <w:noProof/>
        </w:rPr>
        <w:t>(d)</w:t>
      </w:r>
      <w:r>
        <w:rPr>
          <w:noProof/>
        </w:rPr>
        <w:tab/>
        <w:t>„prijevoz unutarnjim vodnim putovima” znači svako kretanje robe i/ili putnika plovilima unutarnje plovidbe koje se u cijelosti ili djelomično obavlja na unutarnjim vodnim putovima;</w:t>
      </w:r>
    </w:p>
    <w:p>
      <w:pPr>
        <w:pStyle w:val="Point0"/>
        <w:rPr>
          <w:noProof/>
        </w:rPr>
      </w:pPr>
      <w:r>
        <w:rPr>
          <w:noProof/>
        </w:rPr>
        <w:t>(e)</w:t>
      </w:r>
      <w:r>
        <w:rPr>
          <w:noProof/>
        </w:rPr>
        <w:tab/>
        <w:t>„nacionalni prijevoz unutarnjim vodnim putovima” znači prijevoz unutarnjim vodnim putovima između dviju luka na jednom državnom području bez obzira na nacionalnu pripadnost plovila;</w:t>
      </w:r>
    </w:p>
    <w:p>
      <w:pPr>
        <w:pStyle w:val="Point0"/>
        <w:rPr>
          <w:noProof/>
        </w:rPr>
      </w:pPr>
      <w:r>
        <w:rPr>
          <w:noProof/>
        </w:rPr>
        <w:t>(f)</w:t>
      </w:r>
      <w:r>
        <w:rPr>
          <w:noProof/>
        </w:rPr>
        <w:tab/>
        <w:t>„međunarodni prijevoz unutarnjim vodnim putovima” znači prijevoz unutarnjim vodnim putovima između dviju luka smještenih na različitim državnim područjima;</w:t>
      </w:r>
    </w:p>
    <w:p>
      <w:pPr>
        <w:pStyle w:val="Point0"/>
        <w:rPr>
          <w:noProof/>
        </w:rPr>
      </w:pPr>
      <w:r>
        <w:rPr>
          <w:noProof/>
        </w:rPr>
        <w:t>(g)</w:t>
      </w:r>
      <w:r>
        <w:rPr>
          <w:noProof/>
        </w:rPr>
        <w:tab/>
        <w:t>„tranzitni prijevoz unutarnjim vodnim putovima” znači prijevoz unutarnjim vodnim putovima kroz jedno državno područje, između dviju luka koje su obje smještene u drugom državnom području ili državnim područjima, pod uvjetom da na cijelom putovanju unutar državnog područja nema prekrcaja;</w:t>
      </w:r>
    </w:p>
    <w:p>
      <w:pPr>
        <w:pStyle w:val="Point0"/>
        <w:rPr>
          <w:noProof/>
        </w:rPr>
      </w:pPr>
      <w:r>
        <w:rPr>
          <w:noProof/>
        </w:rPr>
        <w:t>(h)</w:t>
      </w:r>
      <w:r>
        <w:rPr>
          <w:noProof/>
        </w:rPr>
        <w:tab/>
        <w:t>„promet unutarnjim vodnim putovima” znači svako kretanje plovila na određenom unutarnjem vodnom putu.</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2. (prilagođeno)</w:t>
      </w:r>
    </w:p>
    <w:p>
      <w:pPr>
        <w:rPr>
          <w:noProof/>
        </w:rPr>
      </w:pPr>
      <w:r>
        <w:rPr>
          <w:noProof/>
        </w:rPr>
        <w:t xml:space="preserve">Komisija je ovlaštena donijeti delegirane akte u skladu s člankom 10. u vezi s izmjenom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prvog stavka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ovog članka radi prilagodbe u njemu sadržanih definicija ili radi predviđanja novih kako bi se uzele u obzir odgovarajuće definicije izmijenjene ili donesene na međunarodnoj razini. [Please merge in one paragraph] Pri izvršavanju te ovlasti Komisija osigurava da se delegiranim aktima ne nameće znatno dodatno opterećenje državama članicama niti davateljima podataka. Nadalje, Komisija propisno opravdava statistička djelovanja koja ti delegirani akti predviđaju, upotrebljavajući, kada je to prikladno, analizu isplativosti, uključujući ocjenu opterećenja za davatelje podataka i troškova proizvodnje, kako je navedeno u članku 14. stavku 3. točki (c) Uredbe (EZ) br. 223/2009.</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w:t>
      </w:r>
    </w:p>
    <w:p>
      <w:pPr>
        <w:pStyle w:val="Titrearticle"/>
        <w:rPr>
          <w:noProof/>
        </w:rPr>
      </w:pPr>
      <w:r>
        <w:rPr>
          <w:noProof/>
        </w:rPr>
        <w:t>Članak 4.</w:t>
      </w:r>
    </w:p>
    <w:p>
      <w:pPr>
        <w:pStyle w:val="NormalCentered"/>
        <w:keepNext/>
        <w:rPr>
          <w:b/>
          <w:bCs/>
          <w:noProof/>
        </w:rPr>
      </w:pPr>
      <w:r>
        <w:rPr>
          <w:b/>
          <w:bCs/>
          <w:noProof/>
        </w:rPr>
        <w:t>Prikupljanje podataka</w:t>
      </w:r>
    </w:p>
    <w:p>
      <w:pPr>
        <w:rPr>
          <w:noProof/>
        </w:rPr>
      </w:pPr>
      <w:r>
        <w:rPr>
          <w:noProof/>
        </w:rPr>
        <w:t>1. Podaci se prikupljaju u skladu s tablicama prikazanima u prilozima od I. do IV.</w:t>
      </w:r>
    </w:p>
    <w:p>
      <w:pPr>
        <w:rPr>
          <w:noProof/>
        </w:rPr>
      </w:pPr>
      <w:r>
        <w:rPr>
          <w:noProof/>
        </w:rPr>
        <w:t>2. U slučaju navedenom u članku 2. stavku 3. podaci se prikupljaju u skladu s tablicom iz Priloga V.</w:t>
      </w:r>
    </w:p>
    <w:p>
      <w:pPr>
        <w:rPr>
          <w:noProof/>
        </w:rPr>
      </w:pPr>
      <w:r>
        <w:rPr>
          <w:noProof/>
        </w:rPr>
        <w:t>3. Za potrebe ove Uredbe, roba se klasificira u skladu s Prilogom VI.</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3.</w:t>
      </w:r>
    </w:p>
    <w:p>
      <w:pPr>
        <w:rPr>
          <w:noProof/>
        </w:rPr>
      </w:pPr>
      <w:r>
        <w:rPr>
          <w:noProof/>
        </w:rPr>
        <w:t>4. Komisija je ovlaštena donijeti delegirane akte u skladu s člankom 10. u vezi s izmjenom prilogâ tako da se u njima odražavaju promjene u označivanju i nomenklaturi na međunarodnoj razini ili u odgovarajućim zakonodavnim aktima Unije. Pri izvršavanju te ovlasti Komisija osigurava da se delegiranim aktima ne nameće znatno dodatno opterećenje državama članicama niti davateljima podataka. Nadalje, Komisija propisno opravdava statistička djelovanja koja ti delegirani akti predviđaju, upotrebljavajući, kada je to prikladno, analizu isplativosti, uključujući ocjenu opterećenja za davatelje podataka i troškova proizvodnje, kako je navedeno u članku 14. stavku 3. točki (c) Uredbe (EZ) br. 223/2009.</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4.</w:t>
      </w:r>
    </w:p>
    <w:p>
      <w:pPr>
        <w:pStyle w:val="Titrearticle"/>
        <w:rPr>
          <w:noProof/>
        </w:rPr>
      </w:pPr>
      <w:r>
        <w:rPr>
          <w:noProof/>
        </w:rPr>
        <w:t>Članak 5.</w:t>
      </w:r>
    </w:p>
    <w:p>
      <w:pPr>
        <w:pStyle w:val="NormalCentered"/>
        <w:keepNext/>
        <w:rPr>
          <w:b/>
          <w:bCs/>
          <w:noProof/>
        </w:rPr>
      </w:pPr>
      <w:r>
        <w:rPr>
          <w:b/>
          <w:bCs/>
          <w:noProof/>
        </w:rPr>
        <w:t>Pilot-studije</w:t>
      </w:r>
    </w:p>
    <w:p>
      <w:pPr>
        <w:rPr>
          <w:noProof/>
        </w:rPr>
      </w:pPr>
      <w:r>
        <w:rPr>
          <w:noProof/>
        </w:rPr>
        <w:t>1. Komisija do 8. prosinca 2018., u suradnji s državama članicama, razvija odgovarajuću metodologiju za kompiliranje statistike putničkog prijevoza unutarnjim vodnim putovima, uključujući prekogranične usluge prijevoza.</w:t>
      </w:r>
    </w:p>
    <w:p>
      <w:pPr>
        <w:rPr>
          <w:noProof/>
        </w:rPr>
      </w:pPr>
      <w:r>
        <w:rPr>
          <w:noProof/>
        </w:rPr>
        <w:t>2. Komisija do 8. prosinca 2019. pokreće dobrovoljne pilot-studije koje trebaju provoditi države članice kojima se dostavljaju podaci obuhvaćeni područjem primjene ove Uredbe o dostupnosti statističkih podataka koji se odnose na putnički prijevoz unutarnjim vodnim putovima, uključujući prekogranične usluge prijevoza. Cilj je tih pilot-studija ocijeniti izvedivost tih novih prikupljanja podataka, troškove povezanih prikupljanja podataka i implicitnu kvalitetu statistike.</w:t>
      </w:r>
    </w:p>
    <w:p>
      <w:pPr>
        <w:rPr>
          <w:noProof/>
        </w:rPr>
      </w:pPr>
      <w:r>
        <w:rPr>
          <w:noProof/>
        </w:rPr>
        <w:t>3. Komisija do 8. prosinca 2020. Europskom parlamentu i Vijeću podnosi izvješće o rezultatima tih pilot-studija. Ovisno o rezultatima tog izvješća te u razumnom roku Komisija, ako je to prikladno, Europskom parlamentu i Vijeću podnosi zakonodavni prijedlog izmjene ove Uredbe u pogledu statistike putničkog prijevoza unutarnjim vodnim putovima, uključujući prekogranične usluge prijevoza.</w:t>
      </w:r>
    </w:p>
    <w:p>
      <w:pPr>
        <w:rPr>
          <w:noProof/>
        </w:rPr>
      </w:pPr>
      <w:r>
        <w:rPr>
          <w:noProof/>
        </w:rPr>
        <w:t>4. Općim proračunom Unije, kada je to prikladno, i uzimajući u obzir dodanu vrijednost Unije, doprinosi se financiranju tih pilot-studija.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(prilagođeno)</w:t>
      </w:r>
    </w:p>
    <w:p>
      <w:pPr>
        <w:pStyle w:val="Titrearticle"/>
        <w:rPr>
          <w:noProof/>
        </w:rPr>
      </w:pPr>
      <w:r>
        <w:rPr>
          <w:noProof/>
        </w:rPr>
        <w:t>Članak 6.</w:t>
      </w:r>
    </w:p>
    <w:p>
      <w:pPr>
        <w:pStyle w:val="NormalCentered"/>
        <w:keepNext/>
        <w:rPr>
          <w:b/>
          <w:bCs/>
          <w:noProof/>
        </w:rPr>
      </w:pPr>
      <w:r>
        <w:rPr>
          <w:b/>
          <w:bCs/>
          <w:noProof/>
        </w:rPr>
        <w:t>Dostava podataka</w:t>
      </w:r>
    </w:p>
    <w:p>
      <w:pPr>
        <w:rPr>
          <w:noProof/>
        </w:rPr>
      </w:pPr>
      <w:r>
        <w:rPr>
          <w:noProof/>
        </w:rPr>
        <w:t>1. Dostava podataka mora se obaviti što je prije moguće, a najkasnije pet mjeseci nakon završetka relevantnog razdoblja promatranja.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5.</w:t>
      </w:r>
    </w:p>
    <w:p>
      <w:pPr>
        <w:rPr>
          <w:noProof/>
        </w:rPr>
      </w:pPr>
      <w:r>
        <w:rPr>
          <w:noProof/>
        </w:rPr>
        <w:t>2. Komisija donosi provedbene akte kojima se utvrđuju aranžmani za dostavljanje podataka Komisiji (Eurostatu), uključujući standarde za razmjenu podataka. Ti se provedbeni akti donose u skladu s postupkom ispitivanja iz članka 11. stavka 2.</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 (prilagođeno)</w:t>
      </w:r>
    </w:p>
    <w:p>
      <w:pPr>
        <w:pStyle w:val="Titrearticle"/>
        <w:rPr>
          <w:noProof/>
        </w:rPr>
      </w:pPr>
      <w:r>
        <w:rPr>
          <w:noProof/>
        </w:rPr>
        <w:t>Članak 7.</w:t>
      </w:r>
    </w:p>
    <w:p>
      <w:pPr>
        <w:pStyle w:val="NormalCentered"/>
        <w:keepNext/>
        <w:rPr>
          <w:b/>
          <w:bCs/>
          <w:noProof/>
        </w:rPr>
      </w:pPr>
      <w:r>
        <w:rPr>
          <w:b/>
          <w:bCs/>
          <w:noProof/>
        </w:rPr>
        <w:t>Diseminacija</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Europska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statistika koja se temelji na podacima iz članka 4. objavljuje se učestalošću sličnom onoj propisanoj za dostavu podataka od strane država članica.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6.</w:t>
      </w:r>
    </w:p>
    <w:p>
      <w:pPr>
        <w:rPr>
          <w:noProof/>
        </w:rPr>
      </w:pPr>
      <w:r>
        <w:rPr>
          <w:noProof/>
        </w:rPr>
        <w:t>Komisija donosi provedbene akte kojima se utvrđuju aranžmani za objavu rezultata. Ti se provedbeni akti donose u skladu s postupkom ispitivanja iz članka 11. stavka 2.</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w:t>
      </w:r>
    </w:p>
    <w:p>
      <w:pPr>
        <w:pStyle w:val="Titrearticle"/>
        <w:rPr>
          <w:noProof/>
        </w:rPr>
      </w:pPr>
      <w:r>
        <w:rPr>
          <w:noProof/>
        </w:rPr>
        <w:t>Članak 8.</w:t>
      </w:r>
    </w:p>
    <w:p>
      <w:pPr>
        <w:pStyle w:val="NormalCentered"/>
        <w:keepNext/>
        <w:rPr>
          <w:b/>
          <w:bCs/>
          <w:noProof/>
        </w:rPr>
      </w:pPr>
      <w:r>
        <w:rPr>
          <w:b/>
          <w:bCs/>
          <w:noProof/>
        </w:rPr>
        <w:t>Kvaliteta podataka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7.</w:t>
      </w:r>
    </w:p>
    <w:p>
      <w:pPr>
        <w:rPr>
          <w:noProof/>
        </w:rPr>
      </w:pPr>
      <w:r>
        <w:rPr>
          <w:noProof/>
        </w:rPr>
        <w:t>1. Komisija donosi provedbene akte kojima se utvrđuju metodološki zahtjevi i kriteriji koji su oblikovani radi osiguravanja kvalitete dobivenih podataka. Ti se provedbeni akti donose u skladu s postupkom ispitivanja iz članka 11. stavka 2.</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w:t>
      </w:r>
    </w:p>
    <w:p>
      <w:pPr>
        <w:rPr>
          <w:noProof/>
        </w:rPr>
      </w:pPr>
      <w:r>
        <w:rPr>
          <w:noProof/>
        </w:rPr>
        <w:t>2. Države članice poduzimaju sve potrebne mjere kako bi osigurale kvalitetu dostavljenih podataka.</w:t>
      </w:r>
    </w:p>
    <w:p>
      <w:pPr>
        <w:rPr>
          <w:noProof/>
        </w:rPr>
      </w:pPr>
      <w:r>
        <w:rPr>
          <w:noProof/>
        </w:rPr>
        <w:t>3. Komisija (Eurostat) ocjenjuje kvalitetu dostavljenih podataka. Države članice dostavljaju Komisiji (Eurostatu) izvješće koje sadrži one informacije i podatke koje ona može zatražiti kako bi provjerila kvalitetu dostavljenih podataka.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8.</w:t>
      </w:r>
    </w:p>
    <w:p>
      <w:pPr>
        <w:rPr>
          <w:noProof/>
        </w:rPr>
      </w:pPr>
      <w:r>
        <w:rPr>
          <w:noProof/>
        </w:rPr>
        <w:t>4. Za potrebe ove Uredbe, kriteriji kvalitete koji se primjenjuju na podatke koji se dostavljaju navedeni su u članku 12. stavku 1. Uredbe (EZ) br. 223/2009.</w:t>
      </w:r>
    </w:p>
    <w:p>
      <w:pPr>
        <w:rPr>
          <w:noProof/>
        </w:rPr>
      </w:pPr>
      <w:r>
        <w:rPr>
          <w:noProof/>
        </w:rPr>
        <w:t>5. Komisija donosi provedbene akte kojima se utvrđuju detaljni aranžmani, struktura, periodičnost i usporedivi elementi za izvješća o kvaliteti. Ti se provedbeni akti donose u skladu s postupkom ispitivanja iz članka 11. stavka 2.</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9. (prilagođeno)</w:t>
      </w:r>
    </w:p>
    <w:p>
      <w:pPr>
        <w:pStyle w:val="Titrearticle"/>
        <w:rPr>
          <w:noProof/>
        </w:rPr>
      </w:pPr>
      <w:r>
        <w:rPr>
          <w:noProof/>
        </w:rPr>
        <w:t>Članak 9.</w:t>
      </w:r>
    </w:p>
    <w:p>
      <w:pPr>
        <w:pStyle w:val="NormalCentered"/>
        <w:keepNext/>
        <w:rPr>
          <w:b/>
          <w:bCs/>
          <w:noProof/>
        </w:rPr>
      </w:pPr>
      <w:r>
        <w:rPr>
          <w:b/>
          <w:bCs/>
          <w:noProof/>
        </w:rPr>
        <w:t>Izvješća o provedbi</w:t>
      </w:r>
    </w:p>
    <w:p>
      <w:pPr>
        <w:rPr>
          <w:noProof/>
        </w:rPr>
      </w:pPr>
      <w:r>
        <w:rPr>
          <w:noProof/>
        </w:rPr>
        <w:t>Komisija do 31. prosinca 2020. te zatim svakih pet godina, nakon savjetovanja s Odborom za Europski statistički sustav, Europskom parlamentu i Vijeću podnosi izvješće o provedbi ove Uredbe i budućim promjenama.</w:t>
      </w:r>
    </w:p>
    <w:p>
      <w:pPr>
        <w:rPr>
          <w:noProof/>
        </w:rPr>
      </w:pPr>
      <w:r>
        <w:rPr>
          <w:noProof/>
        </w:rPr>
        <w:t xml:space="preserve">U tom izvješću Komisija uzima u obzir odgovarajuće informacije koje su dostavile države članice o potencijalnim poboljšanjima i potrebama korisnika. U tom se izvješću posebno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ocjenjuju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pStyle w:val="Point0"/>
        <w:rPr>
          <w:noProof/>
        </w:rPr>
      </w:pPr>
      <w:r>
        <w:rPr>
          <w:noProof/>
        </w:rPr>
        <w:t>(a)</w:t>
      </w:r>
      <w:r>
        <w:rPr>
          <w:noProof/>
        </w:rPr>
        <w:tab/>
        <w:t>prednosti koje su dobivenom statistikom nastale za Uniju, države članice te pružatelje i korisnike statističkih informacija u odnosu na njezine troškove;</w:t>
      </w:r>
    </w:p>
    <w:p>
      <w:pPr>
        <w:pStyle w:val="Point0"/>
        <w:rPr>
          <w:noProof/>
        </w:rPr>
      </w:pPr>
      <w:r>
        <w:rPr>
          <w:noProof/>
        </w:rPr>
        <w:t>(b)</w:t>
      </w:r>
      <w:r>
        <w:rPr>
          <w:noProof/>
        </w:rPr>
        <w:tab/>
        <w:t>kvaliteta dostavljenih podataka i upotrijebljene metode za prikupljanje podataka.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10.</w:t>
      </w:r>
    </w:p>
    <w:p>
      <w:pPr>
        <w:pStyle w:val="Titrearticle"/>
        <w:rPr>
          <w:noProof/>
        </w:rPr>
      </w:pPr>
      <w:r>
        <w:rPr>
          <w:noProof/>
        </w:rPr>
        <w:t>Članak 10.</w:t>
      </w:r>
    </w:p>
    <w:p>
      <w:pPr>
        <w:pStyle w:val="NormalCentered"/>
        <w:keepNext/>
        <w:rPr>
          <w:b/>
          <w:bCs/>
          <w:noProof/>
        </w:rPr>
      </w:pPr>
      <w:r>
        <w:rPr>
          <w:b/>
          <w:bCs/>
          <w:noProof/>
        </w:rPr>
        <w:t>Izvršavanje delegiranja ovlasti</w:t>
      </w:r>
    </w:p>
    <w:p>
      <w:pPr>
        <w:rPr>
          <w:noProof/>
        </w:rPr>
      </w:pPr>
      <w:r>
        <w:rPr>
          <w:noProof/>
        </w:rPr>
        <w:t>1. Ovlast za donošenje delegiranih akata dodjeljuje se Komisiji podložno uvjetima utvrđenima u ovom članku.</w:t>
      </w:r>
    </w:p>
    <w:p>
      <w:pPr>
        <w:rPr>
          <w:noProof/>
        </w:rPr>
      </w:pPr>
      <w:r>
        <w:rPr>
          <w:noProof/>
        </w:rPr>
        <w:t>2. Ovlast za donošenje delegiranih akata iz članka 2. stavka 5., članka 3. i članka 4. stavka 4. dodjeljuje se Komisiji na razdoblje od pet godina počevši od 7. prosinca 2016. Komisija izrađuje izvješće o delegiranju ovlasti najkasnije devet mjeseci prije isteka razdoblja od pet godina. Delegiranje ovlasti prešutno se produljuje za razdoblja jednakog trajanja, osim ako se Europski parlament ili Vijeće tom produljenju usprotive najkasnije tri mjeseca prije kraja svakog razdoblja.</w:t>
      </w:r>
    </w:p>
    <w:p>
      <w:pPr>
        <w:rPr>
          <w:noProof/>
        </w:rPr>
      </w:pPr>
      <w:r>
        <w:rPr>
          <w:noProof/>
        </w:rPr>
        <w:t xml:space="preserve">3. Europski parlament ili Vijeće u svakom trenutku mogu opozvati delegiranje ovlasti iz članka 2. stavka 5., članka 3. i članka 4. stavka 4. Odlukom o opozivu prekida se delegiranje ovlasti koje je u njoj navedeno. Opoziv proizvoditi učinke sljedećeg dana od dana objave spomenute odluke u </w:t>
      </w:r>
      <w:r>
        <w:rPr>
          <w:i/>
          <w:iCs/>
          <w:noProof/>
        </w:rPr>
        <w:t>Službenom listu Europske unije</w:t>
      </w:r>
      <w:r>
        <w:rPr>
          <w:noProof/>
        </w:rPr>
        <w:t xml:space="preserve"> ili na kasniji dan naveden u spomenutoj odluci. On ne utječe na valjanost delegiranih akata koji su već na snazi.</w:t>
      </w:r>
    </w:p>
    <w:p>
      <w:pPr>
        <w:rPr>
          <w:noProof/>
        </w:rPr>
      </w:pPr>
      <w:r>
        <w:rPr>
          <w:noProof/>
        </w:rPr>
        <w:t>4. Prije donošenja delegiranog akta Komisija se savjetuje sa stručnjacima koje je imenovala svaka država članica u skladu s načelima utvrđenima u Međuinstitucijskom sporazumu o boljoj izradi zakonodavstva od 13. travnja 2016.</w:t>
      </w:r>
    </w:p>
    <w:p>
      <w:pPr>
        <w:rPr>
          <w:noProof/>
        </w:rPr>
      </w:pPr>
      <w:r>
        <w:rPr>
          <w:noProof/>
        </w:rPr>
        <w:t>5. Čim donese delegirani akt, Komisija ga istodobno priopćuje Europskom parlamentu i Vijeću.</w:t>
      </w:r>
    </w:p>
    <w:p>
      <w:pPr>
        <w:rPr>
          <w:noProof/>
        </w:rPr>
      </w:pPr>
      <w:r>
        <w:rPr>
          <w:noProof/>
        </w:rPr>
        <w:t>6. Delegirani akt donesen na temelju članka 2. stavka 5., članka 3. ili članka 4. stavka 4. stupa na snagu samo ako Europski parlament ili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2016/1954 čl. 1. toč. 11.</w:t>
      </w:r>
    </w:p>
    <w:p>
      <w:pPr>
        <w:pStyle w:val="Titrearticle"/>
        <w:rPr>
          <w:noProof/>
        </w:rPr>
      </w:pPr>
      <w:r>
        <w:rPr>
          <w:noProof/>
        </w:rPr>
        <w:t>Članak 11.</w:t>
      </w:r>
    </w:p>
    <w:p>
      <w:pPr>
        <w:pStyle w:val="NormalCentered"/>
        <w:keepNext/>
        <w:rPr>
          <w:b/>
          <w:bCs/>
          <w:noProof/>
        </w:rPr>
      </w:pPr>
      <w:r>
        <w:rPr>
          <w:b/>
          <w:bCs/>
          <w:noProof/>
        </w:rPr>
        <w:t>Postupak odbora</w:t>
      </w:r>
    </w:p>
    <w:p>
      <w:pPr>
        <w:rPr>
          <w:noProof/>
        </w:rPr>
      </w:pPr>
      <w:r>
        <w:rPr>
          <w:noProof/>
        </w:rPr>
        <w:t>1. Komisiji pomaže Odbor za Europski statistički sustav osnovan Uredbom (EZ) br. 223/2009. Navedeni odbor je odbor u smislu Uredbe (EU) br. 182/2011.</w:t>
      </w:r>
    </w:p>
    <w:p>
      <w:pPr>
        <w:rPr>
          <w:noProof/>
        </w:rPr>
      </w:pPr>
      <w:r>
        <w:rPr>
          <w:noProof/>
        </w:rPr>
        <w:t>2. Pri upućivanju na ovaj stavak primjenjuje se članak 5. Uredbe (EU) br. 182/2011.</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w:t>
      </w:r>
    </w:p>
    <w:p>
      <w:pPr>
        <w:pStyle w:val="Titrearticle"/>
        <w:rPr>
          <w:noProof/>
        </w:rPr>
      </w:pPr>
      <w:r>
        <w:rPr>
          <w:noProof/>
        </w:rPr>
        <w:t>Članak 12.</w:t>
      </w:r>
    </w:p>
    <w:p>
      <w:pPr>
        <w:pStyle w:val="NormalCentered"/>
        <w:keepNext/>
        <w:rPr>
          <w:b/>
          <w:bCs/>
          <w:noProof/>
        </w:rPr>
      </w:pPr>
      <w:r>
        <w:rPr>
          <w:b/>
          <w:bCs/>
          <w:noProof/>
        </w:rPr>
        <w:t>Stavljanje izvan snage</w:t>
      </w:r>
    </w:p>
    <w:p>
      <w:pPr>
        <w:rPr>
          <w:noProof/>
        </w:rPr>
      </w:pPr>
      <w:r>
        <w:rPr>
          <w:noProof/>
        </w:rPr>
        <w:t>Uredba (EZ) br. 1365/2006 stavlja se izvan snage.</w:t>
      </w:r>
    </w:p>
    <w:p>
      <w:pPr>
        <w:rPr>
          <w:noProof/>
        </w:rPr>
      </w:pPr>
      <w:r>
        <w:rPr>
          <w:noProof/>
        </w:rPr>
        <w:t>Upućivanja na Uredbu stavljenu izvan snage smatraju se upućivanjima na ovu Uredbu i čitaju se u skladu s korelacijskom tablicom iz Priloga VIII.</w:t>
      </w:r>
    </w:p>
    <w:p>
      <w:pPr>
        <w:pStyle w:val="CRSeparator"/>
        <w:rPr>
          <w:noProof/>
          <w:lang w:val="hr-HR"/>
        </w:rPr>
      </w:pPr>
    </w:p>
    <w:p>
      <w:pPr>
        <w:pStyle w:val="CRReference"/>
        <w:rPr>
          <w:noProof/>
          <w:lang w:val="hr-HR"/>
        </w:rPr>
      </w:pPr>
      <w:r>
        <w:rPr>
          <w:noProof/>
          <w:lang w:val="hr-HR"/>
        </w:rPr>
        <w:fldChar w:fldCharType="begin"/>
      </w:r>
      <w:r>
        <w:rPr>
          <w:noProof/>
          <w:lang w:val="hr-HR"/>
        </w:rPr>
        <w:instrText xml:space="preserve"> QUOTE "</w:instrText>
      </w:r>
      <w:r>
        <w:rPr>
          <w:rStyle w:val="CRMarker"/>
          <w:noProof/>
          <w:lang w:val="hr-HR"/>
        </w:rPr>
        <w:instrText>ê</w:instrText>
      </w:r>
      <w:r>
        <w:rPr>
          <w:noProof/>
          <w:lang w:val="hr-HR"/>
        </w:rPr>
        <w:instrText xml:space="preserve">" </w:instrText>
      </w:r>
      <w:r>
        <w:rPr>
          <w:noProof/>
          <w:lang w:val="hr-HR"/>
        </w:rPr>
        <w:fldChar w:fldCharType="separate"/>
      </w:r>
      <w:r>
        <w:rPr>
          <w:rStyle w:val="CRMarker"/>
          <w:noProof/>
          <w:lang w:val="hr-HR"/>
        </w:rPr>
        <w:t>ê</w:t>
      </w:r>
      <w:r>
        <w:rPr>
          <w:noProof/>
          <w:lang w:val="hr-HR"/>
        </w:rPr>
        <w:fldChar w:fldCharType="end"/>
      </w:r>
      <w:r>
        <w:rPr>
          <w:noProof/>
          <w:lang w:val="hr-HR"/>
        </w:rPr>
        <w:t> 1365/2006</w:t>
      </w:r>
    </w:p>
    <w:p>
      <w:pPr>
        <w:pStyle w:val="Titrearticle"/>
        <w:rPr>
          <w:noProof/>
        </w:rPr>
      </w:pPr>
      <w:r>
        <w:rPr>
          <w:noProof/>
        </w:rPr>
        <w:t>Članak 13.</w:t>
      </w:r>
    </w:p>
    <w:p>
      <w:pPr>
        <w:pStyle w:val="NormalCentered"/>
        <w:keepNext/>
        <w:rPr>
          <w:b/>
          <w:bCs/>
          <w:noProof/>
        </w:rPr>
      </w:pPr>
      <w:r>
        <w:rPr>
          <w:b/>
          <w:bCs/>
          <w:noProof/>
        </w:rPr>
        <w:t>Stupanje na snagu</w:t>
      </w:r>
    </w:p>
    <w:p>
      <w:pPr>
        <w:rPr>
          <w:noProof/>
        </w:rPr>
      </w:pPr>
      <w:r>
        <w:rPr>
          <w:noProof/>
        </w:rPr>
        <w:t xml:space="preserve">Ova Uredba stupa na snagu dvadesetog dana od dana objave u </w:t>
      </w:r>
      <w:r>
        <w:rPr>
          <w:i/>
          <w:iCs/>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6" w:h="16838"/>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 xml:space="preserve">COM(87) </w:t>
      </w:r>
      <w:r>
        <w:t>868</w:t>
      </w:r>
      <w:r>
        <w:rPr>
          <w:lang w:val="en-US"/>
        </w:rPr>
        <w:t xml:space="preserve"> PV.</w:t>
      </w:r>
    </w:p>
  </w:footnote>
  <w:footnote w:id="2">
    <w:p>
      <w:pPr>
        <w:pStyle w:val="FootnoteText"/>
        <w:rPr>
          <w:lang w:val="en-US"/>
        </w:rPr>
      </w:pPr>
      <w:r>
        <w:rPr>
          <w:rStyle w:val="FootnoteReference"/>
        </w:rPr>
        <w:footnoteRef/>
      </w:r>
      <w:r>
        <w:rPr>
          <w:lang w:val="en-US"/>
        </w:rPr>
        <w:tab/>
        <w:t xml:space="preserve">Vidi Prilog 3. </w:t>
      </w:r>
      <w:r>
        <w:t>dijelu</w:t>
      </w:r>
      <w:r>
        <w:rPr>
          <w:lang w:val="en-US"/>
        </w:rPr>
        <w:t xml:space="preserve"> A. Zaključaka.</w:t>
      </w:r>
    </w:p>
  </w:footnote>
  <w:footnote w:id="3">
    <w:p>
      <w:pPr>
        <w:pStyle w:val="FootnoteText"/>
        <w:rPr>
          <w:lang w:val="pl-PL"/>
        </w:rPr>
      </w:pPr>
      <w:r>
        <w:rPr>
          <w:rStyle w:val="FootnoteReference"/>
        </w:rPr>
        <w:footnoteRef/>
      </w:r>
      <w:r>
        <w:rPr>
          <w:lang w:val="pl-PL"/>
        </w:rPr>
        <w:tab/>
        <w:t>Unesena u zakonodavni program za 2017.</w:t>
      </w:r>
    </w:p>
  </w:footnote>
  <w:footnote w:id="4">
    <w:p>
      <w:pPr>
        <w:pStyle w:val="FootnoteText"/>
        <w:rPr>
          <w:lang w:val="pl-PL"/>
        </w:rPr>
      </w:pPr>
      <w:r>
        <w:rPr>
          <w:rStyle w:val="FootnoteReference"/>
        </w:rPr>
        <w:footnoteRef/>
      </w:r>
      <w:r>
        <w:rPr>
          <w:lang w:val="pl-PL"/>
        </w:rPr>
        <w:tab/>
        <w:t xml:space="preserve">Vidi Prilog VII. ovom prijedlogu. </w:t>
      </w:r>
    </w:p>
  </w:footnote>
  <w:footnote w:id="5">
    <w:p>
      <w:pPr>
        <w:pStyle w:val="FootnoteText"/>
        <w:rPr>
          <w:lang w:val="pl-PL"/>
        </w:rPr>
      </w:pPr>
      <w:r>
        <w:rPr>
          <w:rStyle w:val="FootnoteReference"/>
        </w:rPr>
        <w:footnoteRef/>
      </w:r>
      <w:r>
        <w:tab/>
        <w:t>SL C […], […], str. […].</w:t>
      </w:r>
    </w:p>
  </w:footnote>
  <w:footnote w:id="6">
    <w:p>
      <w:pPr>
        <w:pStyle w:val="FootnoteText"/>
        <w:rPr>
          <w:rFonts w:eastAsia="Times New Roman"/>
        </w:rPr>
      </w:pPr>
      <w:r>
        <w:rPr>
          <w:rStyle w:val="FootnoteReference"/>
        </w:rPr>
        <w:footnoteRef/>
      </w:r>
      <w:r>
        <w:rPr>
          <w:lang w:val="pl-PL"/>
        </w:rPr>
        <w:tab/>
      </w:r>
      <w:r>
        <w:rPr>
          <w:rFonts w:eastAsia="Times New Roman"/>
          <w:bCs/>
        </w:rPr>
        <w:t>Uredba (EZ) br. 1365/2006 Europskog parlamenta i Vijeća od 6. rujna 2006. o statistici prijevoza robe na unutarnjim vodnim putovima i o stavljanju izvan snage Direktive Vijeća 80/1119/EEZ</w:t>
      </w:r>
      <w:r>
        <w:rPr>
          <w:rFonts w:eastAsia="Times New Roman"/>
        </w:rPr>
        <w:t xml:space="preserve"> (</w:t>
      </w:r>
      <w:r>
        <w:rPr>
          <w:rFonts w:eastAsia="Times New Roman"/>
          <w:iCs/>
        </w:rPr>
        <w:t>SL L 264, 25.9.2006., str. 1.).</w:t>
      </w:r>
    </w:p>
  </w:footnote>
  <w:footnote w:id="7">
    <w:p>
      <w:pPr>
        <w:pStyle w:val="FootnoteText"/>
      </w:pPr>
      <w:r>
        <w:rPr>
          <w:rStyle w:val="FootnoteReference"/>
        </w:rPr>
        <w:footnoteRef/>
      </w:r>
      <w:r>
        <w:tab/>
        <w:t>Vidi Prilog VII.</w:t>
      </w:r>
    </w:p>
  </w:footnote>
  <w:footnote w:id="8">
    <w:p>
      <w:pPr>
        <w:pStyle w:val="FootnoteText"/>
        <w:rPr>
          <w:rFonts w:eastAsia="Times New Roman"/>
        </w:rPr>
      </w:pPr>
      <w:r>
        <w:rPr>
          <w:rStyle w:val="FootnoteReference"/>
        </w:rPr>
        <w:footnoteRef/>
      </w:r>
      <w:r>
        <w:tab/>
      </w:r>
      <w:r>
        <w:rPr>
          <w:rFonts w:eastAsia="Times New Roman"/>
          <w:bCs/>
        </w:rPr>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Tekst značajan za EGP</w:t>
      </w:r>
      <w:r>
        <w:rPr>
          <w:rFonts w:eastAsia="Times New Roman"/>
        </w:rPr>
        <w:t xml:space="preserve"> (</w:t>
      </w:r>
      <w:r>
        <w:rPr>
          <w:rFonts w:eastAsia="Times New Roman"/>
          <w:iCs/>
        </w:rPr>
        <w:t>SL L 87, 31.3.2009., str. 164.).</w:t>
      </w:r>
    </w:p>
  </w:footnote>
  <w:footnote w:id="9">
    <w:p>
      <w:pPr>
        <w:pStyle w:val="FootnoteText"/>
      </w:pPr>
      <w:r>
        <w:rPr>
          <w:rStyle w:val="FootnoteReference"/>
        </w:rPr>
        <w:footnoteRef/>
      </w:r>
      <w:r>
        <w:tab/>
      </w:r>
      <w:r>
        <w:rPr>
          <w:rFonts w:eastAsia="Times New Roman"/>
          <w:iCs/>
        </w:rPr>
        <w:t>SL L 123., 12.5.2016., str. 1.</w:t>
      </w:r>
    </w:p>
  </w:footnote>
  <w:footnote w:id="10">
    <w:p>
      <w:pPr>
        <w:pStyle w:val="FootnoteText"/>
        <w:rPr>
          <w:rFonts w:eastAsia="Times New Roman"/>
        </w:rPr>
      </w:pPr>
      <w:r>
        <w:rPr>
          <w:rStyle w:val="FootnoteReference"/>
        </w:rPr>
        <w:footnoteRef/>
      </w:r>
      <w:r>
        <w:tab/>
      </w:r>
      <w:r>
        <w:rPr>
          <w:rFonts w:eastAsia="Times New Roman"/>
          <w:bCs/>
        </w:rPr>
        <w:t>Uredba (EZ) br. 182/2011 Europskog parlamenta i Vijeća od 16. veljače 2011. o utvrđivanju pravila i općih načela u vezi s mehanizmima nadzora država članica nad izvršavanjem provedbenih ovlasti Komisije</w:t>
      </w:r>
      <w:r>
        <w:rPr>
          <w:rFonts w:eastAsia="Times New Roman"/>
        </w:rPr>
        <w:t xml:space="preserve"> (</w:t>
      </w:r>
      <w:r>
        <w:rPr>
          <w:rFonts w:eastAsia="Times New Roman"/>
          <w:iCs/>
        </w:rPr>
        <w:t>SL L 55, 28.2.2011., str. 13.).</w:t>
      </w:r>
    </w:p>
  </w:footnote>
  <w:footnote w:id="11">
    <w:p>
      <w:pPr>
        <w:pStyle w:val="FootnoteText"/>
        <w:rPr>
          <w:rFonts w:eastAsia="Times New Roman"/>
        </w:rPr>
      </w:pPr>
      <w:r>
        <w:rPr>
          <w:rStyle w:val="FootnoteReference"/>
        </w:rPr>
        <w:footnoteRef/>
      </w:r>
      <w:r>
        <w:tab/>
      </w:r>
      <w:r>
        <w:rPr>
          <w:rFonts w:eastAsia="Times New Roman"/>
          <w:bCs/>
        </w:rPr>
        <w:t>Uredba (EU, Euratom) br. 966/2012 Europskog parlamenta i Vijeća od 25. listopada 2012. o financijskim pravilima koja se primjenjuju na opći proračun Unije i o stavljanju izvan snage Uredbe Vijeća (EZ, Euratom) br. 1605/2002</w:t>
      </w:r>
      <w:r>
        <w:rPr>
          <w:rFonts w:eastAsia="Times New Roman"/>
        </w:rPr>
        <w:t xml:space="preserve"> (</w:t>
      </w:r>
      <w:r>
        <w:rPr>
          <w:rFonts w:eastAsia="Times New Roman"/>
          <w:iCs/>
        </w:rPr>
        <w:t>SL L 298, 26.10.2012.,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6A36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52A69F0"/>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E0291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94044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CCC50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1A63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D042AF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0A3015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4"/>
  </w:num>
  <w:num w:numId="8">
    <w:abstractNumId w:val="3"/>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Ref0" w:val=", "/>
    <w:docVar w:name="CR_Ref1" w:val="425/2007"/>
    <w:docVar w:name="CR_Ref2" w:val="1304/2007"/>
    <w:docVar w:name="CR_Ref3" w:val="1954/2016"/>
    <w:docVar w:name="CR_Ref4" w:val="1365/2006"/>
    <w:docVar w:name="CR_Ref5" w:val="2016/1954"/>
    <w:docVar w:name="CR_RefCount" w:val="6"/>
    <w:docVar w:name="CR_RefLast" w:val="6"/>
    <w:docVar w:name="CR_TimeStamp" w:val="10:12:15"/>
    <w:docVar w:name="DQCDateTime" w:val="2017-08-16 10:12: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NFIDENCE" w:val=" "/>
    <w:docVar w:name="LW_CONST_RESTREINT_UE" w:val="RESTREINT UE"/>
    <w:docVar w:name="LW_CORRIGENDUM" w:val="&lt;UNUSED&gt;"/>
    <w:docVar w:name="LW_COVERPAGE_GUID" w:val="240CA1E9C73048DE85EF1C8BE8DEBB21"/>
    <w:docVar w:name="LW_CROSSREFERENCE" w:val="&lt;UNUSED&gt;"/>
    <w:docVar w:name="LW_DocType" w:val="COM"/>
    <w:docVar w:name="LW_EMISSION" w:val="26.9.2017."/>
    <w:docVar w:name="LW_EMISSION_ISODATE" w:val="2017-09-26"/>
    <w:docVar w:name="LW_EMISSION_LOCATION" w:val="BRX"/>
    <w:docVar w:name="LW_EMISSION_PREFIX" w:val="Bruxelles, "/>
    <w:docVar w:name="LW_EMISSION_SUFFIX" w:val="&lt;EMPTY&gt;"/>
    <w:docVar w:name="LW_FAITA" w:val="&lt;UNUSED&gt;"/>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PERS.SIGNE" w:val="&lt;UNUSED&gt;"/>
    <w:docVar w:name="LW_REF.II.NEW.CP" w:val="COD"/>
    <w:docVar w:name="LW_REF.II.NEW.CP_NUMBER" w:val="0226"/>
    <w:docVar w:name="LW_REF.II.NEW.CP_YEAR" w:val="2013"/>
    <w:docVar w:name="LW_REF.INST.NEW" w:val="COM"/>
    <w:docVar w:name="LW_REF.INST.NEW_ADOPTED" w:val="final"/>
    <w:docVar w:name="LW_REF.INST.NEW_TEXT" w:val="(2017) 545"/>
    <w:docVar w:name="LW_REF.INTERNE" w:val="&lt;UNUSED&gt;"/>
    <w:docVar w:name="LW_SOUS.TITRE.OBJ.CP" w:val="&lt;UNUSED&gt;"/>
    <w:docVar w:name="LW_STATUT.CP" w:val="Prijedlog"/>
    <w:docVar w:name="LW_SUPERTITRE" w:val="&lt;UNUSED&gt;"/>
    <w:docVar w:name="LW_TITRE.OBJ.CP" w:val="o statistici prijevoza robe na unutarnjim vodnim putovima_x000b_(kodificirani tekst)"/>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hr-H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lang w:val="hr-HR" w:eastAsia="en-US"/>
    </w:rPr>
  </w:style>
  <w:style w:type="character" w:customStyle="1" w:styleId="CRDeleted">
    <w:name w:val="CR Deleted"/>
    <w:basedOn w:val="DefaultParagraphFont"/>
    <w:rPr>
      <w:strike w:val="0"/>
      <w:dstrike/>
    </w:rPr>
  </w:style>
  <w:style w:type="paragraph" w:customStyle="1" w:styleId="Normal1">
    <w:name w:val="Normal1"/>
    <w:basedOn w:val="Normal"/>
    <w:pPr>
      <w:spacing w:after="0"/>
    </w:pPr>
    <w:rPr>
      <w:rFonts w:eastAsia="Times New Roman"/>
      <w:szCs w:val="24"/>
      <w:lang w:val="en-GB"/>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character" w:customStyle="1" w:styleId="CRMinorChangeAdded">
    <w:name w:val="CR Minor Change Added"/>
    <w:basedOn w:val="DefaultParagraphFont"/>
    <w:rPr>
      <w:noProof w:val="0"/>
      <w:u w:val="double"/>
      <w:lang w:val="hr-HR"/>
    </w:rPr>
  </w:style>
  <w:style w:type="character" w:customStyle="1" w:styleId="CRMinorChangeDeleted">
    <w:name w:val="CR Minor Change Deleted"/>
    <w:basedOn w:val="DefaultParagraphFont"/>
    <w:rPr>
      <w:rFonts w:eastAsia="Calibri"/>
      <w:strike w:val="0"/>
      <w:dstrike/>
      <w:color w:val="auto"/>
      <w:szCs w:val="22"/>
      <w:u w:val="double"/>
      <w:lang w:eastAsia="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val="hr-HR"/>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hr-HR"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hr-H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character" w:customStyle="1" w:styleId="CRRefNum">
    <w:name w:val="CR RefNum"/>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3"/>
      </w:numPr>
      <w:contextualSpacing/>
    </w:pPr>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lang w:val="hr-HR" w:eastAsia="en-US"/>
    </w:rPr>
  </w:style>
  <w:style w:type="character" w:customStyle="1" w:styleId="CRDeleted">
    <w:name w:val="CR Deleted"/>
    <w:basedOn w:val="DefaultParagraphFont"/>
    <w:rPr>
      <w:strike w:val="0"/>
      <w:dstrike/>
    </w:rPr>
  </w:style>
  <w:style w:type="paragraph" w:customStyle="1" w:styleId="Normal1">
    <w:name w:val="Normal1"/>
    <w:basedOn w:val="Normal"/>
    <w:pPr>
      <w:spacing w:after="0"/>
    </w:pPr>
    <w:rPr>
      <w:rFonts w:eastAsia="Times New Roman"/>
      <w:szCs w:val="24"/>
      <w:lang w:val="en-GB"/>
    </w:rPr>
  </w:style>
  <w:style w:type="character" w:customStyle="1" w:styleId="super">
    <w:name w:val="super"/>
    <w:basedOn w:val="DefaultParagraphFont"/>
    <w:rPr>
      <w:sz w:val="17"/>
      <w:szCs w:val="17"/>
      <w:vertAlign w:val="superscript"/>
    </w:rPr>
  </w:style>
  <w:style w:type="character" w:styleId="Hyperlink">
    <w:name w:val="Hyperlink"/>
    <w:basedOn w:val="DefaultParagraphFont"/>
    <w:uiPriority w:val="99"/>
    <w:unhideWhenUsed/>
    <w:rPr>
      <w:color w:val="0000FF"/>
      <w:u w:val="single"/>
    </w:rPr>
  </w:style>
  <w:style w:type="character" w:customStyle="1" w:styleId="CRMinorChangeAdded">
    <w:name w:val="CR Minor Change Added"/>
    <w:basedOn w:val="DefaultParagraphFont"/>
    <w:rPr>
      <w:noProof w:val="0"/>
      <w:u w:val="double"/>
      <w:lang w:val="hr-HR"/>
    </w:rPr>
  </w:style>
  <w:style w:type="character" w:customStyle="1" w:styleId="CRMinorChangeDeleted">
    <w:name w:val="CR Minor Change Deleted"/>
    <w:basedOn w:val="DefaultParagraphFont"/>
    <w:rPr>
      <w:rFonts w:eastAsia="Calibri"/>
      <w:strike w:val="0"/>
      <w:dstrike/>
      <w:color w:val="auto"/>
      <w:szCs w:val="22"/>
      <w:u w:val="double"/>
      <w:lang w:eastAsia="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val="hr-HR"/>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hr-HR"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662">
      <w:bodyDiv w:val="1"/>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sChild>
            <w:div w:id="2138835600">
              <w:marLeft w:val="0"/>
              <w:marRight w:val="0"/>
              <w:marTop w:val="0"/>
              <w:marBottom w:val="0"/>
              <w:divBdr>
                <w:top w:val="none" w:sz="0" w:space="0" w:color="auto"/>
                <w:left w:val="none" w:sz="0" w:space="0" w:color="auto"/>
                <w:bottom w:val="none" w:sz="0" w:space="0" w:color="auto"/>
                <w:right w:val="none" w:sz="0" w:space="0" w:color="auto"/>
              </w:divBdr>
              <w:divsChild>
                <w:div w:id="833837019">
                  <w:marLeft w:val="0"/>
                  <w:marRight w:val="0"/>
                  <w:marTop w:val="0"/>
                  <w:marBottom w:val="0"/>
                  <w:divBdr>
                    <w:top w:val="none" w:sz="0" w:space="0" w:color="auto"/>
                    <w:left w:val="none" w:sz="0" w:space="0" w:color="auto"/>
                    <w:bottom w:val="none" w:sz="0" w:space="0" w:color="auto"/>
                    <w:right w:val="none" w:sz="0" w:space="0" w:color="auto"/>
                  </w:divBdr>
                  <w:divsChild>
                    <w:div w:id="114562044">
                      <w:marLeft w:val="1"/>
                      <w:marRight w:val="1"/>
                      <w:marTop w:val="0"/>
                      <w:marBottom w:val="0"/>
                      <w:divBdr>
                        <w:top w:val="none" w:sz="0" w:space="0" w:color="auto"/>
                        <w:left w:val="none" w:sz="0" w:space="0" w:color="auto"/>
                        <w:bottom w:val="none" w:sz="0" w:space="0" w:color="auto"/>
                        <w:right w:val="none" w:sz="0" w:space="0" w:color="auto"/>
                      </w:divBdr>
                      <w:divsChild>
                        <w:div w:id="275332003">
                          <w:marLeft w:val="0"/>
                          <w:marRight w:val="0"/>
                          <w:marTop w:val="0"/>
                          <w:marBottom w:val="0"/>
                          <w:divBdr>
                            <w:top w:val="none" w:sz="0" w:space="0" w:color="auto"/>
                            <w:left w:val="none" w:sz="0" w:space="0" w:color="auto"/>
                            <w:bottom w:val="none" w:sz="0" w:space="0" w:color="auto"/>
                            <w:right w:val="none" w:sz="0" w:space="0" w:color="auto"/>
                          </w:divBdr>
                          <w:divsChild>
                            <w:div w:id="1962420244">
                              <w:marLeft w:val="0"/>
                              <w:marRight w:val="0"/>
                              <w:marTop w:val="0"/>
                              <w:marBottom w:val="360"/>
                              <w:divBdr>
                                <w:top w:val="none" w:sz="0" w:space="0" w:color="auto"/>
                                <w:left w:val="none" w:sz="0" w:space="0" w:color="auto"/>
                                <w:bottom w:val="none" w:sz="0" w:space="0" w:color="auto"/>
                                <w:right w:val="none" w:sz="0" w:space="0" w:color="auto"/>
                              </w:divBdr>
                              <w:divsChild>
                                <w:div w:id="1486700515">
                                  <w:marLeft w:val="0"/>
                                  <w:marRight w:val="0"/>
                                  <w:marTop w:val="0"/>
                                  <w:marBottom w:val="0"/>
                                  <w:divBdr>
                                    <w:top w:val="none" w:sz="0" w:space="0" w:color="auto"/>
                                    <w:left w:val="none" w:sz="0" w:space="0" w:color="auto"/>
                                    <w:bottom w:val="none" w:sz="0" w:space="0" w:color="auto"/>
                                    <w:right w:val="none" w:sz="0" w:space="0" w:color="auto"/>
                                  </w:divBdr>
                                  <w:divsChild>
                                    <w:div w:id="1692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8065">
      <w:bodyDiv w:val="1"/>
      <w:marLeft w:val="0"/>
      <w:marRight w:val="0"/>
      <w:marTop w:val="0"/>
      <w:marBottom w:val="0"/>
      <w:divBdr>
        <w:top w:val="none" w:sz="0" w:space="0" w:color="auto"/>
        <w:left w:val="none" w:sz="0" w:space="0" w:color="auto"/>
        <w:bottom w:val="none" w:sz="0" w:space="0" w:color="auto"/>
        <w:right w:val="none" w:sz="0" w:space="0" w:color="auto"/>
      </w:divBdr>
      <w:divsChild>
        <w:div w:id="501579552">
          <w:marLeft w:val="0"/>
          <w:marRight w:val="0"/>
          <w:marTop w:val="0"/>
          <w:marBottom w:val="0"/>
          <w:divBdr>
            <w:top w:val="none" w:sz="0" w:space="0" w:color="auto"/>
            <w:left w:val="none" w:sz="0" w:space="0" w:color="auto"/>
            <w:bottom w:val="none" w:sz="0" w:space="0" w:color="auto"/>
            <w:right w:val="none" w:sz="0" w:space="0" w:color="auto"/>
          </w:divBdr>
          <w:divsChild>
            <w:div w:id="1663120365">
              <w:marLeft w:val="0"/>
              <w:marRight w:val="0"/>
              <w:marTop w:val="0"/>
              <w:marBottom w:val="0"/>
              <w:divBdr>
                <w:top w:val="none" w:sz="0" w:space="0" w:color="auto"/>
                <w:left w:val="none" w:sz="0" w:space="0" w:color="auto"/>
                <w:bottom w:val="none" w:sz="0" w:space="0" w:color="auto"/>
                <w:right w:val="none" w:sz="0" w:space="0" w:color="auto"/>
              </w:divBdr>
              <w:divsChild>
                <w:div w:id="1497068988">
                  <w:marLeft w:val="0"/>
                  <w:marRight w:val="0"/>
                  <w:marTop w:val="0"/>
                  <w:marBottom w:val="0"/>
                  <w:divBdr>
                    <w:top w:val="none" w:sz="0" w:space="0" w:color="auto"/>
                    <w:left w:val="none" w:sz="0" w:space="0" w:color="auto"/>
                    <w:bottom w:val="none" w:sz="0" w:space="0" w:color="auto"/>
                    <w:right w:val="none" w:sz="0" w:space="0" w:color="auto"/>
                  </w:divBdr>
                  <w:divsChild>
                    <w:div w:id="368840847">
                      <w:marLeft w:val="1"/>
                      <w:marRight w:val="1"/>
                      <w:marTop w:val="0"/>
                      <w:marBottom w:val="0"/>
                      <w:divBdr>
                        <w:top w:val="none" w:sz="0" w:space="0" w:color="auto"/>
                        <w:left w:val="none" w:sz="0" w:space="0" w:color="auto"/>
                        <w:bottom w:val="none" w:sz="0" w:space="0" w:color="auto"/>
                        <w:right w:val="none" w:sz="0" w:space="0" w:color="auto"/>
                      </w:divBdr>
                      <w:divsChild>
                        <w:div w:id="1608922980">
                          <w:marLeft w:val="0"/>
                          <w:marRight w:val="0"/>
                          <w:marTop w:val="0"/>
                          <w:marBottom w:val="0"/>
                          <w:divBdr>
                            <w:top w:val="none" w:sz="0" w:space="0" w:color="auto"/>
                            <w:left w:val="none" w:sz="0" w:space="0" w:color="auto"/>
                            <w:bottom w:val="none" w:sz="0" w:space="0" w:color="auto"/>
                            <w:right w:val="none" w:sz="0" w:space="0" w:color="auto"/>
                          </w:divBdr>
                          <w:divsChild>
                            <w:div w:id="1982344978">
                              <w:marLeft w:val="0"/>
                              <w:marRight w:val="0"/>
                              <w:marTop w:val="0"/>
                              <w:marBottom w:val="360"/>
                              <w:divBdr>
                                <w:top w:val="none" w:sz="0" w:space="0" w:color="auto"/>
                                <w:left w:val="none" w:sz="0" w:space="0" w:color="auto"/>
                                <w:bottom w:val="none" w:sz="0" w:space="0" w:color="auto"/>
                                <w:right w:val="none" w:sz="0" w:space="0" w:color="auto"/>
                              </w:divBdr>
                              <w:divsChild>
                                <w:div w:id="1409378434">
                                  <w:marLeft w:val="0"/>
                                  <w:marRight w:val="0"/>
                                  <w:marTop w:val="0"/>
                                  <w:marBottom w:val="0"/>
                                  <w:divBdr>
                                    <w:top w:val="none" w:sz="0" w:space="0" w:color="auto"/>
                                    <w:left w:val="none" w:sz="0" w:space="0" w:color="auto"/>
                                    <w:bottom w:val="none" w:sz="0" w:space="0" w:color="auto"/>
                                    <w:right w:val="none" w:sz="0" w:space="0" w:color="auto"/>
                                  </w:divBdr>
                                  <w:divsChild>
                                    <w:div w:id="18558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132257">
      <w:bodyDiv w:val="1"/>
      <w:marLeft w:val="0"/>
      <w:marRight w:val="0"/>
      <w:marTop w:val="0"/>
      <w:marBottom w:val="0"/>
      <w:divBdr>
        <w:top w:val="none" w:sz="0" w:space="0" w:color="auto"/>
        <w:left w:val="none" w:sz="0" w:space="0" w:color="auto"/>
        <w:bottom w:val="none" w:sz="0" w:space="0" w:color="auto"/>
        <w:right w:val="none" w:sz="0" w:space="0" w:color="auto"/>
      </w:divBdr>
      <w:divsChild>
        <w:div w:id="1057977089">
          <w:marLeft w:val="0"/>
          <w:marRight w:val="0"/>
          <w:marTop w:val="0"/>
          <w:marBottom w:val="0"/>
          <w:divBdr>
            <w:top w:val="none" w:sz="0" w:space="0" w:color="auto"/>
            <w:left w:val="none" w:sz="0" w:space="0" w:color="auto"/>
            <w:bottom w:val="none" w:sz="0" w:space="0" w:color="auto"/>
            <w:right w:val="none" w:sz="0" w:space="0" w:color="auto"/>
          </w:divBdr>
          <w:divsChild>
            <w:div w:id="77092958">
              <w:marLeft w:val="0"/>
              <w:marRight w:val="0"/>
              <w:marTop w:val="0"/>
              <w:marBottom w:val="0"/>
              <w:divBdr>
                <w:top w:val="none" w:sz="0" w:space="0" w:color="auto"/>
                <w:left w:val="none" w:sz="0" w:space="0" w:color="auto"/>
                <w:bottom w:val="none" w:sz="0" w:space="0" w:color="auto"/>
                <w:right w:val="none" w:sz="0" w:space="0" w:color="auto"/>
              </w:divBdr>
              <w:divsChild>
                <w:div w:id="672949635">
                  <w:marLeft w:val="0"/>
                  <w:marRight w:val="0"/>
                  <w:marTop w:val="0"/>
                  <w:marBottom w:val="0"/>
                  <w:divBdr>
                    <w:top w:val="none" w:sz="0" w:space="0" w:color="auto"/>
                    <w:left w:val="none" w:sz="0" w:space="0" w:color="auto"/>
                    <w:bottom w:val="none" w:sz="0" w:space="0" w:color="auto"/>
                    <w:right w:val="none" w:sz="0" w:space="0" w:color="auto"/>
                  </w:divBdr>
                  <w:divsChild>
                    <w:div w:id="1443497575">
                      <w:marLeft w:val="1"/>
                      <w:marRight w:val="1"/>
                      <w:marTop w:val="0"/>
                      <w:marBottom w:val="0"/>
                      <w:divBdr>
                        <w:top w:val="none" w:sz="0" w:space="0" w:color="auto"/>
                        <w:left w:val="none" w:sz="0" w:space="0" w:color="auto"/>
                        <w:bottom w:val="none" w:sz="0" w:space="0" w:color="auto"/>
                        <w:right w:val="none" w:sz="0" w:space="0" w:color="auto"/>
                      </w:divBdr>
                      <w:divsChild>
                        <w:div w:id="1523590679">
                          <w:marLeft w:val="0"/>
                          <w:marRight w:val="0"/>
                          <w:marTop w:val="0"/>
                          <w:marBottom w:val="0"/>
                          <w:divBdr>
                            <w:top w:val="none" w:sz="0" w:space="0" w:color="auto"/>
                            <w:left w:val="none" w:sz="0" w:space="0" w:color="auto"/>
                            <w:bottom w:val="none" w:sz="0" w:space="0" w:color="auto"/>
                            <w:right w:val="none" w:sz="0" w:space="0" w:color="auto"/>
                          </w:divBdr>
                          <w:divsChild>
                            <w:div w:id="698355578">
                              <w:marLeft w:val="0"/>
                              <w:marRight w:val="0"/>
                              <w:marTop w:val="0"/>
                              <w:marBottom w:val="360"/>
                              <w:divBdr>
                                <w:top w:val="none" w:sz="0" w:space="0" w:color="auto"/>
                                <w:left w:val="none" w:sz="0" w:space="0" w:color="auto"/>
                                <w:bottom w:val="none" w:sz="0" w:space="0" w:color="auto"/>
                                <w:right w:val="none" w:sz="0" w:space="0" w:color="auto"/>
                              </w:divBdr>
                              <w:divsChild>
                                <w:div w:id="1868447135">
                                  <w:marLeft w:val="0"/>
                                  <w:marRight w:val="0"/>
                                  <w:marTop w:val="0"/>
                                  <w:marBottom w:val="0"/>
                                  <w:divBdr>
                                    <w:top w:val="none" w:sz="0" w:space="0" w:color="auto"/>
                                    <w:left w:val="none" w:sz="0" w:space="0" w:color="auto"/>
                                    <w:bottom w:val="none" w:sz="0" w:space="0" w:color="auto"/>
                                    <w:right w:val="none" w:sz="0" w:space="0" w:color="auto"/>
                                  </w:divBdr>
                                  <w:divsChild>
                                    <w:div w:id="6951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30328">
      <w:bodyDiv w:val="1"/>
      <w:marLeft w:val="0"/>
      <w:marRight w:val="0"/>
      <w:marTop w:val="0"/>
      <w:marBottom w:val="0"/>
      <w:divBdr>
        <w:top w:val="none" w:sz="0" w:space="0" w:color="auto"/>
        <w:left w:val="none" w:sz="0" w:space="0" w:color="auto"/>
        <w:bottom w:val="none" w:sz="0" w:space="0" w:color="auto"/>
        <w:right w:val="none" w:sz="0" w:space="0" w:color="auto"/>
      </w:divBdr>
      <w:divsChild>
        <w:div w:id="1805658203">
          <w:marLeft w:val="0"/>
          <w:marRight w:val="0"/>
          <w:marTop w:val="0"/>
          <w:marBottom w:val="0"/>
          <w:divBdr>
            <w:top w:val="none" w:sz="0" w:space="0" w:color="auto"/>
            <w:left w:val="none" w:sz="0" w:space="0" w:color="auto"/>
            <w:bottom w:val="none" w:sz="0" w:space="0" w:color="auto"/>
            <w:right w:val="none" w:sz="0" w:space="0" w:color="auto"/>
          </w:divBdr>
          <w:divsChild>
            <w:div w:id="1099368932">
              <w:marLeft w:val="0"/>
              <w:marRight w:val="0"/>
              <w:marTop w:val="0"/>
              <w:marBottom w:val="0"/>
              <w:divBdr>
                <w:top w:val="none" w:sz="0" w:space="0" w:color="auto"/>
                <w:left w:val="none" w:sz="0" w:space="0" w:color="auto"/>
                <w:bottom w:val="none" w:sz="0" w:space="0" w:color="auto"/>
                <w:right w:val="none" w:sz="0" w:space="0" w:color="auto"/>
              </w:divBdr>
              <w:divsChild>
                <w:div w:id="1741437270">
                  <w:marLeft w:val="0"/>
                  <w:marRight w:val="0"/>
                  <w:marTop w:val="0"/>
                  <w:marBottom w:val="0"/>
                  <w:divBdr>
                    <w:top w:val="none" w:sz="0" w:space="0" w:color="auto"/>
                    <w:left w:val="none" w:sz="0" w:space="0" w:color="auto"/>
                    <w:bottom w:val="none" w:sz="0" w:space="0" w:color="auto"/>
                    <w:right w:val="none" w:sz="0" w:space="0" w:color="auto"/>
                  </w:divBdr>
                  <w:divsChild>
                    <w:div w:id="563612979">
                      <w:marLeft w:val="1"/>
                      <w:marRight w:val="1"/>
                      <w:marTop w:val="0"/>
                      <w:marBottom w:val="0"/>
                      <w:divBdr>
                        <w:top w:val="none" w:sz="0" w:space="0" w:color="auto"/>
                        <w:left w:val="none" w:sz="0" w:space="0" w:color="auto"/>
                        <w:bottom w:val="none" w:sz="0" w:space="0" w:color="auto"/>
                        <w:right w:val="none" w:sz="0" w:space="0" w:color="auto"/>
                      </w:divBdr>
                      <w:divsChild>
                        <w:div w:id="886642787">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360"/>
                              <w:divBdr>
                                <w:top w:val="none" w:sz="0" w:space="0" w:color="auto"/>
                                <w:left w:val="none" w:sz="0" w:space="0" w:color="auto"/>
                                <w:bottom w:val="none" w:sz="0" w:space="0" w:color="auto"/>
                                <w:right w:val="none" w:sz="0" w:space="0" w:color="auto"/>
                              </w:divBdr>
                              <w:divsChild>
                                <w:div w:id="329793076">
                                  <w:marLeft w:val="0"/>
                                  <w:marRight w:val="0"/>
                                  <w:marTop w:val="0"/>
                                  <w:marBottom w:val="0"/>
                                  <w:divBdr>
                                    <w:top w:val="none" w:sz="0" w:space="0" w:color="auto"/>
                                    <w:left w:val="none" w:sz="0" w:space="0" w:color="auto"/>
                                    <w:bottom w:val="none" w:sz="0" w:space="0" w:color="auto"/>
                                    <w:right w:val="none" w:sz="0" w:space="0" w:color="auto"/>
                                  </w:divBdr>
                                  <w:divsChild>
                                    <w:div w:id="1324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89192">
      <w:bodyDiv w:val="1"/>
      <w:marLeft w:val="390"/>
      <w:marRight w:val="390"/>
      <w:marTop w:val="0"/>
      <w:marBottom w:val="0"/>
      <w:divBdr>
        <w:top w:val="none" w:sz="0" w:space="0" w:color="auto"/>
        <w:left w:val="none" w:sz="0" w:space="0" w:color="auto"/>
        <w:bottom w:val="none" w:sz="0" w:space="0" w:color="auto"/>
        <w:right w:val="none" w:sz="0" w:space="0" w:color="auto"/>
      </w:divBdr>
    </w:div>
    <w:div w:id="171600753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HR/TXT/HTML/?uri=CELEX:32006R1365&amp;qid=1497962193705&amp;from=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HR/TXT/HTML/?uri=CELEX:32016R1954&amp;qid=1497963608193&amp;from=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20320-79A5-4430-9D05-766DF3F4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3090</Words>
  <Characters>17769</Characters>
  <Application>Microsoft Office Word</Application>
  <DocSecurity>0</DocSecurity>
  <Lines>386</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2017-08-16T08:13:00Z</cp:lastPrinted>
  <dcterms:created xsi:type="dcterms:W3CDTF">2017-08-16T08:12:00Z</dcterms:created>
  <dcterms:modified xsi:type="dcterms:W3CDTF">2017-09-26T07:09:00Z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1.6.413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LWCR IsRefonte">
    <vt:lpwstr>False</vt:lpwstr>
  </property>
  <property fmtid="{D5CDD505-2E9C-101B-9397-08002B2CF9AE}" pid="13" name="DQCStatus">
    <vt:lpwstr>Yellow (DQC version 03)</vt:lpwstr>
  </property>
</Properties>
</file>