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B9" w:rsidRDefault="00FE753F" w:rsidP="00FE753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3A4892470E1482D82E407EF8EC77D2D" style="width:450.75pt;height:446.25pt">
            <v:imagedata r:id="rId9" o:title=""/>
          </v:shape>
        </w:pict>
      </w:r>
    </w:p>
    <w:p w:rsidR="006F5AB9" w:rsidRDefault="006F5AB9">
      <w:pPr>
        <w:rPr>
          <w:noProof/>
        </w:rPr>
        <w:sectPr w:rsidR="006F5AB9" w:rsidSect="00FE753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F5AB9" w:rsidRDefault="00FE753F">
      <w:pPr>
        <w:pStyle w:val="Exposdesmotifstitre"/>
        <w:rPr>
          <w:noProof/>
        </w:rPr>
      </w:pPr>
      <w:bookmarkStart w:id="0" w:name="_GoBack"/>
      <w:bookmarkEnd w:id="0"/>
      <w:r>
        <w:rPr>
          <w:noProof/>
        </w:rPr>
        <w:lastRenderedPageBreak/>
        <w:t>ΑΙΤΙΟΛΟΓΙΚΗ ΕΚΘΕΣΗ</w:t>
      </w:r>
    </w:p>
    <w:p w:rsidR="006F5AB9" w:rsidRDefault="00FE753F">
      <w:pPr>
        <w:pStyle w:val="Point0"/>
        <w:rPr>
          <w:noProof/>
        </w:rPr>
      </w:pPr>
      <w:r>
        <w:rPr>
          <w:noProof/>
        </w:rPr>
        <w:t>1.</w:t>
      </w:r>
      <w:r>
        <w:rPr>
          <w:noProof/>
        </w:rPr>
        <w:tab/>
        <w:t xml:space="preserve">Στα πλαίσια της «Ευρώπης των πολιτών» η Επιτροπή αποδίδει ιδιαίτερη σημασία στην </w:t>
      </w:r>
      <w:r>
        <w:rPr>
          <w:noProof/>
        </w:rPr>
        <w:t xml:space="preserve">απλούστευση και τη σαφήνεια του δικαίου της Ένωσης, ώστε τούτο να καταστεί περισσότερο προσιτό και κατανοητό στον πολίτη, προσφέροντάς του, με τον τρόπο αυτό, νέες δυνατότητες και αναγνωρίζοντας τα συγκεκριμένα δικαιώματα που κάθε πολίτης είναι δυνατόν να </w:t>
      </w:r>
      <w:r>
        <w:rPr>
          <w:noProof/>
        </w:rPr>
        <w:t>απολαύει.</w:t>
      </w:r>
    </w:p>
    <w:p w:rsidR="006F5AB9" w:rsidRDefault="00FE753F">
      <w:pPr>
        <w:pStyle w:val="Text1"/>
        <w:rPr>
          <w:noProof/>
        </w:rPr>
      </w:pPr>
      <w:r>
        <w:rPr>
          <w:noProof/>
        </w:rPr>
        <w:t>Ο στόχος αυτός, όμως, δεν μπορεί να επιτευχθεί εφόσον εξακολουθούν να υφίστανται πολυάριθμες διατάξεις οι οποίες, έχοντας επανειλημμένα τροποποιηθεί, συχνά δε ουσιωδώς, βρίσκονται διασκορπισμένες, τόσο στην αρχική όσο και στις μεταγενέστερες τροπ</w:t>
      </w:r>
      <w:r>
        <w:rPr>
          <w:noProof/>
        </w:rPr>
        <w:t>οποιητικές πράξεις. Απαιτείται λοιπόν η διερεύνηση και σύγκριση μεγάλου αριθμού πράξεων για να προσδιορίζονται οι ισχύουσες διατάξεις.</w:t>
      </w:r>
    </w:p>
    <w:p w:rsidR="006F5AB9" w:rsidRDefault="00FE753F">
      <w:pPr>
        <w:pStyle w:val="Text1"/>
        <w:rPr>
          <w:noProof/>
        </w:rPr>
      </w:pPr>
      <w:r>
        <w:rPr>
          <w:noProof/>
        </w:rPr>
        <w:t>Ως εκ τούτου, η σαφήνεια και η διαφάνεια του δικαίου εξαρτώνται επίσης από την κωδικοποίηση των τροποποιημένων πράξεων.</w:t>
      </w:r>
    </w:p>
    <w:p w:rsidR="006F5AB9" w:rsidRDefault="00FE753F">
      <w:pPr>
        <w:pStyle w:val="Point0"/>
        <w:rPr>
          <w:noProof/>
        </w:rPr>
      </w:pPr>
      <w:r>
        <w:rPr>
          <w:noProof/>
        </w:rPr>
        <w:t>2</w:t>
      </w:r>
      <w:r>
        <w:rPr>
          <w:noProof/>
        </w:rPr>
        <w:t>.</w:t>
      </w:r>
      <w:r>
        <w:rPr>
          <w:noProof/>
        </w:rPr>
        <w:tab/>
        <w:t>Η Επιτροπή, με απόφαση της 1ης Απριλίου 1987</w:t>
      </w:r>
      <w:r>
        <w:rPr>
          <w:rStyle w:val="FootnoteReference"/>
          <w:noProof/>
        </w:rPr>
        <w:footnoteReference w:id="1"/>
      </w:r>
      <w:r>
        <w:rPr>
          <w:noProof/>
        </w:rPr>
        <w:t xml:space="preserve">, έδωσε εντολή στις υπηρεσίες της να προβαίνουν σε κωδικοποίηση των νομικών πράξεων το αργότερο μετά τη δέκατη τροποποίησή τους, τονίζοντας συγχρόνως ότι τούτο αποτελεί τον ελάχιστο κανόνα δεδομένου ότι, προς </w:t>
      </w:r>
      <w:r>
        <w:rPr>
          <w:noProof/>
        </w:rPr>
        <w:t>διασφάλιση της σαφούς και ορθής κατανόησης των πράξεων, οι διάφορες υπηρεσίες πρέπει να κωδικοποιούν με μεγαλύτερη συχνότητα τα κείμενα που εμπίπτουν στην αρμοδιότητά τους.</w:t>
      </w:r>
    </w:p>
    <w:p w:rsidR="006F5AB9" w:rsidRDefault="00FE753F">
      <w:pPr>
        <w:pStyle w:val="Point0"/>
        <w:rPr>
          <w:noProof/>
        </w:rPr>
      </w:pPr>
      <w:r>
        <w:rPr>
          <w:noProof/>
        </w:rPr>
        <w:t>3.</w:t>
      </w:r>
      <w:r>
        <w:rPr>
          <w:noProof/>
        </w:rPr>
        <w:tab/>
        <w:t>Τα συμπεράσματα της προεδρίας του Ευρωπαϊκού Συμβουλίου του Εδιμβούργου (Δεκέμβρ</w:t>
      </w:r>
      <w:r>
        <w:rPr>
          <w:noProof/>
        </w:rPr>
        <w:t>ιος 1992) επιβεβαίωσαν τις επιτακτικές αυτές ανάγκες</w:t>
      </w:r>
      <w:r>
        <w:rPr>
          <w:rStyle w:val="FootnoteReference"/>
          <w:noProof/>
        </w:rPr>
        <w:footnoteReference w:id="2"/>
      </w:r>
      <w:r>
        <w:rPr>
          <w:noProof/>
        </w:rPr>
        <w:t>, τονίζοντας τη σημασία της κωδικοποίησης που παρέχει ασφάλεια δικαίου ως προς τον εφαρμοστέο νόμο σε ορισμένη χρονική στιγμή όσον αφορά συγκεκριμένο θέμα.</w:t>
      </w:r>
    </w:p>
    <w:p w:rsidR="006F5AB9" w:rsidRDefault="00FE753F">
      <w:pPr>
        <w:pStyle w:val="Text1"/>
        <w:rPr>
          <w:noProof/>
        </w:rPr>
      </w:pPr>
      <w:r>
        <w:rPr>
          <w:noProof/>
        </w:rPr>
        <w:t>Η κωδικοποίηση πρέπει να πραγματοποιείται με πλ</w:t>
      </w:r>
      <w:r>
        <w:rPr>
          <w:noProof/>
        </w:rPr>
        <w:t>ήρη τήρηση της κανονικής διαδικασίας για τη θέσπιση των πράξεων της Ένωσης.</w:t>
      </w:r>
    </w:p>
    <w:p w:rsidR="006F5AB9" w:rsidRDefault="00FE753F">
      <w:pPr>
        <w:pStyle w:val="Text1"/>
        <w:rPr>
          <w:noProof/>
        </w:rPr>
      </w:pPr>
      <w:r>
        <w:rPr>
          <w:noProof/>
        </w:rPr>
        <w:t>Στο μέτρο που δεν μπορεί να γίνει καμία τροποποίηση επί της ουσίας των πράξεων που αποτελούν αντικείμενο της κωδικοποίησης, το Ευρωπαϊκό Κοινοβούλιο, το Συμβούλιο και η Επιτροπή συ</w:t>
      </w:r>
      <w:r>
        <w:rPr>
          <w:noProof/>
        </w:rPr>
        <w:t>μφώνησαν, με τη διοργανική συμφωνία της 20ής Δεκεμβρίου 1994, ότι πρέπει να ακολουθείται ταχεία διαδικασία για την έγκριση των κωδικοποιούμενων πράξεων.</w:t>
      </w:r>
    </w:p>
    <w:p w:rsidR="006F5AB9" w:rsidRDefault="00FE753F">
      <w:pPr>
        <w:pStyle w:val="Point0"/>
        <w:rPr>
          <w:noProof/>
        </w:rPr>
      </w:pPr>
      <w:r>
        <w:rPr>
          <w:noProof/>
        </w:rPr>
        <w:t>4.</w:t>
      </w:r>
      <w:r>
        <w:rPr>
          <w:noProof/>
        </w:rPr>
        <w:tab/>
        <w:t>Σκοπός της παρούσας πρότασης είναι η κωδικοποίηση του κανονισμού (ΕΚ) αριθ. 1365/2006 του Συμβουλίου</w:t>
      </w:r>
      <w:r>
        <w:rPr>
          <w:noProof/>
        </w:rPr>
        <w:t>, της 6ης Σεπτεμβρίου 2006, για το σήμα της ΕΕ</w:t>
      </w:r>
      <w:r>
        <w:rPr>
          <w:rStyle w:val="FootnoteReference"/>
          <w:noProof/>
        </w:rPr>
        <w:footnoteReference w:id="3"/>
      </w:r>
      <w:r>
        <w:rPr>
          <w:noProof/>
        </w:rPr>
        <w:t>. Ο νέος κανονισμός θα αντικαταστήσει τις διάφορες πράξεις που αποτελούν αντικείμενο της κωδικοποίησης</w:t>
      </w:r>
      <w:r>
        <w:rPr>
          <w:rStyle w:val="FootnoteReference"/>
          <w:noProof/>
        </w:rPr>
        <w:footnoteReference w:id="4"/>
      </w:r>
      <w:r>
        <w:rPr>
          <w:noProof/>
        </w:rPr>
        <w:t>· η παρούσα πρόταση σέβεται πλήρως την ουσία των κωδικοποιούμενων κειμένων και αρκείται απλώς στη συγκέντρ</w:t>
      </w:r>
      <w:r>
        <w:rPr>
          <w:noProof/>
        </w:rPr>
        <w:t>ωσή τους, επιφέροντας μόνο τις τυπικές τροποποιήσεις που απαιτούνται από την ίδια τη διαδικασία κωδικοποίησης.</w:t>
      </w:r>
    </w:p>
    <w:p w:rsidR="006F5AB9" w:rsidRDefault="00FE753F">
      <w:pPr>
        <w:pStyle w:val="Point0"/>
        <w:keepLines/>
        <w:ind w:left="851" w:hanging="851"/>
        <w:rPr>
          <w:noProof/>
        </w:rPr>
      </w:pPr>
      <w:r>
        <w:rPr>
          <w:noProof/>
        </w:rPr>
        <w:lastRenderedPageBreak/>
        <w:t>5.</w:t>
      </w:r>
      <w:r>
        <w:rPr>
          <w:noProof/>
        </w:rPr>
        <w:tab/>
        <w:t>Η πρόταση κωδικοποίησης καταρτίσθηκε με βάση προηγούμενη ενοποίηση του κειμένου, σε 24 επίσημες γλώσσες, του κανονισμού (ΕΚ) αριθ. 1365/2006 κ</w:t>
      </w:r>
      <w:r>
        <w:rPr>
          <w:noProof/>
        </w:rPr>
        <w:t>αι των τροποποιητικών του πράξεων, που έγινε με το πληροφοριακό σύστημα της Υπηρεσίας Εκδόσεων της Ευρωπαϊκής Ένωσης. Στο μέτρο που τα άρθρα έλαβαν νέα αρίθμηση, η αντιστοιχία μεταξύ των παλαιών και των νέων αριθμών εμφαίνεται στον πίνακα του παραρτήματος </w:t>
      </w:r>
      <w:r>
        <w:rPr>
          <w:noProof/>
          <w:lang w:val="fr-BE"/>
        </w:rPr>
        <w:t>V</w:t>
      </w:r>
      <w:r>
        <w:rPr>
          <w:noProof/>
        </w:rPr>
        <w:t>ΙΙΙ του κωδικοποιημένου κανονισμού.</w:t>
      </w:r>
    </w:p>
    <w:p w:rsidR="006F5AB9" w:rsidRDefault="006F5AB9">
      <w:pPr>
        <w:rPr>
          <w:noProof/>
        </w:rPr>
        <w:sectPr w:rsidR="006F5AB9" w:rsidSect="00FE753F">
          <w:footerReference w:type="default" r:id="rId16"/>
          <w:footerReference w:type="first" r:id="rId17"/>
          <w:pgSz w:w="11907" w:h="16839"/>
          <w:pgMar w:top="1134" w:right="1417" w:bottom="1134" w:left="1417" w:header="709" w:footer="709" w:gutter="0"/>
          <w:cols w:space="708"/>
          <w:docGrid w:linePitch="360"/>
        </w:sectPr>
      </w:pPr>
    </w:p>
    <w:p w:rsidR="006F5AB9" w:rsidRDefault="006F5AB9">
      <w:pPr>
        <w:pStyle w:val="CRSeparator"/>
        <w:rPr>
          <w:rFonts w:eastAsia="Times New Roman"/>
          <w:noProof/>
          <w:lang w:val="el-GR"/>
        </w:rPr>
      </w:pPr>
    </w:p>
    <w:p w:rsidR="006F5AB9" w:rsidRDefault="00FE753F">
      <w:pPr>
        <w:pStyle w:val="CRReference"/>
        <w:rPr>
          <w:rFonts w:eastAsia="Times New Roman"/>
          <w:noProof/>
          <w:lang w:val="el-GR"/>
        </w:rPr>
      </w:pPr>
      <w:r>
        <w:rPr>
          <w:rFonts w:eastAsia="Times New Roman"/>
          <w:noProof/>
        </w:rPr>
        <w:fldChar w:fldCharType="begin"/>
      </w:r>
      <w:r>
        <w:rPr>
          <w:rFonts w:eastAsia="Times New Roman"/>
          <w:noProof/>
          <w:lang w:val="el-GR"/>
        </w:rPr>
        <w:instrText xml:space="preserve"> </w:instrText>
      </w:r>
      <w:r>
        <w:rPr>
          <w:rFonts w:eastAsia="Times New Roman"/>
          <w:noProof/>
          <w:lang w:val="en-GB"/>
        </w:rPr>
        <w:instrText>QUOTE</w:instrText>
      </w:r>
      <w:r>
        <w:rPr>
          <w:rFonts w:eastAsia="Times New Roman"/>
          <w:noProof/>
          <w:lang w:val="el-GR"/>
        </w:rPr>
        <w:instrText xml:space="preserve"> "</w:instrText>
      </w:r>
      <w:r>
        <w:rPr>
          <w:rFonts w:ascii="Wingdings" w:eastAsia="Times New Roman" w:hAnsi="Wingdings" w:cs="Wingdings"/>
          <w:noProof/>
          <w:lang w:val="el-GR"/>
        </w:rPr>
        <w:instrText>ê</w:instrText>
      </w:r>
      <w:r>
        <w:rPr>
          <w:rFonts w:eastAsia="Times New Roman"/>
          <w:noProof/>
          <w:lang w:val="el-GR"/>
        </w:rPr>
        <w:instrText xml:space="preserve">" </w:instrText>
      </w:r>
      <w:r>
        <w:rPr>
          <w:rFonts w:eastAsia="Times New Roman"/>
          <w:noProof/>
        </w:rPr>
        <w:fldChar w:fldCharType="separate"/>
      </w:r>
      <w:r>
        <w:rPr>
          <w:rFonts w:ascii="Wingdings" w:eastAsia="Times New Roman" w:hAnsi="Wingdings" w:cs="Wingdings"/>
          <w:noProof/>
          <w:lang w:val="el-GR"/>
        </w:rPr>
        <w:t>ê</w:t>
      </w:r>
      <w:r>
        <w:rPr>
          <w:rFonts w:eastAsia="Times New Roman"/>
          <w:noProof/>
        </w:rPr>
        <w:fldChar w:fldCharType="end"/>
      </w:r>
      <w:r>
        <w:rPr>
          <w:rFonts w:eastAsia="Times New Roman"/>
          <w:noProof/>
          <w:lang w:val="en-GB"/>
        </w:rPr>
        <w:t> </w:t>
      </w:r>
      <w:r>
        <w:rPr>
          <w:rFonts w:eastAsia="Times New Roman"/>
          <w:noProof/>
          <w:lang w:val="el-GR"/>
        </w:rPr>
        <w:t>1365/2006 (</w:t>
      </w:r>
      <w:r>
        <w:rPr>
          <w:rFonts w:eastAsia="Times New Roman"/>
          <w:noProof/>
          <w:lang w:val="en-GB"/>
        </w:rPr>
        <w:t>adapted</w:t>
      </w:r>
      <w:r>
        <w:rPr>
          <w:rFonts w:eastAsia="Times New Roman"/>
          <w:noProof/>
          <w:lang w:val="el-GR"/>
        </w:rPr>
        <w:t>)</w:t>
      </w:r>
    </w:p>
    <w:p w:rsidR="006F5AB9" w:rsidRDefault="00FE753F" w:rsidP="00FE753F">
      <w:pPr>
        <w:pStyle w:val="Rfrenceinterinstitutionnelle"/>
        <w:rPr>
          <w:noProof/>
        </w:rPr>
      </w:pPr>
      <w:r w:rsidRPr="00FE753F">
        <w:t>2017/0256 (COD)</w:t>
      </w:r>
    </w:p>
    <w:p w:rsidR="006F5AB9" w:rsidRDefault="00FE753F" w:rsidP="00FE753F">
      <w:pPr>
        <w:pStyle w:val="Statut"/>
        <w:rPr>
          <w:noProof/>
        </w:rPr>
      </w:pPr>
      <w:r w:rsidRPr="00FE753F">
        <w:t>Πρόταση</w:t>
      </w:r>
    </w:p>
    <w:p w:rsidR="006F5AB9" w:rsidRDefault="00FE753F" w:rsidP="00FE753F">
      <w:pPr>
        <w:pStyle w:val="Typedudocument"/>
        <w:rPr>
          <w:noProof/>
        </w:rPr>
      </w:pPr>
      <w:r w:rsidRPr="00FE753F">
        <w:t>ΚΑΝΟΝΙΣΜΟΣ ΤΟΥ ΕΥΡΩΠΑΪΚΟΥ ΚΟΙΝΟΒΟΥΛΙΟΥ ΚΑΙ ΤΟΥ ΣΥΜΒΟΥΛΙΟΥ</w:t>
      </w:r>
    </w:p>
    <w:p w:rsidR="006F5AB9" w:rsidRDefault="00FE753F" w:rsidP="00FE753F">
      <w:pPr>
        <w:pStyle w:val="Titreobjet"/>
        <w:rPr>
          <w:noProof/>
        </w:rPr>
      </w:pPr>
      <w:r w:rsidRPr="00FE753F">
        <w:t>για στατιστικές σχετικά με μεταφορές εμπορευμάτων μέσω εσωτερικών πλωτών οδών (κωδικοποιημένο κείμενο)</w:t>
      </w:r>
    </w:p>
    <w:p w:rsidR="006F5AB9" w:rsidRDefault="00FE753F">
      <w:pPr>
        <w:pStyle w:val="Institutionquiagit"/>
        <w:rPr>
          <w:noProof/>
        </w:rPr>
      </w:pPr>
      <w:r>
        <w:rPr>
          <w:noProof/>
        </w:rPr>
        <w:t>ΤΟ ΕΥΡΩΠΑΪΚΟ ΚΟΙΝΟΒΟΥΛΙΟ ΚΑΙ ΤΟ ΣΥΜΒΟΥΛΙΟ ΤΗΣ ΕΥΡΩΠΑΪΚΗΣ ΕΝΩΣΗΣ,</w:t>
      </w:r>
    </w:p>
    <w:p w:rsidR="006F5AB9" w:rsidRDefault="00FE753F">
      <w:pPr>
        <w:rPr>
          <w:noProof/>
        </w:rPr>
      </w:pPr>
      <w:r>
        <w:rPr>
          <w:noProof/>
        </w:rPr>
        <w:t>Έχοντας υπόψη τη Συνθήκη για τη λειτουργία της Ευρωπαϊκής Ένωσης, και ιδίως τ</w:t>
      </w:r>
      <w:r>
        <w:rPr>
          <w:noProof/>
        </w:rPr>
        <w:t>ο άρθρο 338 παράγραφος 1,</w:t>
      </w:r>
    </w:p>
    <w:p w:rsidR="006F5AB9" w:rsidRDefault="00FE753F">
      <w:pPr>
        <w:rPr>
          <w:noProof/>
        </w:rPr>
      </w:pPr>
      <w:r>
        <w:rPr>
          <w:noProof/>
        </w:rPr>
        <w:t>Έχοντας υπόψη την πρόταση της Ευρωπαϊκής Επιτροπής,</w:t>
      </w:r>
    </w:p>
    <w:p w:rsidR="006F5AB9" w:rsidRDefault="00FE753F">
      <w:pPr>
        <w:rPr>
          <w:noProof/>
        </w:rPr>
      </w:pPr>
      <w:r>
        <w:rPr>
          <w:noProof/>
        </w:rPr>
        <w:t>Κατόπιν διαβίβασης του σχεδίου νομοθετικής πράξης στα εθνικά κοινοβούλια,</w:t>
      </w:r>
    </w:p>
    <w:p w:rsidR="006F5AB9" w:rsidRDefault="00FE753F">
      <w:pPr>
        <w:rPr>
          <w:noProof/>
        </w:rPr>
      </w:pPr>
      <w:r>
        <w:rPr>
          <w:noProof/>
        </w:rPr>
        <w:t>Έχοντας υπόψη τη γνώμη της Ευρωπαϊκής Οικονομικής και Κοινωνικής Επιτροπής</w:t>
      </w:r>
      <w:r>
        <w:rPr>
          <w:rStyle w:val="FootnoteReference"/>
          <w:noProof/>
        </w:rPr>
        <w:footnoteReference w:id="5"/>
      </w:r>
      <w:r>
        <w:rPr>
          <w:noProof/>
        </w:rPr>
        <w:t>,</w:t>
      </w:r>
    </w:p>
    <w:p w:rsidR="006F5AB9" w:rsidRDefault="00FE753F">
      <w:pPr>
        <w:rPr>
          <w:noProof/>
        </w:rPr>
      </w:pPr>
      <w:r>
        <w:rPr>
          <w:noProof/>
        </w:rPr>
        <w:t>Αποφασίζοντας σύμφωνα με τη</w:t>
      </w:r>
      <w:r>
        <w:rPr>
          <w:noProof/>
        </w:rPr>
        <w:t xml:space="preserve"> συνήθη νομοθετική διαδικασία,</w:t>
      </w:r>
    </w:p>
    <w:p w:rsidR="006F5AB9" w:rsidRPr="00FE753F" w:rsidRDefault="00FE753F">
      <w:pPr>
        <w:rPr>
          <w:noProof/>
        </w:rPr>
      </w:pPr>
      <w:r>
        <w:rPr>
          <w:noProof/>
        </w:rPr>
        <w:t>Εκτιμώντας τα ακόλουθα:</w:t>
      </w:r>
    </w:p>
    <w:p w:rsidR="006F5AB9" w:rsidRPr="00FE753F" w:rsidRDefault="006F5AB9">
      <w:pPr>
        <w:pStyle w:val="CRSeparator"/>
        <w:rPr>
          <w:rFonts w:eastAsia="Times New Roman"/>
          <w:noProof/>
          <w:lang w:val="el-GR"/>
        </w:rPr>
      </w:pPr>
    </w:p>
    <w:p w:rsidR="006F5AB9" w:rsidRPr="00FE753F" w:rsidRDefault="00FE753F">
      <w:pPr>
        <w:pStyle w:val="CRReference"/>
        <w:rPr>
          <w:rFonts w:eastAsia="Times New Roman"/>
          <w:noProof/>
          <w:lang w:val="el-GR"/>
        </w:rPr>
      </w:pPr>
      <w:r>
        <w:rPr>
          <w:rFonts w:eastAsia="Times New Roman"/>
          <w:noProof/>
        </w:rPr>
        <w:fldChar w:fldCharType="begin"/>
      </w:r>
      <w:r w:rsidRPr="00FE753F">
        <w:rPr>
          <w:rFonts w:eastAsia="Times New Roman"/>
          <w:noProof/>
          <w:lang w:val="el-GR"/>
        </w:rPr>
        <w:instrText xml:space="preserve"> </w:instrText>
      </w:r>
      <w:r>
        <w:rPr>
          <w:rFonts w:eastAsia="Times New Roman"/>
          <w:noProof/>
        </w:rPr>
        <w:instrText>QUOTE</w:instrText>
      </w:r>
      <w:r w:rsidRPr="00FE753F">
        <w:rPr>
          <w:rFonts w:eastAsia="Times New Roman"/>
          <w:noProof/>
          <w:lang w:val="el-GR"/>
        </w:rPr>
        <w:instrText xml:space="preserve"> "</w:instrText>
      </w:r>
      <w:r w:rsidRPr="00FE753F">
        <w:rPr>
          <w:rFonts w:ascii="Wingdings" w:eastAsia="Times New Roman" w:hAnsi="Wingdings" w:cs="Wingdings"/>
          <w:noProof/>
          <w:lang w:val="el-GR"/>
        </w:rPr>
        <w:instrText>ê</w:instrText>
      </w:r>
      <w:r w:rsidRPr="00FE753F">
        <w:rPr>
          <w:rFonts w:eastAsia="Times New Roman"/>
          <w:noProof/>
          <w:lang w:val="el-GR"/>
        </w:rPr>
        <w:instrText xml:space="preserve">" </w:instrText>
      </w:r>
      <w:r>
        <w:rPr>
          <w:rFonts w:eastAsia="Times New Roman"/>
          <w:noProof/>
        </w:rPr>
        <w:fldChar w:fldCharType="separate"/>
      </w:r>
      <w:r w:rsidRPr="00FE753F">
        <w:rPr>
          <w:rFonts w:ascii="Wingdings" w:eastAsia="Times New Roman" w:hAnsi="Wingdings" w:cs="Wingdings"/>
          <w:noProof/>
          <w:lang w:val="el-GR"/>
        </w:rPr>
        <w:t>ê</w:t>
      </w:r>
      <w:r>
        <w:rPr>
          <w:rFonts w:eastAsia="Times New Roman"/>
          <w:noProof/>
        </w:rPr>
        <w:fldChar w:fldCharType="end"/>
      </w:r>
      <w:r>
        <w:rPr>
          <w:rFonts w:eastAsia="Times New Roman"/>
          <w:noProof/>
        </w:rPr>
        <w:t> </w:t>
      </w:r>
    </w:p>
    <w:p w:rsidR="006F5AB9" w:rsidRDefault="00FE753F">
      <w:pPr>
        <w:pStyle w:val="ManualConsidrant"/>
        <w:rPr>
          <w:noProof/>
        </w:rPr>
      </w:pPr>
      <w:r>
        <w:rPr>
          <w:noProof/>
        </w:rPr>
        <w:t>(1)</w:t>
      </w:r>
      <w:r>
        <w:rPr>
          <w:noProof/>
        </w:rPr>
        <w:tab/>
        <w:t>Ο κανονισμός (ΕΚ) αριθ. 1365/2006</w:t>
      </w:r>
      <w:r>
        <w:rPr>
          <w:rStyle w:val="FootnoteReference"/>
          <w:noProof/>
        </w:rPr>
        <w:footnoteReference w:id="6"/>
      </w:r>
      <w:r>
        <w:rPr>
          <w:noProof/>
        </w:rPr>
        <w:t xml:space="preserve"> Ευρωπαϊκού Κοινοβουλίου και του Συμβουλίου έχει επανειλημμένα τροποποιηθεί κατά τρόπο ουσιαστικό</w:t>
      </w:r>
      <w:r>
        <w:rPr>
          <w:rStyle w:val="FootnoteReference"/>
          <w:noProof/>
        </w:rPr>
        <w:footnoteReference w:id="7"/>
      </w:r>
      <w:r>
        <w:rPr>
          <w:noProof/>
        </w:rPr>
        <w:t>. Είναι, ως εκ τούτου, σκόπιμη, για λόγους σαφή</w:t>
      </w:r>
      <w:r>
        <w:rPr>
          <w:noProof/>
        </w:rPr>
        <w:t>νειας και ορθολογισμού, η κωδικοποίηση του εν λόγω κανονισμού.</w:t>
      </w:r>
    </w:p>
    <w:p w:rsidR="006F5AB9" w:rsidRDefault="006F5AB9">
      <w:pPr>
        <w:pStyle w:val="CRSeparator"/>
        <w:rPr>
          <w:noProof/>
          <w:lang w:val="el-GR"/>
        </w:rPr>
      </w:pPr>
    </w:p>
    <w:p w:rsidR="006F5AB9" w:rsidRPr="00FE753F"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1365/2006 αιτιολογική σκέψη</w:t>
      </w:r>
      <w:r>
        <w:rPr>
          <w:noProof/>
        </w:rPr>
        <w:t> </w:t>
      </w:r>
      <w:r>
        <w:rPr>
          <w:noProof/>
          <w:lang w:val="el-GR"/>
        </w:rPr>
        <w:t>1 (προσαρμοσμένο)</w:t>
      </w:r>
    </w:p>
    <w:p w:rsidR="006F5AB9" w:rsidRDefault="00FE753F">
      <w:pPr>
        <w:pStyle w:val="ManualConsidrant"/>
        <w:rPr>
          <w:noProof/>
        </w:rPr>
      </w:pPr>
      <w:r>
        <w:rPr>
          <w:noProof/>
        </w:rPr>
        <w:t>(2)</w:t>
      </w:r>
      <w:r>
        <w:rPr>
          <w:noProof/>
        </w:rPr>
        <w:tab/>
        <w:t xml:space="preserve">Οι εσωτερικές πλωτές οδοί αποτελούν σημαντικό μέρος των δικτύων μεταφορών της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η προώθησή τους αποτελεί έναν από τους στόχους της κοινής πολιτικής μεταφορών, τόσο από πλευράς οικονομικής αποτελεσματικότητας όσο και από πλευράς μείωσης της κατανάλωσης ενέργειας και του περιβαλλοντικού αντικτύπου των μεταφορών.</w:t>
      </w:r>
    </w:p>
    <w:p w:rsidR="006F5AB9" w:rsidRDefault="006F5AB9">
      <w:pPr>
        <w:pStyle w:val="CRSeparator"/>
        <w:rPr>
          <w:noProof/>
          <w:lang w:val="el-GR"/>
        </w:rPr>
      </w:pPr>
    </w:p>
    <w:p w:rsidR="006F5AB9" w:rsidRPr="00FE753F"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13</w:t>
      </w:r>
      <w:r>
        <w:rPr>
          <w:noProof/>
          <w:lang w:val="el-GR"/>
        </w:rPr>
        <w:t>65/2006 αιτιολογική σκέψη</w:t>
      </w:r>
      <w:r>
        <w:rPr>
          <w:noProof/>
        </w:rPr>
        <w:t> </w:t>
      </w:r>
      <w:r>
        <w:rPr>
          <w:noProof/>
          <w:lang w:val="el-GR"/>
        </w:rPr>
        <w:t>2</w:t>
      </w:r>
    </w:p>
    <w:p w:rsidR="006F5AB9" w:rsidRDefault="00FE753F">
      <w:pPr>
        <w:pStyle w:val="ManualConsidrant"/>
        <w:rPr>
          <w:noProof/>
        </w:rPr>
      </w:pPr>
      <w:r>
        <w:rPr>
          <w:noProof/>
        </w:rPr>
        <w:t>(3)</w:t>
      </w:r>
      <w:r>
        <w:rPr>
          <w:noProof/>
        </w:rPr>
        <w:tab/>
        <w:t>Η Επιτροπή χρειάζεται τις στατιστικές για τις μεταφορές μέσω των εσωτερικών πλωτών οδών προκειμένου να παρακολουθήσει και να αναπτύξει την κοινή πολιτική μεταφορών καθώς και τα θέματα μεταφορών των πολιτικών για τις περιφέρε</w:t>
      </w:r>
      <w:r>
        <w:rPr>
          <w:noProof/>
        </w:rPr>
        <w:t>ιες και τα διευρωπαϊκά δίκτυα.</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 αιτιολογική σκέψη</w:t>
      </w:r>
      <w:r>
        <w:rPr>
          <w:noProof/>
        </w:rPr>
        <w:t> </w:t>
      </w:r>
      <w:r>
        <w:rPr>
          <w:noProof/>
          <w:lang w:val="el-GR"/>
        </w:rPr>
        <w:t>5 (προσαρμοσμένο)</w:t>
      </w:r>
    </w:p>
    <w:p w:rsidR="006F5AB9" w:rsidRDefault="00FE753F">
      <w:pPr>
        <w:pStyle w:val="ManualConsidrant"/>
        <w:rPr>
          <w:noProof/>
        </w:rPr>
      </w:pPr>
      <w:r>
        <w:rPr>
          <w:noProof/>
        </w:rPr>
        <w:t>(4)</w:t>
      </w:r>
      <w:r>
        <w:rPr>
          <w:noProof/>
        </w:rPr>
        <w:tab/>
        <w:t xml:space="preserve">Οι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ευρωπαϊκές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στατιστικές για όλους τους τρόπους μεταφορών θα πρέπει να συλλέγονται σύμφωνα με κοινές έννοιες και πρότυπα, με </w:t>
      </w:r>
      <w:r>
        <w:rPr>
          <w:noProof/>
        </w:rPr>
        <w:t>σκοπό την επίτευξη της μέγιστης συγκρισιμότητας μεταξύ των τρόπων μεταφορών.</w:t>
      </w:r>
    </w:p>
    <w:p w:rsidR="006F5AB9" w:rsidRDefault="006F5AB9">
      <w:pPr>
        <w:pStyle w:val="CRSeparator"/>
        <w:rPr>
          <w:noProof/>
          <w:lang w:val="el-GR"/>
        </w:rPr>
      </w:pPr>
    </w:p>
    <w:p w:rsidR="006F5AB9" w:rsidRPr="00FE753F"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1365/2006 αιτιολογική σκέψη</w:t>
      </w:r>
      <w:r>
        <w:rPr>
          <w:noProof/>
        </w:rPr>
        <w:t> </w:t>
      </w:r>
      <w:r>
        <w:rPr>
          <w:noProof/>
          <w:lang w:val="el-GR"/>
        </w:rPr>
        <w:t>6</w:t>
      </w:r>
    </w:p>
    <w:p w:rsidR="006F5AB9" w:rsidRDefault="00FE753F">
      <w:pPr>
        <w:pStyle w:val="ManualConsidrant"/>
        <w:rPr>
          <w:noProof/>
        </w:rPr>
      </w:pPr>
      <w:r>
        <w:rPr>
          <w:noProof/>
        </w:rPr>
        <w:t>(5)</w:t>
      </w:r>
      <w:r>
        <w:rPr>
          <w:noProof/>
        </w:rPr>
        <w:tab/>
        <w:t>Εσωτερικές πλωτές οδοί δεν υπάρχουν σε όλα τα κράτη μέλη, επομένως το πεδίο εφαρμογής του παρόντος κανονισμού περιορίζεται στα κ</w:t>
      </w:r>
      <w:r>
        <w:rPr>
          <w:noProof/>
        </w:rPr>
        <w:t>ράτη μέλη στα οποία υφίσταται αυτός ο τρόπος μεταφοράς.</w:t>
      </w:r>
    </w:p>
    <w:p w:rsidR="006F5AB9" w:rsidRDefault="006F5AB9">
      <w:pPr>
        <w:pStyle w:val="CRSeparator"/>
        <w:rPr>
          <w:noProof/>
          <w:lang w:val="el-GR"/>
        </w:rPr>
      </w:pPr>
    </w:p>
    <w:p w:rsidR="006F5AB9" w:rsidRPr="00FE753F"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1365/2006 αιτιολογική σκέψη</w:t>
      </w:r>
      <w:r>
        <w:rPr>
          <w:noProof/>
        </w:rPr>
        <w:t> </w:t>
      </w:r>
      <w:r>
        <w:rPr>
          <w:noProof/>
          <w:lang w:val="el-GR"/>
        </w:rPr>
        <w:t>7 (προσαρμοσμένο)</w:t>
      </w:r>
    </w:p>
    <w:p w:rsidR="006F5AB9" w:rsidRDefault="00FE753F">
      <w:pPr>
        <w:pStyle w:val="ManualConsidrant"/>
        <w:rPr>
          <w:noProof/>
        </w:rPr>
      </w:pPr>
      <w:r>
        <w:rPr>
          <w:noProof/>
        </w:rPr>
        <w:t>(6)</w:t>
      </w:r>
      <w:r>
        <w:rPr>
          <w:noProof/>
        </w:rPr>
        <w:tab/>
      </w:r>
      <w:r>
        <w:rPr>
          <w:noProof/>
        </w:rPr>
        <w:t xml:space="preserve">Δεδομένου ότι ο στόχος του παρόντος κανονισμού, δηλαδή η δημιουργία κοινών στατιστικών προτύπων που θα επιτρέπουν την παραγωγή εναρμονισμένων στοιχείων, δεν μπορεί να επιτευχθεί επαρκώς από τα κράτη μέλη και, επομένως, μπορεί να επιτευχθεί καλύτερα σε </w:t>
      </w:r>
      <w:r>
        <w:rPr>
          <w:noProof/>
        </w:rPr>
        <w:fldChar w:fldCharType="begin"/>
      </w:r>
      <w:r>
        <w:rPr>
          <w:noProof/>
        </w:rPr>
        <w:instrText xml:space="preserve"> QUO</w:instrText>
      </w:r>
      <w:r>
        <w:rPr>
          <w:noProof/>
        </w:rPr>
        <w:instrText>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ευρωπαϊκό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επίπεδο, 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Ένωση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μπορεί να θεσπίσει μέτρα, σύμφωνα με την αρχή της επικουρικότητας όπως αυτή ορίζεται στο άρθρο</w:t>
      </w:r>
      <w:r>
        <w:rPr>
          <w:noProof/>
          <w:lang w:val="fi-FI"/>
        </w:rPr>
        <w:t> </w:t>
      </w:r>
      <w:r>
        <w:rPr>
          <w:noProof/>
        </w:rPr>
        <w:t xml:space="preserve">5 της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Συνθήκης για την Ευρωπαϊκή Ένωση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Σύ</w:t>
      </w:r>
      <w:r>
        <w:rPr>
          <w:noProof/>
        </w:rPr>
        <w:t>μφωνα με την αρχή της αναλογικότητας, όπως ορίζεται στο εν λόγω άρθρο, ο παρών κανονισμός δεν υπερβαίνει τα αναγκαία για την επίτευξη του στόχου.</w:t>
      </w:r>
    </w:p>
    <w:p w:rsidR="006F5AB9" w:rsidRDefault="006F5AB9">
      <w:pPr>
        <w:pStyle w:val="CRSeparator"/>
        <w:rPr>
          <w:noProof/>
          <w:lang w:val="el-GR"/>
        </w:rPr>
      </w:pPr>
    </w:p>
    <w:p w:rsidR="006F5AB9" w:rsidRPr="00FE753F"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1365/2006 αιτιολογική σκέψη</w:t>
      </w:r>
      <w:r>
        <w:rPr>
          <w:noProof/>
        </w:rPr>
        <w:t> </w:t>
      </w:r>
      <w:r>
        <w:rPr>
          <w:noProof/>
          <w:lang w:val="el-GR"/>
        </w:rPr>
        <w:t>8 (προσαρμοσμένο)</w:t>
      </w:r>
    </w:p>
    <w:p w:rsidR="006F5AB9" w:rsidRDefault="00FE753F">
      <w:pPr>
        <w:pStyle w:val="ManualConsidrant"/>
        <w:rPr>
          <w:noProof/>
        </w:rPr>
      </w:pPr>
      <w:r>
        <w:rPr>
          <w:noProof/>
        </w:rPr>
        <w:t>(7)</w:t>
      </w:r>
      <w:r>
        <w:rPr>
          <w:noProof/>
        </w:rPr>
        <w:tab/>
        <w:t xml:space="preserve">Ο κανονισμός (ΕΚ) αριθ.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223</w:t>
      </w:r>
      <w:r>
        <w:rPr>
          <w:noProof/>
        </w:rPr>
        <w:t>/2009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Ευρωπαϊκού Κοινοβουλίου και του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Συμβουλίου</w:t>
      </w:r>
      <w:r>
        <w:rPr>
          <w:rStyle w:val="FootnoteReference"/>
          <w:noProof/>
        </w:rPr>
        <w:footnoteReference w:id="8"/>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αποτελεί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το πλαίσιο αναφοράς για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τις διατάξεις του παρόντος κανονισμού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2016/1954 αιτιολογική σκέψη</w:t>
      </w:r>
      <w:r>
        <w:rPr>
          <w:noProof/>
        </w:rPr>
        <w:t> </w:t>
      </w:r>
      <w:r>
        <w:rPr>
          <w:noProof/>
          <w:lang w:val="el-GR"/>
        </w:rPr>
        <w:t>5 (προσαρμοσμένο)</w:t>
      </w:r>
    </w:p>
    <w:p w:rsidR="006F5AB9" w:rsidRDefault="00FE753F">
      <w:pPr>
        <w:pStyle w:val="ManualConsidrant"/>
        <w:rPr>
          <w:noProof/>
        </w:rPr>
      </w:pPr>
      <w:r>
        <w:rPr>
          <w:noProof/>
        </w:rPr>
        <w:t>(8)</w:t>
      </w:r>
      <w:r>
        <w:rPr>
          <w:noProof/>
        </w:rPr>
        <w:tab/>
        <w:t xml:space="preserve">Προκειμένου να ληφθούν υπόψη οι οικονομικές και τεχνικές τάσεις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και μεταβολές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σε ορισμούς που έχουν εγκριθεί σε διεθνές επίπεδο, θα πρέπει να ανατεθεί στην Επιτροπή η εξουσία</w:t>
      </w:r>
      <w:r>
        <w:rPr>
          <w:noProof/>
        </w:rPr>
        <w:t xml:space="preserve"> να εκδίδει πράξεις σύμφωνα με το άρθρο</w:t>
      </w:r>
      <w:r>
        <w:rPr>
          <w:noProof/>
          <w:lang w:val="fi-FI"/>
        </w:rPr>
        <w:t> </w:t>
      </w:r>
      <w:r>
        <w:rPr>
          <w:noProof/>
        </w:rPr>
        <w:t xml:space="preserve">290 της Συνθήκης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για τη λειτουργία της Ευρωπαϊκής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ως προς την τροποποίηση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παρόντος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κανονισμού για να αυξηθεί το κατώτατο όριο σε άνω του 1</w:t>
      </w:r>
      <w:r>
        <w:rPr>
          <w:noProof/>
          <w:lang w:val="fr-BE"/>
        </w:rPr>
        <w:t> </w:t>
      </w:r>
      <w:r>
        <w:rPr>
          <w:noProof/>
        </w:rPr>
        <w:t>00</w:t>
      </w:r>
      <w:r>
        <w:rPr>
          <w:noProof/>
        </w:rPr>
        <w:t>0</w:t>
      </w:r>
      <w:r>
        <w:rPr>
          <w:noProof/>
          <w:lang w:val="fr-BE"/>
        </w:rPr>
        <w:t> </w:t>
      </w:r>
      <w:r>
        <w:rPr>
          <w:noProof/>
        </w:rPr>
        <w:t xml:space="preserve">000 τόνους για τη στατιστική κάλυψη των μεταφορών μέσω εσωτερικών πλωτών οδών, προκειμένου να προσαρμοστούν οι ορισμοί ή να προβλεφθούν νέοι, καθώς και να προσαρμοστούν τα παραρτήματα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παρόντος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κανονισμού ώστε να αποτυπ</w:t>
      </w:r>
      <w:r>
        <w:rPr>
          <w:noProof/>
        </w:rPr>
        <w:t>ώνονται οι αλλαγές της κωδικοποίησης και της ονοματολογίας σε διεθνές επίπεδο ή των σχετικών νομοθετικών πράξεων της Ένωσης. Είναι ιδιαίτερα σημαντικό να διεξάγει η Επιτροπή, κατά τις προπαρασκευαστικές της εργασίες, τις κατάλληλες διαβουλεύσεις, μεταξύ άλ</w:t>
      </w:r>
      <w:r>
        <w:rPr>
          <w:noProof/>
        </w:rPr>
        <w:t>λων σε επίπεδο εμπειρογνωμόνων, οι οποίες να πραγματοποιούνται σύμφωνα με τις αρχές που ορίζονται στη διοργανική συμφωνία της 13ης Απριλίου 2016 για τη βελτίωση του νομοθετικού έργου</w:t>
      </w:r>
      <w:r>
        <w:rPr>
          <w:rStyle w:val="FootnoteReference"/>
          <w:noProof/>
        </w:rPr>
        <w:footnoteReference w:id="9"/>
      </w:r>
      <w:r>
        <w:rPr>
          <w:noProof/>
        </w:rPr>
        <w:t>. Πιο συγκεκριμένα, προκειμένου να διασφαλιστεί η ίση συμμετοχή στην προε</w:t>
      </w:r>
      <w:r>
        <w:rPr>
          <w:noProof/>
        </w:rPr>
        <w:t>τοιμασία των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w:t>
      </w:r>
      <w:r>
        <w:rPr>
          <w:noProof/>
        </w:rPr>
        <w:t>ειρογνωμόνων της Επιτροπής που ασχολούνται με την προετοιμασία κατ’ εξουσιοδότηση πράξεων.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2016/1954 αιτιολογική σκέψη</w:t>
      </w:r>
      <w:r>
        <w:rPr>
          <w:noProof/>
        </w:rPr>
        <w:t> </w:t>
      </w:r>
      <w:r>
        <w:rPr>
          <w:noProof/>
          <w:lang w:val="el-GR"/>
        </w:rPr>
        <w:t>6</w:t>
      </w:r>
    </w:p>
    <w:p w:rsidR="006F5AB9" w:rsidRDefault="00FE753F">
      <w:pPr>
        <w:pStyle w:val="ManualConsidrant"/>
        <w:rPr>
          <w:noProof/>
        </w:rPr>
      </w:pPr>
      <w:r>
        <w:rPr>
          <w:noProof/>
        </w:rPr>
        <w:t>(9)</w:t>
      </w:r>
      <w:r>
        <w:rPr>
          <w:noProof/>
        </w:rPr>
        <w:tab/>
        <w:t xml:space="preserve">Η Επιτροπή θα πρέπει να μεριμνά ώστε οι εν λόγω κατ’ εξουσιοδότηση πράξεις να μη συνεπάγονται σημαντική πρόσθετη </w:t>
      </w:r>
      <w:r>
        <w:rPr>
          <w:noProof/>
        </w:rPr>
        <w:t>επιβάρυνση για τα κράτη μέλη ή τους συμμετέχοντες.</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2016/1954 αιτιολογική σκέψη</w:t>
      </w:r>
      <w:r>
        <w:rPr>
          <w:noProof/>
        </w:rPr>
        <w:t> </w:t>
      </w:r>
      <w:r>
        <w:rPr>
          <w:noProof/>
          <w:lang w:val="el-GR"/>
        </w:rPr>
        <w:t>7 (προσαρμοσμένο)</w:t>
      </w:r>
    </w:p>
    <w:p w:rsidR="006F5AB9" w:rsidRDefault="00FE753F">
      <w:pPr>
        <w:pStyle w:val="ManualConsidrant"/>
        <w:rPr>
          <w:noProof/>
        </w:rPr>
      </w:pPr>
      <w:r>
        <w:rPr>
          <w:noProof/>
        </w:rPr>
        <w:t>(10)</w:t>
      </w:r>
      <w:r>
        <w:rPr>
          <w:noProof/>
        </w:rPr>
        <w:tab/>
        <w:t xml:space="preserve">Με σκοπό να διασφαλιστούν ενιαίες προϋποθέσεις για την εκτέλεση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παρόντος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κανονισμού</w:t>
      </w:r>
      <w:r>
        <w:rPr>
          <w:noProof/>
          <w:lang w:val="fr-BE"/>
        </w:rPr>
        <w:t> </w:t>
      </w:r>
      <w:r>
        <w:rPr>
          <w:noProof/>
        </w:rPr>
        <w:t>, θα πρέπει να αν</w:t>
      </w:r>
      <w:r>
        <w:rPr>
          <w:noProof/>
        </w:rPr>
        <w:t>ατεθούν εκτελεστικές αρμοδιότητες στην Επιτροπή οι οποίες να της επιτρέπουν να εγκρίνει ρυθμίσεις για τη διαβίβαση στοιχείων, συμπεριλαμβανομένων των προτύπων ανταλλαγής στοιχείων, και για τη διάδοση των αποτελεσμάτων από την Επιτροπή (Eurostat), καθώς επί</w:t>
      </w:r>
      <w:r>
        <w:rPr>
          <w:noProof/>
        </w:rPr>
        <w:t>σης και να αναπτύσσει και να δημοσιεύει μεθοδολογικές προδιαγραφές και κριτήρια για τη διασφάλιση της ποιότητας των παραγόμενων στοιχείων. Οι εν λόγω αρμοδιότητες θα πρέπει να ασκούνται σύμφωνα με τον κανονισμό (ΕΕ) αριθ.</w:t>
      </w:r>
      <w:r>
        <w:rPr>
          <w:noProof/>
          <w:lang w:val="fr-BE"/>
        </w:rPr>
        <w:t> </w:t>
      </w:r>
      <w:r>
        <w:rPr>
          <w:noProof/>
        </w:rPr>
        <w:t>182/2011του Ευρωπαϊκού Κοινοβουλίο</w:t>
      </w:r>
      <w:r>
        <w:rPr>
          <w:noProof/>
        </w:rPr>
        <w:t>υ και του Συμβουλίου</w:t>
      </w:r>
      <w:r>
        <w:rPr>
          <w:rStyle w:val="FootnoteReference"/>
          <w:noProof/>
        </w:rPr>
        <w:footnoteReference w:id="10"/>
      </w:r>
      <w:r>
        <w:rPr>
          <w:noProof/>
        </w:rPr>
        <w:t>.</w:t>
      </w:r>
    </w:p>
    <w:p w:rsidR="006F5AB9" w:rsidRPr="00FE753F"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sidRPr="00FE753F">
        <w:rPr>
          <w:rStyle w:val="CRMarker"/>
          <w:noProof/>
          <w:lang w:val="el-GR"/>
        </w:rPr>
        <w:instrText>ê</w:instrText>
      </w:r>
      <w:r>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Pr>
          <w:noProof/>
          <w:lang w:val="el-GR"/>
        </w:rPr>
        <w:t>2016/1954 αιτιολογική σκέψη</w:t>
      </w:r>
      <w:r>
        <w:rPr>
          <w:noProof/>
        </w:rPr>
        <w:t> </w:t>
      </w:r>
      <w:r>
        <w:rPr>
          <w:noProof/>
          <w:lang w:val="el-GR"/>
        </w:rPr>
        <w:t>9 (προσαρμοσμένο)</w:t>
      </w:r>
    </w:p>
    <w:p w:rsidR="006F5AB9" w:rsidRDefault="00FE753F">
      <w:pPr>
        <w:pStyle w:val="ManualConsidrant"/>
        <w:rPr>
          <w:noProof/>
        </w:rPr>
      </w:pPr>
      <w:r>
        <w:rPr>
          <w:noProof/>
        </w:rPr>
        <w:t>(11)</w:t>
      </w:r>
      <w:r>
        <w:rPr>
          <w:noProof/>
        </w:rPr>
        <w:tab/>
        <w:t>Η Επιτροπή είναι ανάγκη να μεριμνήσει για τη διεξαγωγή πιλοτικών μελετών όσον αφορά τη διαθεσιμότητα στατιστικών δεδομένων που αφορούν τις μεταφορές επιβατών μέσω εσ</w:t>
      </w:r>
      <w:r>
        <w:rPr>
          <w:noProof/>
        </w:rPr>
        <w:t>ωτερικών πλωτών οδών, μεταξύ άλλων μέσω διασυνοριακών υπηρεσιών μεταφορών. Η Ένωση θα πρέπει να συνεισφέρει στο κόστος διεξαγωγής των εν λόγω πιλοτικών μελετών. Οι εν λόγω συνεισφορές θα πρέπει να λάβουν τη μορφή επιχορηγήσεων προς εθνικές στατιστικές υπηρ</w:t>
      </w:r>
      <w:r>
        <w:rPr>
          <w:noProof/>
        </w:rPr>
        <w:t>εσίες και άλλες εθνικές αρχές που αναφέρονται στο άρθρο 5 του κανονισμού (ΕΚ) αριθ. 223/2009, σύμφωνα με τον κανονισμό (ΕΕ, Ευρατόμ) αριθ. 966/2012 του Ευρωπαϊκού Κοινοβουλίου και του Συμβουλίου</w:t>
      </w:r>
      <w:r>
        <w:rPr>
          <w:rStyle w:val="FootnoteReference"/>
          <w:noProof/>
        </w:rPr>
        <w:footnoteReference w:id="11"/>
      </w:r>
      <w:r w:rsidRPr="00FE753F">
        <w:rPr>
          <w:noProof/>
        </w:rPr>
        <w:t>,</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 (προσαρμοσμένο)</w:t>
      </w:r>
    </w:p>
    <w:p w:rsidR="006F5AB9" w:rsidRDefault="00FE753F">
      <w:pPr>
        <w:pStyle w:val="Formuledadoption"/>
        <w:rPr>
          <w:noProof/>
        </w:rPr>
      </w:pPr>
      <w:r>
        <w:rPr>
          <w:noProof/>
        </w:rPr>
        <w:t>ΕΞΕΔΩΣΑΝ ΤΟΝ ΠΑΡ</w:t>
      </w:r>
      <w:r>
        <w:rPr>
          <w:noProof/>
        </w:rPr>
        <w:t>ΟΝΤΑ ΚΑΝΟΝΙΣΜΟ:</w:t>
      </w:r>
    </w:p>
    <w:p w:rsidR="006F5AB9" w:rsidRDefault="00FE753F">
      <w:pPr>
        <w:pStyle w:val="Titrearticle"/>
        <w:rPr>
          <w:noProof/>
        </w:rPr>
      </w:pPr>
      <w:r>
        <w:rPr>
          <w:noProof/>
        </w:rPr>
        <w:t>Άρθρο</w:t>
      </w:r>
      <w:r w:rsidRPr="00FE753F">
        <w:rPr>
          <w:noProof/>
        </w:rPr>
        <w:t xml:space="preserve"> </w:t>
      </w:r>
      <w:r>
        <w:rPr>
          <w:noProof/>
        </w:rPr>
        <w:t>1</w:t>
      </w:r>
    </w:p>
    <w:p w:rsidR="006F5AB9" w:rsidRDefault="00FE753F">
      <w:pPr>
        <w:pStyle w:val="NormalCentered"/>
        <w:keepNext/>
        <w:rPr>
          <w:b/>
          <w:bCs/>
          <w:noProof/>
        </w:rPr>
      </w:pPr>
      <w:r>
        <w:rPr>
          <w:b/>
          <w:bCs/>
          <w:noProof/>
        </w:rPr>
        <w:t>Θεματικό αντικείμενο</w:t>
      </w:r>
    </w:p>
    <w:p w:rsidR="006F5AB9" w:rsidRDefault="00FE753F">
      <w:pPr>
        <w:rPr>
          <w:noProof/>
        </w:rPr>
      </w:pPr>
      <w:r>
        <w:rPr>
          <w:noProof/>
        </w:rPr>
        <w:t xml:space="preserve">Ο παρών κανονισμός θεσπίζει κοινούς κανόνες για την παραγωγή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ευρωπαϊκών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στατιστικών σχετικά με τις μεταφορές μέσω εσωτερικών πλωτών οδών.</w:t>
      </w:r>
    </w:p>
    <w:p w:rsidR="006F5AB9" w:rsidRDefault="00FE753F">
      <w:pPr>
        <w:pStyle w:val="Titrearticle"/>
        <w:rPr>
          <w:noProof/>
        </w:rPr>
      </w:pPr>
      <w:r>
        <w:rPr>
          <w:noProof/>
        </w:rPr>
        <w:t>Άρθρο</w:t>
      </w:r>
      <w:r w:rsidRPr="00FE753F">
        <w:rPr>
          <w:noProof/>
        </w:rPr>
        <w:t xml:space="preserve"> </w:t>
      </w:r>
      <w:r>
        <w:rPr>
          <w:noProof/>
        </w:rPr>
        <w:t>2</w:t>
      </w:r>
    </w:p>
    <w:p w:rsidR="006F5AB9" w:rsidRDefault="00FE753F">
      <w:pPr>
        <w:pStyle w:val="NormalCentered"/>
        <w:keepNext/>
        <w:rPr>
          <w:b/>
          <w:bCs/>
          <w:noProof/>
        </w:rPr>
      </w:pPr>
      <w:r>
        <w:rPr>
          <w:b/>
          <w:bCs/>
          <w:noProof/>
        </w:rPr>
        <w:t>Πεδίο εφαρμογής</w:t>
      </w:r>
    </w:p>
    <w:p w:rsidR="006F5AB9" w:rsidRDefault="00FE753F">
      <w:pPr>
        <w:rPr>
          <w:noProof/>
        </w:rPr>
      </w:pPr>
      <w:r>
        <w:rPr>
          <w:noProof/>
        </w:rPr>
        <w:t xml:space="preserve">1. Τα κράτη μέλη </w:t>
      </w:r>
      <w:r>
        <w:rPr>
          <w:noProof/>
        </w:rPr>
        <w:t>διαβιβάζουν στην Επιτροπή (Eurostat) τις στατιστικές που αφορούν τις μεταφορές μέσω εσωτερικών πλωτών οδών στην επικράτειά τους.</w:t>
      </w:r>
    </w:p>
    <w:p w:rsidR="006F5AB9" w:rsidRDefault="00FE753F">
      <w:pPr>
        <w:rPr>
          <w:noProof/>
        </w:rPr>
      </w:pPr>
      <w:r>
        <w:rPr>
          <w:noProof/>
        </w:rPr>
        <w:t xml:space="preserve">2. Τα κράτη μέλη στα οποία ο συνολικός όγκος των εμπορευμάτων που μεταφέρονται ετησίως μέσω εσωτερικών πλωτών οδών ως εθνικές, </w:t>
      </w:r>
      <w:r>
        <w:rPr>
          <w:noProof/>
        </w:rPr>
        <w:t xml:space="preserve">διεθνείς ή διακομιστικές μεταφορές υπερβαίνει το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1 000 000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τόνους υποβάλλουν τα στοιχεία που αναφέρονται στο άρθρο 4 παράγραφος 1.</w:t>
      </w:r>
    </w:p>
    <w:p w:rsidR="006F5AB9" w:rsidRDefault="00FE753F">
      <w:pPr>
        <w:rPr>
          <w:noProof/>
        </w:rPr>
      </w:pPr>
      <w:r>
        <w:rPr>
          <w:noProof/>
        </w:rPr>
        <w:t>3. Κατά παρέκκλιση της παραγράφου 2, τα κράτη μέλη στα οποία δεν υπάρχουν διεθνείς ή διαμετακομιστικές εσωτερικές πλωτές οδοί μεταφοράς, αλλά στα οποία ο συνολικός όγκος των εμπορευμάτων που μεταφέρονται ετησίως μέσω εσωτερικών πλωτών οδών, ως εθνικές μετα</w:t>
      </w:r>
      <w:r>
        <w:rPr>
          <w:noProof/>
        </w:rPr>
        <w:t xml:space="preserve">φορές, υπερβαίνει το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1 000 000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τόνους, υποβάλλουν μόνον τις στατιστικές που απαιτούνται από το άρθρο 4 παράγραφος 2.</w:t>
      </w:r>
    </w:p>
    <w:p w:rsidR="006F5AB9" w:rsidRDefault="00FE753F">
      <w:pPr>
        <w:keepNext/>
        <w:rPr>
          <w:noProof/>
        </w:rPr>
      </w:pPr>
      <w:r>
        <w:rPr>
          <w:noProof/>
        </w:rPr>
        <w:t>4. Ο παρών κανονισμός δεν ισχύει για:</w:t>
      </w:r>
    </w:p>
    <w:p w:rsidR="006F5AB9" w:rsidRDefault="00FE753F">
      <w:pPr>
        <w:pStyle w:val="Point0"/>
        <w:rPr>
          <w:noProof/>
        </w:rPr>
      </w:pPr>
      <w:r>
        <w:rPr>
          <w:noProof/>
        </w:rPr>
        <w:t>α)</w:t>
      </w:r>
      <w:r>
        <w:rPr>
          <w:noProof/>
        </w:rPr>
        <w:tab/>
        <w:t>τη μεταφορά εμπορευμάτων με πλοία κάτω των 50 τόνων νεκρού βάρους·</w:t>
      </w:r>
    </w:p>
    <w:p w:rsidR="006F5AB9" w:rsidRDefault="00FE753F">
      <w:pPr>
        <w:pStyle w:val="Point0"/>
        <w:rPr>
          <w:noProof/>
        </w:rPr>
      </w:pPr>
      <w:r>
        <w:rPr>
          <w:noProof/>
        </w:rPr>
        <w:t>β)</w:t>
      </w:r>
      <w:r>
        <w:rPr>
          <w:noProof/>
        </w:rPr>
        <w:tab/>
        <w:t>τα πλοία που χρησιμοποιούνται κυρίως για τη μεταφορά επιβατών·</w:t>
      </w:r>
    </w:p>
    <w:p w:rsidR="006F5AB9" w:rsidRDefault="00FE753F">
      <w:pPr>
        <w:pStyle w:val="Point0"/>
        <w:rPr>
          <w:noProof/>
        </w:rPr>
      </w:pPr>
      <w:r>
        <w:rPr>
          <w:noProof/>
        </w:rPr>
        <w:t>γ)</w:t>
      </w:r>
      <w:r>
        <w:rPr>
          <w:noProof/>
        </w:rPr>
        <w:tab/>
        <w:t>τα πλοία που χρησιμοποιούνται για σκοπούς διαπεραίωσης·</w:t>
      </w:r>
    </w:p>
    <w:p w:rsidR="006F5AB9" w:rsidRDefault="00FE753F">
      <w:pPr>
        <w:pStyle w:val="Point0"/>
        <w:rPr>
          <w:noProof/>
        </w:rPr>
      </w:pPr>
      <w:r>
        <w:rPr>
          <w:noProof/>
        </w:rPr>
        <w:t>δ)</w:t>
      </w:r>
      <w:r>
        <w:rPr>
          <w:noProof/>
        </w:rPr>
        <w:tab/>
        <w:t>τα πλοία που χρησιμοποιούνται μόνο για μη εμπορικούς σκοπούς από τις λιμενικές και τις δημόσιες αρχές·</w:t>
      </w:r>
    </w:p>
    <w:p w:rsidR="006F5AB9" w:rsidRDefault="00FE753F">
      <w:pPr>
        <w:pStyle w:val="Point0"/>
        <w:rPr>
          <w:noProof/>
        </w:rPr>
      </w:pPr>
      <w:r>
        <w:rPr>
          <w:noProof/>
        </w:rPr>
        <w:t>ε)</w:t>
      </w:r>
      <w:r>
        <w:rPr>
          <w:noProof/>
        </w:rPr>
        <w:tab/>
        <w:t>τα πλοία που χρησιμοπ</w:t>
      </w:r>
      <w:r>
        <w:rPr>
          <w:noProof/>
        </w:rPr>
        <w:t>οιούνται αποκλειστικά ως σκάφη ανεφοδιασμού ή αποθήκευσης·</w:t>
      </w:r>
    </w:p>
    <w:p w:rsidR="006F5AB9" w:rsidRPr="00FE753F" w:rsidRDefault="00FE753F">
      <w:pPr>
        <w:pStyle w:val="Point0"/>
        <w:rPr>
          <w:noProof/>
        </w:rPr>
      </w:pPr>
      <w:r>
        <w:rPr>
          <w:noProof/>
        </w:rPr>
        <w:t>στ)</w:t>
      </w:r>
      <w:r>
        <w:rPr>
          <w:noProof/>
        </w:rPr>
        <w:tab/>
        <w:t>τα πλοία που δεν χρησιμοποιούνται για τη μεταφορά εμπορευμάτων, όπως τα αλιευτικά σκάφη, οι βυθοκόροι, τα πλωτά συνεργεία, οι πλωτές κατοικίες και τα σκάφη αναψυχής.</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 xml:space="preserve">2016/1954 </w:t>
      </w:r>
      <w:r>
        <w:rPr>
          <w:noProof/>
          <w:lang w:val="el-GR"/>
        </w:rPr>
        <w:t>Αρθ. 1, σημ. 1</w:t>
      </w:r>
    </w:p>
    <w:p w:rsidR="006F5AB9" w:rsidRDefault="00FE753F">
      <w:pPr>
        <w:rPr>
          <w:noProof/>
        </w:rPr>
      </w:pPr>
      <w:r>
        <w:rPr>
          <w:noProof/>
        </w:rPr>
        <w:t xml:space="preserve">5. Ανατίθεται στην Επιτροπή η εξουσία να εκδίδει κατ’ εξουσιοδότηση πράξεις σύμφωνα με το άρθρο 10 όσον αφορά την τροποποίηση της παραγράφου 2 του παρόντος άρθρου για να αυξηθεί το κατώτατο όριο για τη στατιστική κάλυψη των μεταφορών μέσω </w:t>
      </w:r>
      <w:r>
        <w:rPr>
          <w:noProof/>
        </w:rPr>
        <w:t>εσωτερικών πλωτών οδών που αναφέρονται εκεί, προκειμένου να ληφθούν υπόψη οικονομικές και τεχνικές τάσεις. Κατά την άσκηση της εν λόγω εξουσίας η Επιτροπή μεριμνά ώστε οι κατ’ εξουσιοδότηση πράξεις να μη συνεπάγονται σημαντική πρόσθετη επιβάρυνση για τα κρ</w:t>
      </w:r>
      <w:r>
        <w:rPr>
          <w:noProof/>
        </w:rPr>
        <w:t>άτη μέλη ή τους συμμετέχοντες στην έρευνα. Επιπλέον, η Επιτροπή αιτιολογεί δεόντως τις στατιστικές δράσεις που προβλέπονται στις εν λόγω κατ’ εξουσιοδότηση πράξεις χρησιμοποιώντας, κατά περίπτωση, ανάλυση κόστους-αποτελεσματικότητας, συμπεριλαμβανομένης αξ</w:t>
      </w:r>
      <w:r>
        <w:rPr>
          <w:noProof/>
        </w:rPr>
        <w:t>ιολόγησης της επιβάρυνσης των συμμετεχόντων στην έρευνα και του κόστους παραγωγής, όπως αναφέρεται στο άρθρο 14 παράγραφος 3 στοιχείο γ) του κανονισμού (ΕΚ) αριθ. 223/2009</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425/2007 Αρθ. 1, σημ. 1</w:t>
      </w:r>
    </w:p>
    <w:p w:rsidR="006F5AB9" w:rsidRDefault="00FE753F">
      <w:pPr>
        <w:pStyle w:val="Titrearticle"/>
        <w:rPr>
          <w:noProof/>
        </w:rPr>
      </w:pPr>
      <w:r>
        <w:rPr>
          <w:noProof/>
        </w:rPr>
        <w:t>Άρθρο 3</w:t>
      </w:r>
    </w:p>
    <w:p w:rsidR="006F5AB9" w:rsidRDefault="00FE753F">
      <w:pPr>
        <w:pStyle w:val="NormalCentered"/>
        <w:keepNext/>
        <w:rPr>
          <w:b/>
          <w:bCs/>
          <w:noProof/>
        </w:rPr>
      </w:pPr>
      <w:r>
        <w:rPr>
          <w:b/>
          <w:bCs/>
          <w:noProof/>
        </w:rPr>
        <w:t>Ορισμοί</w:t>
      </w:r>
    </w:p>
    <w:p w:rsidR="006F5AB9" w:rsidRDefault="00FE753F">
      <w:pPr>
        <w:keepNext/>
        <w:rPr>
          <w:noProof/>
        </w:rPr>
      </w:pPr>
      <w:r>
        <w:rPr>
          <w:noProof/>
        </w:rPr>
        <w:t>Για τους σκοπούς του παρόντ</w:t>
      </w:r>
      <w:r>
        <w:rPr>
          <w:noProof/>
        </w:rPr>
        <w:t>ος κανονισμού ισχύουν οι ακόλουθοι ορισμοί:</w:t>
      </w:r>
    </w:p>
    <w:p w:rsidR="006F5AB9" w:rsidRDefault="00FE753F">
      <w:pPr>
        <w:pStyle w:val="Point0"/>
        <w:rPr>
          <w:noProof/>
        </w:rPr>
      </w:pPr>
      <w:r>
        <w:rPr>
          <w:noProof/>
        </w:rPr>
        <w:t>α)</w:t>
      </w:r>
      <w:r>
        <w:rPr>
          <w:noProof/>
        </w:rPr>
        <w:tab/>
        <w:t>«εσωτερική πλωτή οδός» είναι μια υδάτινη οδός που δεν αποτελεί μέρος της θάλασσας και η οποία, με φυσικά ή τεχνητά μέσα, είναι κατάλληλη για ναυσιπλοΐα, κυρίως με σκάφη εσωτερικής ναυσιπλοΐας·</w:t>
      </w:r>
    </w:p>
    <w:p w:rsidR="006F5AB9" w:rsidRDefault="00FE753F">
      <w:pPr>
        <w:pStyle w:val="Point0"/>
        <w:rPr>
          <w:noProof/>
        </w:rPr>
      </w:pPr>
      <w:r>
        <w:rPr>
          <w:noProof/>
        </w:rPr>
        <w:t>β)</w:t>
      </w:r>
      <w:r>
        <w:rPr>
          <w:noProof/>
        </w:rPr>
        <w:tab/>
        <w:t>«σκάφος εσωτε</w:t>
      </w:r>
      <w:r>
        <w:rPr>
          <w:noProof/>
        </w:rPr>
        <w:t xml:space="preserve">ρικής ναυσιπλοΐας» είναι ένα πλωτό σκάφος σχεδιασμένο για τη μεταφορά εμπορευμάτων ή τη μαζική μεταφορά επιβατών το οποίο κυκλοφορεί κυρίως σε εσωτερικές πλωτές οδούς ή σε ύδατα που βρίσκονται μέσα ή κοντά σε προστατευόμενα ύδατα ή ζώνες όπου εφαρμόζονται </w:t>
      </w:r>
      <w:r>
        <w:rPr>
          <w:noProof/>
        </w:rPr>
        <w:t>λιμενικοί κανονισμοί·</w:t>
      </w:r>
    </w:p>
    <w:p w:rsidR="006F5AB9" w:rsidRDefault="00FE753F">
      <w:pPr>
        <w:pStyle w:val="Point0"/>
        <w:rPr>
          <w:noProof/>
        </w:rPr>
      </w:pPr>
      <w:r>
        <w:rPr>
          <w:noProof/>
        </w:rPr>
        <w:t>γ)</w:t>
      </w:r>
      <w:r>
        <w:rPr>
          <w:noProof/>
        </w:rPr>
        <w:tab/>
        <w:t>«εθνικότητα του σκάφους» είναι η χώρα στην οποία είναι νηολογημένο το σκάφος·</w:t>
      </w:r>
    </w:p>
    <w:p w:rsidR="006F5AB9" w:rsidRDefault="00FE753F">
      <w:pPr>
        <w:pStyle w:val="Point0"/>
        <w:rPr>
          <w:noProof/>
        </w:rPr>
      </w:pPr>
      <w:r>
        <w:rPr>
          <w:noProof/>
        </w:rPr>
        <w:t>δ)</w:t>
      </w:r>
      <w:r>
        <w:rPr>
          <w:noProof/>
        </w:rPr>
        <w:tab/>
        <w:t>«εσωτερική πλωτή μεταφορά» είναι κάθε μεταφορά εμπορευμάτων ή/και επιβατών με σκάφη εσωτερικής ναυσιπλοΐας που γίνεται εξ ολοκλήρου ή εν μέρει σε εσωτ</w:t>
      </w:r>
      <w:r>
        <w:rPr>
          <w:noProof/>
        </w:rPr>
        <w:t>ερικές πλωτές οδούς·</w:t>
      </w:r>
    </w:p>
    <w:p w:rsidR="006F5AB9" w:rsidRDefault="00FE753F">
      <w:pPr>
        <w:pStyle w:val="Point0"/>
        <w:rPr>
          <w:noProof/>
        </w:rPr>
      </w:pPr>
      <w:r>
        <w:rPr>
          <w:noProof/>
        </w:rPr>
        <w:t>ε)</w:t>
      </w:r>
      <w:r>
        <w:rPr>
          <w:noProof/>
        </w:rPr>
        <w:tab/>
        <w:t>«εθνική μεταφορά μέσω εσωτερικών πλωτών οδών» είναι η μεταφορά μέσω εσωτερικών πλωτών οδών μεταξύ δύο λιμένων της εθνικής επικράτειας ανεξαρτήτως της εθνικότητας του σκάφους·</w:t>
      </w:r>
    </w:p>
    <w:p w:rsidR="006F5AB9" w:rsidRDefault="00FE753F">
      <w:pPr>
        <w:pStyle w:val="Point0"/>
        <w:rPr>
          <w:noProof/>
        </w:rPr>
      </w:pPr>
      <w:r>
        <w:rPr>
          <w:noProof/>
        </w:rPr>
        <w:t>στ)</w:t>
      </w:r>
      <w:r>
        <w:rPr>
          <w:noProof/>
        </w:rPr>
        <w:tab/>
        <w:t xml:space="preserve">«διεθνής μεταφορά μέσω εσωτερικών πλωτών οδών» είναι </w:t>
      </w:r>
      <w:r>
        <w:rPr>
          <w:noProof/>
        </w:rPr>
        <w:t>η μεταφορά μέσω εσωτερικών πλωτών οδών μεταξύ δύο λιμένων που βρίσκονται σε διαφορετικές εθνικές επικράτειες·</w:t>
      </w:r>
    </w:p>
    <w:p w:rsidR="006F5AB9" w:rsidRDefault="00FE753F">
      <w:pPr>
        <w:pStyle w:val="Point0"/>
        <w:rPr>
          <w:noProof/>
        </w:rPr>
      </w:pPr>
      <w:r>
        <w:rPr>
          <w:noProof/>
        </w:rPr>
        <w:t>ζ)</w:t>
      </w:r>
      <w:r>
        <w:rPr>
          <w:noProof/>
        </w:rPr>
        <w:tab/>
        <w:t>«διαμετακόμιση μέσω εσωτερικής πλωτής οδού» είναι η μεταφορά μέσω εσωτερικής πλωτής οδού στην εθνική επικράτεια μεταξύ δύο λιμένων που βρίσκοντ</w:t>
      </w:r>
      <w:r>
        <w:rPr>
          <w:noProof/>
        </w:rPr>
        <w:t>αι και οι δύο σε διαφορετική εθνική επικράτεια ή επικράτειες υπό τον όρο ότι κατά τη συνολική διαδρομή εντός της εθνικής επικράτειας δεν γίνεται μεταφόρτωση·</w:t>
      </w:r>
    </w:p>
    <w:p w:rsidR="006F5AB9" w:rsidRDefault="00FE753F">
      <w:pPr>
        <w:pStyle w:val="Point0"/>
        <w:rPr>
          <w:noProof/>
        </w:rPr>
      </w:pPr>
      <w:r>
        <w:rPr>
          <w:noProof/>
        </w:rPr>
        <w:t>η)</w:t>
      </w:r>
      <w:r>
        <w:rPr>
          <w:noProof/>
        </w:rPr>
        <w:tab/>
        <w:t>«κυκλοφορία στις εσωτερικές πλωτές οδούς» είναι κάθε μετακίνηση σκάφους σε δεδομένη πλωτή εσωτε</w:t>
      </w:r>
      <w:r>
        <w:rPr>
          <w:noProof/>
        </w:rPr>
        <w:t>ρική οδό.</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2016/1954 Αρθ. 1, σημ. 2 (προσαρμοσμένο)</w:t>
      </w:r>
    </w:p>
    <w:p w:rsidR="006F5AB9" w:rsidRDefault="00FE753F">
      <w:pPr>
        <w:rPr>
          <w:noProof/>
        </w:rPr>
      </w:pPr>
      <w:r>
        <w:rPr>
          <w:noProof/>
        </w:rPr>
        <w:t xml:space="preserve">Ανατίθεται στην Επιτροπή η εξουσία να εκδίδει κατ’ εξουσιοδότηση πράξεις, σύμφωνα με το άρθρο 10, όσον αφορά την τροποποίηση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πρώτου εδαφίου του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παρόντος</w:t>
      </w:r>
      <w:r>
        <w:rPr>
          <w:noProof/>
        </w:rPr>
        <w:t xml:space="preserve"> άρθρου για να προσαρμοστούν οι ορισμοί που περιέχονται σε αυτό ή να προβλεφθούν νέοι, προκειμένου να ληφθούν υπόψη σχετικοί ορισμοί που τροποποιούνται ή θεσπίζονται σε διεθνές επίπεδο.</w:t>
      </w:r>
    </w:p>
    <w:p w:rsidR="006F5AB9" w:rsidRDefault="00FE753F">
      <w:pPr>
        <w:rPr>
          <w:noProof/>
        </w:rPr>
      </w:pPr>
      <w:r>
        <w:rPr>
          <w:noProof/>
        </w:rPr>
        <w:t xml:space="preserve">Κατά την άσκηση της εν λόγω εξουσίας η Επιτροπή μεριμνά ώστε οι κατ’ </w:t>
      </w:r>
      <w:r>
        <w:rPr>
          <w:noProof/>
        </w:rPr>
        <w:t>εξουσιοδότηση πράξεις να μη συνεπάγονται σημαντική πρόσθετη επιβάρυνση για τα κράτη μέλη ή τους συμμετέχοντες στην έρευνα. Επιπλέον, η Επιτροπή αιτιολογεί δεόντως τις στατιστικές δράσεις που προβλέπονται στις εν λόγω κατ’ εξουσιοδότηση πράξεις χρησιμοποιών</w:t>
      </w:r>
      <w:r>
        <w:rPr>
          <w:noProof/>
        </w:rPr>
        <w:t>τας, κατά περίπτωση, ανάλυση κόστους-αποτελεσματικότητας, συμπεριλαμβανομένης αξιολόγησης της επιβάρυνσης των συμμετεχόντων στην έρευνα και του κόστους παραγωγής, όπως αναφέρεται στο άρθρο 14 παράγραφος 3 στοιχείο γ) του κανονισμού (ΕΚ) αριθ.</w:t>
      </w:r>
      <w:r>
        <w:rPr>
          <w:noProof/>
          <w:lang w:val="fr-BE"/>
        </w:rPr>
        <w:t> </w:t>
      </w:r>
      <w:r>
        <w:rPr>
          <w:noProof/>
        </w:rPr>
        <w:t>223/2009.</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w:instrText>
      </w:r>
      <w:r>
        <w:rPr>
          <w:noProof/>
        </w:rPr>
        <w:instrText>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 (προσαρμοσμένο)</w:t>
      </w:r>
    </w:p>
    <w:p w:rsidR="006F5AB9" w:rsidRDefault="00FE753F">
      <w:pPr>
        <w:pStyle w:val="Titrearticle"/>
        <w:rPr>
          <w:noProof/>
        </w:rPr>
      </w:pPr>
      <w:r>
        <w:rPr>
          <w:noProof/>
        </w:rPr>
        <w:t>Άρθρο</w:t>
      </w:r>
      <w:r w:rsidRPr="00FE753F">
        <w:rPr>
          <w:noProof/>
        </w:rPr>
        <w:t xml:space="preserve"> </w:t>
      </w:r>
      <w:r>
        <w:rPr>
          <w:noProof/>
        </w:rPr>
        <w:t>4</w:t>
      </w:r>
    </w:p>
    <w:p w:rsidR="006F5AB9" w:rsidRDefault="00FE753F">
      <w:pPr>
        <w:pStyle w:val="NormalCentered"/>
        <w:keepNext/>
        <w:rPr>
          <w:b/>
          <w:bCs/>
          <w:noProof/>
        </w:rPr>
      </w:pPr>
      <w:r>
        <w:rPr>
          <w:b/>
          <w:bCs/>
          <w:noProof/>
        </w:rPr>
        <w:t>Συλλογή στοιχείων</w:t>
      </w:r>
    </w:p>
    <w:p w:rsidR="006F5AB9" w:rsidRDefault="00FE753F">
      <w:pPr>
        <w:rPr>
          <w:noProof/>
        </w:rPr>
      </w:pPr>
      <w:r>
        <w:rPr>
          <w:noProof/>
        </w:rPr>
        <w:t xml:space="preserve">1. Τα στοιχεία συλλέγονται σύμφωνα με τους πίνακες των παραρτημάτων I έως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Ι</w:t>
      </w:r>
      <w:r>
        <w:rPr>
          <w:noProof/>
          <w:lang w:val="fr-BE"/>
        </w:rPr>
        <w:t>V</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F5AB9" w:rsidRDefault="00FE753F">
      <w:pPr>
        <w:rPr>
          <w:noProof/>
        </w:rPr>
      </w:pPr>
      <w:r>
        <w:rPr>
          <w:noProof/>
        </w:rPr>
        <w:t xml:space="preserve">2. Για τις περιπτώσεις του άρθρου 2 παράγραφος 3 τα στοιχεία συλλέγονται σύμφωνα με τον πίνακα του παραρτήματος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V</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6F5AB9" w:rsidRDefault="00FE753F">
      <w:pPr>
        <w:rPr>
          <w:noProof/>
        </w:rPr>
      </w:pPr>
      <w:r>
        <w:rPr>
          <w:noProof/>
        </w:rPr>
        <w:t>3. Για τους σκοπούς του παρόντος κανονισμού, τα εμπορεύματα ταξινομούνται σύμφωνα με το παράρτημα VI.</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2016/1954 Αρθ. 1, σημ. 3</w:t>
      </w:r>
    </w:p>
    <w:p w:rsidR="006F5AB9" w:rsidRDefault="00FE753F">
      <w:pPr>
        <w:rPr>
          <w:noProof/>
        </w:rPr>
      </w:pPr>
      <w:r>
        <w:rPr>
          <w:noProof/>
        </w:rPr>
        <w:t>4. Ανατίθεται στην Επιτροπή η εξουσία να εκδίδει κατ’ εξουσιοδότηση πράξεις, σύμφωνα με το άρθρο 10, όσον αφορά την τροποποίηση των παραρτημάτων ώστε να αντανακλώνται αλλαγές στην κωδικοποίηση και στην ονοματολογία σε διε</w:t>
      </w:r>
      <w:r>
        <w:rPr>
          <w:noProof/>
        </w:rPr>
        <w:t>θνές επίπεδο ή στις σχετικές νομοθετικές πράξεις της Ένωσης. Κατά την άσκηση της εν λόγω εξουσίας, η Επιτροπή μεριμνά ώστε οι κατ’ εξουσιοδότηση πράξεις να μη συνεπάγονται σημαντική πρόσθετη επιβάρυνση για τα κράτη μέλη ή τους συμμετέχοντες στην έρευνα. Επ</w:t>
      </w:r>
      <w:r>
        <w:rPr>
          <w:noProof/>
        </w:rPr>
        <w:t xml:space="preserve">ιπλέον, η Επιτροπή αιτιολογεί δεόντως τις στατιστικές δράσεις που προβλέπονται στις εν λόγω κατ’ εξουσιοδότηση πράξεις, χρησιμοποιώντας, κατά περίπτωση, ανάλυση κόστους-αποτελεσματικότητας, συμπεριλαμβανομένης αξιολόγησης της επιβάρυνσης των συμμετεχόντων </w:t>
      </w:r>
      <w:r>
        <w:rPr>
          <w:noProof/>
        </w:rPr>
        <w:t>στην έρευνα και του κόστους παραγωγής, όπως αναφέρεται στο άρθρο</w:t>
      </w:r>
      <w:r>
        <w:rPr>
          <w:noProof/>
          <w:lang w:val="fi-FI"/>
        </w:rPr>
        <w:t> </w:t>
      </w:r>
      <w:r>
        <w:rPr>
          <w:noProof/>
        </w:rPr>
        <w:t>14 παράγραφος</w:t>
      </w:r>
      <w:r>
        <w:rPr>
          <w:noProof/>
          <w:lang w:val="fi-FI"/>
        </w:rPr>
        <w:t> </w:t>
      </w:r>
      <w:r>
        <w:rPr>
          <w:noProof/>
        </w:rPr>
        <w:t>3 στοιχείο γ) του κανονισμού (ΕΚ) αριθ. 223/2009.</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2016/1954 Αρθ. 1, σημ. 4</w:t>
      </w:r>
    </w:p>
    <w:p w:rsidR="006F5AB9" w:rsidRDefault="00FE753F">
      <w:pPr>
        <w:pStyle w:val="Titrearticle"/>
        <w:rPr>
          <w:noProof/>
        </w:rPr>
      </w:pPr>
      <w:r>
        <w:rPr>
          <w:noProof/>
        </w:rPr>
        <w:t>Άρθρο 5</w:t>
      </w:r>
    </w:p>
    <w:p w:rsidR="006F5AB9" w:rsidRDefault="00FE753F">
      <w:pPr>
        <w:pStyle w:val="NormalCentered"/>
        <w:keepNext/>
        <w:rPr>
          <w:b/>
          <w:bCs/>
          <w:noProof/>
        </w:rPr>
      </w:pPr>
      <w:r>
        <w:rPr>
          <w:b/>
          <w:bCs/>
          <w:noProof/>
        </w:rPr>
        <w:t>Πιλοτικές μελέτες</w:t>
      </w:r>
    </w:p>
    <w:p w:rsidR="006F5AB9" w:rsidRDefault="00FE753F">
      <w:pPr>
        <w:rPr>
          <w:noProof/>
        </w:rPr>
      </w:pPr>
      <w:r>
        <w:rPr>
          <w:noProof/>
        </w:rPr>
        <w:t>1. Έως τις 8 Δεκεμβρίου 2018 η Επιτροπή, σε συνεργασία με τ</w:t>
      </w:r>
      <w:r>
        <w:rPr>
          <w:noProof/>
        </w:rPr>
        <w:t>α κράτη μέλη, αναπτύσσει την κατάλληλη μεθοδολογία για την κατάρτιση στατιστικών σχετικά με τις μεταφορές επιβατών μέσω εσωτερικών πλωτών οδών, μεταξύ άλλων μέσω διασυνοριακών υπηρεσιών μεταφορών.</w:t>
      </w:r>
    </w:p>
    <w:p w:rsidR="006F5AB9" w:rsidRDefault="00FE753F">
      <w:pPr>
        <w:rPr>
          <w:noProof/>
        </w:rPr>
      </w:pPr>
      <w:r>
        <w:rPr>
          <w:noProof/>
        </w:rPr>
        <w:t>2. Έως τις 8 Δεκεμβρίου 2019 η Επιτροπή δρομολογεί τη διεξα</w:t>
      </w:r>
      <w:r>
        <w:rPr>
          <w:noProof/>
        </w:rPr>
        <w:t>γωγή εθελοντικών πιλοτικών μελετών από τα κράτη μέλη για την παροχή στοιχείων που εμπίπτουν στο πεδίο εφαρμογής του παρόντος κανονισμού σχετικά με τη διαθεσιμότητα στατιστικών δεδομένων που αφορούν τις μεταφορές επιβατών μέσω εσωτερικών πλωτών οδών, μεταξύ</w:t>
      </w:r>
      <w:r>
        <w:rPr>
          <w:noProof/>
        </w:rPr>
        <w:t xml:space="preserve"> άλλων μέσω διασυνοριακών υπηρεσιών μεταφορών. Οι εν λόγω πιλοτικές μελέτες αποσκοπούν να αξιολογήσουν τη σκοπιμότητα των εν λόγω νέων συλλογών δεδομένων, το κόστος των σχετικών συλλογών δεδομένων και την εξυπακουόμενη ποιότητα των στατιστικών.</w:t>
      </w:r>
    </w:p>
    <w:p w:rsidR="006F5AB9" w:rsidRDefault="00FE753F">
      <w:pPr>
        <w:rPr>
          <w:noProof/>
        </w:rPr>
      </w:pPr>
      <w:r>
        <w:rPr>
          <w:noProof/>
        </w:rPr>
        <w:t xml:space="preserve">3. Έως τις </w:t>
      </w:r>
      <w:r>
        <w:rPr>
          <w:noProof/>
        </w:rPr>
        <w:t>8 Δεκεμβρίου 2020 η Επιτροπή υποβάλλει έκθεση στο Ευρωπαϊκό Κοινοβούλιο και στο Συμβούλιο σχετικά με τα αποτελέσματα των εν λόγω πιλοτικών μελετών. Ανάλογα με τα πορίσματα της εν λόγω έκθεσης και εντός εύλογου χρονικού διαστήματος, η Επιτροπή υποβάλλει, εά</w:t>
      </w:r>
      <w:r>
        <w:rPr>
          <w:noProof/>
        </w:rPr>
        <w:t>ν κρίνεται σκόπιμο, νομοθετική πρόταση στο Ευρωπαϊκό Κοινοβούλιο και στο Συμβούλιο για την τροποποίηση του παρόντος κανονισμού όσον αφορά τις στατιστικές για τις μεταφορές επιβατών μέσω εσωτερικών πλωτών οδών, μεταξύ άλλων μέσω διασυνοριακών υπηρεσιών μετα</w:t>
      </w:r>
      <w:r>
        <w:rPr>
          <w:noProof/>
        </w:rPr>
        <w:t>φορών.</w:t>
      </w:r>
    </w:p>
    <w:p w:rsidR="006F5AB9" w:rsidRDefault="00FE753F">
      <w:pPr>
        <w:rPr>
          <w:noProof/>
        </w:rPr>
      </w:pPr>
      <w:r>
        <w:rPr>
          <w:noProof/>
        </w:rPr>
        <w:t>4. Ο γενικός προϋπολογισμός της Ένωσης, όπου αρμόζει και λαμβανομένης υπόψη της προστιθέμενης αξίας για την Ένωση, συμβάλλει στη χρηματοδότηση των εν λόγω πιλοτικών μελετών.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 (προσαρμοσμένο)</w:t>
      </w:r>
    </w:p>
    <w:p w:rsidR="006F5AB9" w:rsidRDefault="00FE753F">
      <w:pPr>
        <w:pStyle w:val="Titrearticle"/>
        <w:rPr>
          <w:noProof/>
        </w:rPr>
      </w:pPr>
      <w:r>
        <w:rPr>
          <w:noProof/>
        </w:rPr>
        <w:t>Άρθρο</w:t>
      </w:r>
      <w:r w:rsidRPr="00FE753F">
        <w:rPr>
          <w:noProof/>
        </w:rPr>
        <w:t xml:space="preserve"> </w:t>
      </w:r>
      <w:r>
        <w:rPr>
          <w:noProof/>
        </w:rPr>
        <w:t>6</w:t>
      </w:r>
    </w:p>
    <w:p w:rsidR="006F5AB9" w:rsidRDefault="00FE753F">
      <w:pPr>
        <w:pStyle w:val="NormalCentered"/>
        <w:keepNext/>
        <w:rPr>
          <w:b/>
          <w:bCs/>
          <w:noProof/>
        </w:rPr>
      </w:pPr>
      <w:r>
        <w:rPr>
          <w:b/>
          <w:bCs/>
          <w:noProof/>
        </w:rPr>
        <w:t>Διαβίβαση στατιστικών</w:t>
      </w:r>
    </w:p>
    <w:p w:rsidR="006F5AB9" w:rsidRDefault="00FE753F">
      <w:pPr>
        <w:rPr>
          <w:noProof/>
        </w:rPr>
      </w:pPr>
      <w:r>
        <w:rPr>
          <w:noProof/>
        </w:rPr>
        <w:t>1.</w:t>
      </w:r>
      <w:r>
        <w:rPr>
          <w:noProof/>
        </w:rPr>
        <w:t xml:space="preserve"> Η διαβίβαση των στατιστικών γίνεται το ταχύτερο δυνατό και το αργότερο εντός πέντε μηνών από τη λήξη της αντίστοιχης περιόδου παρακολούθησης.</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w:t>
      </w:r>
      <w:r>
        <w:rPr>
          <w:noProof/>
          <w:lang w:val="el-GR"/>
        </w:rPr>
        <w:t>1954 Αρθ. 1, σημ. 5</w:t>
      </w:r>
    </w:p>
    <w:p w:rsidR="006F5AB9" w:rsidRDefault="00FE753F">
      <w:pPr>
        <w:rPr>
          <w:noProof/>
        </w:rPr>
      </w:pPr>
      <w:r>
        <w:rPr>
          <w:noProof/>
        </w:rPr>
        <w:t>2. Η Επιτροπή εκδίδει εκτελεστικές πράξεις για τον καθορισμό των ρυθμίσ</w:t>
      </w:r>
      <w:r>
        <w:rPr>
          <w:noProof/>
        </w:rPr>
        <w:t>εων για τη διαβίβαση στοιχείων στην Επιτροπή (Eurostat), συμπεριλαμβανομένων των προτύπων για την ανταλλαγή στοιχείων. Οι εν λόγω εκτελεστικές πράξεις εκδίδονται σύμφωνα με τη διαδικασία εξέτασης στην οποία παραπέμπει το άρθρο 11 παράγραφος 2.</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 (προσαρμοσμένο)</w:t>
      </w:r>
    </w:p>
    <w:p w:rsidR="006F5AB9" w:rsidRDefault="00FE753F">
      <w:pPr>
        <w:pStyle w:val="Titrearticle"/>
        <w:rPr>
          <w:noProof/>
        </w:rPr>
      </w:pPr>
      <w:r>
        <w:rPr>
          <w:noProof/>
        </w:rPr>
        <w:t>Άρθρο</w:t>
      </w:r>
      <w:r w:rsidRPr="00FE753F">
        <w:rPr>
          <w:noProof/>
        </w:rPr>
        <w:t xml:space="preserve"> </w:t>
      </w:r>
      <w:r>
        <w:rPr>
          <w:noProof/>
        </w:rPr>
        <w:t>7</w:t>
      </w:r>
    </w:p>
    <w:p w:rsidR="006F5AB9" w:rsidRDefault="00FE753F">
      <w:pPr>
        <w:pStyle w:val="NormalCentered"/>
        <w:keepNext/>
        <w:rPr>
          <w:b/>
          <w:bCs/>
          <w:noProof/>
        </w:rPr>
      </w:pPr>
      <w:r>
        <w:rPr>
          <w:b/>
          <w:bCs/>
          <w:noProof/>
        </w:rPr>
        <w:t>Διάδοση</w:t>
      </w:r>
    </w:p>
    <w:p w:rsidR="006F5AB9" w:rsidRDefault="00FE753F">
      <w:pPr>
        <w:rPr>
          <w:noProof/>
        </w:rPr>
      </w:pPr>
      <w:r>
        <w:rPr>
          <w:noProof/>
        </w:rPr>
        <w:t xml:space="preserve">Οι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ευρωπαϊκές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στατιστικές που βασίζονται στα στοιχεία που μνημονεύονται στο άρθρο 4 διαδίδονται σε συχνότητα παρόμοια με αυτή που ορίζεται για τη διαβίβαση στοιχείων εκ μέρους τ</w:t>
      </w:r>
      <w:r>
        <w:rPr>
          <w:noProof/>
        </w:rPr>
        <w:t>ων κρατών μελών.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 1, σημ. 6</w:t>
      </w:r>
    </w:p>
    <w:p w:rsidR="006F5AB9" w:rsidRDefault="00FE753F">
      <w:pPr>
        <w:rPr>
          <w:noProof/>
        </w:rPr>
      </w:pPr>
      <w:r>
        <w:rPr>
          <w:noProof/>
        </w:rPr>
        <w:t>Η Επιτροπή εκδίδει εκτελεστικές πράξεις για τον καθορισμό των ρυθμίσεων για τη διάδοση αποτελεσμάτων. Οι εν λόγω εκτελεστικές πράξεις εκδίδονται σύμφωνα με τη διαδικασία εξέτασης στην οποία παραπέμ</w:t>
      </w:r>
      <w:r>
        <w:rPr>
          <w:noProof/>
        </w:rPr>
        <w:t>πει το άρθρο 11 παράγραφος 2.</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w:t>
      </w:r>
    </w:p>
    <w:p w:rsidR="006F5AB9" w:rsidRDefault="00FE753F">
      <w:pPr>
        <w:pStyle w:val="Titrearticle"/>
        <w:rPr>
          <w:noProof/>
        </w:rPr>
      </w:pPr>
      <w:r>
        <w:rPr>
          <w:noProof/>
        </w:rPr>
        <w:t>Άρθρο</w:t>
      </w:r>
      <w:r w:rsidRPr="00FE753F">
        <w:rPr>
          <w:noProof/>
        </w:rPr>
        <w:t xml:space="preserve"> </w:t>
      </w:r>
      <w:r>
        <w:rPr>
          <w:noProof/>
        </w:rPr>
        <w:t>8</w:t>
      </w:r>
    </w:p>
    <w:p w:rsidR="006F5AB9" w:rsidRDefault="00FE753F">
      <w:pPr>
        <w:pStyle w:val="NormalCentered"/>
        <w:keepNext/>
        <w:rPr>
          <w:b/>
          <w:bCs/>
          <w:noProof/>
        </w:rPr>
      </w:pPr>
      <w:r>
        <w:rPr>
          <w:b/>
          <w:bCs/>
          <w:noProof/>
        </w:rPr>
        <w:t>Ποιότητα των στατιστικών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 1, σημ. 7</w:t>
      </w:r>
    </w:p>
    <w:p w:rsidR="006F5AB9" w:rsidRDefault="00FE753F">
      <w:pPr>
        <w:rPr>
          <w:noProof/>
        </w:rPr>
      </w:pPr>
      <w:r>
        <w:rPr>
          <w:noProof/>
        </w:rPr>
        <w:t>1. Η Επιτροπή εκδίδει εκτελεστικές πράξεις για τον καθορισμό των μεθοδολογικών προδιαγραφών και κριτηρίων που στοχεύουν στην</w:t>
      </w:r>
      <w:r>
        <w:rPr>
          <w:noProof/>
        </w:rPr>
        <w:t xml:space="preserve"> εξασφάλιση της ποιότητας των παραγόμενων στοιχείων. Οι εν λόγω εκτελεστικές πράξεις εκδίδονται σύμφωνα με τη διαδικασία εξέτασης στην οποία παραπέμπει το άρθρο 11 παράγραφος 2.</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Pr>
          <w:noProof/>
          <w:lang w:val="el-GR"/>
        </w:rPr>
        <w:t>1365/2006</w:t>
      </w:r>
    </w:p>
    <w:p w:rsidR="006F5AB9" w:rsidRDefault="00FE753F">
      <w:pPr>
        <w:rPr>
          <w:noProof/>
        </w:rPr>
      </w:pPr>
      <w:r>
        <w:rPr>
          <w:noProof/>
        </w:rPr>
        <w:t>2. Τα κράτη μέλη λαμβάνουν όλα τα αναγκαία μέτρα γι</w:t>
      </w:r>
      <w:r>
        <w:rPr>
          <w:noProof/>
        </w:rPr>
        <w:t>α την εξασφάλιση της ποιότητας των διαβιβαζόμενων στοιχείων.</w:t>
      </w:r>
    </w:p>
    <w:p w:rsidR="006F5AB9" w:rsidRDefault="00FE753F">
      <w:pPr>
        <w:rPr>
          <w:noProof/>
        </w:rPr>
      </w:pPr>
      <w:r>
        <w:rPr>
          <w:noProof/>
        </w:rPr>
        <w:t>3. Η Επιτροπή (Eurostat) αξιολογεί την ποιότητα των διαβιβαζόμενων στοιχείων. Τα κράτη μέλη υποβάλλουν στην Επιτροπή (Eurostat) έκθεση με τις πληροφορίες και τα στοιχεία που τους ζητεί για την πι</w:t>
      </w:r>
      <w:r>
        <w:rPr>
          <w:noProof/>
        </w:rPr>
        <w:t>στοποίηση της ποιότητας των διαβιβαζόμενων στοιχείων.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 1, σημ. 8</w:t>
      </w:r>
    </w:p>
    <w:p w:rsidR="006F5AB9" w:rsidRDefault="00FE753F">
      <w:pPr>
        <w:rPr>
          <w:noProof/>
        </w:rPr>
      </w:pPr>
      <w:r>
        <w:rPr>
          <w:noProof/>
        </w:rPr>
        <w:t>4. Για τους σκοπούς του παρόντος κανονισμού, τα κριτήρια ποιότητας που πρέπει να εφαρμόζονται στα στοιχεία που πρέπει να διαβιβάζονται είναι εκείνα που αναφέρον</w:t>
      </w:r>
      <w:r>
        <w:rPr>
          <w:noProof/>
        </w:rPr>
        <w:t>ται στο άρθρο 12 παράγραφος 1 του κανονισμού (ΕΚ) αριθ. 223/2009.</w:t>
      </w:r>
    </w:p>
    <w:p w:rsidR="006F5AB9" w:rsidRDefault="00FE753F">
      <w:pPr>
        <w:rPr>
          <w:noProof/>
        </w:rPr>
      </w:pPr>
      <w:r>
        <w:rPr>
          <w:noProof/>
        </w:rPr>
        <w:t xml:space="preserve">5. Η Επιτροπή εκδίδει εκτελεστικές πράξεις για τον καθορισμό των λεπτομερών ρυθμίσεων, της δομής, της περιοδικότητας και των στοιχείων συγκρισιμότητας για τις εκθέσεις ποιότητας. Οι εν λόγω </w:t>
      </w:r>
      <w:r>
        <w:rPr>
          <w:noProof/>
        </w:rPr>
        <w:t>εκτελεστικές πράξεις εκδίδονται σύμφωνα με τη διαδικασία εξέτασης στην οποία παραπέμπει το άρθρο 11 παράγραφος 2.</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 1, σημ. 9 (προσαρμοσμένο)</w:t>
      </w:r>
    </w:p>
    <w:p w:rsidR="006F5AB9" w:rsidRDefault="00FE753F">
      <w:pPr>
        <w:pStyle w:val="Titrearticle"/>
        <w:rPr>
          <w:noProof/>
        </w:rPr>
      </w:pPr>
      <w:r>
        <w:rPr>
          <w:noProof/>
        </w:rPr>
        <w:t>Άρθρο 9</w:t>
      </w:r>
    </w:p>
    <w:p w:rsidR="006F5AB9" w:rsidRDefault="00FE753F">
      <w:pPr>
        <w:pStyle w:val="NormalCentered"/>
        <w:keepNext/>
        <w:rPr>
          <w:b/>
          <w:bCs/>
          <w:noProof/>
        </w:rPr>
      </w:pPr>
      <w:r>
        <w:rPr>
          <w:b/>
          <w:bCs/>
          <w:noProof/>
        </w:rPr>
        <w:t>Εκθέσεις εφαρμογής</w:t>
      </w:r>
    </w:p>
    <w:p w:rsidR="006F5AB9" w:rsidRDefault="00FE753F">
      <w:pPr>
        <w:rPr>
          <w:noProof/>
        </w:rPr>
      </w:pPr>
      <w:r>
        <w:rPr>
          <w:noProof/>
        </w:rPr>
        <w:t>Μέχρι τις 31</w:t>
      </w:r>
      <w:r>
        <w:rPr>
          <w:noProof/>
          <w:lang w:val="fi-FI"/>
        </w:rPr>
        <w:t> </w:t>
      </w:r>
      <w:r>
        <w:rPr>
          <w:noProof/>
        </w:rPr>
        <w:t>Δεκεμβρίου 2020 και, στη συνέχεια, ανά πεντα</w:t>
      </w:r>
      <w:r>
        <w:rPr>
          <w:noProof/>
        </w:rPr>
        <w:t>ετία, η Επιτροπή, αφού διαβουλευθεί με την επιτροπή Ευρωπαϊκού Στατιστικού Συστήματος, υποβάλλει έκθεση στο Ευρωπαϊκό Κοινοβούλιο και στο Συμβούλιο σχετικά με την εφαρμογή του παρόντος κανονισμού και τις μελλοντικές εξελίξεις.</w:t>
      </w:r>
    </w:p>
    <w:p w:rsidR="006F5AB9" w:rsidRDefault="00FE753F">
      <w:pPr>
        <w:keepNext/>
        <w:rPr>
          <w:noProof/>
        </w:rPr>
      </w:pPr>
      <w:r>
        <w:rPr>
          <w:noProof/>
        </w:rPr>
        <w:t>Στην εν λόγω έκθεση η Επιτροπ</w:t>
      </w:r>
      <w:r>
        <w:rPr>
          <w:noProof/>
        </w:rPr>
        <w:t xml:space="preserve">ή λαμβάνει υπόψη τις σχετικές πληροφορίες που παρέχονται από τα κράτη μέλη σχετικά με ενδεχόμενες βελτιώσεις και τις ανάγκες των χρηστών. Συγκεκριμένα, η εν λόγω έκθεση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αξιολογεί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6F5AB9" w:rsidRDefault="00FE753F">
      <w:pPr>
        <w:pStyle w:val="Point0"/>
        <w:rPr>
          <w:noProof/>
        </w:rPr>
      </w:pPr>
      <w:r>
        <w:rPr>
          <w:noProof/>
        </w:rPr>
        <w:t>α)</w:t>
      </w:r>
      <w:r>
        <w:rPr>
          <w:noProof/>
        </w:rPr>
        <w:tab/>
        <w:t>τα οφέλη που προκύπτουν για την Ένωση, τα</w:t>
      </w:r>
      <w:r>
        <w:rPr>
          <w:noProof/>
        </w:rPr>
        <w:t xml:space="preserve"> κράτη μέλη και τους παρόχους και τους χρήστες των στατιστικών πληροφοριών από τις στατιστικές που παράγονται, σε σχέση με το κόστος τους·</w:t>
      </w:r>
    </w:p>
    <w:p w:rsidR="006F5AB9" w:rsidRDefault="00FE753F">
      <w:pPr>
        <w:pStyle w:val="Point0"/>
        <w:rPr>
          <w:noProof/>
        </w:rPr>
      </w:pPr>
      <w:r>
        <w:rPr>
          <w:noProof/>
        </w:rPr>
        <w:t>β)</w:t>
      </w:r>
      <w:r>
        <w:rPr>
          <w:noProof/>
        </w:rPr>
        <w:tab/>
        <w:t>την ποιότητα των διαβιβαζόμενων στοιχείων και τις μεθόδους συλλογής των στοιχείων.</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w:t>
      </w:r>
      <w:r>
        <w:rPr>
          <w:noProof/>
          <w:lang w:val="el-GR"/>
        </w:rPr>
        <w:t xml:space="preserve"> 1, σημ. 10</w:t>
      </w:r>
    </w:p>
    <w:p w:rsidR="006F5AB9" w:rsidRDefault="00FE753F">
      <w:pPr>
        <w:pStyle w:val="Titrearticle"/>
        <w:rPr>
          <w:noProof/>
        </w:rPr>
      </w:pPr>
      <w:r>
        <w:rPr>
          <w:noProof/>
        </w:rPr>
        <w:t>Άρθρο 10</w:t>
      </w:r>
    </w:p>
    <w:p w:rsidR="006F5AB9" w:rsidRDefault="00FE753F">
      <w:pPr>
        <w:pStyle w:val="NormalCentered"/>
        <w:keepNext/>
        <w:rPr>
          <w:b/>
          <w:bCs/>
          <w:noProof/>
        </w:rPr>
      </w:pPr>
      <w:r>
        <w:rPr>
          <w:b/>
          <w:bCs/>
          <w:noProof/>
        </w:rPr>
        <w:t>Άσκηση της εξουσιοδότησης</w:t>
      </w:r>
    </w:p>
    <w:p w:rsidR="006F5AB9" w:rsidRDefault="00FE753F">
      <w:pPr>
        <w:rPr>
          <w:noProof/>
        </w:rPr>
      </w:pPr>
      <w:r>
        <w:rPr>
          <w:noProof/>
        </w:rPr>
        <w:t>1. Η εξουσία έκδοσης κατ’ εξουσιοδότηση πράξεων ανατίθεται στην Επιτροπή σύμφωνα με τους όρους του παρόντος άρθρου.</w:t>
      </w:r>
    </w:p>
    <w:p w:rsidR="006F5AB9" w:rsidRDefault="00FE753F">
      <w:pPr>
        <w:rPr>
          <w:noProof/>
        </w:rPr>
      </w:pPr>
      <w:r>
        <w:rPr>
          <w:noProof/>
        </w:rPr>
        <w:t>2. Η εξουσία έκδοσης των κατ’ εξουσιοδότηση πράξεων που αναφέρονται στο άρθρο 2 παράγραφος 5,</w:t>
      </w:r>
      <w:r>
        <w:rPr>
          <w:noProof/>
        </w:rPr>
        <w:t xml:space="preserve"> στο άρθρο 3 και στο άρθρο 4 παράγραφος 4 ανατίθεται στην Επιτροπή για περίοδο πέντε ετών από τις 7 Δεκεμβρίου 2016. Η Επιτροπή υποβάλλει έκθεση σχετικά με τις εξουσίες που της έχουν ανατεθεί το αργότερο εννέα μήνες πριν από τη λήξη της πενταετούς περιόδου</w:t>
      </w:r>
      <w:r>
        <w:rPr>
          <w:noProof/>
        </w:rPr>
        <w:t>. Η εξουσιοδότηση ανανεώνεται αυτομάτως για περιόδους ίδιας διάρκειας, εκτός αν το Ευρωπαϊκό Κοινοβούλιο ή το Συμβούλιο προβάλουν αντιρρήσεις το αργότερο εντός τριών μηνών πριν από τη λήξη της κάθε περιόδου.</w:t>
      </w:r>
    </w:p>
    <w:p w:rsidR="006F5AB9" w:rsidRDefault="00FE753F">
      <w:pPr>
        <w:rPr>
          <w:noProof/>
        </w:rPr>
      </w:pPr>
      <w:r>
        <w:rPr>
          <w:noProof/>
        </w:rPr>
        <w:t>3. Η εξουσιοδότηση που αναφέρεται στο άρθρο 2 πα</w:t>
      </w:r>
      <w:r>
        <w:rPr>
          <w:noProof/>
        </w:rPr>
        <w:t>ράγραφος 5, στο άρθρο 3 και στο άρθρο</w:t>
      </w:r>
      <w:r>
        <w:rPr>
          <w:noProof/>
          <w:lang w:val="fr-BE"/>
        </w:rPr>
        <w:t> </w:t>
      </w:r>
      <w:r>
        <w:rPr>
          <w:noProof/>
        </w:rPr>
        <w:t>4 παράγραφος 4 είναι δυνατόν να ανακληθεί οποιαδήποτε στιγμή από το Ευρωπαϊκό Κοινοβούλιο ή από το Συμβούλιο. Η απόφαση για την ανάκληση θέτει τέλος στην εξουσιοδότηση που προσδιορίζεται στην εν λόγω απόφαση. Παράγει α</w:t>
      </w:r>
      <w:r>
        <w:rPr>
          <w:noProof/>
        </w:rPr>
        <w:t xml:space="preserve">ποτελέσματα από την επομένη της δημοσίευσης της απόφασης στην </w:t>
      </w:r>
      <w:r>
        <w:rPr>
          <w:i/>
          <w:iCs/>
          <w:noProof/>
        </w:rPr>
        <w:t>Επίσημη Εφημερίδα της Ευρωπαϊκής Ένωσης</w:t>
      </w:r>
      <w:r>
        <w:rPr>
          <w:noProof/>
        </w:rPr>
        <w:t xml:space="preserve"> ή σε μεταγενέστερη ημερομηνία η οποία καθορίζεται σε αυτήν. Δεν επηρεάζει την εγκυρότητα των κατ’ εξουσιοδότηση πράξεων που βρίσκονται ήδη σε ισχύ.</w:t>
      </w:r>
    </w:p>
    <w:p w:rsidR="006F5AB9" w:rsidRDefault="00FE753F">
      <w:pPr>
        <w:rPr>
          <w:noProof/>
        </w:rPr>
      </w:pPr>
      <w:r>
        <w:rPr>
          <w:noProof/>
        </w:rPr>
        <w:t>4. Πρι</w:t>
      </w:r>
      <w:r>
        <w:rPr>
          <w:noProof/>
        </w:rPr>
        <w:t>ν από την έκδοση μιας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της 13ης Απριλίου 2016 για τη βελτίωση του νομοθετικού έργου.</w:t>
      </w:r>
    </w:p>
    <w:p w:rsidR="006F5AB9" w:rsidRDefault="00FE753F">
      <w:pPr>
        <w:rPr>
          <w:noProof/>
        </w:rPr>
      </w:pPr>
      <w:r>
        <w:rPr>
          <w:noProof/>
        </w:rPr>
        <w:t>5. Η Επιτροπή, μόλις</w:t>
      </w:r>
      <w:r>
        <w:rPr>
          <w:noProof/>
        </w:rPr>
        <w:t xml:space="preserve"> εκδώσει κατ’ εξουσιοδότηση πράξη, την κοινοποιεί ταυτόχρονα στο Ευρωπαϊκό Κοινοβούλιο και στο Συμβούλιο.</w:t>
      </w:r>
    </w:p>
    <w:p w:rsidR="006F5AB9" w:rsidRDefault="00FE753F">
      <w:pPr>
        <w:rPr>
          <w:noProof/>
        </w:rPr>
      </w:pPr>
      <w:r>
        <w:rPr>
          <w:noProof/>
        </w:rPr>
        <w:t>6. Η κατ’ εξουσιοδότηση πράξη που εκδίδεται δυνάμει του άρθρου 2 παράγραφος 5, του άρθρου 3 ή του άρθρου 4 παράγραφος 4 τίθεται σε ισχύ μόνο εάν δεν δ</w:t>
      </w:r>
      <w:r>
        <w:rPr>
          <w:noProof/>
        </w:rPr>
        <w:t>ιατυπωθεί αντίρρηση από το Ευρωπαϊκό Κοινοβούλιο ή το Συμβούλιο εντός δύο μηνών από την ημέρα κοινοποίησης της πράξης στο Ευρωπαϊκό Κοινοβούλιο και στο Συμβούλιο ή εάν, πριν λήξει αυτή η περίοδος, το Ευρωπαϊκό Κοινοβούλιο και το Συμβούλιο ενημερώσουν αμφότ</w:t>
      </w:r>
      <w:r>
        <w:rPr>
          <w:noProof/>
        </w:rPr>
        <w:t>ερα την Επιτροπή ότι δεν προβάλλουν αντιρρήσεις. Η περίοδος αυτή παρατείνεται κατά δύο μήνες με πρωτοβουλία του Ευρωπαϊκού Κοινοβουλίου ή του Συμβουλίου.</w:t>
      </w:r>
    </w:p>
    <w:p w:rsidR="006F5AB9" w:rsidRDefault="006F5AB9">
      <w:pPr>
        <w:pStyle w:val="CRSeparator"/>
        <w:rPr>
          <w:noProof/>
          <w:lang w:val="el-GR"/>
        </w:rPr>
      </w:pPr>
    </w:p>
    <w:p w:rsidR="006F5AB9" w:rsidRDefault="00FE753F">
      <w:pPr>
        <w:pStyle w:val="CRReference"/>
        <w:rPr>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r w:rsidRPr="00FE753F">
        <w:rPr>
          <w:noProof/>
          <w:lang w:val="el-GR"/>
        </w:rPr>
        <w:t>2016/1954</w:t>
      </w:r>
      <w:r>
        <w:rPr>
          <w:noProof/>
          <w:lang w:val="el-GR"/>
        </w:rPr>
        <w:t xml:space="preserve"> Αρθ. 1, σημ. 11</w:t>
      </w:r>
    </w:p>
    <w:p w:rsidR="006F5AB9" w:rsidRDefault="00FE753F">
      <w:pPr>
        <w:pStyle w:val="Titrearticle"/>
        <w:rPr>
          <w:noProof/>
        </w:rPr>
      </w:pPr>
      <w:r>
        <w:rPr>
          <w:noProof/>
        </w:rPr>
        <w:t>Άρθρο 11</w:t>
      </w:r>
    </w:p>
    <w:p w:rsidR="006F5AB9" w:rsidRDefault="00FE753F">
      <w:pPr>
        <w:pStyle w:val="NormalCentered"/>
        <w:keepNext/>
        <w:rPr>
          <w:b/>
          <w:bCs/>
          <w:noProof/>
        </w:rPr>
      </w:pPr>
      <w:r>
        <w:rPr>
          <w:b/>
          <w:bCs/>
          <w:noProof/>
        </w:rPr>
        <w:t>Διαδικασία επιτροπής</w:t>
      </w:r>
    </w:p>
    <w:p w:rsidR="006F5AB9" w:rsidRDefault="00FE753F">
      <w:pPr>
        <w:rPr>
          <w:noProof/>
        </w:rPr>
      </w:pPr>
      <w:r>
        <w:rPr>
          <w:noProof/>
        </w:rPr>
        <w:t>1. Η Επιτροπή επικουρείται απ</w:t>
      </w:r>
      <w:r>
        <w:rPr>
          <w:noProof/>
        </w:rPr>
        <w:t>ό την επιτροπή Ευρωπαϊκού Στατιστικού Συστήματος που θεσπίστηκε με τον κανονισμό (ΕΚ) αριθ. 223/2009. Η εν λόγω επιτροπή αποτελεί επιτροπή κατά την έννοια του κανονισμού (ΕΕ) αριθ. 182/2011</w:t>
      </w:r>
    </w:p>
    <w:p w:rsidR="006F5AB9" w:rsidRDefault="00FE753F">
      <w:pPr>
        <w:rPr>
          <w:noProof/>
        </w:rPr>
      </w:pPr>
      <w:r>
        <w:rPr>
          <w:noProof/>
        </w:rPr>
        <w:t>2. Όταν γίνεται αναφορά στην παρούσα παράγραφο, εφαρμόζεται το άρθ</w:t>
      </w:r>
      <w:r>
        <w:rPr>
          <w:noProof/>
        </w:rPr>
        <w:t>ρο 5 του κανονισμού</w:t>
      </w:r>
      <w:r>
        <w:rPr>
          <w:noProof/>
          <w:lang w:val="fr-BE"/>
        </w:rPr>
        <w:t> </w:t>
      </w:r>
      <w:r>
        <w:rPr>
          <w:noProof/>
        </w:rPr>
        <w:t>(ΕΕ) αριθ. 182/2011.</w:t>
      </w:r>
    </w:p>
    <w:p w:rsidR="006F5AB9" w:rsidRDefault="006F5AB9">
      <w:pPr>
        <w:pStyle w:val="CRSeparator"/>
        <w:rPr>
          <w:noProof/>
          <w:lang w:val="el-GR"/>
        </w:rPr>
      </w:pPr>
    </w:p>
    <w:p w:rsidR="006F5AB9" w:rsidRPr="00FE753F" w:rsidRDefault="00FE753F">
      <w:pPr>
        <w:pStyle w:val="CRReference"/>
        <w:rPr>
          <w:rFonts w:eastAsia="Times New Roman"/>
          <w:noProof/>
          <w:lang w:val="el-GR"/>
        </w:rPr>
      </w:pPr>
      <w:r>
        <w:rPr>
          <w:noProof/>
        </w:rPr>
        <w:fldChar w:fldCharType="begin"/>
      </w:r>
      <w:r>
        <w:rPr>
          <w:noProof/>
          <w:lang w:val="el-GR"/>
        </w:rPr>
        <w:instrText xml:space="preserve"> </w:instrText>
      </w:r>
      <w:r>
        <w:rPr>
          <w:noProof/>
        </w:rPr>
        <w:instrText>QUOTE</w:instrText>
      </w:r>
      <w:r>
        <w:rPr>
          <w:noProof/>
          <w:lang w:val="el-GR"/>
        </w:rPr>
        <w:instrText xml:space="preserve"> "</w:instrText>
      </w:r>
      <w:r>
        <w:rPr>
          <w:rStyle w:val="CRMarker"/>
          <w:noProof/>
          <w:lang w:val="el-GR"/>
        </w:rPr>
        <w:instrText>ê</w:instrText>
      </w:r>
      <w:r>
        <w:rPr>
          <w:noProof/>
          <w:lang w:val="el-GR"/>
        </w:rPr>
        <w:instrText xml:space="preserve">" </w:instrText>
      </w:r>
      <w:r>
        <w:rPr>
          <w:noProof/>
        </w:rPr>
        <w:fldChar w:fldCharType="separate"/>
      </w:r>
      <w:r>
        <w:rPr>
          <w:rStyle w:val="CRMarker"/>
          <w:noProof/>
          <w:lang w:val="el-GR"/>
        </w:rPr>
        <w:t>ê</w:t>
      </w:r>
      <w:r>
        <w:rPr>
          <w:noProof/>
        </w:rPr>
        <w:fldChar w:fldCharType="end"/>
      </w:r>
      <w:r>
        <w:rPr>
          <w:noProof/>
        </w:rPr>
        <w:t> </w:t>
      </w:r>
    </w:p>
    <w:p w:rsidR="006F5AB9" w:rsidRDefault="00FE753F">
      <w:pPr>
        <w:pStyle w:val="Titrearticle"/>
        <w:rPr>
          <w:noProof/>
        </w:rPr>
      </w:pPr>
      <w:r>
        <w:rPr>
          <w:noProof/>
        </w:rPr>
        <w:t>Άρθρο 12</w:t>
      </w:r>
    </w:p>
    <w:p w:rsidR="006F5AB9" w:rsidRDefault="00FE753F">
      <w:pPr>
        <w:pStyle w:val="NormalCentered"/>
        <w:keepNext/>
        <w:rPr>
          <w:b/>
          <w:bCs/>
          <w:noProof/>
        </w:rPr>
      </w:pPr>
      <w:r>
        <w:rPr>
          <w:b/>
          <w:bCs/>
          <w:noProof/>
        </w:rPr>
        <w:t>Κατάργηση</w:t>
      </w:r>
    </w:p>
    <w:p w:rsidR="006F5AB9" w:rsidRDefault="00FE753F">
      <w:pPr>
        <w:rPr>
          <w:noProof/>
        </w:rPr>
      </w:pPr>
      <w:r>
        <w:rPr>
          <w:noProof/>
        </w:rPr>
        <w:t>Ο κανονισμός (ΕΚ) αριθ. 1365/2006 καταργείται.</w:t>
      </w:r>
    </w:p>
    <w:p w:rsidR="006F5AB9" w:rsidRPr="00FE753F" w:rsidRDefault="00FE753F">
      <w:pPr>
        <w:rPr>
          <w:noProof/>
        </w:rPr>
      </w:pPr>
      <w:r>
        <w:rPr>
          <w:noProof/>
        </w:rPr>
        <w:t xml:space="preserve">Οι αναφορές στον καταργούμενο κανονισμό θεωρούνται ότι γίνονται στον παρόντα κανονισμό και διαβάζονται σύμφωνα με τον πίνακα </w:t>
      </w:r>
      <w:r>
        <w:rPr>
          <w:noProof/>
        </w:rPr>
        <w:t>αντιστοιχίας που εμφαίνεται στο παράρτημα</w:t>
      </w:r>
      <w:r>
        <w:rPr>
          <w:noProof/>
          <w:lang w:val="fi-FI"/>
        </w:rPr>
        <w:t> </w:t>
      </w:r>
      <w:r>
        <w:rPr>
          <w:noProof/>
          <w:lang w:val="fr-BE"/>
        </w:rPr>
        <w:t>V</w:t>
      </w:r>
      <w:r>
        <w:rPr>
          <w:noProof/>
        </w:rPr>
        <w:t>ΙΙΙ.</w:t>
      </w:r>
    </w:p>
    <w:p w:rsidR="006F5AB9" w:rsidRPr="00FE753F" w:rsidRDefault="006F5AB9">
      <w:pPr>
        <w:pStyle w:val="CRSeparator"/>
        <w:rPr>
          <w:noProof/>
          <w:lang w:val="el-GR"/>
        </w:rPr>
      </w:pPr>
    </w:p>
    <w:p w:rsidR="006F5AB9" w:rsidRPr="00FE753F" w:rsidRDefault="00FE753F">
      <w:pPr>
        <w:pStyle w:val="CRReference"/>
        <w:rPr>
          <w:noProof/>
          <w:lang w:val="el-GR"/>
        </w:rPr>
      </w:pPr>
      <w:r>
        <w:rPr>
          <w:noProof/>
        </w:rPr>
        <w:fldChar w:fldCharType="begin"/>
      </w:r>
      <w:r w:rsidRPr="00FE753F">
        <w:rPr>
          <w:noProof/>
          <w:lang w:val="el-GR"/>
        </w:rPr>
        <w:instrText xml:space="preserve"> </w:instrText>
      </w:r>
      <w:r>
        <w:rPr>
          <w:noProof/>
        </w:rPr>
        <w:instrText>QUOTE</w:instrText>
      </w:r>
      <w:r w:rsidRPr="00FE753F">
        <w:rPr>
          <w:noProof/>
          <w:lang w:val="el-GR"/>
        </w:rPr>
        <w:instrText xml:space="preserve"> "</w:instrText>
      </w:r>
      <w:r w:rsidRPr="00FE753F">
        <w:rPr>
          <w:rStyle w:val="CRMarker"/>
          <w:noProof/>
          <w:lang w:val="el-GR"/>
        </w:rPr>
        <w:instrText>ê</w:instrText>
      </w:r>
      <w:r w:rsidRPr="00FE753F">
        <w:rPr>
          <w:noProof/>
          <w:lang w:val="el-GR"/>
        </w:rPr>
        <w:instrText xml:space="preserve">" </w:instrText>
      </w:r>
      <w:r>
        <w:rPr>
          <w:noProof/>
        </w:rPr>
        <w:fldChar w:fldCharType="separate"/>
      </w:r>
      <w:r w:rsidRPr="00FE753F">
        <w:rPr>
          <w:rStyle w:val="CRMarker"/>
          <w:noProof/>
          <w:lang w:val="el-GR"/>
        </w:rPr>
        <w:t>ê</w:t>
      </w:r>
      <w:r>
        <w:rPr>
          <w:noProof/>
        </w:rPr>
        <w:fldChar w:fldCharType="end"/>
      </w:r>
      <w:r>
        <w:rPr>
          <w:noProof/>
        </w:rPr>
        <w:t> </w:t>
      </w:r>
      <w:r w:rsidRPr="00FE753F">
        <w:rPr>
          <w:noProof/>
          <w:lang w:val="el-GR"/>
        </w:rPr>
        <w:t>1365/2006</w:t>
      </w:r>
    </w:p>
    <w:p w:rsidR="006F5AB9" w:rsidRDefault="00FE753F">
      <w:pPr>
        <w:pStyle w:val="Titrearticle"/>
        <w:rPr>
          <w:noProof/>
        </w:rPr>
      </w:pPr>
      <w:r>
        <w:rPr>
          <w:noProof/>
        </w:rPr>
        <w:t>Άρθρο</w:t>
      </w:r>
      <w:r w:rsidRPr="00FE753F">
        <w:rPr>
          <w:noProof/>
        </w:rPr>
        <w:t xml:space="preserve"> </w:t>
      </w:r>
      <w:r>
        <w:rPr>
          <w:noProof/>
        </w:rPr>
        <w:t>13</w:t>
      </w:r>
    </w:p>
    <w:p w:rsidR="006F5AB9" w:rsidRDefault="00FE753F">
      <w:pPr>
        <w:pStyle w:val="NormalCentered"/>
        <w:keepNext/>
        <w:rPr>
          <w:b/>
          <w:bCs/>
          <w:noProof/>
        </w:rPr>
      </w:pPr>
      <w:r>
        <w:rPr>
          <w:b/>
          <w:bCs/>
          <w:noProof/>
        </w:rPr>
        <w:t>Έναρξη ισχύος</w:t>
      </w:r>
    </w:p>
    <w:p w:rsidR="006F5AB9" w:rsidRDefault="00FE753F">
      <w:pPr>
        <w:rPr>
          <w:noProof/>
        </w:rPr>
      </w:pPr>
      <w:r>
        <w:rPr>
          <w:noProof/>
        </w:rPr>
        <w:t xml:space="preserve">Ο παρών κανονισμός αρχίζει να ισχύει την εικοστή ημέρα από τη δημοσίευσή του στην </w:t>
      </w:r>
      <w:r>
        <w:rPr>
          <w:i/>
          <w:iCs/>
          <w:noProof/>
        </w:rPr>
        <w:t>Επίσημη Εφημερίδα της Ευρωπαϊκής Ένωσης</w:t>
      </w:r>
      <w:r>
        <w:rPr>
          <w:noProof/>
        </w:rPr>
        <w:t>.</w:t>
      </w:r>
    </w:p>
    <w:p w:rsidR="006F5AB9" w:rsidRDefault="00FE753F">
      <w:pPr>
        <w:pStyle w:val="Applicationdirecte"/>
        <w:rPr>
          <w:noProof/>
        </w:rPr>
      </w:pPr>
      <w:r>
        <w:rPr>
          <w:noProof/>
        </w:rPr>
        <w:t xml:space="preserve">Ο παρών κανονισμός είναι </w:t>
      </w:r>
      <w:r>
        <w:rPr>
          <w:noProof/>
        </w:rPr>
        <w:t>δεσμευτικός ως προς όλα τα μέρη του και ισχύει άμεσα σε κάθε κράτος μέλος.</w:t>
      </w:r>
    </w:p>
    <w:p w:rsidR="006F5AB9" w:rsidRDefault="00FE753F" w:rsidP="00FE753F">
      <w:pPr>
        <w:pStyle w:val="Fait"/>
        <w:rPr>
          <w:noProof/>
        </w:rPr>
      </w:pPr>
      <w:r w:rsidRPr="00FE753F">
        <w:t>Βρυξέλλες,</w:t>
      </w:r>
    </w:p>
    <w:p w:rsidR="006F5AB9" w:rsidRDefault="00FE753F">
      <w:pPr>
        <w:pStyle w:val="Institutionquisigne"/>
        <w:rPr>
          <w:noProof/>
        </w:rPr>
      </w:pPr>
      <w:r>
        <w:rPr>
          <w:noProof/>
        </w:rPr>
        <w:t>Για το Ευρωπαϊκό Κοινοβούλιο</w:t>
      </w:r>
      <w:r>
        <w:rPr>
          <w:noProof/>
        </w:rPr>
        <w:tab/>
        <w:t>Για το Συμβούλιο</w:t>
      </w:r>
    </w:p>
    <w:p w:rsidR="006F5AB9" w:rsidRDefault="00FE753F">
      <w:pPr>
        <w:pStyle w:val="Personnequisigne"/>
        <w:rPr>
          <w:noProof/>
        </w:rPr>
      </w:pPr>
      <w:r>
        <w:rPr>
          <w:noProof/>
        </w:rPr>
        <w:t>Ο/Η Πρόεδρος</w:t>
      </w:r>
      <w:r>
        <w:rPr>
          <w:noProof/>
        </w:rPr>
        <w:tab/>
        <w:t>Ο/Η Πρόεδρος</w:t>
      </w:r>
    </w:p>
    <w:sectPr w:rsidR="006F5AB9" w:rsidSect="00FE753F">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B9" w:rsidRDefault="00FE753F">
      <w:pPr>
        <w:spacing w:before="0" w:after="0"/>
      </w:pPr>
      <w:r>
        <w:separator/>
      </w:r>
    </w:p>
  </w:endnote>
  <w:endnote w:type="continuationSeparator" w:id="0">
    <w:p w:rsidR="006F5AB9" w:rsidRDefault="00FE75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B9" w:rsidRPr="00FE753F" w:rsidRDefault="00FE753F" w:rsidP="00FE753F">
    <w:pPr>
      <w:pStyle w:val="Footer"/>
      <w:rPr>
        <w:rFonts w:ascii="Arial" w:hAnsi="Arial" w:cs="Arial"/>
        <w:b/>
        <w:sz w:val="48"/>
      </w:rPr>
    </w:pPr>
    <w:r w:rsidRPr="00FE753F">
      <w:rPr>
        <w:rFonts w:ascii="Arial" w:hAnsi="Arial" w:cs="Arial"/>
        <w:b/>
        <w:sz w:val="48"/>
      </w:rPr>
      <w:t>EL</w:t>
    </w:r>
    <w:r w:rsidRPr="00FE753F">
      <w:rPr>
        <w:rFonts w:ascii="Arial" w:hAnsi="Arial" w:cs="Arial"/>
        <w:b/>
        <w:sz w:val="48"/>
      </w:rPr>
      <w:tab/>
    </w:r>
    <w:r w:rsidRPr="00FE753F">
      <w:rPr>
        <w:rFonts w:ascii="Arial" w:hAnsi="Arial" w:cs="Arial"/>
        <w:b/>
        <w:sz w:val="48"/>
      </w:rPr>
      <w:tab/>
    </w:r>
    <w:fldSimple w:instr=" DOCVARIABLE &quot;LW_Confidence&quot; \* MERGEFORMAT ">
      <w:r>
        <w:t xml:space="preserve"> </w:t>
      </w:r>
    </w:fldSimple>
    <w:r w:rsidRPr="00FE753F">
      <w:tab/>
    </w:r>
    <w:proofErr w:type="spellStart"/>
    <w:r w:rsidRPr="00FE753F">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Footer"/>
      <w:rPr>
        <w:rFonts w:ascii="Arial" w:hAnsi="Arial" w:cs="Arial"/>
        <w:b/>
        <w:sz w:val="48"/>
      </w:rPr>
    </w:pPr>
    <w:r w:rsidRPr="00FE753F">
      <w:rPr>
        <w:rFonts w:ascii="Arial" w:hAnsi="Arial" w:cs="Arial"/>
        <w:b/>
        <w:sz w:val="48"/>
      </w:rPr>
      <w:t>EL</w:t>
    </w:r>
    <w:r w:rsidRPr="00FE753F">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FE753F">
      <w:tab/>
    </w:r>
    <w:r w:rsidRPr="00FE753F">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B9" w:rsidRDefault="00FE753F">
      <w:pPr>
        <w:spacing w:before="0" w:after="0"/>
      </w:pPr>
      <w:r>
        <w:separator/>
      </w:r>
    </w:p>
  </w:footnote>
  <w:footnote w:type="continuationSeparator" w:id="0">
    <w:p w:rsidR="006F5AB9" w:rsidRDefault="00FE753F">
      <w:pPr>
        <w:spacing w:before="0" w:after="0"/>
      </w:pPr>
      <w:r>
        <w:continuationSeparator/>
      </w:r>
    </w:p>
  </w:footnote>
  <w:footnote w:id="1">
    <w:p w:rsidR="006F5AB9" w:rsidRDefault="00FE753F">
      <w:pPr>
        <w:pStyle w:val="FootnoteText"/>
      </w:pPr>
      <w:r>
        <w:rPr>
          <w:rStyle w:val="FootnoteReference"/>
        </w:rPr>
        <w:footnoteRef/>
      </w:r>
      <w:r>
        <w:tab/>
        <w:t>COM(87) 868 PV.</w:t>
      </w:r>
    </w:p>
  </w:footnote>
  <w:footnote w:id="2">
    <w:p w:rsidR="006F5AB9" w:rsidRDefault="00FE753F">
      <w:pPr>
        <w:pStyle w:val="FootnoteText"/>
      </w:pPr>
      <w:r>
        <w:rPr>
          <w:rStyle w:val="FootnoteReference"/>
        </w:rPr>
        <w:footnoteRef/>
      </w:r>
      <w:r>
        <w:tab/>
        <w:t>Βλ. παράρτημα 3 του τμήματος Α των εν λόγω συμπερασμάτων.</w:t>
      </w:r>
    </w:p>
  </w:footnote>
  <w:footnote w:id="3">
    <w:p w:rsidR="006F5AB9" w:rsidRDefault="00FE753F">
      <w:pPr>
        <w:pStyle w:val="FootnoteText"/>
      </w:pPr>
      <w:r>
        <w:rPr>
          <w:rStyle w:val="FootnoteReference"/>
        </w:rPr>
        <w:footnoteRef/>
      </w:r>
      <w:r>
        <w:tab/>
        <w:t>Είναι εγγεγραμ</w:t>
      </w:r>
      <w:r>
        <w:t>μένη στο νομοθετικό πρόγραμμα για το 2017.</w:t>
      </w:r>
    </w:p>
  </w:footnote>
  <w:footnote w:id="4">
    <w:p w:rsidR="006F5AB9" w:rsidRDefault="00FE753F">
      <w:pPr>
        <w:pStyle w:val="FootnoteText"/>
      </w:pPr>
      <w:r>
        <w:rPr>
          <w:rStyle w:val="FootnoteReference"/>
        </w:rPr>
        <w:footnoteRef/>
      </w:r>
      <w:r>
        <w:tab/>
        <w:t xml:space="preserve">Βλ. παράρτημα </w:t>
      </w:r>
      <w:r>
        <w:rPr>
          <w:lang w:val="fr-BE"/>
        </w:rPr>
        <w:t>V</w:t>
      </w:r>
      <w:r>
        <w:rPr>
          <w:lang w:val="fr-FR"/>
        </w:rPr>
        <w:t>II</w:t>
      </w:r>
      <w:r>
        <w:t xml:space="preserve"> της παρούσας πρότασης.</w:t>
      </w:r>
    </w:p>
  </w:footnote>
  <w:footnote w:id="5">
    <w:p w:rsidR="006F5AB9" w:rsidRDefault="00FE753F">
      <w:pPr>
        <w:pStyle w:val="FootnoteText"/>
      </w:pPr>
      <w:r>
        <w:rPr>
          <w:rStyle w:val="FootnoteReference"/>
          <w:lang w:val="en-US"/>
        </w:rPr>
        <w:footnoteRef/>
      </w:r>
      <w:r>
        <w:tab/>
        <w:t xml:space="preserve">ΕΕ </w:t>
      </w:r>
      <w:r>
        <w:rPr>
          <w:lang w:val="fr-FR"/>
        </w:rPr>
        <w:t>C</w:t>
      </w:r>
      <w:r>
        <w:t xml:space="preserve"> […] της […], σ. […].</w:t>
      </w:r>
    </w:p>
  </w:footnote>
  <w:footnote w:id="6">
    <w:p w:rsidR="006F5AB9" w:rsidRDefault="00FE753F">
      <w:pPr>
        <w:pStyle w:val="FootnoteText"/>
      </w:pPr>
      <w:r>
        <w:rPr>
          <w:rStyle w:val="FootnoteReference"/>
        </w:rPr>
        <w:footnoteRef/>
      </w:r>
      <w:r>
        <w:tab/>
        <w:t>ΚΑΝΟΝΙΣΜΟΣ ΤΟΥ ΕΥΡΩΠΑΪΚΟΥ ΚΟΙΝΟΒΟΥΛΙΟΥ ΚΑΙ ΤΟΥ ΣΥΜΒΟΥΛΙΟΥ της 6ης</w:t>
      </w:r>
      <w:r>
        <w:rPr>
          <w:lang w:val="fr-BE"/>
        </w:rPr>
        <w:t> </w:t>
      </w:r>
      <w:r>
        <w:t xml:space="preserve">Σεπτεμβρίου 2006 για στατιστικές σχετικά με μεταφορές εμπορευμάτων μέσω εσωτερικών πλωτών οδών και για την κατάργηση της οδηγίας 80/1119/ΕΟΚ (ΕΕ </w:t>
      </w:r>
      <w:r>
        <w:rPr>
          <w:lang w:val="fr-FR"/>
        </w:rPr>
        <w:t>C</w:t>
      </w:r>
      <w:r>
        <w:t xml:space="preserve"> 264 της 25.9.2006, σ. 1).</w:t>
      </w:r>
    </w:p>
  </w:footnote>
  <w:footnote w:id="7">
    <w:p w:rsidR="006F5AB9" w:rsidRDefault="00FE753F">
      <w:pPr>
        <w:pStyle w:val="FootnoteText"/>
      </w:pPr>
      <w:r>
        <w:rPr>
          <w:rStyle w:val="FootnoteReference"/>
        </w:rPr>
        <w:footnoteRef/>
      </w:r>
      <w:r>
        <w:tab/>
      </w:r>
      <w:r>
        <w:rPr>
          <w:lang w:val="en-GB"/>
        </w:rPr>
        <w:t>See</w:t>
      </w:r>
      <w:r>
        <w:t xml:space="preserve"> </w:t>
      </w:r>
      <w:r>
        <w:rPr>
          <w:lang w:val="en-GB"/>
        </w:rPr>
        <w:t>Annex VII</w:t>
      </w:r>
      <w:r>
        <w:t>.</w:t>
      </w:r>
    </w:p>
  </w:footnote>
  <w:footnote w:id="8">
    <w:p w:rsidR="006F5AB9" w:rsidRDefault="00FE753F">
      <w:pPr>
        <w:pStyle w:val="FootnoteText"/>
      </w:pPr>
      <w:r>
        <w:rPr>
          <w:rStyle w:val="FootnoteReference"/>
        </w:rPr>
        <w:footnoteRef/>
      </w:r>
      <w:r>
        <w:tab/>
        <w:t xml:space="preserve">Κανονισμός (ΕΚ) αριθ. 223/2009 του </w:t>
      </w:r>
      <w:proofErr w:type="spellStart"/>
      <w:r>
        <w:t>Ευρωπαικού</w:t>
      </w:r>
      <w:proofErr w:type="spellEnd"/>
      <w:r>
        <w:t xml:space="preserve"> Κοινοβουλίου και τ</w:t>
      </w:r>
      <w:r>
        <w:t>ου Συμβουλίου της</w:t>
      </w:r>
      <w:r>
        <w:rPr>
          <w:lang w:val="fi-FI"/>
        </w:rPr>
        <w:t> </w:t>
      </w:r>
      <w:r>
        <w:t>11ης</w:t>
      </w:r>
      <w:r>
        <w:rPr>
          <w:lang w:val="fr-BE"/>
        </w:rPr>
        <w:t> </w:t>
      </w:r>
      <w:r>
        <w:t>Μαρτίου 2009 σχετικά με τις ευρωπαϊκές στατιστικές και την κατάργηση του κανονισμού</w:t>
      </w:r>
      <w:r>
        <w:rPr>
          <w:lang w:val="fr-BE"/>
        </w:rPr>
        <w:t> </w:t>
      </w:r>
      <w:r>
        <w:t>(ΕΚ,</w:t>
      </w:r>
      <w:r>
        <w:rPr>
          <w:lang w:val="fr-BE"/>
        </w:rPr>
        <w:t> </w:t>
      </w:r>
      <w:proofErr w:type="spellStart"/>
      <w:r>
        <w:t>Ευρατόμ</w:t>
      </w:r>
      <w:proofErr w:type="spellEnd"/>
      <w:r>
        <w:t>) αριθ. 1101/2008 του Ευρωπαϊκού Κοινοβουλίου και του Συμβουλίου σχετικά με τη διαβίβαση στη Στατιστική Υπηρεσία των Ευρωπαϊκών Κοινοτήτω</w:t>
      </w:r>
      <w:r>
        <w:t xml:space="preserve">ν πληροφοριών που καλύπτονται από το στατιστικό απόρρητο, του κανονισμού (ΕΚ) αριθ. 322/97 του Συμβουλίου σχετικά με τις κοινοτικές στατιστικές και της απόφασης 89/382/ΕΟΚ, </w:t>
      </w:r>
      <w:proofErr w:type="spellStart"/>
      <w:r>
        <w:t>Ευρατόμ</w:t>
      </w:r>
      <w:proofErr w:type="spellEnd"/>
      <w:r>
        <w:t xml:space="preserve"> του Συμβουλίου για τη σύσταση επιτροπής του στατιστικού προγράμματος των Ευ</w:t>
      </w:r>
      <w:r>
        <w:t>ρωπαϊκών Κοινοτήτων (ΕΕ</w:t>
      </w:r>
      <w:r>
        <w:rPr>
          <w:lang w:val="fi-FI"/>
        </w:rPr>
        <w:t> </w:t>
      </w:r>
      <w:r>
        <w:t>L</w:t>
      </w:r>
      <w:r>
        <w:rPr>
          <w:lang w:val="fi-FI"/>
        </w:rPr>
        <w:t> </w:t>
      </w:r>
      <w:r>
        <w:t>87 της</w:t>
      </w:r>
      <w:r>
        <w:rPr>
          <w:lang w:val="fi-FI"/>
        </w:rPr>
        <w:t> </w:t>
      </w:r>
      <w:r>
        <w:t>31.3.2009, σ.</w:t>
      </w:r>
      <w:r>
        <w:rPr>
          <w:lang w:val="fi-FI"/>
        </w:rPr>
        <w:t> </w:t>
      </w:r>
      <w:r>
        <w:t>164).</w:t>
      </w:r>
    </w:p>
  </w:footnote>
  <w:footnote w:id="9">
    <w:p w:rsidR="006F5AB9" w:rsidRDefault="00FE753F">
      <w:pPr>
        <w:pStyle w:val="FootnoteText"/>
      </w:pPr>
      <w:r>
        <w:rPr>
          <w:rStyle w:val="FootnoteReference"/>
        </w:rPr>
        <w:footnoteRef/>
      </w:r>
      <w:r>
        <w:tab/>
        <w:t>ΕΕ L 123 της 12.5.2016, σ. 1.</w:t>
      </w:r>
    </w:p>
  </w:footnote>
  <w:footnote w:id="10">
    <w:p w:rsidR="006F5AB9" w:rsidRDefault="00FE753F">
      <w:pPr>
        <w:pStyle w:val="FootnoteText"/>
      </w:pPr>
      <w:r>
        <w:rPr>
          <w:rStyle w:val="FootnoteReference"/>
        </w:rPr>
        <w:footnoteRef/>
      </w:r>
      <w:r>
        <w:tab/>
        <w:t>Κανονισμός (ΕΕ) αριθ. 182/2011 του Ευρωπαϊκού Κοινοβουλίου και του Συμβουλίου της</w:t>
      </w:r>
      <w:r>
        <w:rPr>
          <w:lang w:val="fi-FI"/>
        </w:rPr>
        <w:t> </w:t>
      </w:r>
      <w:r>
        <w:t>16</w:t>
      </w:r>
      <w:r>
        <w:rPr>
          <w:vertAlign w:val="superscript"/>
        </w:rPr>
        <w:t>ης</w:t>
      </w:r>
      <w:r>
        <w:rPr>
          <w:lang w:val="fi-FI"/>
        </w:rPr>
        <w:t> </w:t>
      </w:r>
      <w:r>
        <w:t xml:space="preserve">Φεβρουαρίου 2011 για τη θέσπιση κανόνων και γενικών αρχών σχετικά με τους τρόπους </w:t>
      </w:r>
      <w:r>
        <w:t>ελέγχου από τα κράτη μέλη της άσκησης των εκτελεστικών αρμοδιοτήτων από την Επιτροπή (ΕΕ</w:t>
      </w:r>
      <w:r>
        <w:rPr>
          <w:lang w:val="fi-FI"/>
        </w:rPr>
        <w:t> </w:t>
      </w:r>
      <w:r>
        <w:t>L</w:t>
      </w:r>
      <w:r>
        <w:rPr>
          <w:lang w:val="fi-FI"/>
        </w:rPr>
        <w:t> </w:t>
      </w:r>
      <w:r>
        <w:t>55 της 28.2.2011, σ. 13).</w:t>
      </w:r>
    </w:p>
  </w:footnote>
  <w:footnote w:id="11">
    <w:p w:rsidR="006F5AB9" w:rsidRDefault="00FE753F">
      <w:pPr>
        <w:pStyle w:val="FootnoteText"/>
      </w:pPr>
      <w:r>
        <w:rPr>
          <w:rStyle w:val="FootnoteReference"/>
        </w:rPr>
        <w:footnoteRef/>
      </w:r>
      <w:r>
        <w:tab/>
        <w:t>Κανονισμός (ΕΕ, ΕΥΡΑΤΟΜ) αριθ. 966/2012 του Ευρωπαϊκού Κοινοβουλίου και του Συμβουλίου της</w:t>
      </w:r>
      <w:r>
        <w:rPr>
          <w:lang w:val="fi-FI"/>
        </w:rPr>
        <w:t> </w:t>
      </w:r>
      <w:r>
        <w:t>25ης Οκτωβρίου 2012 σχετικά με τους δημοσιονομ</w:t>
      </w:r>
      <w:r>
        <w:t xml:space="preserve">ικούς κανόνες που εφαρμόζονται στον γενικό προϋπολογισμό της Ένωσης και την κατάργηση του κανονισμού (ΕΚ, </w:t>
      </w:r>
      <w:proofErr w:type="spellStart"/>
      <w:r>
        <w:t>Ευρατόμ</w:t>
      </w:r>
      <w:proofErr w:type="spellEnd"/>
      <w:r>
        <w:t>) αριθ. 1605/2002 του Συμβουλίου (ΕΕ L 298 της 26.10.2012,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3F" w:rsidRPr="00FE753F" w:rsidRDefault="00FE753F" w:rsidP="00FE7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1A56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988B66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5C8C4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8A4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C648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0474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36F9E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BBE5D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0"/>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1365/2006 \u945?\u953?\u964?\u953?\u959?\u955?\u959?\u947?\u953?\u954?\u942? \u963?\u954?\u941?\u968?\u951?"/>
    <w:docVar w:name="CR_Ref1" w:val="2016/1954 \u945?\u953?\u964?\u953?\u959?\u955?\u959?\u947?\u953?\u954?\u942? \u963?\u954?\u941?\u968?\u951? "/>
    <w:docVar w:name="CR_RefCount" w:val="2"/>
    <w:docVar w:name="CR_RefLast" w:val="4"/>
    <w:docVar w:name="CR_TimeStamp" w:val="15:04:12"/>
    <w:docVar w:name="DQCDateTime" w:val="2017-09-29 10:36: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NFIDENCE" w:val=" "/>
    <w:docVar w:name="LW_CONST_RESTREINT_UE" w:val="RESTREINT UE/EU RESTRICTED"/>
    <w:docVar w:name="LW_CORRIGENDUM" w:val="CORRIGENDUM_x000b__x000b_This document corrects document COM(2017) 545 final of 26.9.2017._x000b_Concerns correction of acronym._x000b_The text shall read as follows :_x000b_"/>
    <w:docVar w:name="LW_COVERPAGE_GUID" w:val="43A4892470E1482D82E407EF8EC77D2D"/>
    <w:docVar w:name="LW_CROSSREFERENCE" w:val="&lt;UNUSED&gt;"/>
    <w:docVar w:name="LW_DocType" w:val="COM"/>
    <w:docVar w:name="LW_EMISSION" w:val="29.9.2017"/>
    <w:docVar w:name="LW_EMISSION_ISODATE" w:val="2017-09-29"/>
    <w:docVar w:name="LW_EMISSION_LOCATION" w:val="BRX"/>
    <w:docVar w:name="LW_EMISSION_PREFIX" w:val="\u914?\u961?\u965?\u958?\u941?\u955?\u955?\u949?\u962?,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56"/>
    <w:docVar w:name="LW_REF.II.NEW.CP_YEAR" w:val="2017"/>
    <w:docVar w:name="LW_REF.INST.NEW" w:val="COM"/>
    <w:docVar w:name="LW_REF.INST.NEW_ADOPTED" w:val="final/2"/>
    <w:docVar w:name="LW_REF.INST.NEW_TEXT" w:val="(2017) 545"/>
    <w:docVar w:name="LW_REF.INTERNE" w:val="&lt;UNUSED&gt;"/>
    <w:docVar w:name="LW_SOUS.TITRE.OBJ.CP" w:val="&lt;UNUSED&gt;"/>
    <w:docVar w:name="LW_STATUT.CP" w:val="\u928?\u961?\u972?\u964?\u945?\u963?\u951?"/>
    <w:docVar w:name="LW_SUPERTITRE" w:val="&lt;UNUSED&gt;"/>
    <w:docVar w:name="LW_TITRE.OBJ.CP" w:val="\u947?\u953?\u945? \u963?\u964?\u945?\u964?\u953?\u963?\u964?\u953?\u954?\u941?\u962? \u963?\u967?\u949?\u964?\u953?\u954?\u940? \u956?\u949? \u956?\u949?\u964?\u945?\u966?\u959?\u961?\u941?\u962? \u949?\u956?\u960?\u959?\u961?\u949?\u965?\u956?\u940?\u964?\u969?\u957? \u956?\u941?\u963?\u969? \u949?\u963?\u969?\u964?\u949?\u961?\u953?\u954?\u974?\u957? \u960?\u955?\u969?\u964?\u974?\u957? \u959?\u948?\u974?\u957? (\u954?\u969?\u948?\u953?\u954?\u959?\u960?\u959?\u953?\u951?\u956?\u941?\u957?\u959? \u954?\u949?\u943?\u956?\u949?\u957?\u959?)"/>
    <w:docVar w:name="LW_TYPE.DOC.CP" w:val="\u922?\u913?\u925?\u927?\u925?\u921?\u931?\u924?\u927?\u931? \u932?\u927?\u933? \u917?\u933?\u929?\u937?\u928?\u913?\u938?\u922?\u927?\u933? \u922?\u927?\u921?\u925?\u927?\u914?\u927?\u933?\u923?\u921?\u927?\u933? \u922?\u913?\u921? \u932?\u927?\u933? \u931?\u933?\u924?\u914?\u927?\u933?\u923?\u921?\u927?\u933?"/>
  </w:docVars>
  <w:rsids>
    <w:rsidRoot w:val="006F5AB9"/>
    <w:rsid w:val="006F5AB9"/>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Number4">
    <w:name w:val="List Number 4"/>
    <w:basedOn w:val="Normal"/>
    <w:uiPriority w:val="99"/>
    <w:semiHidden/>
    <w:unhideWhenUsed/>
    <w:pPr>
      <w:numPr>
        <w:numId w:val="7"/>
      </w:numPr>
      <w:contextualSpacing/>
    </w:pPr>
    <w:rPr>
      <w:rFonts w:eastAsia="Calibri"/>
      <w:lang w:val="en-GB"/>
    </w:rPr>
  </w:style>
  <w:style w:type="character" w:customStyle="1" w:styleId="CRRefNum">
    <w:name w:val="CR RefNum"/>
    <w:basedOn w:val="DefaultParagraphFont"/>
    <w:uiPriority w:val="99"/>
    <w:rPr>
      <w:rFonts w:cs="Times New Roman"/>
      <w:vertAlign w:val="subscript"/>
    </w:rPr>
  </w:style>
  <w:style w:type="character" w:customStyle="1" w:styleId="CRDeleted">
    <w:name w:val="CR Deleted"/>
    <w:basedOn w:val="DefaultParagraphFont"/>
    <w:rPr>
      <w:strike w:val="0"/>
      <w:dstrike/>
    </w:rPr>
  </w:style>
  <w:style w:type="character" w:customStyle="1" w:styleId="CRMinorChangeAdded">
    <w:name w:val="CR Minor Change Added"/>
    <w:basedOn w:val="DefaultParagraphFont"/>
    <w:rPr>
      <w:u w:val="double"/>
    </w:rPr>
  </w:style>
  <w:style w:type="character" w:customStyle="1" w:styleId="CRMinorChangeDeleted">
    <w:name w:val="CR Minor Change Deleted"/>
    <w:basedOn w:val="DefaultParagraphFont"/>
    <w:rPr>
      <w:strike w:val="0"/>
      <w:dstrike/>
      <w:u w:val="doub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E753F"/>
    <w:pPr>
      <w:tabs>
        <w:tab w:val="center" w:pos="4535"/>
        <w:tab w:val="right" w:pos="9071"/>
      </w:tabs>
      <w:spacing w:before="0"/>
    </w:pPr>
  </w:style>
  <w:style w:type="character" w:customStyle="1" w:styleId="HeaderChar">
    <w:name w:val="Header Char"/>
    <w:basedOn w:val="DefaultParagraphFont"/>
    <w:link w:val="Header"/>
    <w:uiPriority w:val="99"/>
    <w:rsid w:val="00FE753F"/>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E753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Number4">
    <w:name w:val="List Number 4"/>
    <w:basedOn w:val="Normal"/>
    <w:uiPriority w:val="99"/>
    <w:semiHidden/>
    <w:unhideWhenUsed/>
    <w:pPr>
      <w:numPr>
        <w:numId w:val="7"/>
      </w:numPr>
      <w:contextualSpacing/>
    </w:pPr>
    <w:rPr>
      <w:rFonts w:eastAsia="Calibri"/>
      <w:lang w:val="en-GB"/>
    </w:rPr>
  </w:style>
  <w:style w:type="character" w:customStyle="1" w:styleId="CRRefNum">
    <w:name w:val="CR RefNum"/>
    <w:basedOn w:val="DefaultParagraphFont"/>
    <w:uiPriority w:val="99"/>
    <w:rPr>
      <w:rFonts w:cs="Times New Roman"/>
      <w:vertAlign w:val="subscript"/>
    </w:rPr>
  </w:style>
  <w:style w:type="character" w:customStyle="1" w:styleId="CRDeleted">
    <w:name w:val="CR Deleted"/>
    <w:basedOn w:val="DefaultParagraphFont"/>
    <w:rPr>
      <w:strike w:val="0"/>
      <w:dstrike/>
    </w:rPr>
  </w:style>
  <w:style w:type="character" w:customStyle="1" w:styleId="CRMinorChangeAdded">
    <w:name w:val="CR Minor Change Added"/>
    <w:basedOn w:val="DefaultParagraphFont"/>
    <w:rPr>
      <w:u w:val="double"/>
    </w:rPr>
  </w:style>
  <w:style w:type="character" w:customStyle="1" w:styleId="CRMinorChangeDeleted">
    <w:name w:val="CR Minor Change Deleted"/>
    <w:basedOn w:val="DefaultParagraphFont"/>
    <w:rPr>
      <w:strike w:val="0"/>
      <w:dstrike/>
      <w:u w:val="doub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E753F"/>
    <w:pPr>
      <w:tabs>
        <w:tab w:val="center" w:pos="4535"/>
        <w:tab w:val="right" w:pos="9071"/>
      </w:tabs>
      <w:spacing w:before="0"/>
    </w:pPr>
  </w:style>
  <w:style w:type="character" w:customStyle="1" w:styleId="HeaderChar">
    <w:name w:val="Header Char"/>
    <w:basedOn w:val="DefaultParagraphFont"/>
    <w:link w:val="Header"/>
    <w:uiPriority w:val="99"/>
    <w:rsid w:val="00FE753F"/>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E753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99A8-F733-4EC9-B298-78968400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3597</Words>
  <Characters>20796</Characters>
  <Application>Microsoft Office Word</Application>
  <DocSecurity>0</DocSecurity>
  <Lines>452</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34</cp:revision>
  <cp:lastPrinted>2017-08-16T09:29:00Z</cp:lastPrinted>
  <dcterms:created xsi:type="dcterms:W3CDTF">2017-08-17T13:04:00Z</dcterms:created>
  <dcterms:modified xsi:type="dcterms:W3CDTF">2017-09-29T11:34:00Z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LWCR IsRefonte">
    <vt:lpwstr>False</vt:lpwstr>
  </property>
  <property fmtid="{D5CDD505-2E9C-101B-9397-08002B2CF9AE}" pid="13" name="DQCStatus">
    <vt:lpwstr>Yellow (DQC version 03)</vt:lpwstr>
  </property>
</Properties>
</file>