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080A7D410C4DB7B06B6C6EB945E05B"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rPr>
        <w:t>•</w:t>
      </w:r>
      <w:r>
        <w:rPr>
          <w:noProof/>
        </w:rPr>
        <w:tab/>
        <w:t>Przyczyny i cele wniosku</w:t>
      </w:r>
    </w:p>
    <w:p>
      <w:pPr>
        <w:pBdr>
          <w:top w:val="nil"/>
          <w:left w:val="nil"/>
          <w:bottom w:val="nil"/>
          <w:right w:val="nil"/>
          <w:between w:val="nil"/>
          <w:bar w:val="nil"/>
        </w:pBdr>
        <w:spacing w:before="0" w:after="240"/>
        <w:rPr>
          <w:noProof/>
        </w:rPr>
      </w:pPr>
      <w:r>
        <w:rPr>
          <w:noProof/>
        </w:rPr>
        <w:t>Celem wniosku jest dostosowanie wysokości kwot środków przeznaczonych na cel „Inwestycje na rzecz wzrostu i zatrudnienia” oraz cel „Europejska współpraca terytorialna” określonych w art. 91 ust. 1 i art. 92 ust. 1 i 5 rozporządzenia (UE) nr 1303/2013</w:t>
      </w:r>
      <w:r>
        <w:rPr>
          <w:rStyle w:val="FootnoteReference"/>
          <w:noProof/>
        </w:rPr>
        <w:footnoteReference w:id="2"/>
      </w:r>
      <w:r>
        <w:rPr>
          <w:noProof/>
        </w:rPr>
        <w:t xml:space="preserve"> oraz rocznego podziału środków na zobowiązania przedstawionego w załączniku VI do decyzji przyjętych od momentu przyjęcia tego rozporządzenia. Po pierwsze ma on na celu dostosowanie kwot do wyniku dostosowań technicznych zgodnie z art. 92 ust. 3 wspomnianego rozporządzenia; po drugie, uwzględnienie różnych przesunięć dokonanych na podstawie art. 25, 93 i 94 tego rozporządzenia, mających wpływ na ogólne kwoty przypadające na dany rok; po trzecie, zwiększenie środków przeznaczonych na Inicjatywę na rzecz zatrudnienia ludzi młodych do 2020 r. o łączną kwotę 1,2 mld EUR (w cenach bieżących) w ramach szczególnej alokacji na tę Inicjatywę, które należy uzupełnić o co najmniej 1,2 mld EUR z ukierunkowanych inwestycji z EFS; i po czwarte, uwzględnienie przeniesienia niektórych środków na zobowiązania z 2014 r. na następne lata ze względu na przyjęcie nowych programów po dniu 1 stycznia 2015 r. Wyniki dostosowań technicznych oraz przesunięć środków na podstawie art. 25, 93 i 94 przedmiotowego rozporządzenia zostały już uwzględnione w decyzji wykonawczej Komisji (UE) 2016/1941</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We wniosku uwzględniono również fakt, że począwszy od dnia 1 stycznia 2017 r. Cypr miał zostać ponownie włączony do systemu wsparcia z Funduszu Spójności i nie miał dłużej otrzymywać wsparcia z Funduszu Spójności na zasadach przejściowych i szczególnych. Kwestia ta została uregulowana w decyzji wykonawczej Komisji (UE) 2016/1916</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t>Dostosowanie techniczne zostało przewidziane w art. 7 rozporządzenia Rady (UE) nr 1311/2013</w:t>
      </w:r>
      <w:r>
        <w:rPr>
          <w:rStyle w:val="FootnoteReference"/>
          <w:noProof/>
        </w:rPr>
        <w:footnoteReference w:id="5"/>
      </w:r>
      <w:r>
        <w:rPr>
          <w:noProof/>
        </w:rPr>
        <w:t xml:space="preserve"> w celu uwzględnienia szczególnie trudnej sytuacji państw członkowskich dotkniętych kryzysem i dokonania w 2016 r. przeglądu całkowitego przydziału na cel „Inwestycje na rzecz wzrostu gospodarczego i zatrudnienia”.</w:t>
      </w:r>
    </w:p>
    <w:p>
      <w:pPr>
        <w:pBdr>
          <w:top w:val="nil"/>
          <w:left w:val="nil"/>
          <w:bottom w:val="nil"/>
          <w:right w:val="nil"/>
          <w:between w:val="nil"/>
          <w:bar w:val="nil"/>
        </w:pBdr>
        <w:spacing w:before="0" w:after="240"/>
        <w:rPr>
          <w:noProof/>
        </w:rPr>
      </w:pPr>
      <w:r>
        <w:rPr>
          <w:noProof/>
        </w:rPr>
        <w:lastRenderedPageBreak/>
        <w:t>W art. 25 określono mechanizm zarządzania pomocą techniczną dla państw członkowskich doświadczających tymczasowych trudności budżetowych, tzn. przeniesienie części tej pomocy technicznej do pomocy technicznej z inicjatywy Komisji.</w:t>
      </w:r>
    </w:p>
    <w:p>
      <w:pPr>
        <w:pBdr>
          <w:top w:val="nil"/>
          <w:left w:val="nil"/>
          <w:bottom w:val="nil"/>
          <w:right w:val="nil"/>
          <w:between w:val="nil"/>
          <w:bar w:val="nil"/>
        </w:pBdr>
        <w:spacing w:before="0" w:after="240"/>
        <w:rPr>
          <w:noProof/>
        </w:rPr>
      </w:pPr>
      <w:r>
        <w:rPr>
          <w:noProof/>
        </w:rPr>
        <w:t>Po spełnieniu określonych warunków zgodnie z art. 93 możliwe jest przesunięcie środków między kategoriami regionów, a zgodnie z art. 94 przeniesienie środków między celami.</w:t>
      </w:r>
    </w:p>
    <w:p>
      <w:pPr>
        <w:pStyle w:val="ManualHeading2"/>
        <w:rPr>
          <w:rFonts w:eastAsia="Arial Unicode MS"/>
          <w:noProof/>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Niniejszy wniosek wynika z przepisów art. 92 ust. 3 w odniesieniu do przeglądu alokacji środków w ramach polityki spójności na lata 2017–2020, decyzji o przeniesieniu środków między kategoriami i celami na mocy art. 93 i 94, decyzji o przedłużeniu okresu obowiązywania Inicjatywy na rzecz zatrudnienia ludzi młodych na lata 2017–2020 oraz decyzji o przeniesieniu niektórych środków na zobowiązania z 2014 r. na kolejne lata.</w:t>
      </w:r>
    </w:p>
    <w:p>
      <w:pPr>
        <w:pStyle w:val="ManualHeading2"/>
        <w:rPr>
          <w:rFonts w:eastAsia="Arial Unicode MS"/>
          <w:noProof/>
        </w:rPr>
      </w:pPr>
      <w:r>
        <w:rPr>
          <w:noProof/>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Wniosek jest spójny z innymi wnioskami i inicjatywami przyjętymi przez Komisję Europejską w odpowiedzi na kryzys finansowy.</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Art. 92 ust. 3 rozporządzenia (UE) nr 1303/2013 stanowi, że w 2016 r. Komisja, w ramach dostosowań technicznych na rok 2017 oraz zgodnie z art. 4 i 5 rozporządzenia (UE, Euratom) nr 1311/2013 dokonuje przeglądu całkowitych alokacji w ramach celu „Inwestycje na rzecz wzrostu i zatrudnienia” każdego państwa członkowskiego na lata 2017–2020, stosując metodę alokacji określoną w ust. 1 do 16 załącznika VII na podstawie najbardziej aktualnych dostępnych statystyk.</w:t>
      </w:r>
    </w:p>
    <w:p>
      <w:pPr>
        <w:pBdr>
          <w:top w:val="nil"/>
          <w:left w:val="nil"/>
          <w:bottom w:val="nil"/>
          <w:right w:val="nil"/>
          <w:between w:val="nil"/>
          <w:bar w:val="nil"/>
        </w:pBdr>
        <w:spacing w:before="0" w:after="240"/>
        <w:rPr>
          <w:noProof/>
        </w:rPr>
      </w:pPr>
      <w:r>
        <w:rPr>
          <w:noProof/>
        </w:rPr>
        <w:t>Przegląd całkowitych alokacji odzwierciedla również wyniki szeregu przesunięć środków.</w:t>
      </w:r>
    </w:p>
    <w:p>
      <w:pPr>
        <w:pBdr>
          <w:top w:val="nil"/>
          <w:left w:val="nil"/>
          <w:bottom w:val="nil"/>
          <w:right w:val="nil"/>
          <w:between w:val="nil"/>
          <w:bar w:val="nil"/>
        </w:pBdr>
        <w:spacing w:before="0" w:after="240"/>
        <w:rPr>
          <w:noProof/>
        </w:rPr>
      </w:pPr>
      <w:r>
        <w:rPr>
          <w:noProof/>
        </w:rPr>
        <w:t>W art. 25 określono mechanizm zarządzania pomocą techniczną dla państw członkowskich doświadczających tymczasowych trudności budżetowych, tzn. przeniesienie części tej pomocy technicznej do pomocy technicznej z inicjatywy Komisji.</w:t>
      </w:r>
    </w:p>
    <w:p>
      <w:pPr>
        <w:pBdr>
          <w:top w:val="nil"/>
          <w:left w:val="nil"/>
          <w:bottom w:val="nil"/>
          <w:right w:val="nil"/>
          <w:between w:val="nil"/>
          <w:bar w:val="nil"/>
        </w:pBdr>
        <w:spacing w:before="0" w:after="240"/>
        <w:rPr>
          <w:noProof/>
        </w:rPr>
      </w:pPr>
      <w:r>
        <w:rPr>
          <w:noProof/>
        </w:rPr>
        <w:t>Po spełnieniu określonych warunków zgodnie z art. 93 możliwe jest przesunięcie środków między kategoriami regionów, a zgodnie z art. 94 przeniesienie środków między celami.</w:t>
      </w:r>
    </w:p>
    <w:p>
      <w:pPr>
        <w:pBdr>
          <w:top w:val="nil"/>
          <w:left w:val="nil"/>
          <w:bottom w:val="nil"/>
          <w:right w:val="nil"/>
          <w:between w:val="nil"/>
          <w:bar w:val="nil"/>
        </w:pBdr>
        <w:spacing w:before="0" w:after="240"/>
        <w:rPr>
          <w:noProof/>
        </w:rPr>
      </w:pPr>
      <w:r>
        <w:rPr>
          <w:noProof/>
        </w:rPr>
        <w:t>W przeglądzie całkowitych alokacji uwzględniono również przedłużenie okresu obowiązywania Inicjatywy na rzecz zatrudnienia ludzi młodych na lata 2017–2020.</w:t>
      </w:r>
    </w:p>
    <w:p>
      <w:pPr>
        <w:pBdr>
          <w:top w:val="nil"/>
          <w:left w:val="nil"/>
          <w:bottom w:val="nil"/>
          <w:right w:val="nil"/>
          <w:between w:val="nil"/>
          <w:bar w:val="nil"/>
        </w:pBdr>
        <w:spacing w:before="0" w:after="240"/>
        <w:rPr>
          <w:noProof/>
        </w:rPr>
      </w:pPr>
      <w:r>
        <w:rPr>
          <w:noProof/>
        </w:rPr>
        <w:t>Wreszcie zmieniona roczna alokacja środków przedstawiona w załączniku VI odzwierciedla zmiany w rozporządzeniu Rady (UE, Euratom) nr 1311/2013 dotyczące przeniesienia części środków na zobowiązania z 2014 r. na kolejne lata.</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Wniosek jest zgodny z zasadą pomocniczości, ponieważ stanowi techniczny rezultat implementacji przepisów art. 92 ust. 3 rozporządzenia (UE) nr 1303/2013, stosowania art. 93 i 94 oraz decyzji w sprawie przedłużenia okresu obowiązywania Inicjatywy na rzecz zatrudnienia ludzi młodych na lata 2017–2020.</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Wniosek ogranicza się do niezbędnych dostosowań technicznych.</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Proponowany instrument: zmiana obecnego rozporządzenia.</w:t>
      </w:r>
    </w:p>
    <w:p>
      <w:pPr>
        <w:pBdr>
          <w:top w:val="nil"/>
          <w:left w:val="nil"/>
          <w:bottom w:val="nil"/>
          <w:right w:val="nil"/>
          <w:between w:val="nil"/>
          <w:bar w:val="nil"/>
        </w:pBdr>
        <w:spacing w:before="0" w:after="240"/>
        <w:rPr>
          <w:rFonts w:eastAsia="Arial Unicode MS"/>
          <w:noProof/>
        </w:rPr>
      </w:pPr>
      <w:r>
        <w:rPr>
          <w:noProof/>
        </w:rPr>
        <w:t>Komisja przeanalizowała możliwości działania określone w ramach prawnych i uważa za konieczne zaproponowanie zmian w rozporządzeniu (UE) nr 1303/2013.</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Oceny ex post/kontrole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Nie przeprowadzono oceny </w:t>
      </w:r>
      <w:r>
        <w:rPr>
          <w:i/>
          <w:noProof/>
        </w:rPr>
        <w:t>ex post</w:t>
      </w:r>
      <w:r>
        <w:rPr>
          <w:noProof/>
        </w:rPr>
        <w:t xml:space="preserve"> ani kontroli sprawności obowiązującego prawodawstwa</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Nie przeprowadzono konsultacji z zainteresowanymi podmiotami zewnętrznymi.</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Nie zaistniała potrzeba skorzystania z pomocy ekspertów zewnętrznych.</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Sprawność regulacyjna i uproszczenie</w:t>
      </w:r>
    </w:p>
    <w:p>
      <w:pPr>
        <w:pStyle w:val="Text1"/>
        <w:ind w:left="0"/>
        <w:rPr>
          <w:noProof/>
        </w:rPr>
      </w:pPr>
      <w:r>
        <w:rPr>
          <w:noProof/>
        </w:rPr>
        <w:t>Nie jest to inicjatywa w ramach programu sprawności i wydajności regulacyjnej (REFIT).</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Wniosek nie ma skutków dla ochrony praw podstawowych.</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Wpływ na środki na zobowiązania wynika z pozytywnego wpływu netto dostosowania technicznego wynoszącego 4 mld EUR (w cenach z 2011 r.), o którym mowa w art. 92 ust. 3 oraz decyzji o zwiększeniu finansowania na rzecz Inicjatywy na rzecz zatrudnienia ludzi młodych na lata 2017–2020 o łączną kwotę 1,2 mld EUR w cenach bieżących w ramach szczególnej alokacji na tę inicjatywę, które należy uzupełnić o co najmniej 1,2 mld EUR z ukierunkowanych inwestycji z EFS. Te dodatkowe zasoby stworzą również zapotrzebowanie na dodatkowe środki na płatności na lata 2018–2020.</w:t>
      </w:r>
    </w:p>
    <w:p>
      <w:pPr>
        <w:pBdr>
          <w:top w:val="nil"/>
          <w:left w:val="nil"/>
          <w:bottom w:val="nil"/>
          <w:right w:val="nil"/>
          <w:between w:val="nil"/>
          <w:bar w:val="nil"/>
        </w:pBdr>
        <w:spacing w:before="0" w:after="240"/>
        <w:rPr>
          <w:noProof/>
        </w:rPr>
      </w:pPr>
      <w:r>
        <w:rPr>
          <w:noProof/>
        </w:rPr>
        <w:t>Pułapy środków na zobowiązania i środków na płatności dla działu 1B zostają zatem zwiększone, zgodnie z komunikatem do Rady i Parlamentu Europejskiego [COM(2016) 311 final] w sprawie dostosowania technicznego ram finansowych na rok 2017 do zmian DNB oraz dostosowania pul środków finansowych na politykę spójności. Biorąc pod uwagę, że większość płatności związanych ze zwiększeniem zobowiązań spodziewana jest na okres po 2020 r., podwyższenie pułapów środków na płatności pozostaje ograniczone.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Dokumenty wyjaśniające (w przypadku dyrektyw)</w:t>
      </w:r>
    </w:p>
    <w:p>
      <w:pPr>
        <w:pStyle w:val="Text1"/>
        <w:ind w:hanging="850"/>
        <w:rPr>
          <w:noProof/>
        </w:rPr>
      </w:pPr>
      <w:r>
        <w:rPr>
          <w:noProof/>
        </w:rPr>
        <w:t>Nie dotyczy.</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Na podstawie art. 7 rozporządzenia Rady (UE, Euratom) nr 1311/2013 Komisja musiała dokonać w 2016 r. przeglądu łącznej kwoty środków przydzielonych wszystkim państwom członkowskim w obrębie celu „Inwestycje na rzecz wzrostu i zatrudnienia” w ramach polityki spójności na lata 2017–2020, wykorzystując metodę alokacji określoną w odnośnym akcie podstawowym (załącznik VII do rozporządzenia (UE) nr 1303/2013) w oparciu o najbardziej aktualne w tym momencie dostępne statystyki oraz porównania – w odniesieniu do państw członkowskich, dla których środki ograniczono – między skumulowanym PKB danego kraju odnotowanym w latach 2014 i 2015 a łącznym PKB danego kraju oszacowanym w 2012 r. Komisja dostosowała wspomnianą łączną kwotę przydzielonych środków, w każdym przypadku, w którym wystąpiła łączna rozbieżność wynosząca ponad +/- 5 %. Ponadto w tym samym czasie dokonano przeglądu kwalifikowalności w ramach Funduszu Spójności i w przypadku, gdy dane państwo członkowskie staje się nowym państwem kwalifikującym się do otrzymania wsparcia z Funduszu Spójności, kwoty te zostaną dodane do środków przydzielonych danemu państwu członkowskiemu na lata 2017–2020.</w:t>
      </w:r>
    </w:p>
    <w:p>
      <w:pPr>
        <w:pBdr>
          <w:top w:val="nil"/>
          <w:left w:val="nil"/>
          <w:bottom w:val="nil"/>
          <w:right w:val="nil"/>
          <w:between w:val="nil"/>
          <w:bar w:val="nil"/>
        </w:pBdr>
        <w:spacing w:before="0" w:after="240"/>
        <w:rPr>
          <w:rFonts w:eastAsia="Arial Unicode MS"/>
          <w:noProof/>
        </w:rPr>
      </w:pPr>
      <w:r>
        <w:rPr>
          <w:noProof/>
        </w:rPr>
        <w:t>Przegląd obejmuje następujące elementy:</w:t>
      </w:r>
    </w:p>
    <w:p>
      <w:pPr>
        <w:pBdr>
          <w:top w:val="nil"/>
          <w:left w:val="nil"/>
          <w:bottom w:val="nil"/>
          <w:right w:val="nil"/>
          <w:between w:val="nil"/>
          <w:bar w:val="nil"/>
        </w:pBdr>
        <w:spacing w:before="0" w:after="240"/>
        <w:ind w:left="360" w:hanging="360"/>
        <w:rPr>
          <w:rFonts w:eastAsia="Arial Unicode MS"/>
          <w:noProof/>
        </w:rPr>
      </w:pPr>
      <w:r>
        <w:rPr>
          <w:noProof/>
        </w:rPr>
        <w:t>a)</w:t>
      </w:r>
      <w:r>
        <w:rPr>
          <w:noProof/>
        </w:rPr>
        <w:tab/>
        <w:t>w odniesieniu do wszystkich państw członkowskich – przegląd środków przydzielonych na lata 2017–2020 w oparciu o najbardziej aktualne dostępne statystyki i z zastosowaniem tych samych metod, których użyto do ustalenia pierwotnie przydzielonych środków, opisanych w pkt 1–16 załącznika VII do rozporządzenia (UE) nr 1303/2013;</w:t>
      </w:r>
    </w:p>
    <w:p>
      <w:pPr>
        <w:pBdr>
          <w:top w:val="nil"/>
          <w:left w:val="nil"/>
          <w:bottom w:val="nil"/>
          <w:right w:val="nil"/>
          <w:between w:val="nil"/>
          <w:bar w:val="nil"/>
        </w:pBdr>
        <w:spacing w:before="0" w:after="240"/>
        <w:ind w:left="360" w:hanging="360"/>
        <w:rPr>
          <w:rFonts w:eastAsia="Arial Unicode MS"/>
          <w:noProof/>
        </w:rPr>
      </w:pPr>
      <w:r>
        <w:rPr>
          <w:noProof/>
        </w:rPr>
        <w:t>b)</w:t>
      </w:r>
      <w:r>
        <w:rPr>
          <w:noProof/>
        </w:rPr>
        <w:tab/>
        <w:t>w odniesieniu do państw członkowskich, dla których środki ograniczono (Bułgaria, Estonia, Chorwacja, Węgry, Litwa, Łotwa, Polska, Rumunia, Słowacja) – porównanie między poziomami PKB odnotowanymi w latach 2014 i 2015 a poziomami przewidywanymi na te dwa lata w 2012 r.;</w:t>
      </w:r>
    </w:p>
    <w:p>
      <w:pPr>
        <w:pBdr>
          <w:top w:val="nil"/>
          <w:left w:val="nil"/>
          <w:bottom w:val="nil"/>
          <w:right w:val="nil"/>
          <w:between w:val="nil"/>
          <w:bar w:val="nil"/>
        </w:pBdr>
        <w:spacing w:before="0" w:after="240"/>
        <w:ind w:left="360" w:hanging="360"/>
        <w:rPr>
          <w:rFonts w:eastAsia="Arial Unicode MS"/>
          <w:noProof/>
        </w:rPr>
      </w:pPr>
      <w:r>
        <w:rPr>
          <w:noProof/>
        </w:rPr>
        <w:t>c)</w:t>
      </w:r>
      <w:r>
        <w:rPr>
          <w:noProof/>
        </w:rPr>
        <w:tab/>
        <w:t>przegląd kwalifikowalności do otrzymania środków z Funduszu Spójności w oparciu o dane dotyczące DNB na mieszkańca w latach 2012–2014 w porównaniu ze średnią dla UE-27.</w:t>
      </w:r>
    </w:p>
    <w:p>
      <w:pPr>
        <w:pBdr>
          <w:top w:val="nil"/>
          <w:left w:val="nil"/>
          <w:bottom w:val="nil"/>
          <w:right w:val="nil"/>
          <w:between w:val="nil"/>
          <w:bar w:val="nil"/>
        </w:pBdr>
        <w:spacing w:before="0" w:after="240"/>
        <w:rPr>
          <w:rFonts w:eastAsia="Arial Unicode MS"/>
          <w:noProof/>
        </w:rPr>
      </w:pPr>
      <w:r>
        <w:rPr>
          <w:noProof/>
        </w:rPr>
        <w:t>W wyniku tego działania odnotowano łączną rozbieżność wynoszącą ponad ± 5 % między przydziałami po przeglądzie a łącznymi przydziałami dla Belgii, Republiki Czeskiej, Danii, Estonii, Irlandii, Grecji, Hiszpanii, Chorwacji, Włoch, Cypru, Niderlandów, Słowenii, Słowacji, Finlandii, Szwecji i Zjednoczonego Królestwa. Informacje o dostosowaniu odnośnych środków opublikowano w Komunikacie Komisji do Rady i Parlamentu Europejskiego [COM(2016) 311 final]– Dostosowanie techniczne ram finansowych na rok 2017 do zmian DNB oraz dostosowanie pul środków finansowych na politykę spójności.</w:t>
      </w:r>
    </w:p>
    <w:p>
      <w:pPr>
        <w:pBdr>
          <w:top w:val="nil"/>
          <w:left w:val="nil"/>
          <w:bottom w:val="nil"/>
          <w:right w:val="nil"/>
          <w:between w:val="nil"/>
          <w:bar w:val="nil"/>
        </w:pBdr>
        <w:spacing w:before="0" w:after="240"/>
        <w:rPr>
          <w:rFonts w:eastAsia="Arial Unicode MS"/>
          <w:noProof/>
        </w:rPr>
      </w:pPr>
      <w:r>
        <w:rPr>
          <w:noProof/>
        </w:rPr>
        <w:t>W wyniku przeglądu kwalifikowalności do otrzymania środków z Funduszu Spójności stwierdzono jedną zmianę kwalifikowalności: Cypr stał się w pełni kwalifikowalny do wsparcia z Funduszu Spójności w latach 2017–2020, co przekłada się na dodatkową kwotę 19,4 mln EUR.</w:t>
      </w:r>
    </w:p>
    <w:p>
      <w:pPr>
        <w:pBdr>
          <w:top w:val="nil"/>
          <w:left w:val="nil"/>
          <w:bottom w:val="nil"/>
          <w:right w:val="nil"/>
          <w:between w:val="nil"/>
          <w:bar w:val="nil"/>
        </w:pBdr>
        <w:spacing w:before="0" w:after="240"/>
        <w:rPr>
          <w:rFonts w:eastAsia="Arial Unicode MS"/>
          <w:noProof/>
        </w:rPr>
      </w:pPr>
      <w:r>
        <w:rPr>
          <w:noProof/>
        </w:rPr>
        <w:t>Zgodnie z art. 94 ust. 2 rozporządzenia (UE) nr 1303/2013 Komisja przyjęła wniosek złożony przez Danię dotyczący przesunięcia części środków, z których miał być realizowany cel „Europejska współpraca terytorialna”, na cel „Inwestycje na rzecz wzrostu i zatrudnienia”.</w:t>
      </w:r>
    </w:p>
    <w:p>
      <w:pPr>
        <w:pBdr>
          <w:top w:val="nil"/>
          <w:left w:val="nil"/>
          <w:bottom w:val="nil"/>
          <w:right w:val="nil"/>
          <w:between w:val="nil"/>
          <w:bar w:val="nil"/>
        </w:pBdr>
        <w:spacing w:before="0" w:after="240"/>
        <w:rPr>
          <w:rFonts w:eastAsia="Arial Unicode MS"/>
          <w:noProof/>
        </w:rPr>
      </w:pPr>
      <w:r>
        <w:rPr>
          <w:noProof/>
        </w:rPr>
        <w:t>Wreszcie, w dniu 20 czerwca 2017 r. Rada postanowiła zwiększyć wsparcie finansowe przeznaczone na Inicjatywę na rzecz zatrudnienia ludzi młodych do roku 2020 o kwotę 1,2 mld EUR w cenach bieżących w ramach szczególnej alokacji na Inicjatywę w następujący sposób: 500 mln EUR w 2017 r., a następnie 233,3 mln EUR rocznie w okresie 2018 – 2020.</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2017/0247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(UE) nr 1303/2013 w odniesieniu do zmian zasobów na rzecz spójności gospodarczej, społecznej i terytorialnej oraz zasobów na cel „Inwestycje na rzecz wzrostu i zatrudnienia” i na cel „Europejska współpraca terytorialna”</w:t>
      </w:r>
    </w:p>
    <w:p>
      <w:pPr>
        <w:pStyle w:val="Institutionquiagit"/>
        <w:rPr>
          <w:noProof/>
          <w:szCs w:val="24"/>
        </w:rPr>
      </w:pPr>
      <w:r>
        <w:rPr>
          <w:noProof/>
        </w:rPr>
        <w:t>PARLAMENT EUROPEJSKI I RADA UNII EUROPEJSKIEJ,</w:t>
      </w:r>
    </w:p>
    <w:p>
      <w:pPr>
        <w:rPr>
          <w:noProof/>
          <w:szCs w:val="24"/>
        </w:rPr>
      </w:pPr>
      <w:r>
        <w:rPr>
          <w:noProof/>
        </w:rPr>
        <w:t xml:space="preserve">uwzględniając Traktat o funkcjonowaniu Unii Europejskiej, w szczególności jego art. 177, </w:t>
      </w:r>
    </w:p>
    <w:p>
      <w:pPr>
        <w:rPr>
          <w:noProof/>
          <w:szCs w:val="24"/>
        </w:rPr>
      </w:pPr>
      <w:r>
        <w:rPr>
          <w:noProof/>
        </w:rPr>
        <w:t>uwzględniając wniosek Komisji Europejskiej,</w:t>
      </w:r>
    </w:p>
    <w:p>
      <w:pPr>
        <w:rPr>
          <w:noProof/>
          <w:szCs w:val="24"/>
        </w:rPr>
      </w:pPr>
      <w:r>
        <w:rPr>
          <w:noProof/>
        </w:rPr>
        <w:t>po przekazaniu projektu aktu ustawodawczego parlamentom narodowym,</w:t>
      </w:r>
    </w:p>
    <w:p>
      <w:pPr>
        <w:rPr>
          <w:noProof/>
          <w:szCs w:val="24"/>
        </w:rPr>
      </w:pPr>
      <w:r>
        <w:rPr>
          <w:noProof/>
        </w:rPr>
        <w:t>uwzględniając opinię Europejskiego Komitetu Ekonomiczno-Społecznego</w:t>
      </w:r>
      <w:r>
        <w:rPr>
          <w:rStyle w:val="FootnoteReference"/>
          <w:noProof/>
        </w:rPr>
        <w:footnoteReference w:id="6"/>
      </w:r>
      <w:r>
        <w:rPr>
          <w:noProof/>
        </w:rPr>
        <w:t>,</w:t>
      </w:r>
    </w:p>
    <w:p>
      <w:pPr>
        <w:rPr>
          <w:noProof/>
          <w:szCs w:val="24"/>
        </w:rPr>
      </w:pPr>
      <w:r>
        <w:rPr>
          <w:noProof/>
        </w:rPr>
        <w:t>po konsultacji z Komitetem Regionów</w:t>
      </w:r>
      <w:r>
        <w:rPr>
          <w:rStyle w:val="FootnoteReference"/>
          <w:noProof/>
        </w:rPr>
        <w:footnoteReference w:id="7"/>
      </w:r>
      <w:r>
        <w:rPr>
          <w:noProof/>
        </w:rPr>
        <w:t>,</w:t>
      </w:r>
    </w:p>
    <w:p>
      <w:pPr>
        <w:rPr>
          <w:noProof/>
          <w:szCs w:val="24"/>
        </w:rPr>
      </w:pPr>
      <w:r>
        <w:rPr>
          <w:noProof/>
        </w:rPr>
        <w:t>stanowiąc zgodnie ze zwykłą procedurą ustawodawczą,</w:t>
      </w:r>
    </w:p>
    <w:p>
      <w:pPr>
        <w:rPr>
          <w:noProof/>
          <w:szCs w:val="24"/>
        </w:rPr>
      </w:pPr>
      <w:r>
        <w:rPr>
          <w:noProof/>
        </w:rPr>
        <w:t>a także mając na uwadze, co następuje:</w:t>
      </w:r>
    </w:p>
    <w:p>
      <w:pPr>
        <w:pStyle w:val="ManualConsidrant"/>
        <w:rPr>
          <w:noProof/>
          <w:szCs w:val="24"/>
        </w:rPr>
      </w:pPr>
      <w:r>
        <w:t>(1)</w:t>
      </w:r>
      <w:r>
        <w:tab/>
      </w:r>
      <w:r>
        <w:rPr>
          <w:noProof/>
        </w:rPr>
        <w:t>Rozporządzeniem Parlamentu Europejskiego i Rady (UE) nr 1303/2013</w:t>
      </w:r>
      <w:r>
        <w:rPr>
          <w:rStyle w:val="FootnoteReference"/>
          <w:noProof/>
        </w:rPr>
        <w:footnoteReference w:id="8"/>
      </w:r>
      <w:r>
        <w:rPr>
          <w:noProof/>
        </w:rPr>
        <w:t xml:space="preserve"> ustanowiono wspólne i ogólne przepisy mające zastosowanie do europejskich funduszy strukturalnych i inwestycyjnych. </w:t>
      </w:r>
    </w:p>
    <w:p>
      <w:pPr>
        <w:pStyle w:val="ManualConsidrant"/>
        <w:rPr>
          <w:noProof/>
          <w:szCs w:val="24"/>
        </w:rPr>
      </w:pPr>
      <w:r>
        <w:t>(2)</w:t>
      </w:r>
      <w:r>
        <w:tab/>
      </w:r>
      <w:r>
        <w:rPr>
          <w:noProof/>
        </w:rPr>
        <w:t>Zgodnie z art. 7 ust. 1 rozporządzenia Rady (UE, Euratom) nr 1311/2013</w:t>
      </w:r>
      <w:r>
        <w:rPr>
          <w:rStyle w:val="FootnoteReference"/>
          <w:noProof/>
        </w:rPr>
        <w:footnoteReference w:id="9"/>
      </w:r>
      <w:r>
        <w:rPr>
          <w:noProof/>
        </w:rPr>
        <w:t xml:space="preserve"> oraz art. 92 ust. 3 rozporządzenia (UE) nr 1303/2013 Komisja dokonała w 2016 r. przeglądu łącznych przydziałów środków dla wszystkich państw członkowskich w ramach celu „Inwestycje na rzecz wzrostu gospodarczego i zatrudnienia” w obrębie polityki spójności na lata 2017–2020.</w:t>
      </w:r>
    </w:p>
    <w:p>
      <w:pPr>
        <w:pStyle w:val="ManualConsidrant"/>
        <w:rPr>
          <w:noProof/>
          <w:szCs w:val="24"/>
        </w:rPr>
      </w:pPr>
      <w:r>
        <w:t>(3)</w:t>
      </w:r>
      <w:r>
        <w:tab/>
      </w:r>
      <w:r>
        <w:rPr>
          <w:noProof/>
        </w:rPr>
        <w:t>Zgodnie z art. 7 ust. 3 rozporządzenia (UE, Euratom) nr 1311/2013 i art. 92 ust. 3 rozporządzenia (UE) nr 1303/2013, Komisja przedstawiła wyniki przeglądu Parlamentowi Europejskiemu i Radzie</w:t>
      </w:r>
      <w:r>
        <w:rPr>
          <w:rStyle w:val="FootnoteReference"/>
          <w:noProof/>
        </w:rPr>
        <w:footnoteReference w:id="10"/>
      </w:r>
      <w:r>
        <w:rPr>
          <w:noProof/>
        </w:rPr>
        <w:t xml:space="preserve">. W komunikacie stwierdzono, że w oparciu o najnowsze dane statystyczne odnotowuje się łączną rozbieżność wynoszącą ponad ± 5 % między przydziałami po przeglądzie a łącznymi przydziałami dla Belgii, Republiki Czeskiej, Danii, Estonii, Irlandii, Grecji, Hiszpanii, Chorwacji, Włoch, Cypru, Niderlandów, Słowenii, Słowacji, Finlandii, Szwecji i Zjednoczonego Królestwa. Ponadto wspomniano, że w oparciu o dochód narodowy brutto (DNB) per capita w latach 2012–2014 Cypr będzie w pełni kwalifikował się do uzyskania wsparcia z Funduszu Spójności od dnia 1 stycznia 2017 r. </w:t>
      </w:r>
    </w:p>
    <w:p>
      <w:pPr>
        <w:pStyle w:val="ManualConsidrant"/>
        <w:rPr>
          <w:noProof/>
          <w:szCs w:val="24"/>
        </w:rPr>
      </w:pPr>
      <w:r>
        <w:t>(4)</w:t>
      </w:r>
      <w:r>
        <w:tab/>
      </w:r>
      <w:r>
        <w:rPr>
          <w:noProof/>
        </w:rPr>
        <w:t>Zgodnie z art. 7 ust. 4 i 5 rozporządzenia (UE, Euratom) nr 1311/2013 i art. 92 ust. 3 rozporządzenia (UE) nr 1303/2013 przydziały tych państw członkowskich należy odpowiednio dostosować, pod warunkiem że łączny wynik netto dostosowań nie przekroczy 4 mld EUR.</w:t>
      </w:r>
    </w:p>
    <w:p>
      <w:pPr>
        <w:pStyle w:val="ManualConsidrant"/>
        <w:rPr>
          <w:noProof/>
          <w:szCs w:val="24"/>
        </w:rPr>
      </w:pPr>
      <w:r>
        <w:t>(5)</w:t>
      </w:r>
      <w:r>
        <w:tab/>
      </w:r>
      <w:r>
        <w:rPr>
          <w:noProof/>
        </w:rPr>
        <w:t xml:space="preserve">W zakresie, w jakim zmiana miała wpływ na roczny podział między państwa członkowskie </w:t>
      </w:r>
      <w:r>
        <w:rPr>
          <w:rStyle w:val="bold"/>
          <w:b w:val="0"/>
          <w:noProof/>
        </w:rPr>
        <w:t>zasobów ogólnych przydzielonych w ramach celu „Inwestycje na rzecz wzrostu gospodarczego i zatrudnienia” oraz w ramach celu „Europejska współpraca terytorialna”, a także Inicjatywy na rzecz zatrudnienia ludzi młodych</w:t>
      </w:r>
      <w:r>
        <w:rPr>
          <w:noProof/>
        </w:rPr>
        <w:t>, została on wprowadzona w życie decyzją wykonawczą Komisji (UE) 2016/1941</w:t>
      </w:r>
      <w:r>
        <w:rPr>
          <w:rStyle w:val="FootnoteReference"/>
          <w:noProof/>
        </w:rPr>
        <w:footnoteReference w:id="11"/>
      </w:r>
      <w:r>
        <w:rPr>
          <w:noProof/>
        </w:rPr>
        <w:t>.</w:t>
      </w:r>
    </w:p>
    <w:p>
      <w:pPr>
        <w:pStyle w:val="ManualConsidrant"/>
        <w:rPr>
          <w:noProof/>
          <w:szCs w:val="24"/>
        </w:rPr>
      </w:pPr>
      <w:r>
        <w:t>(6)</w:t>
      </w:r>
      <w:r>
        <w:tab/>
      </w:r>
      <w:r>
        <w:rPr>
          <w:noProof/>
        </w:rPr>
        <w:t>Łączny wynik netto tych dostosowań oznacza zwiększenie zasobów przeznaczonych na spójność gospodarczą, społeczną i terytorialną o 4 mld EUR. Przedmiotowe zwiększenie powinno mieć odzwierciedlenie w art. 91 ust. 1 rozporządzenia (UE) nr 1303/2013, który powinien zostać odpowiednio zmieniony.</w:t>
      </w:r>
      <w:r>
        <w:rPr>
          <w:noProof/>
          <w:highlight w:val="yellow"/>
        </w:rPr>
        <w:t xml:space="preserve"> </w:t>
      </w:r>
    </w:p>
    <w:p>
      <w:pPr>
        <w:pStyle w:val="ManualConsidrant"/>
        <w:rPr>
          <w:noProof/>
          <w:szCs w:val="24"/>
        </w:rPr>
      </w:pPr>
      <w:r>
        <w:t>(7)</w:t>
      </w:r>
      <w:r>
        <w:tab/>
      </w:r>
      <w:r>
        <w:rPr>
          <w:noProof/>
        </w:rPr>
        <w:t>Należy odpowiednio dostosować zasoby przydzielone na cel „Inwestycje na rzecz wzrostu i zatrudnienia” oraz ich podział między regiony słabiej rozwinięte, regiony w okresie przejściowym, regiony lepiej rozwinięte, państwa członkowskie otrzymujące pomoc w ramach Funduszu Spójności i regiony najbardziej oddalone, jak określono w art. 92 ust. 1 rozporządzenia (UE) nr 1303/2013.</w:t>
      </w:r>
      <w:r>
        <w:rPr>
          <w:noProof/>
          <w:highlight w:val="yellow"/>
        </w:rPr>
        <w:t xml:space="preserve"> </w:t>
      </w:r>
    </w:p>
    <w:p>
      <w:pPr>
        <w:pStyle w:val="ManualConsidrant"/>
        <w:rPr>
          <w:noProof/>
          <w:szCs w:val="24"/>
        </w:rPr>
      </w:pPr>
      <w:r>
        <w:t>(8)</w:t>
      </w:r>
      <w:r>
        <w:tab/>
      </w:r>
      <w:r>
        <w:rPr>
          <w:noProof/>
        </w:rPr>
        <w:t>Zgodnie z art.14 ust. 1 rozporządzenia (UE, Euratom) nr 1311/2013 marginesy pozostawione poniżej pułapów na środki na zobowiązania w ramach wieloletnich ram finansowych (zwanych dalej „WRF”) stanowią łączny margines WRF na zobowiązania, który zostanie udostępniony poza pułapami określonymi w WRF na lata 2016–2020 na cele polityki związane z wzrostem gospodarczym i zatrudnieniem, w szczególności zatrudnieniem młodzieży. Na mocy przepisów rozporządzenia Rady (UE, Euratom) nr 2017/1123</w:t>
      </w:r>
      <w:r>
        <w:rPr>
          <w:rStyle w:val="FootnoteReference"/>
          <w:noProof/>
        </w:rPr>
        <w:footnoteReference w:id="12"/>
      </w:r>
      <w:r>
        <w:rPr>
          <w:noProof/>
        </w:rPr>
        <w:t xml:space="preserve"> usunięto ograniczenia nałożone na marginesy udostępnione poniżej pułapów WRF na środki na zobowiązania w latach 2014–2017, co umożliwiło przedłużenie okresu obowiązywania Inicjatywy na rzecz zatrudnienia ludzi młodych do 2020 r. oraz zwiększenie szczególnej alokacji na tę inicjatywę o kwotę 1,2 mld EUR w cenach bieżących na okres 2017–2020. Szczególna alokacja na Inicjatywę na rzecz zatrudnienia ludzi młodych, określona w art. 91 ust. 1 i 92 ust. 5 rozporządzenia (UE) nr 1303/2013, powinna zatem zostać odpowiednio dostosowana.</w:t>
      </w:r>
    </w:p>
    <w:p>
      <w:pPr>
        <w:pStyle w:val="ManualConsidrant"/>
        <w:rPr>
          <w:noProof/>
          <w:szCs w:val="24"/>
        </w:rPr>
      </w:pPr>
      <w:r>
        <w:t>(9)</w:t>
      </w:r>
      <w:r>
        <w:tab/>
      </w:r>
      <w:r>
        <w:rPr>
          <w:noProof/>
        </w:rPr>
        <w:t xml:space="preserve">Zgodnie z art. 94 ust. 2 rozporządzenia (UE) nr 1303/2013 Komisja przyjęła wniosek złożony przez Danię dotyczący przesunięcia części środków, z których miał być realizowany cel „Europejska współpraca terytorialna”, na cel „Inwestycje na rzecz wzrostu i zatrudnienia”. Przeniesienie to powinno skutkować zmianą kwoty ogólnych zasobów dostępnych na cel „Europejska współpraca terytorialna”, wskazanej w art. 92 ust. 9 tego rozporządzenia. </w:t>
      </w:r>
    </w:p>
    <w:p>
      <w:pPr>
        <w:pStyle w:val="ManualConsidrant"/>
        <w:rPr>
          <w:noProof/>
          <w:szCs w:val="24"/>
        </w:rPr>
      </w:pPr>
      <w:r>
        <w:t>(10)</w:t>
      </w:r>
      <w:r>
        <w:tab/>
      </w:r>
      <w:r>
        <w:rPr>
          <w:noProof/>
        </w:rPr>
        <w:t>Zgodnie z procedurą określoną w art. 19 ust. 1 rozporządzenia (UE, Euratom) nr 1311/2013, rozporządzeniem Rady (UE, Euratom) nr 2015/623</w:t>
      </w:r>
      <w:r>
        <w:rPr>
          <w:rStyle w:val="FootnoteReference"/>
          <w:noProof/>
        </w:rPr>
        <w:footnoteReference w:id="13"/>
      </w:r>
      <w:r>
        <w:rPr>
          <w:noProof/>
        </w:rPr>
        <w:t xml:space="preserve"> przesunięto na kolejne lata kwotę 11 216 187 326 EUR w cenach bieżących ze środków przewidzianych dla funduszy strukturalnych i Funduszu Spójności. Kwota 9 446 050 652 EUR w cenach bieżących ze środków przewidzianych dla Europejskiego Funduszu Rolnego na rzecz Rozwoju Obszarów Wiejskich oraz Europejskiego Funduszu Morskiego i Rybackiego, która nie mogła zostać wykorzystana w 2014 r. ani przeniesiona na 2015 r., została przesunięta na kolejne lata. Przeniesienie to powinno zostać uwzględnione w załączniku VI do rozporządzenia (UE) nr 1303/2013 określającym roczny podział środków na zobowiązania w latach 2014–2020</w:t>
      </w:r>
    </w:p>
    <w:p>
      <w:pPr>
        <w:pStyle w:val="ManualConsidrant"/>
        <w:rPr>
          <w:noProof/>
        </w:rPr>
      </w:pPr>
      <w:r>
        <w:t>(11)</w:t>
      </w:r>
      <w:r>
        <w:tab/>
      </w:r>
      <w:r>
        <w:rPr>
          <w:noProof/>
        </w:rPr>
        <w:t>Ze względu na konieczność pilnego rozszerzenia programów wspierających Inicjatywę na rzecz zatrudnienia ludzi młodych, niniejsze rozporządzenie powinno wejść w życie następnego dnia po jego opublikowaniu w </w:t>
      </w:r>
      <w:r>
        <w:rPr>
          <w:i/>
          <w:noProof/>
        </w:rPr>
        <w:t>Dzienniku Urzędowym Unii Europejskiej</w:t>
      </w:r>
      <w:r>
        <w:rPr>
          <w:noProof/>
        </w:rPr>
        <w:t>.</w:t>
      </w:r>
    </w:p>
    <w:p>
      <w:pPr>
        <w:pStyle w:val="ManualConsidrant"/>
        <w:rPr>
          <w:noProof/>
        </w:rPr>
      </w:pPr>
      <w:r>
        <w:t>(12)</w:t>
      </w:r>
      <w:r>
        <w:tab/>
      </w:r>
      <w:r>
        <w:rPr>
          <w:noProof/>
        </w:rPr>
        <w:t xml:space="preserve">Należy zatem odpowiednio zmienić rozporządzenie (UE) nr 1303/2013, </w:t>
      </w:r>
    </w:p>
    <w:p>
      <w:pPr>
        <w:pStyle w:val="Formuledadoption"/>
        <w:rPr>
          <w:noProof/>
        </w:rPr>
      </w:pPr>
      <w:r>
        <w:rPr>
          <w:noProof/>
        </w:rPr>
        <w:t>PRZYJMUJĄ NINIEJSZE ROZPORZĄDZENIE:</w:t>
      </w:r>
    </w:p>
    <w:p>
      <w:pPr>
        <w:pStyle w:val="Titrearticle"/>
        <w:rPr>
          <w:noProof/>
        </w:rPr>
      </w:pPr>
      <w:r>
        <w:rPr>
          <w:noProof/>
        </w:rPr>
        <w:t>Artykuł 1</w:t>
      </w:r>
    </w:p>
    <w:p>
      <w:pPr>
        <w:rPr>
          <w:noProof/>
        </w:rPr>
      </w:pPr>
      <w:r>
        <w:rPr>
          <w:noProof/>
        </w:rPr>
        <w:t>W rozporządzeniu (UE) nr 1303/2013 wprowadza się następujące zmiany:</w:t>
      </w:r>
    </w:p>
    <w:p>
      <w:pPr>
        <w:pStyle w:val="ManualNumPar1"/>
        <w:rPr>
          <w:noProof/>
        </w:rPr>
      </w:pPr>
      <w:r>
        <w:t>1.</w:t>
      </w:r>
      <w:r>
        <w:tab/>
      </w:r>
      <w:r>
        <w:rPr>
          <w:noProof/>
        </w:rPr>
        <w:t>art. 91 ust. 1 otrzymuje brzmienie:</w:t>
      </w:r>
    </w:p>
    <w:p>
      <w:pPr>
        <w:pStyle w:val="Text1"/>
        <w:rPr>
          <w:noProof/>
        </w:rPr>
      </w:pPr>
      <w:r>
        <w:rPr>
          <w:noProof/>
        </w:rPr>
        <w:t>„1. Zasoby na rzecz spójności gospodarczej, społecznej i terytorialnej dostępne na zobowiązania budżetowe w okresie 2014–2020 wynoszą 329 978 401 458 EUR według cen z 2011 r., zgodnie z rocznym podziałem przedstawionym w załączniku VI, z czego kwota 325 938 694 233 EUR stanowi zasoby ogólne przydzielone na EFRR, EFS i Fundusz Spójności, a kwota 4 039 707 225 EUR stanowi szczególną alokację dla Inicjatywy na rzecz zatrudnienia ludzi młodych. Na potrzeby programowania, a następnie włączenia do budżetu Unii, kwota zasobów na rzecz spójności gospodarczej, społecznej i terytorialnej podlega indeksacji o 2 % rocznie.”;</w:t>
      </w:r>
    </w:p>
    <w:p>
      <w:pPr>
        <w:pStyle w:val="ManualNumPar1"/>
        <w:rPr>
          <w:noProof/>
        </w:rPr>
      </w:pPr>
      <w:r>
        <w:t>2.</w:t>
      </w:r>
      <w:r>
        <w:tab/>
      </w:r>
      <w:r>
        <w:rPr>
          <w:noProof/>
        </w:rPr>
        <w:t>w art. 92 wprowadza się następujące zmiany:</w:t>
      </w:r>
    </w:p>
    <w:p>
      <w:pPr>
        <w:pStyle w:val="Point1"/>
        <w:rPr>
          <w:noProof/>
        </w:rPr>
      </w:pPr>
      <w:r>
        <w:rPr>
          <w:noProof/>
        </w:rPr>
        <w:t>a)</w:t>
      </w:r>
      <w:r>
        <w:rPr>
          <w:noProof/>
        </w:rPr>
        <w:tab/>
        <w:t>ust. 1 otrzymuje brzmienie:</w:t>
      </w:r>
    </w:p>
    <w:p>
      <w:pPr>
        <w:pStyle w:val="Text2"/>
        <w:rPr>
          <w:noProof/>
        </w:rPr>
      </w:pPr>
      <w:r>
        <w:rPr>
          <w:noProof/>
        </w:rPr>
        <w:t>„1. Zasoby na cel „Inwestycje na rzecz wzrostu i zatrudnienia” ustala się na poziomie 96,09 % zasobów ogólnych (tj. na łączną kwotę 317 103 114 309 EUR) i przydziela się w następujący sposób:</w:t>
      </w:r>
    </w:p>
    <w:p>
      <w:pPr>
        <w:pStyle w:val="Text2"/>
        <w:rPr>
          <w:noProof/>
        </w:rPr>
      </w:pPr>
      <w:r>
        <w:rPr>
          <w:noProof/>
        </w:rPr>
        <w:t>a) 48,64 % (tj. łączna kwota 160 498 028 177 EUR) dla regionów słabiej rozwiniętych;</w:t>
      </w:r>
    </w:p>
    <w:p>
      <w:pPr>
        <w:pStyle w:val="Text2"/>
        <w:rPr>
          <w:noProof/>
        </w:rPr>
      </w:pPr>
      <w:r>
        <w:rPr>
          <w:noProof/>
        </w:rPr>
        <w:t>b) 10,19 % (tj. łączna kwota 33 621 675 154 EUR) dla regionów przejściowych;</w:t>
      </w:r>
    </w:p>
    <w:p>
      <w:pPr>
        <w:pStyle w:val="Text2"/>
        <w:rPr>
          <w:noProof/>
        </w:rPr>
      </w:pPr>
      <w:r>
        <w:rPr>
          <w:noProof/>
        </w:rPr>
        <w:t>c) 15,43 % (tj. łączna kwota 50 914 723 304 EUR) dla regionów lepiej rozwiniętych;</w:t>
      </w:r>
    </w:p>
    <w:p>
      <w:pPr>
        <w:pStyle w:val="Text2"/>
        <w:rPr>
          <w:noProof/>
        </w:rPr>
      </w:pPr>
      <w:r>
        <w:rPr>
          <w:noProof/>
        </w:rPr>
        <w:t>d) 20,01 % (tj. łączna kwota 66 029 882 135 EUR) dla państw członkowskich wspieranych przez Fundusz Spójności;</w:t>
      </w:r>
    </w:p>
    <w:p>
      <w:pPr>
        <w:pStyle w:val="Text2"/>
        <w:rPr>
          <w:noProof/>
        </w:rPr>
      </w:pPr>
      <w:r>
        <w:rPr>
          <w:noProof/>
        </w:rPr>
        <w:t>e) 0,42 % (tj. łączna kwota 1 378 882 914 EUR) jako dodatkowe zasoby dla regionów najbardziej oddalonych, określonych w art. 349 TFUE, oraz regionów na poziomie NUTS 2 spełniających kryteria określone w art. 2 Protokołu nr 6 do Traktatu o przystąpieniu z 1994 r.”;</w:t>
      </w:r>
    </w:p>
    <w:p>
      <w:pPr>
        <w:pStyle w:val="Point1"/>
        <w:rPr>
          <w:noProof/>
        </w:rPr>
      </w:pPr>
      <w:r>
        <w:rPr>
          <w:noProof/>
        </w:rPr>
        <w:t>b)</w:t>
      </w:r>
      <w:r>
        <w:rPr>
          <w:noProof/>
        </w:rPr>
        <w:tab/>
        <w:t>ust. 5 otrzymuje brzmienie:</w:t>
      </w:r>
    </w:p>
    <w:p>
      <w:pPr>
        <w:pStyle w:val="Text2"/>
        <w:rPr>
          <w:noProof/>
        </w:rPr>
      </w:pPr>
      <w:r>
        <w:rPr>
          <w:noProof/>
        </w:rPr>
        <w:t>„5. Zasoby na Inicjatywę na rzecz zatrudnienia ludzi młodych wynoszą 4 039 707 225 EUR ze szczególnej alokacji na tę inicjatywę i co najmniej 4 039 707 225 EUR z ukierunkowanych inwestycji z EFS.”;</w:t>
      </w:r>
    </w:p>
    <w:p>
      <w:pPr>
        <w:pStyle w:val="Point1"/>
        <w:rPr>
          <w:noProof/>
        </w:rPr>
      </w:pPr>
      <w:r>
        <w:rPr>
          <w:noProof/>
        </w:rPr>
        <w:t>c)</w:t>
      </w:r>
      <w:r>
        <w:rPr>
          <w:noProof/>
        </w:rPr>
        <w:tab/>
        <w:t>ust. 9 otrzymuje brzmienie:</w:t>
      </w:r>
    </w:p>
    <w:p>
      <w:pPr>
        <w:pStyle w:val="Text2"/>
        <w:rPr>
          <w:noProof/>
        </w:rPr>
      </w:pPr>
      <w:r>
        <w:rPr>
          <w:noProof/>
        </w:rPr>
        <w:t>„9. Zasoby na cel „Europejska współpraca terytorialna” ustala się na poziomie 2,69 % zasobów ogólnych dostępnych na cele zobowiązań budżetowych z funduszy na okres 2014–2020 (tj. w łącznej kwocie 8 865 148 841 EUR).”;</w:t>
      </w:r>
    </w:p>
    <w:p>
      <w:pPr>
        <w:pStyle w:val="ManualNumPar1"/>
        <w:rPr>
          <w:noProof/>
        </w:rPr>
      </w:pPr>
      <w:r>
        <w:rPr>
          <w:noProof/>
        </w:rPr>
        <w:t>3.</w:t>
      </w:r>
      <w:r>
        <w:rPr>
          <w:noProof/>
        </w:rPr>
        <w:tab/>
        <w:t>załącznik VI zastępuje się tekstem znajdującym się w załączniku do niniejszego rozporządzenia.</w:t>
      </w:r>
    </w:p>
    <w:p>
      <w:pPr>
        <w:pStyle w:val="Titrearticle"/>
        <w:rPr>
          <w:noProof/>
        </w:rPr>
      </w:pPr>
      <w:r>
        <w:rPr>
          <w:noProof/>
        </w:rPr>
        <w:t>Artykuł 2</w:t>
      </w:r>
    </w:p>
    <w:p>
      <w:pPr>
        <w:rPr>
          <w:noProof/>
        </w:rPr>
      </w:pPr>
      <w:r>
        <w:rPr>
          <w:noProof/>
        </w:rPr>
        <w:t>Niniejsze rozporządzenie wchodzi w życie dwudziestego dnia po jego opublikowaniu w </w:t>
      </w:r>
      <w:r>
        <w:rPr>
          <w:i/>
          <w:noProof/>
        </w:rPr>
        <w:t>Dzienniku Urzędowym Unii Europejskiej</w:t>
      </w:r>
      <w:r>
        <w:rPr>
          <w:noProof/>
        </w:rPr>
        <w:t>.</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sectPr>
          <w:pgSz w:w="11907" w:h="16839"/>
          <w:pgMar w:top="1134" w:right="1417" w:bottom="1134" w:left="1417" w:header="709" w:footer="709" w:gutter="0"/>
          <w:cols w:space="708"/>
          <w:docGrid w:linePitch="360"/>
        </w:sectPr>
      </w:pPr>
      <w:r>
        <w:rPr>
          <w:noProof/>
        </w:rPr>
        <w:t>Przewodniczący</w:t>
      </w:r>
      <w:r>
        <w:rPr>
          <w:noProof/>
        </w:rPr>
        <w:tab/>
        <w:t>Przewodniczący</w:t>
      </w:r>
    </w:p>
    <w:p>
      <w:pPr>
        <w:pStyle w:val="Fichefinanciretitre"/>
        <w:rPr>
          <w:noProof/>
        </w:rPr>
      </w:pPr>
      <w:r>
        <w:rPr>
          <w:noProof/>
        </w:rPr>
        <w:t xml:space="preserve">OCENA SKUTKÓW FINANSOWYCH REGULACJI </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Czas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b/>
          <w:noProof/>
          <w:u w:val="single"/>
        </w:rPr>
      </w:pPr>
      <w:r>
        <w:rPr>
          <w:b/>
          <w:noProof/>
          <w:u w:val="single"/>
        </w:rPr>
        <w:t>OCENA SKUTKÓW FINANSOWYCH REGULACJI</w:t>
      </w:r>
    </w:p>
    <w:p>
      <w:pPr>
        <w:pStyle w:val="ManualHeading1"/>
        <w:rPr>
          <w:noProof/>
        </w:rPr>
      </w:pPr>
      <w:r>
        <w:rPr>
          <w:noProof/>
        </w:rPr>
        <w:t>1.</w:t>
      </w:r>
      <w:r>
        <w:rPr>
          <w:noProof/>
        </w:rPr>
        <w:tab/>
        <w:t xml:space="preserve">STRUKTURA WNIOSKU/INICJATYWY </w:t>
      </w:r>
    </w:p>
    <w:p>
      <w:pPr>
        <w:pStyle w:val="ManualHeading2"/>
        <w:rPr>
          <w:noProof/>
        </w:rPr>
      </w:pPr>
      <w:r>
        <w:rPr>
          <w:noProof/>
        </w:rPr>
        <w:t>1.1.</w:t>
      </w:r>
      <w:r>
        <w:rPr>
          <w:noProof/>
        </w:rPr>
        <w:tab/>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Wniosek</w:t>
      </w:r>
    </w:p>
    <w:p>
      <w:pPr>
        <w:pStyle w:val="Text1"/>
        <w:pBdr>
          <w:top w:val="single" w:sz="4" w:space="1" w:color="auto"/>
          <w:left w:val="single" w:sz="4" w:space="4" w:color="auto"/>
          <w:bottom w:val="single" w:sz="4" w:space="1" w:color="auto"/>
          <w:right w:val="single" w:sz="4" w:space="4" w:color="auto"/>
        </w:pBdr>
        <w:rPr>
          <w:noProof/>
        </w:rPr>
      </w:pPr>
      <w:r>
        <w:rPr>
          <w:noProof/>
        </w:rPr>
        <w:t>ROZPORZĄDZENIE PARLAMENTU EUROPEJSKIEGO I RADY</w:t>
      </w:r>
    </w:p>
    <w:p>
      <w:pPr>
        <w:pStyle w:val="Text1"/>
        <w:pBdr>
          <w:top w:val="single" w:sz="4" w:space="1" w:color="auto"/>
          <w:left w:val="single" w:sz="4" w:space="4" w:color="auto"/>
          <w:bottom w:val="single" w:sz="4" w:space="1" w:color="auto"/>
          <w:right w:val="single" w:sz="4" w:space="4" w:color="auto"/>
        </w:pBdr>
        <w:rPr>
          <w:noProof/>
        </w:rPr>
      </w:pPr>
      <w:r>
        <w:rPr>
          <w:noProof/>
        </w:rPr>
        <w:t>zmieniające rozporządzenie (UE) nr 1303/2013 w odniesieniu do zmian zasobów na rzecz spójności gospodarczej, społecznej i terytorialnej oraz zasobów na cel „Inwestycje na rzecz wzrostu i zatrudnienia” i na cel „Europejska współpraca terytorialna”</w:t>
      </w:r>
    </w:p>
    <w:p>
      <w:pPr>
        <w:pStyle w:val="ManualHeading2"/>
        <w:rPr>
          <w:noProof/>
          <w:szCs w:val="24"/>
        </w:rPr>
      </w:pPr>
      <w:r>
        <w:rPr>
          <w:noProof/>
        </w:rPr>
        <w:t>1.2.</w:t>
      </w:r>
      <w:r>
        <w:rPr>
          <w:noProof/>
        </w:rPr>
        <w:tab/>
        <w:t>Dziedziny polityki w strukturze ABM/ABB, których dotyczy wniosek/inicjatywa</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Zatrudnienie, sprawy społeczne i włączenie społeczne</w:t>
      </w:r>
    </w:p>
    <w:p>
      <w:pPr>
        <w:pStyle w:val="Text1"/>
        <w:pBdr>
          <w:top w:val="single" w:sz="4" w:space="1" w:color="auto"/>
          <w:left w:val="single" w:sz="4" w:space="4" w:color="auto"/>
          <w:bottom w:val="single" w:sz="4" w:space="1" w:color="auto"/>
          <w:right w:val="single" w:sz="4" w:space="4" w:color="auto"/>
        </w:pBdr>
        <w:rPr>
          <w:noProof/>
        </w:rPr>
      </w:pPr>
      <w:r>
        <w:rPr>
          <w:noProof/>
        </w:rPr>
        <w:t>04 02 60 – Europejski Fundusz Społeczny — Regiony słabiej rozwinięte — Cel „Inwestycje na rzecz wzrostu gospodarczego i zatrudnienia”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61 –Europejski Fundusz Społeczny — Regiony w okresie przejściowym — Cel „Inwestycje na rzecz wzrostu gospodarczego i zatrudnienia”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Europejski Fundusz Społeczny — Regiony lepiej rozwinięte — Cel „Inwestycje na rzecz wzrostu gospodarczego i zatrudnienia”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64 – Inicjatywa na rzecz zatrudnienia ludzi młodych (YEI)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Polityka Regionalna i Miejska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Europejski Fundusz Rozwoju Regionalnego (EFRR) — Regiony słabiej rozwinięte — Cel „Inwestycje na rzecz wzrostu gospodarczego i zatrudnienia”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Europejski Fundusz Rozwoju Regionalnego (EFRR) — Regiony w okresie przejściowym — Cel „Inwestycje na rzecz wzrostu gospodarczego i zatrudnienia”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Europejski Fundusz Rozwoju Regionalnego (EFRR) — Regiony bardziej rozwinięte — Cel „Inwestycje na rzecz wzrostu gospodarczego i zatrudnienia”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63 – Europejski Fundusz Rozwoju Regionalnego (EFRR) — Dodatkowy przydział środków dla najbardziej oddalonych i słabo zaludnionych regionów — Cel „Inwestycje na rzecz wzrostu gospodarczego i zatrudnienia”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64 01 – Europejski Fundusz Rozwoju Regionalnego (EFRR) — Europejska współpraca terytorialna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04 60 — Fundusz Spójności — Cel „Inwestycje na rzecz wzrostu gospodarczego i zatrudnienia”</w:t>
      </w:r>
    </w:p>
    <w:p>
      <w:pPr>
        <w:pStyle w:val="ManualHeading2"/>
        <w:rPr>
          <w:bCs/>
          <w:noProof/>
          <w:szCs w:val="24"/>
        </w:rPr>
      </w:pPr>
      <w:r>
        <w:rPr>
          <w:noProof/>
        </w:rPr>
        <w:t>1.3.</w:t>
      </w:r>
      <w:r>
        <w:rPr>
          <w:noProof/>
        </w:rPr>
        <w:tab/>
        <w:t xml:space="preserve">Charakter wniosku/inicjatywy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15"/>
      </w:r>
      <w:r>
        <w:rPr>
          <w:noProof/>
          <w:sz w:val="22"/>
        </w:rPr>
        <w:t xml:space="preserve"> </w:t>
      </w:r>
    </w:p>
    <w:p>
      <w:pPr>
        <w:pStyle w:val="Text1"/>
        <w:rPr>
          <w:noProof/>
          <w:sz w:val="22"/>
        </w:rPr>
      </w:pPr>
      <w:r>
        <w:rPr>
          <w:noProof/>
          <w:sz w:val="22"/>
        </w:rPr>
        <w:sym w:font="Wingdings" w:char="F078"/>
      </w:r>
      <w:r>
        <w:rPr>
          <w:noProof/>
        </w:rPr>
        <w:t xml:space="preserve"> 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1.4.2.</w:t>
      </w:r>
      <w:r>
        <w:rPr>
          <w:noProof/>
        </w:rPr>
        <w:tab/>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1.4.3.</w:t>
      </w:r>
      <w:r>
        <w:rPr>
          <w:noProof/>
        </w:rPr>
        <w:tab/>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1.4.4.</w:t>
      </w:r>
      <w:r>
        <w:rPr>
          <w:noProof/>
        </w:rPr>
        <w:tab/>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1.5.2.</w:t>
      </w:r>
      <w:r>
        <w:rPr>
          <w:noProof/>
        </w:rPr>
        <w:tab/>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1.5.3.</w:t>
      </w:r>
      <w:r>
        <w:rPr>
          <w:noProof/>
        </w:rPr>
        <w:tab/>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1.5.4.</w:t>
      </w:r>
      <w:r>
        <w:rPr>
          <w:noProof/>
        </w:rPr>
        <w:tab/>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1.6.</w:t>
      </w:r>
      <w:r>
        <w:rPr>
          <w:noProof/>
        </w:rPr>
        <w:tab/>
        <w:t xml:space="preserve">Czas trwania działania i jego wpływ finansowy </w:t>
      </w:r>
    </w:p>
    <w:p>
      <w:pPr>
        <w:pStyle w:val="Text1"/>
        <w:rPr>
          <w:noProof/>
        </w:rPr>
      </w:pPr>
      <w:r>
        <w:rPr>
          <w:noProof/>
        </w:rPr>
        <w:sym w:font="Wingdings" w:char="F0A8"/>
      </w:r>
      <w:r>
        <w:rPr>
          <w:b/>
          <w:i/>
          <w:noProof/>
        </w:rPr>
        <w:t xml:space="preserve"> </w:t>
      </w:r>
      <w:r>
        <w:rPr>
          <w:noProof/>
        </w:rPr>
        <w:t>Wniosek/inicjatywa o </w:t>
      </w:r>
      <w:r>
        <w:rPr>
          <w:b/>
          <w:noProof/>
        </w:rPr>
        <w:t xml:space="preserve">ograniczonym okresie trwania </w:t>
      </w:r>
    </w:p>
    <w:p>
      <w:pPr>
        <w:pStyle w:val="ListDash2"/>
        <w:rPr>
          <w:noProof/>
        </w:rPr>
      </w:pPr>
      <w:r>
        <w:rPr>
          <w:noProof/>
        </w:rPr>
        <w:sym w:font="Wingdings" w:char="F078"/>
      </w:r>
      <w:r>
        <w:rPr>
          <w:noProof/>
        </w:rPr>
        <w:t>Okres trwania wniosku/inicjatywy: od 01/01/2017 do 31/12/2023</w:t>
      </w:r>
    </w:p>
    <w:p>
      <w:pPr>
        <w:pStyle w:val="ListDash2"/>
        <w:rPr>
          <w:noProof/>
        </w:rPr>
      </w:pPr>
      <w:r>
        <w:rPr>
          <w:noProof/>
        </w:rPr>
        <w:sym w:font="Wingdings" w:char="F078"/>
      </w:r>
      <w:r>
        <w:rPr>
          <w:noProof/>
        </w:rPr>
        <w:t>Czas trwania wpływu finansowego 2017–2020 r.</w:t>
      </w:r>
    </w:p>
    <w:p>
      <w:pPr>
        <w:pStyle w:val="Text1"/>
        <w:rPr>
          <w:noProof/>
        </w:rPr>
      </w:pPr>
      <w:r>
        <w:rPr>
          <w:noProof/>
        </w:rPr>
        <w:sym w:font="Wingdings" w:char="F0A8"/>
      </w:r>
      <w:r>
        <w:rPr>
          <w:b/>
          <w:i/>
          <w:noProof/>
        </w:rPr>
        <w:t xml:space="preserve"> </w:t>
      </w:r>
      <w:r>
        <w:rPr>
          <w:noProof/>
        </w:rPr>
        <w:t>Wniosek/inicjatywa o </w:t>
      </w:r>
      <w:r>
        <w:rPr>
          <w:b/>
          <w:noProof/>
        </w:rPr>
        <w:t>nieograniczonym okresie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rPr>
          <w:noProof/>
        </w:rPr>
        <w:t>1.7.</w:t>
      </w:r>
      <w:r>
        <w:rPr>
          <w:noProof/>
        </w:rPr>
        <w:tab/>
        <w:t>Przewidywane tryby zarządzania</w:t>
      </w:r>
      <w:r>
        <w:rPr>
          <w:rStyle w:val="FootnoteReference"/>
          <w:noProof/>
        </w:rPr>
        <w:footnoteReference w:id="16"/>
      </w:r>
      <w:r>
        <w:rPr>
          <w:rStyle w:val="FootnoteReference"/>
          <w:noProof/>
        </w:rPr>
        <w:t xml:space="preserve"> </w:t>
      </w:r>
    </w:p>
    <w:p>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A8"/>
      </w:r>
      <w:r>
        <w:rPr>
          <w:noProof/>
        </w:rPr>
        <w:t xml:space="preserve">w ramach jej służb, w tym za pośrednictwem jej pracowników w delegaturach Unii; </w:t>
      </w:r>
    </w:p>
    <w:p>
      <w:pPr>
        <w:pStyle w:val="ListDash2"/>
        <w:rPr>
          <w:noProof/>
        </w:rPr>
      </w:pPr>
      <w:r>
        <w:rPr>
          <w:noProof/>
        </w:rPr>
        <w:sym w:font="Wingdings" w:char="F0A8"/>
      </w:r>
      <w:r>
        <w:rPr>
          <w:noProof/>
        </w:rPr>
        <w:t xml:space="preserve">przez agencje wykonawcze; </w:t>
      </w:r>
    </w:p>
    <w:p>
      <w:pPr>
        <w:pStyle w:val="Text1"/>
        <w:rPr>
          <w:noProof/>
        </w:rPr>
      </w:pPr>
      <w:r>
        <w:rPr>
          <w:noProof/>
        </w:rPr>
        <w:sym w:font="Wingdings" w:char="F07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państwom trzecim lub organom przez nie wyznaczonym;</w:t>
      </w:r>
    </w:p>
    <w:p>
      <w:pPr>
        <w:pStyle w:val="ListDash2"/>
        <w:rPr>
          <w:noProof/>
        </w:rPr>
      </w:pPr>
      <w:r>
        <w:rPr>
          <w:noProof/>
        </w:rPr>
        <w:sym w:font="Wingdings" w:char="F0A8"/>
      </w:r>
      <w:r>
        <w:rPr>
          <w:noProof/>
        </w:rPr>
        <w:t>organizacjom międzynarodowym i ich agencjom (należy wyszczególnić);</w:t>
      </w:r>
    </w:p>
    <w:p>
      <w:pPr>
        <w:pStyle w:val="ListDash2"/>
        <w:rPr>
          <w:noProof/>
        </w:rPr>
      </w:pPr>
      <w:r>
        <w:rPr>
          <w:noProof/>
        </w:rPr>
        <w:sym w:font="Wingdings" w:char="F0A8"/>
      </w:r>
      <w:r>
        <w:rPr>
          <w:noProof/>
        </w:rPr>
        <w:t>EBI oraz Europejskiemu Funduszowi Inwestycyjnemu;</w:t>
      </w:r>
    </w:p>
    <w:p>
      <w:pPr>
        <w:pStyle w:val="ListDash2"/>
        <w:rPr>
          <w:noProof/>
        </w:rPr>
      </w:pPr>
      <w:r>
        <w:rPr>
          <w:noProof/>
        </w:rPr>
        <w:sym w:font="Wingdings" w:char="F0A8"/>
      </w:r>
      <w:r>
        <w:rPr>
          <w:noProof/>
        </w:rPr>
        <w:t>organom, o którym mowa w art. 208 i 209 rozporządzenia finansowego;</w:t>
      </w:r>
    </w:p>
    <w:p>
      <w:pPr>
        <w:pStyle w:val="ListDash2"/>
        <w:rPr>
          <w:noProof/>
        </w:rPr>
      </w:pPr>
      <w:r>
        <w:rPr>
          <w:noProof/>
        </w:rPr>
        <w:sym w:font="Wingdings" w:char="F0A8"/>
      </w:r>
      <w:r>
        <w:rPr>
          <w:noProof/>
        </w:rPr>
        <w:t>organom prawa publicznego;</w:t>
      </w:r>
    </w:p>
    <w:p>
      <w:pPr>
        <w:pStyle w:val="ListDash2"/>
        <w:rPr>
          <w:noProof/>
        </w:rPr>
      </w:pPr>
      <w:r>
        <w:rPr>
          <w:noProof/>
        </w:rPr>
        <w:sym w:font="Wingdings" w:char="F0A8"/>
      </w:r>
      <w:r>
        <w:rPr>
          <w:noProof/>
        </w:rPr>
        <w:t>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N/A</w:t>
      </w:r>
    </w:p>
    <w:p>
      <w:pPr>
        <w:pStyle w:val="ManualHeading1"/>
        <w:rPr>
          <w:bCs/>
          <w:noProof/>
          <w:szCs w:val="24"/>
        </w:rPr>
      </w:pPr>
      <w:r>
        <w:rPr>
          <w:noProof/>
        </w:rPr>
        <w:t>2.</w:t>
      </w:r>
      <w:r>
        <w:rPr>
          <w:noProof/>
        </w:rPr>
        <w:tab/>
        <w:t xml:space="preserve">ŚRODKI ZARZĄDZANIA </w:t>
      </w:r>
    </w:p>
    <w:p>
      <w:pPr>
        <w:pStyle w:val="ManualHeading2"/>
        <w:rPr>
          <w:noProof/>
        </w:rPr>
      </w:pPr>
      <w:r>
        <w:rPr>
          <w:noProof/>
        </w:rPr>
        <w:t>2.1.</w:t>
      </w:r>
      <w:r>
        <w:rPr>
          <w:noProof/>
        </w:rPr>
        <w:tab/>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2.2.</w:t>
      </w:r>
      <w:r>
        <w:rPr>
          <w:noProof/>
        </w:rPr>
        <w:tab/>
        <w:t xml:space="preserve">System zarządzania i kontroli </w:t>
      </w:r>
    </w:p>
    <w:p>
      <w:pPr>
        <w:pStyle w:val="ManualHeading3"/>
        <w:rPr>
          <w:noProof/>
        </w:rPr>
      </w:pPr>
      <w:r>
        <w:rPr>
          <w:noProof/>
        </w:rPr>
        <w:t>2.2.1.</w:t>
      </w:r>
      <w:r>
        <w:rPr>
          <w:noProof/>
        </w:rPr>
        <w:tab/>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2.2.2.</w:t>
      </w:r>
      <w:r>
        <w:rPr>
          <w:noProof/>
        </w:rPr>
        <w:tab/>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rPr>
          <w:noProof/>
        </w:rPr>
        <w:t>2.2.3.</w:t>
      </w:r>
      <w:r>
        <w:rPr>
          <w:noProof/>
        </w:rPr>
        <w:tab/>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SZACUNKOWY WPŁYW FINANSOWY WNIOSKU/INICJATYWY </w:t>
      </w:r>
    </w:p>
    <w:p>
      <w:pPr>
        <w:pStyle w:val="ManualHeading2"/>
        <w:rPr>
          <w:noProof/>
        </w:rPr>
      </w:pPr>
      <w:r>
        <w:rPr>
          <w:noProof/>
        </w:rPr>
        <w:t>3.1.</w:t>
      </w:r>
      <w:r>
        <w:rPr>
          <w:noProof/>
        </w:rPr>
        <w:tab/>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rPr>
              <w:br/>
            </w:r>
            <w:r>
              <w:rPr>
                <w:noProof/>
              </w:rPr>
              <w:br/>
            </w:r>
            <w:r>
              <w:rPr>
                <w:noProof/>
                <w:sz w:val="18"/>
              </w:rPr>
              <w:t>środków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 </w:t>
            </w:r>
            <w:r>
              <w:rPr>
                <w:noProof/>
              </w:rPr>
              <w:br/>
            </w:r>
            <w:r>
              <w:rPr>
                <w:noProof/>
                <w:sz w:val="20"/>
              </w:rPr>
              <w:t>[Dział………………………...……………]</w:t>
            </w:r>
          </w:p>
        </w:tc>
        <w:tc>
          <w:tcPr>
            <w:tcW w:w="1080" w:type="dxa"/>
            <w:vAlign w:val="center"/>
          </w:tcPr>
          <w:p>
            <w:pPr>
              <w:jc w:val="center"/>
              <w:rPr>
                <w:noProof/>
              </w:rPr>
            </w:pPr>
            <w:r>
              <w:rPr>
                <w:noProof/>
                <w:sz w:val="18"/>
              </w:rPr>
              <w:t>Zróżnicowane /niezróżnicowane</w:t>
            </w:r>
            <w:r>
              <w:rPr>
                <w:rStyle w:val="FootnoteReference"/>
                <w:noProof/>
                <w:sz w:val="18"/>
              </w:rPr>
              <w:footnoteReference w:id="17"/>
            </w:r>
            <w:r>
              <w:rPr>
                <w:noProof/>
              </w:rPr>
              <w:t>.</w:t>
            </w:r>
          </w:p>
        </w:tc>
        <w:tc>
          <w:tcPr>
            <w:tcW w:w="956" w:type="dxa"/>
            <w:vAlign w:val="center"/>
          </w:tcPr>
          <w:p>
            <w:pPr>
              <w:jc w:val="center"/>
              <w:rPr>
                <w:noProof/>
              </w:rPr>
            </w:pPr>
            <w:r>
              <w:rPr>
                <w:noProof/>
                <w:sz w:val="18"/>
              </w:rPr>
              <w:t>państw EFTA</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rPr>
            </w:pPr>
            <w:r>
              <w:rPr>
                <w:noProof/>
                <w:sz w:val="18"/>
              </w:rPr>
              <w:t>krajów kandydujących</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080" w:type="dxa"/>
            <w:shd w:val="clear" w:color="auto" w:fill="auto"/>
            <w:vAlign w:val="center"/>
          </w:tcPr>
          <w:p>
            <w:pPr>
              <w:jc w:val="center"/>
              <w:rPr>
                <w:noProof/>
              </w:rPr>
            </w:pPr>
            <w:r>
              <w:rPr>
                <w:noProof/>
              </w:rPr>
              <w:t>1 Inteligentny wzrost sprzyjający włączeniu społecznemu</w:t>
            </w:r>
          </w:p>
        </w:tc>
        <w:tc>
          <w:tcPr>
            <w:tcW w:w="3960" w:type="dxa"/>
            <w:vAlign w:val="center"/>
          </w:tcPr>
          <w:p>
            <w:pPr>
              <w:spacing w:after="60"/>
              <w:rPr>
                <w:noProof/>
              </w:rPr>
            </w:pPr>
            <w:r>
              <w:rPr>
                <w:noProof/>
              </w:rPr>
              <w:t>04 02 60 – Europejski Fundusz Społeczny — Regiony słabiej rozwinięte — Cel „Inwestycje na rzecz wzrostu gospodarczego i zatrudnienia”</w:t>
            </w:r>
          </w:p>
          <w:p>
            <w:pPr>
              <w:spacing w:after="60"/>
              <w:rPr>
                <w:noProof/>
              </w:rPr>
            </w:pPr>
          </w:p>
          <w:p>
            <w:pPr>
              <w:spacing w:after="60"/>
              <w:rPr>
                <w:noProof/>
              </w:rPr>
            </w:pPr>
            <w:r>
              <w:rPr>
                <w:noProof/>
              </w:rPr>
              <w:t>04 02 61 –Europejski Fundusz Społeczny — Regiony w okresie przejściowym — Cel „Inwestycje na rzecz wzrostu gospodarczego i zatrudnienia”</w:t>
            </w:r>
          </w:p>
          <w:p>
            <w:pPr>
              <w:spacing w:after="60"/>
              <w:rPr>
                <w:noProof/>
              </w:rPr>
            </w:pPr>
          </w:p>
          <w:p>
            <w:pPr>
              <w:spacing w:after="60"/>
              <w:rPr>
                <w:noProof/>
              </w:rPr>
            </w:pPr>
            <w:r>
              <w:rPr>
                <w:noProof/>
              </w:rPr>
              <w:t>04 02 62 – Europejski Fundusz Społeczny — Regiony lepiej rozwinięte — Cel „Inwestycje na rzecz wzrostu gospodarczego i zatrudnienia”</w:t>
            </w:r>
          </w:p>
          <w:p>
            <w:pPr>
              <w:spacing w:after="60"/>
              <w:rPr>
                <w:noProof/>
              </w:rPr>
            </w:pPr>
          </w:p>
          <w:p>
            <w:pPr>
              <w:spacing w:after="60"/>
              <w:rPr>
                <w:noProof/>
              </w:rPr>
            </w:pPr>
            <w:r>
              <w:rPr>
                <w:noProof/>
              </w:rPr>
              <w:t>04 02 64 – Inicjatywa na rzecz zatrudnienia ludzi młodych (YEI)</w:t>
            </w:r>
          </w:p>
          <w:p>
            <w:pPr>
              <w:spacing w:after="60"/>
              <w:rPr>
                <w:noProof/>
              </w:rPr>
            </w:pPr>
          </w:p>
          <w:p>
            <w:pPr>
              <w:spacing w:after="60"/>
              <w:rPr>
                <w:noProof/>
              </w:rPr>
            </w:pPr>
            <w:r>
              <w:rPr>
                <w:noProof/>
              </w:rPr>
              <w:t xml:space="preserve">13 03 60 – Europejski Fundusz Rozwoju Regionalnego (EFRR) — Regiony słabiej rozwinięte — Cel „Inwestycje na rzecz wzrostu gospodarczego i zatrudnienia” </w:t>
            </w:r>
          </w:p>
          <w:p>
            <w:pPr>
              <w:spacing w:after="60"/>
              <w:rPr>
                <w:noProof/>
              </w:rPr>
            </w:pPr>
          </w:p>
          <w:p>
            <w:pPr>
              <w:spacing w:after="60"/>
              <w:rPr>
                <w:noProof/>
              </w:rPr>
            </w:pPr>
            <w:r>
              <w:rPr>
                <w:noProof/>
              </w:rPr>
              <w:t xml:space="preserve">13 03 61 – Europejski Fundusz Rozwoju Regionalnego (EFRR) — Regiony w okresie przejściowym — Cel „Inwestycje na rzecz wzrostu gospodarczego i zatrudnienia” </w:t>
            </w:r>
          </w:p>
          <w:p>
            <w:pPr>
              <w:spacing w:after="60"/>
              <w:rPr>
                <w:noProof/>
              </w:rPr>
            </w:pPr>
          </w:p>
          <w:p>
            <w:pPr>
              <w:spacing w:after="60"/>
              <w:rPr>
                <w:noProof/>
              </w:rPr>
            </w:pPr>
            <w:r>
              <w:rPr>
                <w:noProof/>
              </w:rPr>
              <w:t xml:space="preserve">13 03 62 – Europejski Fundusz Rozwoju Regionalnego (EFRR) — Regiony bardziej rozwinięte — Cel „Inwestycje na rzecz wzrostu gospodarczego i zatrudnienia” </w:t>
            </w:r>
          </w:p>
          <w:p>
            <w:pPr>
              <w:spacing w:after="60"/>
              <w:rPr>
                <w:noProof/>
              </w:rPr>
            </w:pPr>
          </w:p>
          <w:p>
            <w:pPr>
              <w:spacing w:after="60"/>
              <w:rPr>
                <w:bCs/>
                <w:iCs/>
                <w:noProof/>
              </w:rPr>
            </w:pPr>
            <w:r>
              <w:rPr>
                <w:noProof/>
              </w:rPr>
              <w:t>13 03 63 – Europejski Fundusz Rozwoju Regionalnego (EFRR) — Dodatkowy przydział środków dla najbardziej oddalonych i słabo zaludnionych regionów — Cel „Inwestycje na rzecz wzrostu gospodarczego i zatrudnienia”</w:t>
            </w:r>
          </w:p>
          <w:p>
            <w:pPr>
              <w:spacing w:after="60"/>
              <w:rPr>
                <w:bCs/>
                <w:iCs/>
                <w:noProof/>
              </w:rPr>
            </w:pPr>
          </w:p>
          <w:p>
            <w:pPr>
              <w:spacing w:after="60"/>
              <w:rPr>
                <w:bCs/>
                <w:iCs/>
                <w:noProof/>
              </w:rPr>
            </w:pPr>
            <w:r>
              <w:rPr>
                <w:noProof/>
              </w:rPr>
              <w:t>13 03 64 01 – Europejski Fundusz Rozwoju Regionalnego (EFRR) — Europejska współpraca terytorialna</w:t>
            </w:r>
          </w:p>
          <w:p>
            <w:pPr>
              <w:spacing w:after="60"/>
              <w:rPr>
                <w:noProof/>
              </w:rPr>
            </w:pPr>
          </w:p>
          <w:p>
            <w:pPr>
              <w:spacing w:after="60"/>
              <w:rPr>
                <w:noProof/>
              </w:rPr>
            </w:pPr>
            <w:r>
              <w:rPr>
                <w:noProof/>
              </w:rPr>
              <w:t>13 04 60 — Fundusz Spójności — Cel „Inwestycje na rzecz wzrostu gospodarczego i zatrudnienia”</w:t>
            </w:r>
          </w:p>
        </w:tc>
        <w:tc>
          <w:tcPr>
            <w:tcW w:w="1080" w:type="dxa"/>
            <w:vAlign w:val="center"/>
          </w:tcPr>
          <w:p>
            <w:pPr>
              <w:jc w:val="center"/>
              <w:rPr>
                <w:noProof/>
              </w:rPr>
            </w:pPr>
            <w:r>
              <w:rPr>
                <w:noProof/>
              </w:rPr>
              <w:t>Zróżnicowane</w:t>
            </w: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bl>
    <w:p>
      <w:pPr>
        <w:rPr>
          <w:noProof/>
        </w:rPr>
      </w:pPr>
    </w:p>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rPr>
              <w:br/>
            </w:r>
            <w:r>
              <w:rPr>
                <w:noProof/>
              </w:rPr>
              <w:br/>
            </w:r>
            <w:r>
              <w:rPr>
                <w:noProof/>
                <w:sz w:val="18"/>
              </w:rPr>
              <w:t>środków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 </w:t>
            </w:r>
            <w:r>
              <w:rPr>
                <w:noProof/>
              </w:rPr>
              <w:br/>
            </w:r>
            <w:r>
              <w:rPr>
                <w:noProof/>
                <w:sz w:val="20"/>
              </w:rPr>
              <w:br/>
              <w:t>[…][Treść………………………...……………]</w:t>
            </w:r>
          </w:p>
        </w:tc>
        <w:tc>
          <w:tcPr>
            <w:tcW w:w="1080" w:type="dxa"/>
            <w:vAlign w:val="center"/>
          </w:tcPr>
          <w:p>
            <w:pPr>
              <w:jc w:val="center"/>
              <w:rPr>
                <w:noProof/>
              </w:rPr>
            </w:pPr>
            <w:r>
              <w:rPr>
                <w:noProof/>
                <w:sz w:val="18"/>
              </w:rPr>
              <w:t>Zróżnicowane /niezróżnicowane.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TAK/ NIE</w:t>
            </w:r>
          </w:p>
        </w:tc>
        <w:tc>
          <w:tcPr>
            <w:tcW w:w="1080" w:type="dxa"/>
            <w:vAlign w:val="center"/>
          </w:tcPr>
          <w:p>
            <w:pPr>
              <w:jc w:val="center"/>
              <w:rPr>
                <w:noProof/>
                <w:sz w:val="18"/>
              </w:rPr>
            </w:pPr>
            <w:r>
              <w:rPr>
                <w:noProof/>
              </w:rPr>
              <w:t>TAK/ NIE</w:t>
            </w:r>
          </w:p>
        </w:tc>
        <w:tc>
          <w:tcPr>
            <w:tcW w:w="956" w:type="dxa"/>
            <w:vAlign w:val="center"/>
          </w:tcPr>
          <w:p>
            <w:pPr>
              <w:jc w:val="center"/>
              <w:rPr>
                <w:noProof/>
                <w:sz w:val="18"/>
              </w:rPr>
            </w:pPr>
            <w:r>
              <w:rPr>
                <w:noProof/>
              </w:rPr>
              <w:t>TAK/ NIE</w:t>
            </w:r>
          </w:p>
        </w:tc>
        <w:tc>
          <w:tcPr>
            <w:tcW w:w="1448" w:type="dxa"/>
            <w:vAlign w:val="center"/>
          </w:tcPr>
          <w:p>
            <w:pPr>
              <w:jc w:val="center"/>
              <w:rPr>
                <w:noProof/>
              </w:rPr>
            </w:pPr>
            <w:r>
              <w:rPr>
                <w:noProof/>
              </w:rPr>
              <w:t>TAK/ NIE</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Szacunkowy wpływ na wydatki </w:t>
      </w:r>
    </w:p>
    <w:p>
      <w:pPr>
        <w:rPr>
          <w:noProof/>
        </w:rPr>
      </w:pPr>
      <w:r>
        <w:rPr>
          <w:noProof/>
        </w:rPr>
        <w:t xml:space="preserve">Zarówno w przypadku środków na zobowiązania, jak i środków na płatności, proponowana zmiana będzie oznaczać zmiany w tytule „Spójność gospodarcza, społeczna i terytorialna” wieloletnich ram finansowych (WRF) na lata 2014–2020. </w:t>
      </w:r>
    </w:p>
    <w:p>
      <w:pPr>
        <w:rPr>
          <w:noProof/>
        </w:rPr>
      </w:pPr>
      <w:r>
        <w:rPr>
          <w:noProof/>
        </w:rPr>
        <w:t>Po pierwsze, jeśli chodzi o środki na zobowiązania, zasoby na rzecz spójności gospodarczej, społecznej i terytorialnej dostępne na zobowiązania budżetowe na lata 2017–2020 zostaną zwiększone o kwotę 5 841 600 033 EUR w cenach bieżących. Z tej ogólnej kwoty 14 200 000 000 EUR stanowi szczególną alokację na Inicjatywę na rzecz zatrudnienia ludzi młodych.</w:t>
      </w:r>
    </w:p>
    <w:p>
      <w:pPr>
        <w:pStyle w:val="Text1"/>
        <w:ind w:left="0"/>
        <w:rPr>
          <w:noProof/>
        </w:rPr>
      </w:pPr>
      <w:r>
        <w:rPr>
          <w:noProof/>
        </w:rPr>
        <w:t>Po drugie, jeśli chodzi o środki na płatności, dodatkowe potrzeby zostały obliczone zgodnie z poniższymi założeniami.</w:t>
      </w:r>
    </w:p>
    <w:p>
      <w:pPr>
        <w:pStyle w:val="Bullet1"/>
        <w:numPr>
          <w:ilvl w:val="0"/>
          <w:numId w:val="17"/>
        </w:numPr>
        <w:rPr>
          <w:noProof/>
        </w:rPr>
      </w:pPr>
      <w:r>
        <w:rPr>
          <w:noProof/>
        </w:rPr>
        <w:t>Jako że zmienione programy operacyjne zostaną zakończone dopiero w drugiej połowie 2017 r., w obliczeniach na lata 2018–2020 uwzględniono potrzeby związane z rocznymi płatnościami zaliczkowymi.</w:t>
      </w:r>
    </w:p>
    <w:p>
      <w:pPr>
        <w:pStyle w:val="Bullet1"/>
        <w:rPr>
          <w:noProof/>
        </w:rPr>
      </w:pPr>
      <w:r>
        <w:rPr>
          <w:noProof/>
        </w:rPr>
        <w:t xml:space="preserve">Ocenia się, że płatności okresowe związane z dodatkowymi zasobami wynikającymi z dostosowań technicznych na podstawie art. 7 będą przebiegać zgodnie ze schematem zaobserwowanym na początku bieżącego okresu programowania. </w:t>
      </w:r>
    </w:p>
    <w:p>
      <w:pPr>
        <w:pStyle w:val="Bullet1"/>
        <w:rPr>
          <w:noProof/>
        </w:rPr>
      </w:pPr>
      <w:r>
        <w:rPr>
          <w:noProof/>
        </w:rPr>
        <w:t>Oczekuje się, że płatności okresowe związane ze zwiększeniem szczególnej alokacji na Inicjatywę na rzecz zatrudnienia ludzi młodych będą dokonywane szybciej, ponieważ usunięto wszystkie przeszkody administracyjne, a wdrażanie na miejscu przebiega szybciej niż w przypadku innych europejskich funduszy strukturalnych i inwestycyjnych.</w:t>
      </w:r>
    </w:p>
    <w:p>
      <w:pPr>
        <w:pStyle w:val="ManualHeading3"/>
        <w:rPr>
          <w:noProof/>
          <w:u w:val="single"/>
        </w:rPr>
      </w:pPr>
      <w:r>
        <w:rPr>
          <w:noProof/>
        </w:rPr>
        <w:t>3.2.1.</w:t>
      </w:r>
      <w:r>
        <w:rPr>
          <w:noProof/>
        </w:rPr>
        <w:tab/>
        <w:t xml:space="preserve">Synteza szacunkowego wpływu na wydatki </w:t>
      </w:r>
    </w:p>
    <w:p>
      <w:pPr>
        <w:jc w:val="right"/>
        <w:rPr>
          <w:noProof/>
          <w:sz w:val="20"/>
        </w:rPr>
      </w:pPr>
      <w:r>
        <w:rPr>
          <w:noProof/>
          <w:sz w:val="20"/>
        </w:rPr>
        <w:t>w mln EUR według cen bieżących (do trzech miejsc po przecinku)</w:t>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Dział wieloletnich ram</w:t>
            </w:r>
            <w:r>
              <w:rPr>
                <w:noProof/>
              </w:rPr>
              <w:br/>
            </w:r>
            <w:r>
              <w:rPr>
                <w:b/>
                <w:noProof/>
              </w:rPr>
              <w:t xml:space="preserve">finansowych </w:t>
            </w:r>
          </w:p>
        </w:tc>
        <w:tc>
          <w:tcPr>
            <w:tcW w:w="1080" w:type="dxa"/>
            <w:vAlign w:val="center"/>
          </w:tcPr>
          <w:p>
            <w:pPr>
              <w:spacing w:before="60" w:after="60"/>
              <w:jc w:val="center"/>
              <w:rPr>
                <w:noProof/>
              </w:rPr>
            </w:pPr>
            <w:r>
              <w:rPr>
                <w:noProof/>
                <w:sz w:val="22"/>
              </w:rPr>
              <w:t>Numer</w:t>
            </w:r>
          </w:p>
          <w:p>
            <w:pPr>
              <w:spacing w:before="60" w:after="60"/>
              <w:jc w:val="center"/>
              <w:rPr>
                <w:noProof/>
              </w:rPr>
            </w:pPr>
            <w:r>
              <w:rPr>
                <w:noProof/>
                <w:sz w:val="22"/>
              </w:rPr>
              <w:t>1</w:t>
            </w:r>
          </w:p>
        </w:tc>
        <w:tc>
          <w:tcPr>
            <w:tcW w:w="7817" w:type="dxa"/>
            <w:vAlign w:val="center"/>
          </w:tcPr>
          <w:p>
            <w:pPr>
              <w:spacing w:before="60" w:after="60"/>
              <w:rPr>
                <w:noProof/>
              </w:rPr>
            </w:pPr>
            <w:r>
              <w:rPr>
                <w:noProof/>
              </w:rPr>
              <w:t>Inteligentny wzrost gospodarczy sprzyjający włączeniu społecznemu</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Dyrekcja Generalna: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20"/>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OGÓŁEM</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Środki operacyjne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Spójność gospodarcza, społeczna i terytorialna</w:t>
            </w:r>
          </w:p>
          <w:p>
            <w:pPr>
              <w:spacing w:before="60"/>
              <w:rPr>
                <w:noProof/>
              </w:rPr>
            </w:pPr>
            <w:r>
              <w:rPr>
                <w:noProof/>
                <w:sz w:val="21"/>
              </w:rPr>
              <w:t>Europejski Fundusz Rozwoju Regionalnego, Europejski Fundusz Społeczny, Fundusz Spójności</w:t>
            </w:r>
          </w:p>
        </w:tc>
        <w:tc>
          <w:tcPr>
            <w:tcW w:w="3119" w:type="dxa"/>
            <w:vAlign w:val="center"/>
          </w:tcPr>
          <w:p>
            <w:pPr>
              <w:spacing w:before="20" w:after="20"/>
              <w:rPr>
                <w:noProof/>
                <w:sz w:val="18"/>
              </w:rPr>
            </w:pPr>
            <w:r>
              <w:rPr>
                <w:noProof/>
                <w:sz w:val="18"/>
              </w:rPr>
              <w:t xml:space="preserve">Środki na zobowiązania </w:t>
            </w:r>
          </w:p>
          <w:p>
            <w:pPr>
              <w:spacing w:before="20" w:after="20"/>
              <w:rPr>
                <w:noProof/>
                <w:sz w:val="18"/>
              </w:rPr>
            </w:pPr>
          </w:p>
          <w:p>
            <w:pPr>
              <w:spacing w:before="20" w:after="20"/>
              <w:rPr>
                <w:noProof/>
                <w:sz w:val="18"/>
              </w:rPr>
            </w:pPr>
          </w:p>
          <w:p>
            <w:pPr>
              <w:spacing w:after="60"/>
              <w:rPr>
                <w:noProof/>
              </w:rPr>
            </w:pPr>
            <w:r>
              <w:rPr>
                <w:noProof/>
              </w:rPr>
              <w:t>04 02 60 – Europejski Fundusz Społeczny — Regiony słabiej rozwinięte — Cel „Inwestycje na rzecz wzrostu gospodarczego i zatrudnienia”</w:t>
            </w:r>
          </w:p>
          <w:p>
            <w:pPr>
              <w:spacing w:before="20" w:after="20"/>
              <w:rPr>
                <w:noProof/>
                <w:sz w:val="18"/>
              </w:rPr>
            </w:pPr>
          </w:p>
          <w:p>
            <w:pPr>
              <w:spacing w:after="60"/>
              <w:rPr>
                <w:noProof/>
              </w:rPr>
            </w:pPr>
            <w:r>
              <w:rPr>
                <w:noProof/>
              </w:rPr>
              <w:t>04 02 61 –Europejski Fundusz Społeczny — Regiony w okresie przejściowym — Cel „Inwestycje na rzecz wzrostu gospodarczego i zatrudnienia”</w:t>
            </w:r>
          </w:p>
          <w:p>
            <w:pPr>
              <w:spacing w:before="20" w:after="20"/>
              <w:rPr>
                <w:noProof/>
                <w:sz w:val="18"/>
              </w:rPr>
            </w:pPr>
          </w:p>
          <w:p>
            <w:pPr>
              <w:spacing w:after="60"/>
              <w:rPr>
                <w:noProof/>
              </w:rPr>
            </w:pPr>
            <w:r>
              <w:rPr>
                <w:noProof/>
              </w:rPr>
              <w:t xml:space="preserve">04 02 62 – Europejski Fundusz Społeczny — Regiony lepiej rozwinięte — Cel „Inwestycje na rzecz wzrostu gospodarczego i zatrudnienia” </w:t>
            </w:r>
          </w:p>
          <w:p>
            <w:pPr>
              <w:spacing w:after="60"/>
              <w:rPr>
                <w:noProof/>
              </w:rPr>
            </w:pPr>
            <w:r>
              <w:rPr>
                <w:noProof/>
              </w:rPr>
              <w:t>04 02 64 – Inicjatywa na rzecz zatrudnienia ludzi młodych (YEI)</w:t>
            </w:r>
          </w:p>
          <w:p>
            <w:pPr>
              <w:spacing w:before="20" w:after="20"/>
              <w:rPr>
                <w:noProof/>
                <w:sz w:val="18"/>
              </w:rPr>
            </w:pPr>
          </w:p>
          <w:p>
            <w:pPr>
              <w:spacing w:after="60"/>
              <w:rPr>
                <w:noProof/>
              </w:rPr>
            </w:pPr>
            <w:r>
              <w:rPr>
                <w:noProof/>
              </w:rPr>
              <w:t xml:space="preserve">13 03 60 – Europejski Fundusz Rozwoju Regionalnego (EFRR) — Regiony słabiej rozwinięte — Cel „Inwestycje na rzecz wzrostu gospodarczego i zatrudnienia” </w:t>
            </w:r>
          </w:p>
          <w:p>
            <w:pPr>
              <w:spacing w:before="20" w:after="20"/>
              <w:rPr>
                <w:noProof/>
                <w:sz w:val="18"/>
              </w:rPr>
            </w:pPr>
          </w:p>
          <w:p>
            <w:pPr>
              <w:spacing w:after="60"/>
              <w:rPr>
                <w:noProof/>
              </w:rPr>
            </w:pPr>
            <w:r>
              <w:rPr>
                <w:noProof/>
              </w:rPr>
              <w:t xml:space="preserve">13 03 61 – Europejski Fundusz Rozwoju Regionalnego (EFRR) — Regiony w okresie przejściowym — Cel „Inwestycje na rzecz wzrostu gospodarczego i zatrudnienia” </w:t>
            </w:r>
          </w:p>
          <w:p>
            <w:pPr>
              <w:spacing w:after="60"/>
              <w:rPr>
                <w:noProof/>
              </w:rPr>
            </w:pPr>
            <w:r>
              <w:rPr>
                <w:noProof/>
              </w:rPr>
              <w:t xml:space="preserve">13 03 62 – Europejski Fundusz Rozwoju Regionalnego (EFRR) — Regiony bardziej rozwinięte — Cel „Inwestycje na rzecz wzrostu gospodarczego i zatrudnienia” </w:t>
            </w:r>
          </w:p>
          <w:p>
            <w:pPr>
              <w:spacing w:before="20" w:after="20"/>
              <w:rPr>
                <w:noProof/>
                <w:sz w:val="18"/>
              </w:rPr>
            </w:pPr>
          </w:p>
          <w:p>
            <w:pPr>
              <w:spacing w:after="60"/>
              <w:rPr>
                <w:noProof/>
                <w:sz w:val="18"/>
              </w:rPr>
            </w:pPr>
            <w:r>
              <w:rPr>
                <w:noProof/>
              </w:rPr>
              <w:t>13 04 60 — Fundusz Spójności — Cel „Inwestycje na rzecz wzrostu gospodarczego i zatrudnienia”</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237 320 881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237 320 880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-26 071 285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256 495 412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89 076 479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256 495 411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89 076 479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-26 592 711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246 908 645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246 908 645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-27 124 565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-27 667 056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1 200 000 000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-107 455 617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Środki na płatności </w:t>
            </w:r>
          </w:p>
          <w:p>
            <w:pPr>
              <w:spacing w:after="60"/>
              <w:rPr>
                <w:noProof/>
              </w:rPr>
            </w:pPr>
            <w:r>
              <w:rPr>
                <w:noProof/>
              </w:rPr>
              <w:t>04 02 60 – Europejski Fundusz Społeczny — Regiony słabiej rozwinięte — Cel „Inwestycje na rzecz wzrostu gospodarczego i zatrudnienia”</w:t>
            </w:r>
          </w:p>
          <w:p>
            <w:pPr>
              <w:spacing w:after="60"/>
              <w:rPr>
                <w:noProof/>
              </w:rPr>
            </w:pPr>
          </w:p>
          <w:p>
            <w:pPr>
              <w:spacing w:after="60"/>
              <w:rPr>
                <w:noProof/>
              </w:rPr>
            </w:pPr>
            <w:r>
              <w:rPr>
                <w:noProof/>
              </w:rPr>
              <w:t>04 02 61 –Europejski Fundusz Społeczny — Regiony w okresie przejściowym — Cel „Inwestycje na rzecz wzrostu gospodarczego i zatrudnienia”</w:t>
            </w:r>
          </w:p>
          <w:p>
            <w:pPr>
              <w:spacing w:after="60"/>
              <w:rPr>
                <w:noProof/>
              </w:rPr>
            </w:pPr>
          </w:p>
          <w:p>
            <w:pPr>
              <w:spacing w:after="60"/>
              <w:rPr>
                <w:noProof/>
              </w:rPr>
            </w:pPr>
            <w:r>
              <w:rPr>
                <w:noProof/>
              </w:rPr>
              <w:t xml:space="preserve">04 02 62 – Europejski Fundusz Społeczny — Regiony lepiej rozwinięte — Cel „Inwestycje na rzecz wzrostu gospodarczego i zatrudnienia” </w:t>
            </w:r>
          </w:p>
          <w:p>
            <w:pPr>
              <w:spacing w:after="60"/>
              <w:rPr>
                <w:noProof/>
              </w:rPr>
            </w:pPr>
          </w:p>
          <w:p>
            <w:pPr>
              <w:spacing w:after="60"/>
              <w:rPr>
                <w:noProof/>
              </w:rPr>
            </w:pPr>
            <w:r>
              <w:rPr>
                <w:noProof/>
              </w:rPr>
              <w:t>04 02 64 – Inicjatywa na rzecz zatrudnienia ludzi młodych (YEI)</w:t>
            </w:r>
          </w:p>
          <w:p>
            <w:pPr>
              <w:spacing w:after="60"/>
              <w:rPr>
                <w:noProof/>
              </w:rPr>
            </w:pPr>
          </w:p>
          <w:p>
            <w:pPr>
              <w:spacing w:after="60"/>
              <w:rPr>
                <w:noProof/>
              </w:rPr>
            </w:pPr>
            <w:r>
              <w:rPr>
                <w:noProof/>
              </w:rPr>
              <w:t xml:space="preserve"> 13 03 60 – Europejski Fundusz Rozwoju Regionalnego (EFRR) — Regiony słabiej rozwinięte — Cel „Inwestycje na rzecz wzrostu gospodarczego i zatrudnienia” </w:t>
            </w:r>
          </w:p>
          <w:p>
            <w:pPr>
              <w:spacing w:after="60"/>
              <w:rPr>
                <w:noProof/>
              </w:rPr>
            </w:pPr>
          </w:p>
          <w:p>
            <w:pPr>
              <w:spacing w:after="60"/>
              <w:rPr>
                <w:noProof/>
              </w:rPr>
            </w:pPr>
            <w:r>
              <w:rPr>
                <w:noProof/>
              </w:rPr>
              <w:t xml:space="preserve">13 03 61 – Europejski Fundusz Rozwoju Regionalnego (EFRR) — Regiony w okresie przejściowym — Cel „Inwestycje na rzecz wzrostu gospodarczego i zatrudnienia” </w:t>
            </w:r>
          </w:p>
          <w:p>
            <w:pPr>
              <w:spacing w:after="60"/>
              <w:rPr>
                <w:noProof/>
              </w:rPr>
            </w:pPr>
          </w:p>
          <w:p>
            <w:pPr>
              <w:spacing w:after="60"/>
              <w:rPr>
                <w:noProof/>
              </w:rPr>
            </w:pPr>
            <w:r>
              <w:rPr>
                <w:noProof/>
              </w:rPr>
              <w:t xml:space="preserve">13 03 62 – Europejski Fundusz Rozwoju Regionalnego (EFRR) — Regiony bardziej rozwinięte — Cel „Inwestycje na rzecz wzrostu gospodarczego i zatrudnienia” </w:t>
            </w:r>
          </w:p>
          <w:p>
            <w:pPr>
              <w:spacing w:after="60"/>
              <w:rPr>
                <w:noProof/>
              </w:rPr>
            </w:pPr>
          </w:p>
          <w:p>
            <w:pPr>
              <w:spacing w:after="60"/>
              <w:rPr>
                <w:bCs/>
                <w:iCs/>
                <w:noProof/>
              </w:rPr>
            </w:pPr>
            <w:r>
              <w:rPr>
                <w:noProof/>
              </w:rPr>
              <w:t>13 03 63 – Europejski Fundusz Rozwoju Regionalnego (EFRR) — Dodatkowy przydział środków dla najbardziej oddalonych i słabo zaludnionych regionów — Cel „Inwestycje na rzecz wzrostu gospodarczego i zatrudnienia”</w:t>
            </w:r>
          </w:p>
          <w:p>
            <w:pPr>
              <w:spacing w:after="60"/>
              <w:rPr>
                <w:bCs/>
                <w:iCs/>
                <w:noProof/>
              </w:rPr>
            </w:pPr>
          </w:p>
          <w:p>
            <w:pPr>
              <w:spacing w:after="60"/>
              <w:rPr>
                <w:bCs/>
                <w:iCs/>
                <w:noProof/>
              </w:rPr>
            </w:pPr>
            <w:r>
              <w:rPr>
                <w:noProof/>
              </w:rPr>
              <w:t>13 03 64 01 – Europejski Fundusz Rozwoju Regionalnego (EFRR) — Europejska współpraca terytorialna</w:t>
            </w:r>
          </w:p>
          <w:p>
            <w:pPr>
              <w:spacing w:after="60"/>
              <w:rPr>
                <w:bCs/>
                <w:iCs/>
                <w:noProof/>
              </w:rPr>
            </w:pPr>
          </w:p>
          <w:p>
            <w:pPr>
              <w:spacing w:after="60"/>
              <w:rPr>
                <w:noProof/>
                <w:sz w:val="18"/>
              </w:rPr>
            </w:pPr>
            <w:r>
              <w:rPr>
                <w:noProof/>
              </w:rPr>
              <w:t>13 04 60 — Fundusz Spójności — Cel „Inwestycje na rzecz wzrostu gospodarczego i zatrudnienia”</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85 000 000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25 285 013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26 792 094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9 304 437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220 000 000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25 285 013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26 792 094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9 304 437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-2 777 728</w:t>
            </w:r>
          </w:p>
          <w:p>
            <w:pPr>
              <w:spacing w:before="20" w:after="20"/>
              <w:rPr>
                <w:noProof/>
                <w:sz w:val="20"/>
              </w:rPr>
            </w:pPr>
          </w:p>
          <w:p>
            <w:pPr>
              <w:spacing w:before="20" w:after="20"/>
              <w:rPr>
                <w:noProof/>
                <w:sz w:val="20"/>
              </w:rPr>
            </w:pPr>
          </w:p>
        </w:tc>
        <w:tc>
          <w:tcPr>
            <w:tcW w:w="1275"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231 000 000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-5 590 378</w:t>
            </w:r>
          </w:p>
        </w:tc>
        <w:tc>
          <w:tcPr>
            <w:tcW w:w="1276"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108 495 693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114 962 440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39 924 494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349 000 000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108 495 693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114 962 440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39 924 493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-11 918 977</w:t>
            </w:r>
          </w:p>
        </w:tc>
        <w:tc>
          <w:tcPr>
            <w:tcW w:w="1518"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184 668 629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195 675 567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67 954 785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885 000 000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184 668 629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195 675 567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67 954 785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-20 287 083</w:t>
            </w:r>
          </w:p>
        </w:tc>
      </w:tr>
      <w:tr>
        <w:trPr>
          <w:trHeight w:val="231"/>
        </w:trPr>
        <w:tc>
          <w:tcPr>
            <w:tcW w:w="5747" w:type="dxa"/>
            <w:gridSpan w:val="4"/>
            <w:vAlign w:val="center"/>
          </w:tcPr>
          <w:p>
            <w:pPr>
              <w:spacing w:before="20" w:after="20"/>
              <w:rPr>
                <w:noProof/>
              </w:rPr>
            </w:pPr>
            <w:r>
              <w:rPr>
                <w:noProof/>
                <w:sz w:val="21"/>
              </w:rPr>
              <w:t>Środki administracyjne finansowane ze środków przydzielonych na określone programy operacyjne</w:t>
            </w:r>
            <w:r>
              <w:rPr>
                <w:rStyle w:val="FootnoteReference"/>
                <w:noProof/>
                <w:sz w:val="21"/>
              </w:rPr>
              <w:footnoteReference w:id="21"/>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N/A</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OGÓŁEM środki</w:t>
            </w:r>
            <w:r>
              <w:rPr>
                <w:noProof/>
              </w:rPr>
              <w:br/>
            </w:r>
            <w:r>
              <w:rPr>
                <w:b/>
                <w:noProof/>
                <w:sz w:val="22"/>
              </w:rPr>
              <w:t>dla DG</w:t>
            </w:r>
            <w:r>
              <w:rPr>
                <w:noProof/>
              </w:rPr>
              <w:t xml:space="preserve"> EMPL, REGIO </w:t>
            </w:r>
          </w:p>
        </w:tc>
        <w:tc>
          <w:tcPr>
            <w:tcW w:w="3197" w:type="dxa"/>
            <w:gridSpan w:val="2"/>
            <w:vAlign w:val="center"/>
          </w:tcPr>
          <w:p>
            <w:pPr>
              <w:rPr>
                <w:noProof/>
                <w:sz w:val="18"/>
              </w:rPr>
            </w:pPr>
            <w:r>
              <w:rPr>
                <w:noProof/>
                <w:sz w:val="18"/>
              </w:rPr>
              <w:t>Środki na zobowiązania</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1 626 162 416</w:t>
            </w:r>
          </w:p>
        </w:tc>
        <w:tc>
          <w:tcPr>
            <w:tcW w:w="1276" w:type="dxa"/>
            <w:vAlign w:val="center"/>
          </w:tcPr>
          <w:p>
            <w:pPr>
              <w:spacing w:before="20" w:after="20"/>
              <w:jc w:val="right"/>
              <w:rPr>
                <w:noProof/>
                <w:sz w:val="20"/>
              </w:rPr>
            </w:pPr>
            <w:r>
              <w:rPr>
                <w:noProof/>
                <w:sz w:val="20"/>
              </w:rPr>
              <w:t>1 382 019 001</w:t>
            </w:r>
          </w:p>
        </w:tc>
        <w:tc>
          <w:tcPr>
            <w:tcW w:w="1275" w:type="dxa"/>
            <w:vAlign w:val="center"/>
          </w:tcPr>
          <w:p>
            <w:pPr>
              <w:spacing w:before="20" w:after="20"/>
              <w:jc w:val="right"/>
              <w:rPr>
                <w:noProof/>
                <w:sz w:val="20"/>
              </w:rPr>
            </w:pPr>
            <w:r>
              <w:rPr>
                <w:noProof/>
                <w:sz w:val="20"/>
              </w:rPr>
              <w:t>1 404 992 715</w:t>
            </w:r>
          </w:p>
        </w:tc>
        <w:tc>
          <w:tcPr>
            <w:tcW w:w="1276" w:type="dxa"/>
            <w:vAlign w:val="center"/>
          </w:tcPr>
          <w:p>
            <w:pPr>
              <w:spacing w:before="20" w:after="20"/>
              <w:jc w:val="right"/>
              <w:rPr>
                <w:b/>
                <w:noProof/>
                <w:sz w:val="20"/>
              </w:rPr>
            </w:pPr>
            <w:r>
              <w:rPr>
                <w:noProof/>
                <w:sz w:val="20"/>
              </w:rPr>
              <w:t>1 428 425 901</w:t>
            </w:r>
          </w:p>
        </w:tc>
        <w:tc>
          <w:tcPr>
            <w:tcW w:w="1518" w:type="dxa"/>
            <w:vAlign w:val="center"/>
          </w:tcPr>
          <w:p>
            <w:pPr>
              <w:spacing w:before="20" w:after="20"/>
              <w:jc w:val="right"/>
              <w:rPr>
                <w:b/>
                <w:noProof/>
                <w:sz w:val="20"/>
              </w:rPr>
            </w:pPr>
            <w:r>
              <w:rPr>
                <w:b/>
                <w:noProof/>
                <w:sz w:val="20"/>
              </w:rPr>
              <w:t>5 841 600 033</w:t>
            </w:r>
          </w:p>
        </w:tc>
      </w:tr>
      <w:tr>
        <w:tc>
          <w:tcPr>
            <w:tcW w:w="2203" w:type="dxa"/>
            <w:vMerge/>
          </w:tcPr>
          <w:p>
            <w:pPr>
              <w:rPr>
                <w:noProof/>
                <w:sz w:val="20"/>
              </w:rPr>
            </w:pPr>
          </w:p>
        </w:tc>
        <w:tc>
          <w:tcPr>
            <w:tcW w:w="3197" w:type="dxa"/>
            <w:gridSpan w:val="2"/>
            <w:vAlign w:val="center"/>
          </w:tcPr>
          <w:p>
            <w:pPr>
              <w:rPr>
                <w:noProof/>
                <w:sz w:val="18"/>
              </w:rPr>
            </w:pPr>
            <w:r>
              <w:rPr>
                <w:noProof/>
                <w:sz w:val="18"/>
              </w:rPr>
              <w:t>Środki na płatności</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85 000 000</w:t>
            </w:r>
          </w:p>
        </w:tc>
        <w:tc>
          <w:tcPr>
            <w:tcW w:w="1276" w:type="dxa"/>
            <w:vAlign w:val="center"/>
          </w:tcPr>
          <w:p>
            <w:pPr>
              <w:spacing w:before="20" w:after="20"/>
              <w:jc w:val="right"/>
              <w:rPr>
                <w:noProof/>
                <w:sz w:val="20"/>
              </w:rPr>
            </w:pPr>
            <w:r>
              <w:rPr>
                <w:noProof/>
                <w:sz w:val="20"/>
              </w:rPr>
              <w:t>339 985 361</w:t>
            </w:r>
          </w:p>
        </w:tc>
        <w:tc>
          <w:tcPr>
            <w:tcW w:w="1275" w:type="dxa"/>
            <w:vAlign w:val="center"/>
          </w:tcPr>
          <w:p>
            <w:pPr>
              <w:spacing w:before="20" w:after="20"/>
              <w:jc w:val="right"/>
              <w:rPr>
                <w:noProof/>
                <w:sz w:val="20"/>
              </w:rPr>
            </w:pPr>
            <w:r>
              <w:rPr>
                <w:noProof/>
                <w:sz w:val="20"/>
              </w:rPr>
              <w:t>472 479 242</w:t>
            </w:r>
          </w:p>
        </w:tc>
        <w:tc>
          <w:tcPr>
            <w:tcW w:w="1276" w:type="dxa"/>
            <w:vAlign w:val="center"/>
          </w:tcPr>
          <w:p>
            <w:pPr>
              <w:spacing w:before="20" w:after="20"/>
              <w:jc w:val="right"/>
              <w:rPr>
                <w:noProof/>
                <w:sz w:val="20"/>
              </w:rPr>
            </w:pPr>
            <w:r>
              <w:rPr>
                <w:noProof/>
                <w:sz w:val="20"/>
              </w:rPr>
              <w:t>863 846 276</w:t>
            </w:r>
          </w:p>
        </w:tc>
        <w:tc>
          <w:tcPr>
            <w:tcW w:w="1518" w:type="dxa"/>
            <w:vAlign w:val="center"/>
          </w:tcPr>
          <w:p>
            <w:pPr>
              <w:spacing w:before="20" w:after="20"/>
              <w:jc w:val="center"/>
              <w:rPr>
                <w:b/>
                <w:noProof/>
                <w:sz w:val="20"/>
              </w:rPr>
            </w:pPr>
            <w:r>
              <w:rPr>
                <w:b/>
                <w:noProof/>
                <w:sz w:val="20"/>
              </w:rPr>
              <w:t>1 761 310 878</w:t>
            </w: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OGÓŁEM środki</w:t>
            </w:r>
            <w:r>
              <w:rPr>
                <w:noProof/>
              </w:rPr>
              <w:br/>
            </w:r>
            <w:r>
              <w:rPr>
                <w:b/>
                <w:noProof/>
                <w:sz w:val="22"/>
              </w:rPr>
              <w:t>na DZIAŁ 1</w:t>
            </w:r>
            <w:r>
              <w:rPr>
                <w:noProof/>
              </w:rPr>
              <w:br/>
            </w:r>
            <w:r>
              <w:rPr>
                <w:noProof/>
                <w:sz w:val="22"/>
              </w:rPr>
              <w:t>wieloletnich ram finansowych</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OGÓŁEM środki operacyjne </w:t>
            </w:r>
          </w:p>
        </w:tc>
        <w:tc>
          <w:tcPr>
            <w:tcW w:w="1440" w:type="dxa"/>
            <w:tcBorders>
              <w:top w:val="single" w:sz="4" w:space="0" w:color="auto"/>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OGÓŁEM środki</w:t>
            </w:r>
            <w:r>
              <w:rPr>
                <w:noProof/>
              </w:rPr>
              <w:br/>
            </w:r>
            <w:r>
              <w:rPr>
                <w:b/>
                <w:noProof/>
                <w:sz w:val="22"/>
              </w:rPr>
              <w:t>na DZIAŁY 1 do 4</w:t>
            </w:r>
            <w:r>
              <w:rPr>
                <w:noProof/>
              </w:rPr>
              <w:br/>
            </w:r>
            <w:r>
              <w:rPr>
                <w:noProof/>
                <w:sz w:val="22"/>
              </w:rPr>
              <w:t>wieloletnich ram finansowych</w:t>
            </w:r>
            <w:r>
              <w:rPr>
                <w:noProof/>
              </w:rPr>
              <w:br/>
            </w:r>
            <w:r>
              <w:rPr>
                <w:noProof/>
                <w:sz w:val="20"/>
              </w:rPr>
              <w:t>(kwota referencyjna)</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Środki na płatności</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Dział wieloletnich ram</w:t>
            </w:r>
            <w:r>
              <w:rPr>
                <w:noProof/>
              </w:rPr>
              <w:br/>
            </w:r>
            <w:r>
              <w:rPr>
                <w:b/>
                <w:noProof/>
              </w:rPr>
              <w:t xml:space="preserve">finansowych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N</w:t>
            </w:r>
          </w:p>
        </w:tc>
        <w:tc>
          <w:tcPr>
            <w:tcW w:w="868" w:type="dxa"/>
            <w:vAlign w:val="center"/>
          </w:tcPr>
          <w:p>
            <w:pPr>
              <w:jc w:val="center"/>
              <w:rPr>
                <w:noProof/>
                <w:sz w:val="20"/>
              </w:rPr>
            </w:pPr>
            <w:r>
              <w:rPr>
                <w:noProof/>
                <w:sz w:val="20"/>
              </w:rPr>
              <w:t>Rok</w:t>
            </w:r>
            <w:r>
              <w:rPr>
                <w:noProof/>
              </w:rPr>
              <w:br/>
            </w:r>
            <w:r>
              <w:rPr>
                <w:b/>
                <w:noProof/>
                <w:sz w:val="20"/>
              </w:rPr>
              <w:t>N+1</w:t>
            </w:r>
          </w:p>
        </w:tc>
        <w:tc>
          <w:tcPr>
            <w:tcW w:w="868" w:type="dxa"/>
            <w:vAlign w:val="center"/>
          </w:tcPr>
          <w:p>
            <w:pPr>
              <w:jc w:val="center"/>
              <w:rPr>
                <w:noProof/>
                <w:sz w:val="20"/>
              </w:rPr>
            </w:pPr>
            <w:r>
              <w:rPr>
                <w:noProof/>
                <w:sz w:val="20"/>
              </w:rPr>
              <w:t>Rok</w:t>
            </w:r>
            <w:r>
              <w:rPr>
                <w:noProof/>
              </w:rPr>
              <w:br/>
            </w:r>
            <w:r>
              <w:rPr>
                <w:b/>
                <w:noProof/>
                <w:sz w:val="20"/>
              </w:rPr>
              <w:t>N+2</w:t>
            </w:r>
          </w:p>
        </w:tc>
        <w:tc>
          <w:tcPr>
            <w:tcW w:w="868" w:type="dxa"/>
            <w:vAlign w:val="center"/>
          </w:tcPr>
          <w:p>
            <w:pPr>
              <w:jc w:val="center"/>
              <w:rPr>
                <w:noProof/>
                <w:sz w:val="20"/>
              </w:rPr>
            </w:pPr>
            <w:r>
              <w:rPr>
                <w:noProof/>
                <w:sz w:val="20"/>
              </w:rPr>
              <w:t>Rok</w:t>
            </w:r>
            <w:r>
              <w:rPr>
                <w:noProof/>
              </w:rPr>
              <w:br/>
            </w:r>
            <w:r>
              <w:rPr>
                <w:b/>
                <w:noProof/>
                <w:sz w:val="20"/>
              </w:rPr>
              <w:t>N+3</w:t>
            </w:r>
          </w:p>
        </w:tc>
        <w:tc>
          <w:tcPr>
            <w:tcW w:w="2604" w:type="dxa"/>
            <w:gridSpan w:val="3"/>
            <w:vAlign w:val="center"/>
          </w:tcPr>
          <w:p>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pPr>
              <w:jc w:val="center"/>
              <w:rPr>
                <w:b/>
                <w:noProof/>
                <w:sz w:val="20"/>
              </w:rPr>
            </w:pPr>
            <w:r>
              <w:rPr>
                <w:b/>
                <w:noProof/>
                <w:sz w:val="20"/>
              </w:rPr>
              <w:t>OGÓŁEM</w:t>
            </w:r>
          </w:p>
        </w:tc>
      </w:tr>
      <w:tr>
        <w:trPr>
          <w:gridAfter w:val="10"/>
          <w:wAfter w:w="9947" w:type="dxa"/>
        </w:trPr>
        <w:tc>
          <w:tcPr>
            <w:tcW w:w="3960" w:type="dxa"/>
            <w:vAlign w:val="center"/>
          </w:tcPr>
          <w:p>
            <w:pPr>
              <w:spacing w:before="60" w:after="60"/>
              <w:jc w:val="center"/>
              <w:rPr>
                <w:noProof/>
              </w:rPr>
            </w:pPr>
            <w:r>
              <w:rPr>
                <w:noProof/>
                <w:sz w:val="22"/>
              </w:rPr>
              <w:t xml:space="preserve">Dyrekcja Generalna: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Zasoby ludzkie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Pozostałe wydatki administracyjne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OGÓŁEM Dyrekcja Generalna </w:t>
            </w:r>
            <w:r>
              <w:rPr>
                <w:noProof/>
              </w:rPr>
              <w:t>&lt;…….&gt;</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OGÓŁEM środki</w:t>
            </w:r>
            <w:r>
              <w:rPr>
                <w:noProof/>
              </w:rPr>
              <w:br/>
            </w:r>
            <w:r>
              <w:rPr>
                <w:b/>
                <w:noProof/>
                <w:sz w:val="22"/>
              </w:rPr>
              <w:t>na DZIAŁ 5</w:t>
            </w:r>
            <w:r>
              <w:rPr>
                <w:noProof/>
              </w:rPr>
              <w:br/>
            </w:r>
            <w:r>
              <w:rPr>
                <w:noProof/>
                <w:sz w:val="22"/>
              </w:rPr>
              <w:t>wieloletnich ram finansowych</w:t>
            </w:r>
            <w:r>
              <w:rPr>
                <w:b/>
                <w:noProof/>
                <w:sz w:val="22"/>
              </w:rPr>
              <w:t xml:space="preserve"> </w:t>
            </w:r>
          </w:p>
        </w:tc>
        <w:tc>
          <w:tcPr>
            <w:tcW w:w="2094" w:type="dxa"/>
            <w:vAlign w:val="center"/>
          </w:tcPr>
          <w:p>
            <w:pPr>
              <w:spacing w:before="40" w:after="40"/>
              <w:rPr>
                <w:noProof/>
              </w:rPr>
            </w:pPr>
            <w:r>
              <w:rPr>
                <w:noProof/>
                <w:sz w:val="18"/>
              </w:rPr>
              <w:t>(Środki na zobowiązania ogółem = środki na płatności ogółem)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N</w:t>
            </w:r>
            <w:r>
              <w:rPr>
                <w:rStyle w:val="FootnoteReference"/>
                <w:b/>
                <w:noProof/>
                <w:sz w:val="20"/>
              </w:rPr>
              <w:footnoteReference w:id="22"/>
            </w:r>
          </w:p>
        </w:tc>
        <w:tc>
          <w:tcPr>
            <w:tcW w:w="868" w:type="dxa"/>
            <w:vAlign w:val="center"/>
          </w:tcPr>
          <w:p>
            <w:pPr>
              <w:jc w:val="center"/>
              <w:rPr>
                <w:noProof/>
                <w:sz w:val="20"/>
              </w:rPr>
            </w:pPr>
            <w:r>
              <w:rPr>
                <w:noProof/>
                <w:sz w:val="20"/>
              </w:rPr>
              <w:t>Rok</w:t>
            </w:r>
            <w:r>
              <w:rPr>
                <w:noProof/>
              </w:rPr>
              <w:br/>
            </w:r>
            <w:r>
              <w:rPr>
                <w:b/>
                <w:noProof/>
                <w:sz w:val="20"/>
              </w:rPr>
              <w:t>N+1</w:t>
            </w:r>
          </w:p>
        </w:tc>
        <w:tc>
          <w:tcPr>
            <w:tcW w:w="868" w:type="dxa"/>
            <w:vAlign w:val="center"/>
          </w:tcPr>
          <w:p>
            <w:pPr>
              <w:jc w:val="center"/>
              <w:rPr>
                <w:noProof/>
                <w:sz w:val="20"/>
              </w:rPr>
            </w:pPr>
            <w:r>
              <w:rPr>
                <w:noProof/>
                <w:sz w:val="20"/>
              </w:rPr>
              <w:t>Rok</w:t>
            </w:r>
            <w:r>
              <w:rPr>
                <w:noProof/>
              </w:rPr>
              <w:br/>
            </w:r>
            <w:r>
              <w:rPr>
                <w:b/>
                <w:noProof/>
                <w:sz w:val="20"/>
              </w:rPr>
              <w:t>N+2</w:t>
            </w:r>
          </w:p>
        </w:tc>
        <w:tc>
          <w:tcPr>
            <w:tcW w:w="868" w:type="dxa"/>
            <w:vAlign w:val="center"/>
          </w:tcPr>
          <w:p>
            <w:pPr>
              <w:jc w:val="center"/>
              <w:rPr>
                <w:noProof/>
                <w:sz w:val="20"/>
              </w:rPr>
            </w:pPr>
            <w:r>
              <w:rPr>
                <w:noProof/>
                <w:sz w:val="20"/>
              </w:rPr>
              <w:t>Rok</w:t>
            </w:r>
            <w:r>
              <w:rPr>
                <w:noProof/>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rPr>
            </w:pPr>
            <w:r>
              <w:rPr>
                <w:b/>
                <w:noProof/>
                <w:sz w:val="22"/>
              </w:rPr>
              <w:t>OGÓŁEM środki</w:t>
            </w:r>
            <w:r>
              <w:rPr>
                <w:noProof/>
              </w:rPr>
              <w:br/>
            </w:r>
            <w:r>
              <w:rPr>
                <w:b/>
                <w:noProof/>
                <w:sz w:val="22"/>
              </w:rPr>
              <w:t>na DZIAŁY 1 do 5</w:t>
            </w:r>
            <w:r>
              <w:rPr>
                <w:noProof/>
              </w:rPr>
              <w:br/>
            </w:r>
            <w:r>
              <w:rPr>
                <w:noProof/>
                <w:sz w:val="22"/>
              </w:rP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Szacunkowy wpływ na środki operacyjne </w:t>
      </w:r>
    </w:p>
    <w:p>
      <w:pPr>
        <w:pStyle w:val="ListDash1"/>
        <w:rPr>
          <w:noProof/>
        </w:rPr>
      </w:pPr>
      <w:r>
        <w:rPr>
          <w:noProof/>
        </w:rPr>
        <w:sym w:font="Wingdings" w:char="F0A8"/>
      </w:r>
      <w:r>
        <w:rPr>
          <w:noProof/>
        </w:rPr>
        <w:t xml:space="preserve"> Wniosek/inicjatywa nie wiąże się z koniecznością wykorzystania środków operacyjnych </w:t>
      </w:r>
    </w:p>
    <w:p>
      <w:pPr>
        <w:pStyle w:val="ListDash1"/>
        <w:rPr>
          <w:noProof/>
        </w:rPr>
      </w:pPr>
      <w:r>
        <w:rPr>
          <w:noProof/>
        </w:rPr>
        <w:sym w:font="Wingdings" w:char="F078"/>
      </w:r>
      <w:r>
        <w:rPr>
          <w:noProof/>
        </w:rPr>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rPr>
              <w:br/>
            </w:r>
            <w:r>
              <w:rPr>
                <w:b/>
                <w:noProof/>
                <w:sz w:val="18"/>
              </w:rPr>
              <w:t>N+3</w:t>
            </w:r>
          </w:p>
        </w:tc>
        <w:tc>
          <w:tcPr>
            <w:tcW w:w="3600" w:type="dxa"/>
            <w:gridSpan w:val="6"/>
            <w:vAlign w:val="center"/>
          </w:tcPr>
          <w:p>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noProof/>
                <w:sz w:val="18"/>
                <w:szCs w:val="18"/>
              </w:rPr>
            </w:pPr>
            <w:r>
              <w:rPr>
                <w:b/>
                <w:noProof/>
                <w:sz w:val="18"/>
              </w:rPr>
              <w:t>OGÓŁEM</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PRODUKT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Rodzaj</w:t>
            </w:r>
            <w:r>
              <w:rPr>
                <w:rStyle w:val="FootnoteReference"/>
                <w:noProof/>
                <w:sz w:val="18"/>
              </w:rPr>
              <w:footnoteReference w:id="23"/>
            </w:r>
          </w:p>
          <w:p>
            <w:pPr>
              <w:spacing w:before="0" w:after="0"/>
              <w:jc w:val="center"/>
              <w:rPr>
                <w:noProof/>
                <w:sz w:val="18"/>
                <w:szCs w:val="18"/>
              </w:rPr>
            </w:pPr>
          </w:p>
        </w:tc>
        <w:tc>
          <w:tcPr>
            <w:tcW w:w="701" w:type="dxa"/>
            <w:vAlign w:val="center"/>
          </w:tcPr>
          <w:p>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24"/>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Cel szczegółowy nr 2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Szacunkowy wpływ na środki administracyjne</w:t>
      </w:r>
    </w:p>
    <w:p>
      <w:pPr>
        <w:pStyle w:val="ManualHeading4"/>
        <w:rPr>
          <w:noProof/>
        </w:rPr>
      </w:pPr>
      <w:r>
        <w:rPr>
          <w:noProof/>
        </w:rPr>
        <w:t>3.2.3.1.</w:t>
      </w:r>
      <w:r>
        <w:rPr>
          <w:noProof/>
        </w:rPr>
        <w:tab/>
        <w:t xml:space="preserve">Streszczenie </w:t>
      </w:r>
    </w:p>
    <w:p>
      <w:pPr>
        <w:pStyle w:val="ListDash1"/>
        <w:rPr>
          <w:noProof/>
        </w:rPr>
      </w:pPr>
      <w:r>
        <w:rPr>
          <w:noProof/>
        </w:rPr>
        <w:sym w:font="Wingdings" w:char="F078"/>
      </w:r>
      <w:r>
        <w:rPr>
          <w:noProof/>
        </w:rPr>
        <w:t xml:space="preserve"> Wniosek/inicjatywa nie wiąże się z koniecznością wykorzystania środków administracyjnych </w:t>
      </w:r>
    </w:p>
    <w:p>
      <w:pPr>
        <w:pStyle w:val="ListDash1"/>
        <w:rPr>
          <w:noProof/>
        </w:rPr>
      </w:pPr>
      <w:r>
        <w:rPr>
          <w:noProof/>
        </w:rPr>
        <w:sym w:font="Wingdings" w:char="F0A8"/>
      </w:r>
      <w:r>
        <w:rPr>
          <w:noProof/>
        </w:rPr>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w:t>
            </w:r>
            <w:r>
              <w:rPr>
                <w:rStyle w:val="FootnoteReference"/>
                <w:b/>
                <w:noProof/>
                <w:sz w:val="16"/>
              </w:rPr>
              <w:footnoteReference w:id="25"/>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w:t>
            </w:r>
            <w:r>
              <w:rPr>
                <w:noProof/>
              </w:rPr>
              <w:br/>
            </w:r>
            <w:r>
              <w:rPr>
                <w:b/>
                <w:noProof/>
                <w:sz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 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 Pozostałe wydatki administracyjne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 – suma cząstkowa</w:t>
            </w:r>
            <w:r>
              <w:rPr>
                <w:noProof/>
              </w:rPr>
              <w:br/>
            </w:r>
            <w:r>
              <w:rPr>
                <w:b/>
                <w:noProof/>
                <w:sz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b/>
                <w:noProof/>
                <w:sz w:val="16"/>
              </w:rPr>
              <w:footnoteReference w:id="26"/>
            </w:r>
            <w:r>
              <w:rPr>
                <w:noProof/>
              </w:rPr>
              <w:br/>
            </w:r>
            <w:r>
              <w:rPr>
                <w:b/>
                <w:noProof/>
                <w:sz w:val="16"/>
              </w:rPr>
              <w:t xml:space="preserve">wieloletnich ram finansowych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 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Pozostałe wydatki</w:t>
            </w:r>
            <w:r>
              <w:rPr>
                <w:noProof/>
              </w:rPr>
              <w:br/>
            </w:r>
            <w:r>
              <w:rPr>
                <w:noProof/>
                <w:sz w:val="16"/>
              </w:rPr>
              <w:t>o charakterze administracyjnym</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Podsuma</w:t>
            </w:r>
            <w:r>
              <w:rPr>
                <w:noProof/>
              </w:rPr>
              <w:br/>
            </w:r>
            <w:r>
              <w:rPr>
                <w:b/>
                <w:noProof/>
                <w:sz w:val="16"/>
              </w:rPr>
              <w:t>Poza DZIAŁEM 5</w:t>
            </w:r>
            <w:r>
              <w:rPr>
                <w:noProof/>
              </w:rPr>
              <w:br/>
            </w:r>
            <w:r>
              <w:rPr>
                <w:b/>
                <w:noProof/>
                <w:sz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r>
        <w:rPr>
          <w:noProof/>
        </w:rPr>
        <w:tab/>
      </w:r>
    </w:p>
    <w:p>
      <w:pPr>
        <w:pStyle w:val="ManualHeading4"/>
        <w:rPr>
          <w:bCs/>
          <w:noProof/>
          <w:szCs w:val="24"/>
        </w:rPr>
      </w:pPr>
      <w:r>
        <w:rPr>
          <w:noProof/>
        </w:rPr>
        <w:t>3.2.3.2.</w:t>
      </w:r>
      <w:r>
        <w:rPr>
          <w:noProof/>
        </w:rPr>
        <w:tab/>
        <w:t>Szacowane zapotrzebowanie na zasoby ludzkie</w:t>
      </w:r>
    </w:p>
    <w:p>
      <w:pPr>
        <w:pStyle w:val="ListDash1"/>
        <w:rPr>
          <w:noProof/>
        </w:rPr>
      </w:pPr>
      <w:r>
        <w:rPr>
          <w:noProof/>
        </w:rPr>
        <w:sym w:font="Wingdings" w:char="F078"/>
      </w:r>
      <w:r>
        <w:rPr>
          <w:noProof/>
        </w:rPr>
        <w:t xml:space="preserve">Wniosek/inicjatywa nie wiąże się z koniecznością wykorzystania zasobów ludzkich </w:t>
      </w:r>
    </w:p>
    <w:p>
      <w:pPr>
        <w:pStyle w:val="ListDash1"/>
        <w:rPr>
          <w:noProof/>
        </w:rPr>
      </w:pPr>
      <w:r>
        <w:rPr>
          <w:noProof/>
        </w:rPr>
        <w:sym w:font="Wingdings" w:char="F0A8"/>
      </w:r>
      <w:r>
        <w:rPr>
          <w:noProof/>
        </w:rPr>
        <w:t xml:space="preserve"> 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(por. pkt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Stanowiska przewidziane w planie zatrudnienia (stanowiska urzędników i pracowników zatrudnionych na czas określony)</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Personel zewnętrzny (w ekwiwalentach pełnego czasu pracy): EPC)</w:t>
            </w:r>
            <w:r>
              <w:rPr>
                <w:rStyle w:val="FootnoteReference"/>
                <w:b/>
                <w:noProof/>
                <w:sz w:val="16"/>
              </w:rPr>
              <w:footnoteReference w:id="27"/>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z globalnej koperty finansowej)</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i JED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8"/>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Inne linie budżetowe (określić)</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Zgodność z obowiązującymi wieloletnimi ramami finansowymi </w:t>
      </w:r>
    </w:p>
    <w:p>
      <w:pPr>
        <w:pStyle w:val="ListDash1"/>
        <w:rPr>
          <w:noProof/>
        </w:rPr>
      </w:pPr>
      <w:r>
        <w:rPr>
          <w:noProof/>
        </w:rPr>
        <w:sym w:font="Wingdings" w:char="F078"/>
      </w:r>
      <w:r>
        <w:rPr>
          <w:noProof/>
        </w:rPr>
        <w:t>Wniosek/inicjatywa jest zgodny(-a) z obowiązującymi wieloletnimi ramami finansowymi.</w:t>
      </w:r>
    </w:p>
    <w:p>
      <w:pPr>
        <w:pStyle w:val="ListDash1"/>
        <w:rPr>
          <w:noProof/>
        </w:rPr>
      </w:pPr>
      <w:r>
        <w:rPr>
          <w:noProof/>
        </w:rPr>
        <w:sym w:font="Wingdings" w:char="F0A8"/>
      </w:r>
      <w:r>
        <w:rPr>
          <w:noProof/>
        </w:rPr>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ListDash1"/>
        <w:rPr>
          <w:noProof/>
        </w:rPr>
      </w:pPr>
      <w:r>
        <w:rPr>
          <w:noProof/>
        </w:rPr>
        <w:sym w:font="Wingdings" w:char="F0A8"/>
      </w:r>
      <w:r>
        <w:rPr>
          <w:noProof/>
        </w:rPr>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ManualHeading3"/>
        <w:rPr>
          <w:bCs/>
          <w:noProof/>
          <w:szCs w:val="24"/>
        </w:rPr>
      </w:pPr>
      <w:r>
        <w:rPr>
          <w:noProof/>
        </w:rPr>
        <w:t>3.2.5.</w:t>
      </w:r>
      <w:r>
        <w:rPr>
          <w:noProof/>
        </w:rPr>
        <w:tab/>
        <w:t xml:space="preserve">Udział osób trzecich w finansowaniu </w:t>
      </w:r>
    </w:p>
    <w:p>
      <w:pPr>
        <w:pStyle w:val="ListDash1"/>
        <w:rPr>
          <w:noProof/>
        </w:rPr>
      </w:pPr>
      <w:r>
        <w:rPr>
          <w:noProof/>
        </w:rPr>
        <w:t xml:space="preserve">Wniosek/inicjatywa nie przewiduje współfinansowania ze strony osób trzecich </w:t>
      </w:r>
    </w:p>
    <w:p>
      <w:pPr>
        <w:pStyle w:val="ListDash1"/>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br/>
            </w:r>
            <w:r>
              <w:rPr>
                <w:b/>
                <w:noProof/>
                <w:sz w:val="20"/>
              </w:rPr>
              <w:t>N</w:t>
            </w:r>
          </w:p>
        </w:tc>
        <w:tc>
          <w:tcPr>
            <w:tcW w:w="964" w:type="dxa"/>
            <w:vAlign w:val="center"/>
          </w:tcPr>
          <w:p>
            <w:pPr>
              <w:jc w:val="center"/>
              <w:rPr>
                <w:noProof/>
                <w:sz w:val="20"/>
              </w:rPr>
            </w:pPr>
            <w:r>
              <w:rPr>
                <w:noProof/>
                <w:sz w:val="20"/>
              </w:rPr>
              <w:t>Rok</w:t>
            </w:r>
            <w:r>
              <w:rPr>
                <w:noProof/>
              </w:rPr>
              <w:br/>
            </w:r>
            <w:r>
              <w:rPr>
                <w:b/>
                <w:noProof/>
                <w:sz w:val="20"/>
              </w:rPr>
              <w:t>N+1</w:t>
            </w:r>
          </w:p>
        </w:tc>
        <w:tc>
          <w:tcPr>
            <w:tcW w:w="964" w:type="dxa"/>
            <w:vAlign w:val="center"/>
          </w:tcPr>
          <w:p>
            <w:pPr>
              <w:jc w:val="center"/>
              <w:rPr>
                <w:noProof/>
                <w:sz w:val="20"/>
              </w:rPr>
            </w:pPr>
            <w:r>
              <w:rPr>
                <w:noProof/>
                <w:sz w:val="20"/>
              </w:rPr>
              <w:t>Rok</w:t>
            </w:r>
            <w:r>
              <w:rPr>
                <w:noProof/>
              </w:rPr>
              <w:br/>
            </w:r>
            <w:r>
              <w:rPr>
                <w:b/>
                <w:noProof/>
                <w:sz w:val="20"/>
              </w:rPr>
              <w:t>N+2</w:t>
            </w:r>
          </w:p>
        </w:tc>
        <w:tc>
          <w:tcPr>
            <w:tcW w:w="964" w:type="dxa"/>
            <w:vAlign w:val="center"/>
          </w:tcPr>
          <w:p>
            <w:pPr>
              <w:jc w:val="center"/>
              <w:rPr>
                <w:noProof/>
                <w:sz w:val="20"/>
              </w:rPr>
            </w:pPr>
            <w:r>
              <w:rPr>
                <w:noProof/>
                <w:sz w:val="20"/>
              </w:rPr>
              <w:t>Rok</w:t>
            </w:r>
            <w:r>
              <w:rPr>
                <w:noProof/>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Szacunkowy wpływ na dochody </w:t>
      </w:r>
    </w:p>
    <w:p>
      <w:pPr>
        <w:pStyle w:val="ListDash1"/>
        <w:rPr>
          <w:noProof/>
        </w:rPr>
      </w:pPr>
      <w:r>
        <w:rPr>
          <w:noProof/>
        </w:rPr>
        <w:sym w:font="Wingdings" w:char="F078"/>
      </w:r>
      <w:r>
        <w:rPr>
          <w:noProof/>
        </w:rPr>
        <w:t>Wniosek/inicjatywa nie ma wpływu finansowego na dochody.</w:t>
      </w:r>
    </w:p>
    <w:p>
      <w:pPr>
        <w:pStyle w:val="ListDash1"/>
        <w:rPr>
          <w:noProof/>
        </w:rPr>
      </w:pPr>
      <w:r>
        <w:rPr>
          <w:noProof/>
        </w:rPr>
        <w:sym w:font="Wingdings" w:char="F0A8"/>
      </w:r>
      <w:r>
        <w:rPr>
          <w:noProof/>
        </w:rPr>
        <w:t xml:space="preserve"> Wniosek/inicjatywa ma wpływ finansowy określony poniżej:</w:t>
      </w:r>
    </w:p>
    <w:p>
      <w:pPr>
        <w:pStyle w:val="ListNumberLevel3"/>
        <w:tabs>
          <w:tab w:val="clear" w:pos="2126"/>
        </w:tabs>
        <w:rPr>
          <w:noProof/>
        </w:rPr>
      </w:pPr>
      <w:r>
        <w:rPr>
          <w:noProof/>
        </w:rPr>
        <w:sym w:font="Wingdings" w:char="F0A8"/>
      </w:r>
      <w:r>
        <w:rPr>
          <w:noProof/>
        </w:rPr>
        <w:tab/>
        <w:t xml:space="preserve">wpływ na zasoby własne </w:t>
      </w:r>
    </w:p>
    <w:p>
      <w:pPr>
        <w:pStyle w:val="ListNumberLevel3"/>
        <w:tabs>
          <w:tab w:val="clear" w:pos="2126"/>
        </w:tabs>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2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rPr>
              <w:br/>
            </w:r>
            <w:r>
              <w:rPr>
                <w:b/>
                <w:noProof/>
                <w:sz w:val="18"/>
              </w:rPr>
              <w:t>N</w:t>
            </w:r>
          </w:p>
        </w:tc>
        <w:tc>
          <w:tcPr>
            <w:tcW w:w="900" w:type="dxa"/>
            <w:vAlign w:val="center"/>
          </w:tcPr>
          <w:p>
            <w:pPr>
              <w:jc w:val="center"/>
              <w:rPr>
                <w:noProof/>
                <w:sz w:val="18"/>
              </w:rPr>
            </w:pPr>
            <w:r>
              <w:rPr>
                <w:noProof/>
                <w:sz w:val="18"/>
              </w:rPr>
              <w:t>Rok</w:t>
            </w:r>
            <w:r>
              <w:rPr>
                <w:noProof/>
              </w:rPr>
              <w:br/>
            </w:r>
            <w:r>
              <w:rPr>
                <w:b/>
                <w:noProof/>
                <w:sz w:val="18"/>
              </w:rPr>
              <w:t>N+1</w:t>
            </w:r>
          </w:p>
        </w:tc>
        <w:tc>
          <w:tcPr>
            <w:tcW w:w="900" w:type="dxa"/>
            <w:vAlign w:val="center"/>
          </w:tcPr>
          <w:p>
            <w:pPr>
              <w:jc w:val="center"/>
              <w:rPr>
                <w:noProof/>
                <w:sz w:val="18"/>
              </w:rPr>
            </w:pPr>
            <w:r>
              <w:rPr>
                <w:noProof/>
                <w:sz w:val="18"/>
              </w:rPr>
              <w:t>Rok</w:t>
            </w:r>
            <w:r>
              <w:rPr>
                <w:noProof/>
              </w:rPr>
              <w:br/>
            </w:r>
            <w:r>
              <w:rPr>
                <w:b/>
                <w:noProof/>
                <w:sz w:val="18"/>
              </w:rPr>
              <w:t>N+2</w:t>
            </w:r>
          </w:p>
        </w:tc>
        <w:tc>
          <w:tcPr>
            <w:tcW w:w="1080" w:type="dxa"/>
            <w:vAlign w:val="center"/>
          </w:tcPr>
          <w:p>
            <w:pPr>
              <w:jc w:val="center"/>
              <w:rPr>
                <w:noProof/>
                <w:sz w:val="18"/>
              </w:rPr>
            </w:pPr>
            <w:r>
              <w:rPr>
                <w:noProof/>
                <w:sz w:val="18"/>
              </w:rPr>
              <w:t>Rok</w:t>
            </w:r>
            <w:r>
              <w:rPr>
                <w:noProof/>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Należy określić metodę obliczania wpływu na dochody.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Rozporządzenie Parlamentu Europejskiego i Rady (UE) 2016/2135 z dnia 23 listopada 2016 r. zmieniające rozporządzenie (UE) nr 1303/2013 w odniesieniu do niektórych przepisów dotyczących zarządzania finansowego dla niektórych państw członkowskich doświadczających poważnych trudności w zakresie ich stabilności finansowej lub nimi zagrożonych (Dz.U. L 338 z 13.12.2016, s. 34).</w:t>
      </w:r>
    </w:p>
  </w:footnote>
  <w:footnote w:id="3">
    <w:p>
      <w:pPr>
        <w:pStyle w:val="FootnoteText"/>
      </w:pPr>
      <w:r>
        <w:rPr>
          <w:rStyle w:val="FootnoteReference"/>
        </w:rPr>
        <w:footnoteRef/>
      </w:r>
      <w:r>
        <w:tab/>
        <w:t>Decyzja wykonawcza Komisji (UE) 2016/1941 z dnia 3 listopada 2016 r. zmieniająca decyzję wykonawczą 2014/190/UE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które mają zostać przeniesione z alokacji Funduszu Spójności i funduszy strukturalnych dla każdego państwa członkowskiego do instrumentu „Łącząc Europę” oraz na pomoc najbardziej potrzebującym na okres 2014–2020 (notyfikowana jako dokument nr C(2016) 6909) (Dz.U. L 299 z 5.11.2016, s. 61).</w:t>
      </w:r>
    </w:p>
  </w:footnote>
  <w:footnote w:id="4">
    <w:p>
      <w:pPr>
        <w:pStyle w:val="FootnoteText"/>
      </w:pPr>
      <w:r>
        <w:rPr>
          <w:rStyle w:val="FootnoteReference"/>
        </w:rPr>
        <w:footnoteRef/>
      </w:r>
      <w:r>
        <w:tab/>
        <w:t>Decyzja wykonawcza Komisji (UE) 2016/1916 z dnia 27 października 2016 r. zmieniająca decyzję wykonawczą 2014/99/UE ustanawiającą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C(2016) 6820) (Dz.U. L 296 z 1.11.2016, s.15).</w:t>
      </w:r>
    </w:p>
  </w:footnote>
  <w:footnote w:id="5">
    <w:p>
      <w:pPr>
        <w:pStyle w:val="FootnoteText"/>
      </w:pPr>
      <w:r>
        <w:rPr>
          <w:rStyle w:val="FootnoteReference"/>
        </w:rPr>
        <w:footnoteRef/>
      </w:r>
      <w:r>
        <w:tab/>
        <w:t>Rozporządzenie Rady (UE, Euratom) nr 1311/2013 z 2 grudnia 2013 r. określające wieloletnie ramy finansowe na lata 2014-2020 (Dz.U. L 347 z 20.12.2013, s. 884).</w:t>
      </w:r>
    </w:p>
  </w:footnote>
  <w:footnote w:id="6">
    <w:p>
      <w:pPr>
        <w:pStyle w:val="FootnoteText"/>
      </w:pPr>
      <w:r>
        <w:rPr>
          <w:rStyle w:val="FootnoteReference"/>
        </w:rPr>
        <w:footnoteRef/>
      </w:r>
      <w:r>
        <w:tab/>
        <w:t>Dz.U. C […] z […], s. […].</w:t>
      </w:r>
    </w:p>
  </w:footnote>
  <w:footnote w:id="7">
    <w:p>
      <w:pPr>
        <w:pStyle w:val="FootnoteText"/>
      </w:pPr>
      <w:r>
        <w:rPr>
          <w:rStyle w:val="FootnoteReference"/>
        </w:rPr>
        <w:footnoteRef/>
      </w:r>
      <w:r>
        <w:tab/>
        <w:t>Dz.U. C […] z […], s. […].</w:t>
      </w:r>
    </w:p>
  </w:footnote>
  <w:footnote w:id="8">
    <w:p>
      <w:pPr>
        <w:pStyle w:val="FootnoteText"/>
      </w:pPr>
      <w:r>
        <w:rPr>
          <w:rStyle w:val="FootnoteReference"/>
        </w:rPr>
        <w:footnoteRef/>
      </w:r>
      <w: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footnote>
  <w:footnote w:id="9">
    <w:p>
      <w:pPr>
        <w:pStyle w:val="FootnoteText"/>
      </w:pPr>
      <w:r>
        <w:rPr>
          <w:rStyle w:val="FootnoteReference"/>
        </w:rPr>
        <w:footnoteRef/>
      </w:r>
      <w:r>
        <w:tab/>
        <w:t>Rozporządzenie Rady (UE, Euratom) nr 1311/2013 z 2 grudnia 2013 r. określające wieloletnie ramy finansowe na lata 2014-2020 (Dz.U. L 347 z 20.12.2013, s. 884).</w:t>
      </w:r>
    </w:p>
  </w:footnote>
  <w:footnote w:id="10">
    <w:p>
      <w:pPr>
        <w:pStyle w:val="FootnoteText"/>
      </w:pPr>
      <w:r>
        <w:rPr>
          <w:rStyle w:val="FootnoteReference"/>
        </w:rPr>
        <w:footnoteRef/>
      </w:r>
      <w:r>
        <w:tab/>
        <w:t>Komunikat Komisji do Rady i Parlamentu Europejskiego – Dostosowanie techniczne ram finansowych na rok 2017 do zmian DNB oraz dostosowanie pul środków finansowych na politykę spójności, (COM(2016) 311 z dnia 30 czerwca 2016 r.).</w:t>
      </w:r>
    </w:p>
  </w:footnote>
  <w:footnote w:id="11">
    <w:p>
      <w:pPr>
        <w:pStyle w:val="FootnoteText"/>
      </w:pPr>
      <w:r>
        <w:rPr>
          <w:rStyle w:val="FootnoteReference"/>
        </w:rPr>
        <w:footnoteRef/>
      </w:r>
      <w:r>
        <w:tab/>
        <w:t>Decyzja wykonawcza Komisji (UE) 2016/1941 z dnia 3 listopada 2016 r. zmieniająca decyzję wykonawczą 2014/190/UE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które mają zostać przeniesione z alokacji Funduszu Spójności i funduszy strukturalnych dla każdego państwa członkowskiego do instrumentu „Łącząc Europę” oraz na pomoc najbardziej potrzebującym na okres 2014–2020 (notyfikowana jako dokument nr C(2016) 6909) (Dz.U. L 299 z 5.11.2016, s. 61).</w:t>
      </w:r>
    </w:p>
  </w:footnote>
  <w:footnote w:id="12">
    <w:p>
      <w:pPr>
        <w:pStyle w:val="FootnoteText"/>
      </w:pPr>
      <w:r>
        <w:rPr>
          <w:rStyle w:val="FootnoteReference"/>
        </w:rPr>
        <w:footnoteRef/>
      </w:r>
      <w:r>
        <w:tab/>
        <w:t>Rozporządzenie Rady (UE, Euratom) nr 2017/1123 z 20 czerwca 2017 r. zmieniające rozporządzenie (UE, Euratom) nr 1311/2013 określające wieloletnie ramy finansowe na lata 2014–2020 (Dz.U. L 163 z 24.6.2017, s. 1).</w:t>
      </w:r>
    </w:p>
  </w:footnote>
  <w:footnote w:id="13">
    <w:p>
      <w:pPr>
        <w:pStyle w:val="FootnoteText"/>
      </w:pPr>
      <w:r>
        <w:rPr>
          <w:rStyle w:val="FootnoteReference"/>
        </w:rPr>
        <w:footnoteRef/>
      </w:r>
      <w:r>
        <w:tab/>
        <w:t>Rozporządzenie Rady (UE, Euratom) nr 2015/623 z dnia 21 kwietnia 2015 r. zmieniające rozporządzenie (UE, Euratom) nr 1311/2013 określające wieloletnie ramy finansowe na lata 2014–2020 (Dz.U. L 103 z 22.4.2015, s. 1).</w:t>
      </w:r>
    </w:p>
  </w:footnote>
  <w:footnote w:id="14">
    <w:p>
      <w:pPr>
        <w:pStyle w:val="FootnoteText"/>
        <w:rPr>
          <w:szCs w:val="24"/>
        </w:rPr>
      </w:pPr>
      <w:r>
        <w:rPr>
          <w:rStyle w:val="FootnoteReference"/>
        </w:rPr>
        <w:footnoteRef/>
      </w:r>
      <w:r>
        <w:tab/>
        <w:t xml:space="preserve">ABM: zarządzanie kosztami działań; ABB: budżet zadaniowy </w:t>
      </w:r>
    </w:p>
  </w:footnote>
  <w:footnote w:id="15">
    <w:p>
      <w:pPr>
        <w:pStyle w:val="FootnoteText"/>
        <w:rPr>
          <w:szCs w:val="24"/>
        </w:rPr>
      </w:pPr>
      <w:r>
        <w:rPr>
          <w:rStyle w:val="FootnoteReference"/>
        </w:rPr>
        <w:footnoteRef/>
      </w:r>
      <w:r>
        <w:tab/>
        <w:t>O którym mowa w art. 54 ust. 2 lit. a) lub b) rozporządzenia finansowego.</w:t>
      </w:r>
    </w:p>
  </w:footnote>
  <w:footnote w:id="16">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1">
        <w:r>
          <w:rPr>
            <w:rStyle w:val="Hyperlink"/>
            <w:sz w:val="18"/>
          </w:rPr>
          <w:t>http://www.cc.cec/budg/man/budgmanag/budgmanag_en.html</w:t>
        </w:r>
      </w:hyperlink>
    </w:p>
  </w:footnote>
  <w:footnote w:id="17">
    <w:p>
      <w:pPr>
        <w:pStyle w:val="FootnoteText"/>
        <w:rPr>
          <w:szCs w:val="24"/>
        </w:rPr>
      </w:pPr>
      <w:r>
        <w:rPr>
          <w:rStyle w:val="FootnoteReference"/>
        </w:rPr>
        <w:footnoteRef/>
      </w:r>
      <w:r>
        <w:tab/>
        <w:t>Środki zróżnicowane / środki niezróżnicowane</w:t>
      </w:r>
    </w:p>
  </w:footnote>
  <w:footnote w:id="18">
    <w:p>
      <w:pPr>
        <w:pStyle w:val="FootnoteText"/>
        <w:rPr>
          <w:szCs w:val="24"/>
        </w:rPr>
      </w:pPr>
      <w:r>
        <w:rPr>
          <w:rStyle w:val="FootnoteReference"/>
        </w:rPr>
        <w:footnoteRef/>
      </w:r>
      <w:r>
        <w:tab/>
        <w:t xml:space="preserve">EFTA: Europejskie Stowarzyszenie Wolnego Handlu </w:t>
      </w:r>
    </w:p>
  </w:footnote>
  <w:footnote w:id="19">
    <w:p>
      <w:pPr>
        <w:pStyle w:val="FootnoteText"/>
        <w:rPr>
          <w:szCs w:val="24"/>
        </w:rPr>
      </w:pPr>
      <w:r>
        <w:rPr>
          <w:rStyle w:val="FootnoteReference"/>
        </w:rPr>
        <w:footnoteRef/>
      </w:r>
      <w:r>
        <w:tab/>
        <w:t>Kraje kandydujące oraz w stosownych przypadkach potencjalne kraje kandydujące Bałkanów Zachodnich.</w:t>
      </w:r>
    </w:p>
  </w:footnote>
  <w:footnote w:id="20">
    <w:p>
      <w:pPr>
        <w:pStyle w:val="FootnoteText"/>
      </w:pPr>
      <w:r>
        <w:rPr>
          <w:rStyle w:val="FootnoteReference"/>
        </w:rPr>
        <w:footnoteRef/>
      </w:r>
      <w:r>
        <w:tab/>
        <w:t>Zgodnie z art. 136 rozporządzenia (UE) nr 1303/2013 płatności zaliczkowe muszą być uzasadnione (rozliczone) w oparciu o wydatki w ramach Inicjatywy na rzecz zatrudnienia ludzi młodych zgłoszone przed 31.12.2018 r.</w:t>
      </w:r>
    </w:p>
  </w:footnote>
  <w:footnote w:id="21">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22">
    <w:p>
      <w:pPr>
        <w:pStyle w:val="FootnoteText"/>
        <w:rPr>
          <w:szCs w:val="24"/>
        </w:rPr>
      </w:pPr>
      <w:r>
        <w:rPr>
          <w:rStyle w:val="FootnoteReference"/>
        </w:rPr>
        <w:footnoteRef/>
      </w:r>
      <w:r>
        <w:tab/>
        <w:t>Rok N jest rokiem, w którym rozpoczyna się wprowadzanie w życie wniosku/inicjatywy.</w:t>
      </w:r>
    </w:p>
  </w:footnote>
  <w:footnote w:id="2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24">
    <w:p>
      <w:pPr>
        <w:pStyle w:val="FootnoteText"/>
        <w:rPr>
          <w:szCs w:val="24"/>
        </w:rPr>
      </w:pPr>
      <w:r>
        <w:rPr>
          <w:rStyle w:val="FootnoteReference"/>
        </w:rPr>
        <w:footnoteRef/>
      </w:r>
      <w:r>
        <w:tab/>
        <w:t xml:space="preserve">Zgodnie z opisem w pkt 1.4.2. Cel(e) szczegółowy(e) ... </w:t>
      </w:r>
    </w:p>
  </w:footnote>
  <w:footnote w:id="25">
    <w:p>
      <w:pPr>
        <w:pStyle w:val="FootnoteText"/>
        <w:rPr>
          <w:szCs w:val="24"/>
        </w:rPr>
      </w:pPr>
      <w:r>
        <w:rPr>
          <w:rStyle w:val="FootnoteReference"/>
        </w:rPr>
        <w:footnoteRef/>
      </w:r>
      <w:r>
        <w:tab/>
        <w:t>Rok N jest rokiem, w którym rozpoczyna się wprowadzanie w życie wniosku/inicjatywy.</w:t>
      </w:r>
    </w:p>
  </w:footnote>
  <w:footnote w:id="26">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27">
    <w:p>
      <w:pPr>
        <w:pStyle w:val="FootnoteText"/>
        <w:rPr>
          <w:szCs w:val="24"/>
        </w:rPr>
      </w:pPr>
      <w:r>
        <w:rPr>
          <w:rStyle w:val="FootnoteReference"/>
        </w:rPr>
        <w:footnoteRef/>
      </w:r>
      <w:r>
        <w:tab/>
        <w:t xml:space="preserve">AC = personel kontraktowy; AL = personel miejscowy; END = oddelegowany ekspert krajowy; INT = personel tymczasowy; JED = młodszy oddelegowany ekspert. </w:t>
      </w:r>
    </w:p>
  </w:footnote>
  <w:footnote w:id="28">
    <w:p>
      <w:pPr>
        <w:pStyle w:val="FootnoteText"/>
        <w:rPr>
          <w:szCs w:val="24"/>
        </w:rPr>
      </w:pPr>
      <w:r>
        <w:rPr>
          <w:rStyle w:val="FootnoteReference"/>
        </w:rPr>
        <w:footnoteRef/>
      </w:r>
      <w:r>
        <w:tab/>
        <w:t>W ramach podpułapu na personel zewnętrzny ze środków operacyjnych (dawne linie „BA”).</w:t>
      </w:r>
    </w:p>
  </w:footnote>
  <w:footnote w:id="29">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 w:numId="32">
    <w:abstractNumId w:val="22"/>
  </w:num>
  <w:num w:numId="33">
    <w:abstractNumId w:val="14"/>
  </w:num>
  <w:num w:numId="34">
    <w:abstractNumId w:val="24"/>
  </w:num>
  <w:num w:numId="35">
    <w:abstractNumId w:val="12"/>
  </w:num>
  <w:num w:numId="36">
    <w:abstractNumId w:val="15"/>
  </w:num>
  <w:num w:numId="37">
    <w:abstractNumId w:val="10"/>
  </w:num>
  <w:num w:numId="38">
    <w:abstractNumId w:val="23"/>
  </w:num>
  <w:num w:numId="39">
    <w:abstractNumId w:val="9"/>
  </w:num>
  <w:num w:numId="40">
    <w:abstractNumId w:val="16"/>
  </w:num>
  <w:num w:numId="41">
    <w:abstractNumId w:val="20"/>
  </w:num>
  <w:num w:numId="42">
    <w:abstractNumId w:val="21"/>
  </w:num>
  <w:num w:numId="43">
    <w:abstractNumId w:val="11"/>
  </w:num>
  <w:num w:numId="44">
    <w:abstractNumId w:val="19"/>
  </w:num>
  <w:num w:numId="4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09:43: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0080A7D410C4DB7B06B6C6EB945E05B"/>
    <w:docVar w:name="LW_CROSSREFERENCE" w:val="&lt;UNUSED&gt;"/>
    <w:docVar w:name="LW_DocType" w:val="COM"/>
    <w:docVar w:name="LW_EMISSION" w:val="5.10.2017"/>
    <w:docVar w:name="LW_EMISSION_ISODATE" w:val="2017-10-05"/>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47"/>
    <w:docVar w:name="LW_REF.II.NEW.CP_YEAR" w:val="2017"/>
    <w:docVar w:name="LW_REF.INST.NEW" w:val="COM"/>
    <w:docVar w:name="LW_REF.INST.NEW_ADOPTED" w:val="final"/>
    <w:docVar w:name="LW_REF.INST.NEW_TEXT" w:val="(2017) 565"/>
    <w:docVar w:name="LW_REF.INTERNE" w:val="&lt;UNUSED&gt;"/>
    <w:docVar w:name="LW_SOUS.TITRE.OBJ.CP" w:val="&lt;UNUSED&gt;"/>
    <w:docVar w:name="LW_STATUT.CP" w:val="Wniosek"/>
    <w:docVar w:name="LW_SUPERTITRE" w:val="&lt;UNUSED&gt;"/>
    <w:docVar w:name="LW_TITRE.OBJ.CP" w:val="zmieniaj\u261?ce rozporz\u261?dzenie (UE) nr 1303/2013 w odniesieniu do zmian zasobów na rzecz spójno\u347?ci gospodarczej, spo\u322?ecznej i terytorialnej oraz zasobów na cel \u8222?Inwestycje na rzecz wzrostu i zatrudnienia\u8221? i na cel \u8222?Europejska wspó\u322?praca terytorialna\u8221?"/>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506">
      <w:bodyDiv w:val="1"/>
      <w:marLeft w:val="0"/>
      <w:marRight w:val="0"/>
      <w:marTop w:val="0"/>
      <w:marBottom w:val="0"/>
      <w:divBdr>
        <w:top w:val="none" w:sz="0" w:space="0" w:color="auto"/>
        <w:left w:val="none" w:sz="0" w:space="0" w:color="auto"/>
        <w:bottom w:val="none" w:sz="0" w:space="0" w:color="auto"/>
        <w:right w:val="none" w:sz="0" w:space="0" w:color="auto"/>
      </w:divBdr>
      <w:divsChild>
        <w:div w:id="1453860283">
          <w:marLeft w:val="0"/>
          <w:marRight w:val="0"/>
          <w:marTop w:val="0"/>
          <w:marBottom w:val="0"/>
          <w:divBdr>
            <w:top w:val="none" w:sz="0" w:space="0" w:color="auto"/>
            <w:left w:val="none" w:sz="0" w:space="0" w:color="auto"/>
            <w:bottom w:val="none" w:sz="0" w:space="0" w:color="auto"/>
            <w:right w:val="none" w:sz="0" w:space="0" w:color="auto"/>
          </w:divBdr>
        </w:div>
      </w:divsChild>
    </w:div>
    <w:div w:id="227881525">
      <w:bodyDiv w:val="1"/>
      <w:marLeft w:val="0"/>
      <w:marRight w:val="0"/>
      <w:marTop w:val="0"/>
      <w:marBottom w:val="0"/>
      <w:divBdr>
        <w:top w:val="none" w:sz="0" w:space="0" w:color="auto"/>
        <w:left w:val="none" w:sz="0" w:space="0" w:color="auto"/>
        <w:bottom w:val="none" w:sz="0" w:space="0" w:color="auto"/>
        <w:right w:val="none" w:sz="0" w:space="0" w:color="auto"/>
      </w:divBdr>
      <w:divsChild>
        <w:div w:id="1778021271">
          <w:marLeft w:val="0"/>
          <w:marRight w:val="0"/>
          <w:marTop w:val="0"/>
          <w:marBottom w:val="0"/>
          <w:divBdr>
            <w:top w:val="none" w:sz="0" w:space="0" w:color="auto"/>
            <w:left w:val="none" w:sz="0" w:space="0" w:color="auto"/>
            <w:bottom w:val="none" w:sz="0" w:space="0" w:color="auto"/>
            <w:right w:val="none" w:sz="0" w:space="0" w:color="auto"/>
          </w:divBdr>
        </w:div>
      </w:divsChild>
    </w:div>
    <w:div w:id="448165128">
      <w:bodyDiv w:val="1"/>
      <w:marLeft w:val="0"/>
      <w:marRight w:val="0"/>
      <w:marTop w:val="0"/>
      <w:marBottom w:val="0"/>
      <w:divBdr>
        <w:top w:val="none" w:sz="0" w:space="0" w:color="auto"/>
        <w:left w:val="none" w:sz="0" w:space="0" w:color="auto"/>
        <w:bottom w:val="none" w:sz="0" w:space="0" w:color="auto"/>
        <w:right w:val="none" w:sz="0" w:space="0" w:color="auto"/>
      </w:divBdr>
      <w:divsChild>
        <w:div w:id="1971157902">
          <w:marLeft w:val="0"/>
          <w:marRight w:val="0"/>
          <w:marTop w:val="0"/>
          <w:marBottom w:val="0"/>
          <w:divBdr>
            <w:top w:val="none" w:sz="0" w:space="0" w:color="auto"/>
            <w:left w:val="none" w:sz="0" w:space="0" w:color="auto"/>
            <w:bottom w:val="none" w:sz="0" w:space="0" w:color="auto"/>
            <w:right w:val="none" w:sz="0" w:space="0" w:color="auto"/>
          </w:divBdr>
        </w:div>
      </w:divsChild>
    </w:div>
    <w:div w:id="676881867">
      <w:bodyDiv w:val="1"/>
      <w:marLeft w:val="0"/>
      <w:marRight w:val="0"/>
      <w:marTop w:val="0"/>
      <w:marBottom w:val="0"/>
      <w:divBdr>
        <w:top w:val="none" w:sz="0" w:space="0" w:color="auto"/>
        <w:left w:val="none" w:sz="0" w:space="0" w:color="auto"/>
        <w:bottom w:val="none" w:sz="0" w:space="0" w:color="auto"/>
        <w:right w:val="none" w:sz="0" w:space="0" w:color="auto"/>
      </w:divBdr>
      <w:divsChild>
        <w:div w:id="727843991">
          <w:marLeft w:val="0"/>
          <w:marRight w:val="0"/>
          <w:marTop w:val="0"/>
          <w:marBottom w:val="0"/>
          <w:divBdr>
            <w:top w:val="none" w:sz="0" w:space="0" w:color="auto"/>
            <w:left w:val="none" w:sz="0" w:space="0" w:color="auto"/>
            <w:bottom w:val="none" w:sz="0" w:space="0" w:color="auto"/>
            <w:right w:val="none" w:sz="0" w:space="0" w:color="auto"/>
          </w:divBdr>
        </w:div>
      </w:divsChild>
    </w:div>
    <w:div w:id="790781615">
      <w:bodyDiv w:val="1"/>
      <w:marLeft w:val="0"/>
      <w:marRight w:val="0"/>
      <w:marTop w:val="0"/>
      <w:marBottom w:val="0"/>
      <w:divBdr>
        <w:top w:val="none" w:sz="0" w:space="0" w:color="auto"/>
        <w:left w:val="none" w:sz="0" w:space="0" w:color="auto"/>
        <w:bottom w:val="none" w:sz="0" w:space="0" w:color="auto"/>
        <w:right w:val="none" w:sz="0" w:space="0" w:color="auto"/>
      </w:divBdr>
      <w:divsChild>
        <w:div w:id="941377238">
          <w:marLeft w:val="0"/>
          <w:marRight w:val="0"/>
          <w:marTop w:val="0"/>
          <w:marBottom w:val="0"/>
          <w:divBdr>
            <w:top w:val="none" w:sz="0" w:space="0" w:color="auto"/>
            <w:left w:val="none" w:sz="0" w:space="0" w:color="auto"/>
            <w:bottom w:val="none" w:sz="0" w:space="0" w:color="auto"/>
            <w:right w:val="none" w:sz="0" w:space="0" w:color="auto"/>
          </w:divBdr>
        </w:div>
      </w:divsChild>
    </w:div>
    <w:div w:id="986514969">
      <w:bodyDiv w:val="1"/>
      <w:marLeft w:val="0"/>
      <w:marRight w:val="0"/>
      <w:marTop w:val="0"/>
      <w:marBottom w:val="0"/>
      <w:divBdr>
        <w:top w:val="none" w:sz="0" w:space="0" w:color="auto"/>
        <w:left w:val="none" w:sz="0" w:space="0" w:color="auto"/>
        <w:bottom w:val="none" w:sz="0" w:space="0" w:color="auto"/>
        <w:right w:val="none" w:sz="0" w:space="0" w:color="auto"/>
      </w:divBdr>
      <w:divsChild>
        <w:div w:id="1066142732">
          <w:marLeft w:val="0"/>
          <w:marRight w:val="0"/>
          <w:marTop w:val="0"/>
          <w:marBottom w:val="0"/>
          <w:divBdr>
            <w:top w:val="none" w:sz="0" w:space="0" w:color="auto"/>
            <w:left w:val="none" w:sz="0" w:space="0" w:color="auto"/>
            <w:bottom w:val="none" w:sz="0" w:space="0" w:color="auto"/>
            <w:right w:val="none" w:sz="0" w:space="0" w:color="auto"/>
          </w:divBdr>
          <w:divsChild>
            <w:div w:id="776481600">
              <w:marLeft w:val="0"/>
              <w:marRight w:val="0"/>
              <w:marTop w:val="0"/>
              <w:marBottom w:val="0"/>
              <w:divBdr>
                <w:top w:val="none" w:sz="0" w:space="0" w:color="auto"/>
                <w:left w:val="none" w:sz="0" w:space="0" w:color="auto"/>
                <w:bottom w:val="none" w:sz="0" w:space="0" w:color="auto"/>
                <w:right w:val="none" w:sz="0" w:space="0" w:color="auto"/>
              </w:divBdr>
              <w:divsChild>
                <w:div w:id="786436942">
                  <w:marLeft w:val="0"/>
                  <w:marRight w:val="0"/>
                  <w:marTop w:val="0"/>
                  <w:marBottom w:val="0"/>
                  <w:divBdr>
                    <w:top w:val="none" w:sz="0" w:space="0" w:color="auto"/>
                    <w:left w:val="none" w:sz="0" w:space="0" w:color="auto"/>
                    <w:bottom w:val="none" w:sz="0" w:space="0" w:color="auto"/>
                    <w:right w:val="none" w:sz="0" w:space="0" w:color="auto"/>
                  </w:divBdr>
                  <w:divsChild>
                    <w:div w:id="347563230">
                      <w:marLeft w:val="1"/>
                      <w:marRight w:val="1"/>
                      <w:marTop w:val="0"/>
                      <w:marBottom w:val="0"/>
                      <w:divBdr>
                        <w:top w:val="none" w:sz="0" w:space="0" w:color="auto"/>
                        <w:left w:val="none" w:sz="0" w:space="0" w:color="auto"/>
                        <w:bottom w:val="none" w:sz="0" w:space="0" w:color="auto"/>
                        <w:right w:val="none" w:sz="0" w:space="0" w:color="auto"/>
                      </w:divBdr>
                      <w:divsChild>
                        <w:div w:id="1269923262">
                          <w:marLeft w:val="0"/>
                          <w:marRight w:val="0"/>
                          <w:marTop w:val="0"/>
                          <w:marBottom w:val="0"/>
                          <w:divBdr>
                            <w:top w:val="none" w:sz="0" w:space="0" w:color="auto"/>
                            <w:left w:val="none" w:sz="0" w:space="0" w:color="auto"/>
                            <w:bottom w:val="none" w:sz="0" w:space="0" w:color="auto"/>
                            <w:right w:val="none" w:sz="0" w:space="0" w:color="auto"/>
                          </w:divBdr>
                          <w:divsChild>
                            <w:div w:id="1612667735">
                              <w:marLeft w:val="0"/>
                              <w:marRight w:val="0"/>
                              <w:marTop w:val="0"/>
                              <w:marBottom w:val="360"/>
                              <w:divBdr>
                                <w:top w:val="none" w:sz="0" w:space="0" w:color="auto"/>
                                <w:left w:val="none" w:sz="0" w:space="0" w:color="auto"/>
                                <w:bottom w:val="none" w:sz="0" w:space="0" w:color="auto"/>
                                <w:right w:val="none" w:sz="0" w:space="0" w:color="auto"/>
                              </w:divBdr>
                              <w:divsChild>
                                <w:div w:id="140390823">
                                  <w:marLeft w:val="0"/>
                                  <w:marRight w:val="0"/>
                                  <w:marTop w:val="0"/>
                                  <w:marBottom w:val="0"/>
                                  <w:divBdr>
                                    <w:top w:val="none" w:sz="0" w:space="0" w:color="auto"/>
                                    <w:left w:val="none" w:sz="0" w:space="0" w:color="auto"/>
                                    <w:bottom w:val="none" w:sz="0" w:space="0" w:color="auto"/>
                                    <w:right w:val="none" w:sz="0" w:space="0" w:color="auto"/>
                                  </w:divBdr>
                                  <w:divsChild>
                                    <w:div w:id="1458374493">
                                      <w:marLeft w:val="0"/>
                                      <w:marRight w:val="0"/>
                                      <w:marTop w:val="0"/>
                                      <w:marBottom w:val="0"/>
                                      <w:divBdr>
                                        <w:top w:val="none" w:sz="0" w:space="0" w:color="auto"/>
                                        <w:left w:val="none" w:sz="0" w:space="0" w:color="auto"/>
                                        <w:bottom w:val="none" w:sz="0" w:space="0" w:color="auto"/>
                                        <w:right w:val="none" w:sz="0" w:space="0" w:color="auto"/>
                                      </w:divBdr>
                                      <w:divsChild>
                                        <w:div w:id="1773624652">
                                          <w:marLeft w:val="0"/>
                                          <w:marRight w:val="0"/>
                                          <w:marTop w:val="0"/>
                                          <w:marBottom w:val="0"/>
                                          <w:divBdr>
                                            <w:top w:val="none" w:sz="0" w:space="0" w:color="auto"/>
                                            <w:left w:val="none" w:sz="0" w:space="0" w:color="auto"/>
                                            <w:bottom w:val="none" w:sz="0" w:space="0" w:color="auto"/>
                                            <w:right w:val="none" w:sz="0" w:space="0" w:color="auto"/>
                                          </w:divBdr>
                                          <w:divsChild>
                                            <w:div w:id="348921227">
                                              <w:marLeft w:val="0"/>
                                              <w:marRight w:val="0"/>
                                              <w:marTop w:val="0"/>
                                              <w:marBottom w:val="0"/>
                                              <w:divBdr>
                                                <w:top w:val="none" w:sz="0" w:space="0" w:color="auto"/>
                                                <w:left w:val="none" w:sz="0" w:space="0" w:color="auto"/>
                                                <w:bottom w:val="none" w:sz="0" w:space="0" w:color="auto"/>
                                                <w:right w:val="none" w:sz="0" w:space="0" w:color="auto"/>
                                              </w:divBdr>
                                              <w:divsChild>
                                                <w:div w:id="5239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791">
      <w:bodyDiv w:val="1"/>
      <w:marLeft w:val="0"/>
      <w:marRight w:val="0"/>
      <w:marTop w:val="0"/>
      <w:marBottom w:val="0"/>
      <w:divBdr>
        <w:top w:val="none" w:sz="0" w:space="0" w:color="auto"/>
        <w:left w:val="none" w:sz="0" w:space="0" w:color="auto"/>
        <w:bottom w:val="none" w:sz="0" w:space="0" w:color="auto"/>
        <w:right w:val="none" w:sz="0" w:space="0" w:color="auto"/>
      </w:divBdr>
      <w:divsChild>
        <w:div w:id="140972235">
          <w:marLeft w:val="0"/>
          <w:marRight w:val="0"/>
          <w:marTop w:val="0"/>
          <w:marBottom w:val="0"/>
          <w:divBdr>
            <w:top w:val="none" w:sz="0" w:space="0" w:color="auto"/>
            <w:left w:val="none" w:sz="0" w:space="0" w:color="auto"/>
            <w:bottom w:val="none" w:sz="0" w:space="0" w:color="auto"/>
            <w:right w:val="none" w:sz="0" w:space="0" w:color="auto"/>
          </w:divBdr>
          <w:divsChild>
            <w:div w:id="1057704275">
              <w:marLeft w:val="0"/>
              <w:marRight w:val="0"/>
              <w:marTop w:val="0"/>
              <w:marBottom w:val="0"/>
              <w:divBdr>
                <w:top w:val="none" w:sz="0" w:space="0" w:color="auto"/>
                <w:left w:val="none" w:sz="0" w:space="0" w:color="auto"/>
                <w:bottom w:val="none" w:sz="0" w:space="0" w:color="auto"/>
                <w:right w:val="none" w:sz="0" w:space="0" w:color="auto"/>
              </w:divBdr>
              <w:divsChild>
                <w:div w:id="359742476">
                  <w:marLeft w:val="0"/>
                  <w:marRight w:val="0"/>
                  <w:marTop w:val="0"/>
                  <w:marBottom w:val="0"/>
                  <w:divBdr>
                    <w:top w:val="none" w:sz="0" w:space="0" w:color="auto"/>
                    <w:left w:val="none" w:sz="0" w:space="0" w:color="auto"/>
                    <w:bottom w:val="none" w:sz="0" w:space="0" w:color="auto"/>
                    <w:right w:val="none" w:sz="0" w:space="0" w:color="auto"/>
                  </w:divBdr>
                  <w:divsChild>
                    <w:div w:id="981694903">
                      <w:marLeft w:val="1"/>
                      <w:marRight w:val="1"/>
                      <w:marTop w:val="0"/>
                      <w:marBottom w:val="0"/>
                      <w:divBdr>
                        <w:top w:val="none" w:sz="0" w:space="0" w:color="auto"/>
                        <w:left w:val="none" w:sz="0" w:space="0" w:color="auto"/>
                        <w:bottom w:val="none" w:sz="0" w:space="0" w:color="auto"/>
                        <w:right w:val="none" w:sz="0" w:space="0" w:color="auto"/>
                      </w:divBdr>
                      <w:divsChild>
                        <w:div w:id="288365808">
                          <w:marLeft w:val="0"/>
                          <w:marRight w:val="0"/>
                          <w:marTop w:val="0"/>
                          <w:marBottom w:val="0"/>
                          <w:divBdr>
                            <w:top w:val="none" w:sz="0" w:space="0" w:color="auto"/>
                            <w:left w:val="none" w:sz="0" w:space="0" w:color="auto"/>
                            <w:bottom w:val="none" w:sz="0" w:space="0" w:color="auto"/>
                            <w:right w:val="none" w:sz="0" w:space="0" w:color="auto"/>
                          </w:divBdr>
                          <w:divsChild>
                            <w:div w:id="1465733293">
                              <w:marLeft w:val="0"/>
                              <w:marRight w:val="0"/>
                              <w:marTop w:val="0"/>
                              <w:marBottom w:val="360"/>
                              <w:divBdr>
                                <w:top w:val="none" w:sz="0" w:space="0" w:color="auto"/>
                                <w:left w:val="none" w:sz="0" w:space="0" w:color="auto"/>
                                <w:bottom w:val="none" w:sz="0" w:space="0" w:color="auto"/>
                                <w:right w:val="none" w:sz="0" w:space="0" w:color="auto"/>
                              </w:divBdr>
                              <w:divsChild>
                                <w:div w:id="108625414">
                                  <w:marLeft w:val="0"/>
                                  <w:marRight w:val="0"/>
                                  <w:marTop w:val="0"/>
                                  <w:marBottom w:val="0"/>
                                  <w:divBdr>
                                    <w:top w:val="none" w:sz="0" w:space="0" w:color="auto"/>
                                    <w:left w:val="none" w:sz="0" w:space="0" w:color="auto"/>
                                    <w:bottom w:val="none" w:sz="0" w:space="0" w:color="auto"/>
                                    <w:right w:val="none" w:sz="0" w:space="0" w:color="auto"/>
                                  </w:divBdr>
                                  <w:divsChild>
                                    <w:div w:id="1030883539">
                                      <w:marLeft w:val="0"/>
                                      <w:marRight w:val="0"/>
                                      <w:marTop w:val="0"/>
                                      <w:marBottom w:val="0"/>
                                      <w:divBdr>
                                        <w:top w:val="none" w:sz="0" w:space="0" w:color="auto"/>
                                        <w:left w:val="none" w:sz="0" w:space="0" w:color="auto"/>
                                        <w:bottom w:val="none" w:sz="0" w:space="0" w:color="auto"/>
                                        <w:right w:val="none" w:sz="0" w:space="0" w:color="auto"/>
                                      </w:divBdr>
                                      <w:divsChild>
                                        <w:div w:id="1317951803">
                                          <w:marLeft w:val="0"/>
                                          <w:marRight w:val="0"/>
                                          <w:marTop w:val="0"/>
                                          <w:marBottom w:val="0"/>
                                          <w:divBdr>
                                            <w:top w:val="none" w:sz="0" w:space="0" w:color="auto"/>
                                            <w:left w:val="none" w:sz="0" w:space="0" w:color="auto"/>
                                            <w:bottom w:val="none" w:sz="0" w:space="0" w:color="auto"/>
                                            <w:right w:val="none" w:sz="0" w:space="0" w:color="auto"/>
                                          </w:divBdr>
                                          <w:divsChild>
                                            <w:div w:id="731662566">
                                              <w:marLeft w:val="0"/>
                                              <w:marRight w:val="0"/>
                                              <w:marTop w:val="0"/>
                                              <w:marBottom w:val="0"/>
                                              <w:divBdr>
                                                <w:top w:val="none" w:sz="0" w:space="0" w:color="auto"/>
                                                <w:left w:val="none" w:sz="0" w:space="0" w:color="auto"/>
                                                <w:bottom w:val="none" w:sz="0" w:space="0" w:color="auto"/>
                                                <w:right w:val="none" w:sz="0" w:space="0" w:color="auto"/>
                                              </w:divBdr>
                                              <w:divsChild>
                                                <w:div w:id="151607660">
                                                  <w:marLeft w:val="0"/>
                                                  <w:marRight w:val="0"/>
                                                  <w:marTop w:val="0"/>
                                                  <w:marBottom w:val="0"/>
                                                  <w:divBdr>
                                                    <w:top w:val="none" w:sz="0" w:space="0" w:color="auto"/>
                                                    <w:left w:val="none" w:sz="0" w:space="0" w:color="auto"/>
                                                    <w:bottom w:val="none" w:sz="0" w:space="0" w:color="auto"/>
                                                    <w:right w:val="none" w:sz="0" w:space="0" w:color="auto"/>
                                                  </w:divBdr>
                                                  <w:divsChild>
                                                    <w:div w:id="1775515992">
                                                      <w:marLeft w:val="0"/>
                                                      <w:marRight w:val="0"/>
                                                      <w:marTop w:val="0"/>
                                                      <w:marBottom w:val="0"/>
                                                      <w:divBdr>
                                                        <w:top w:val="none" w:sz="0" w:space="0" w:color="auto"/>
                                                        <w:left w:val="none" w:sz="0" w:space="0" w:color="auto"/>
                                                        <w:bottom w:val="none" w:sz="0" w:space="0" w:color="auto"/>
                                                        <w:right w:val="none" w:sz="0" w:space="0" w:color="auto"/>
                                                      </w:divBdr>
                                                      <w:divsChild>
                                                        <w:div w:id="2077318096">
                                                          <w:marLeft w:val="0"/>
                                                          <w:marRight w:val="0"/>
                                                          <w:marTop w:val="0"/>
                                                          <w:marBottom w:val="0"/>
                                                          <w:divBdr>
                                                            <w:top w:val="none" w:sz="0" w:space="0" w:color="auto"/>
                                                            <w:left w:val="none" w:sz="0" w:space="0" w:color="auto"/>
                                                            <w:bottom w:val="none" w:sz="0" w:space="0" w:color="auto"/>
                                                            <w:right w:val="none" w:sz="0" w:space="0" w:color="auto"/>
                                                          </w:divBdr>
                                                          <w:divsChild>
                                                            <w:div w:id="1023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564715">
      <w:bodyDiv w:val="1"/>
      <w:marLeft w:val="0"/>
      <w:marRight w:val="0"/>
      <w:marTop w:val="0"/>
      <w:marBottom w:val="0"/>
      <w:divBdr>
        <w:top w:val="none" w:sz="0" w:space="0" w:color="auto"/>
        <w:left w:val="none" w:sz="0" w:space="0" w:color="auto"/>
        <w:bottom w:val="none" w:sz="0" w:space="0" w:color="auto"/>
        <w:right w:val="none" w:sz="0" w:space="0" w:color="auto"/>
      </w:divBdr>
      <w:divsChild>
        <w:div w:id="414523516">
          <w:marLeft w:val="0"/>
          <w:marRight w:val="0"/>
          <w:marTop w:val="0"/>
          <w:marBottom w:val="0"/>
          <w:divBdr>
            <w:top w:val="none" w:sz="0" w:space="0" w:color="auto"/>
            <w:left w:val="none" w:sz="0" w:space="0" w:color="auto"/>
            <w:bottom w:val="none" w:sz="0" w:space="0" w:color="auto"/>
            <w:right w:val="none" w:sz="0" w:space="0" w:color="auto"/>
          </w:divBdr>
        </w:div>
      </w:divsChild>
    </w:div>
    <w:div w:id="1602494971">
      <w:bodyDiv w:val="1"/>
      <w:marLeft w:val="0"/>
      <w:marRight w:val="0"/>
      <w:marTop w:val="0"/>
      <w:marBottom w:val="0"/>
      <w:divBdr>
        <w:top w:val="none" w:sz="0" w:space="0" w:color="auto"/>
        <w:left w:val="none" w:sz="0" w:space="0" w:color="auto"/>
        <w:bottom w:val="none" w:sz="0" w:space="0" w:color="auto"/>
        <w:right w:val="none" w:sz="0" w:space="0" w:color="auto"/>
      </w:divBdr>
      <w:divsChild>
        <w:div w:id="1915699597">
          <w:marLeft w:val="0"/>
          <w:marRight w:val="0"/>
          <w:marTop w:val="0"/>
          <w:marBottom w:val="0"/>
          <w:divBdr>
            <w:top w:val="none" w:sz="0" w:space="0" w:color="auto"/>
            <w:left w:val="none" w:sz="0" w:space="0" w:color="auto"/>
            <w:bottom w:val="none" w:sz="0" w:space="0" w:color="auto"/>
            <w:right w:val="none" w:sz="0" w:space="0" w:color="auto"/>
          </w:divBdr>
        </w:div>
      </w:divsChild>
    </w:div>
    <w:div w:id="1625194211">
      <w:bodyDiv w:val="1"/>
      <w:marLeft w:val="0"/>
      <w:marRight w:val="0"/>
      <w:marTop w:val="0"/>
      <w:marBottom w:val="0"/>
      <w:divBdr>
        <w:top w:val="none" w:sz="0" w:space="0" w:color="auto"/>
        <w:left w:val="none" w:sz="0" w:space="0" w:color="auto"/>
        <w:bottom w:val="none" w:sz="0" w:space="0" w:color="auto"/>
        <w:right w:val="none" w:sz="0" w:space="0" w:color="auto"/>
      </w:divBdr>
      <w:divsChild>
        <w:div w:id="1139763268">
          <w:marLeft w:val="0"/>
          <w:marRight w:val="0"/>
          <w:marTop w:val="0"/>
          <w:marBottom w:val="0"/>
          <w:divBdr>
            <w:top w:val="none" w:sz="0" w:space="0" w:color="auto"/>
            <w:left w:val="none" w:sz="0" w:space="0" w:color="auto"/>
            <w:bottom w:val="none" w:sz="0" w:space="0" w:color="auto"/>
            <w:right w:val="none" w:sz="0" w:space="0" w:color="auto"/>
          </w:divBdr>
          <w:divsChild>
            <w:div w:id="2115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705">
      <w:bodyDiv w:val="1"/>
      <w:marLeft w:val="0"/>
      <w:marRight w:val="0"/>
      <w:marTop w:val="0"/>
      <w:marBottom w:val="0"/>
      <w:divBdr>
        <w:top w:val="none" w:sz="0" w:space="0" w:color="auto"/>
        <w:left w:val="none" w:sz="0" w:space="0" w:color="auto"/>
        <w:bottom w:val="none" w:sz="0" w:space="0" w:color="auto"/>
        <w:right w:val="none" w:sz="0" w:space="0" w:color="auto"/>
      </w:divBdr>
      <w:divsChild>
        <w:div w:id="30962155">
          <w:marLeft w:val="0"/>
          <w:marRight w:val="0"/>
          <w:marTop w:val="0"/>
          <w:marBottom w:val="0"/>
          <w:divBdr>
            <w:top w:val="none" w:sz="0" w:space="0" w:color="auto"/>
            <w:left w:val="none" w:sz="0" w:space="0" w:color="auto"/>
            <w:bottom w:val="none" w:sz="0" w:space="0" w:color="auto"/>
            <w:right w:val="none" w:sz="0" w:space="0" w:color="auto"/>
          </w:divBdr>
          <w:divsChild>
            <w:div w:id="1616517122">
              <w:marLeft w:val="0"/>
              <w:marRight w:val="0"/>
              <w:marTop w:val="0"/>
              <w:marBottom w:val="0"/>
              <w:divBdr>
                <w:top w:val="none" w:sz="0" w:space="0" w:color="auto"/>
                <w:left w:val="none" w:sz="0" w:space="0" w:color="auto"/>
                <w:bottom w:val="none" w:sz="0" w:space="0" w:color="auto"/>
                <w:right w:val="none" w:sz="0" w:space="0" w:color="auto"/>
              </w:divBdr>
              <w:divsChild>
                <w:div w:id="1063914249">
                  <w:marLeft w:val="0"/>
                  <w:marRight w:val="0"/>
                  <w:marTop w:val="0"/>
                  <w:marBottom w:val="0"/>
                  <w:divBdr>
                    <w:top w:val="none" w:sz="0" w:space="0" w:color="auto"/>
                    <w:left w:val="none" w:sz="0" w:space="0" w:color="auto"/>
                    <w:bottom w:val="none" w:sz="0" w:space="0" w:color="auto"/>
                    <w:right w:val="none" w:sz="0" w:space="0" w:color="auto"/>
                  </w:divBdr>
                  <w:divsChild>
                    <w:div w:id="23986901">
                      <w:marLeft w:val="1"/>
                      <w:marRight w:val="1"/>
                      <w:marTop w:val="0"/>
                      <w:marBottom w:val="0"/>
                      <w:divBdr>
                        <w:top w:val="none" w:sz="0" w:space="0" w:color="auto"/>
                        <w:left w:val="none" w:sz="0" w:space="0" w:color="auto"/>
                        <w:bottom w:val="none" w:sz="0" w:space="0" w:color="auto"/>
                        <w:right w:val="none" w:sz="0" w:space="0" w:color="auto"/>
                      </w:divBdr>
                      <w:divsChild>
                        <w:div w:id="936862724">
                          <w:marLeft w:val="0"/>
                          <w:marRight w:val="0"/>
                          <w:marTop w:val="0"/>
                          <w:marBottom w:val="0"/>
                          <w:divBdr>
                            <w:top w:val="none" w:sz="0" w:space="0" w:color="auto"/>
                            <w:left w:val="none" w:sz="0" w:space="0" w:color="auto"/>
                            <w:bottom w:val="none" w:sz="0" w:space="0" w:color="auto"/>
                            <w:right w:val="none" w:sz="0" w:space="0" w:color="auto"/>
                          </w:divBdr>
                          <w:divsChild>
                            <w:div w:id="397822852">
                              <w:marLeft w:val="0"/>
                              <w:marRight w:val="0"/>
                              <w:marTop w:val="0"/>
                              <w:marBottom w:val="360"/>
                              <w:divBdr>
                                <w:top w:val="none" w:sz="0" w:space="0" w:color="auto"/>
                                <w:left w:val="none" w:sz="0" w:space="0" w:color="auto"/>
                                <w:bottom w:val="none" w:sz="0" w:space="0" w:color="auto"/>
                                <w:right w:val="none" w:sz="0" w:space="0" w:color="auto"/>
                              </w:divBdr>
                              <w:divsChild>
                                <w:div w:id="2103598754">
                                  <w:marLeft w:val="0"/>
                                  <w:marRight w:val="0"/>
                                  <w:marTop w:val="0"/>
                                  <w:marBottom w:val="0"/>
                                  <w:divBdr>
                                    <w:top w:val="none" w:sz="0" w:space="0" w:color="auto"/>
                                    <w:left w:val="none" w:sz="0" w:space="0" w:color="auto"/>
                                    <w:bottom w:val="none" w:sz="0" w:space="0" w:color="auto"/>
                                    <w:right w:val="none" w:sz="0" w:space="0" w:color="auto"/>
                                  </w:divBdr>
                                  <w:divsChild>
                                    <w:div w:id="504173963">
                                      <w:marLeft w:val="0"/>
                                      <w:marRight w:val="0"/>
                                      <w:marTop w:val="0"/>
                                      <w:marBottom w:val="0"/>
                                      <w:divBdr>
                                        <w:top w:val="none" w:sz="0" w:space="0" w:color="auto"/>
                                        <w:left w:val="none" w:sz="0" w:space="0" w:color="auto"/>
                                        <w:bottom w:val="none" w:sz="0" w:space="0" w:color="auto"/>
                                        <w:right w:val="none" w:sz="0" w:space="0" w:color="auto"/>
                                      </w:divBdr>
                                      <w:divsChild>
                                        <w:div w:id="1186406453">
                                          <w:marLeft w:val="0"/>
                                          <w:marRight w:val="0"/>
                                          <w:marTop w:val="0"/>
                                          <w:marBottom w:val="0"/>
                                          <w:divBdr>
                                            <w:top w:val="none" w:sz="0" w:space="0" w:color="auto"/>
                                            <w:left w:val="none" w:sz="0" w:space="0" w:color="auto"/>
                                            <w:bottom w:val="none" w:sz="0" w:space="0" w:color="auto"/>
                                            <w:right w:val="none" w:sz="0" w:space="0" w:color="auto"/>
                                          </w:divBdr>
                                          <w:divsChild>
                                            <w:div w:id="1616446910">
                                              <w:marLeft w:val="0"/>
                                              <w:marRight w:val="0"/>
                                              <w:marTop w:val="0"/>
                                              <w:marBottom w:val="0"/>
                                              <w:divBdr>
                                                <w:top w:val="none" w:sz="0" w:space="0" w:color="auto"/>
                                                <w:left w:val="none" w:sz="0" w:space="0" w:color="auto"/>
                                                <w:bottom w:val="none" w:sz="0" w:space="0" w:color="auto"/>
                                                <w:right w:val="none" w:sz="0" w:space="0" w:color="auto"/>
                                              </w:divBdr>
                                              <w:divsChild>
                                                <w:div w:id="1987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816777">
      <w:bodyDiv w:val="1"/>
      <w:marLeft w:val="0"/>
      <w:marRight w:val="0"/>
      <w:marTop w:val="0"/>
      <w:marBottom w:val="0"/>
      <w:divBdr>
        <w:top w:val="none" w:sz="0" w:space="0" w:color="auto"/>
        <w:left w:val="none" w:sz="0" w:space="0" w:color="auto"/>
        <w:bottom w:val="none" w:sz="0" w:space="0" w:color="auto"/>
        <w:right w:val="none" w:sz="0" w:space="0" w:color="auto"/>
      </w:divBdr>
      <w:divsChild>
        <w:div w:id="44095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3186-A72E-4076-9F5C-D1D37607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5806</Words>
  <Characters>35767</Characters>
  <Application>Microsoft Office Word</Application>
  <DocSecurity>0</DocSecurity>
  <Lines>2384</Lines>
  <Paragraphs>716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2017-09-12T11:58:00Z</cp:lastPrinted>
  <dcterms:created xsi:type="dcterms:W3CDTF">2017-10-04T13:07:00Z</dcterms:created>
  <dcterms:modified xsi:type="dcterms:W3CDTF">2017-10-05T07:43:00Z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