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A4" w:rsidRDefault="0064189B" w:rsidP="0064189B">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184960A64684D89B7432647D1E20E11" style="width:450.75pt;height:517.5pt">
            <v:imagedata r:id="rId13" o:title=""/>
          </v:shape>
        </w:pict>
      </w:r>
    </w:p>
    <w:p w:rsidR="00A761A4" w:rsidRDefault="00A761A4">
      <w:pPr>
        <w:rPr>
          <w:noProof/>
        </w:rPr>
        <w:sectPr w:rsidR="00A761A4" w:rsidSect="0064189B">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1"/>
          <w:cols w:space="720"/>
          <w:docGrid w:linePitch="360"/>
        </w:sectPr>
      </w:pPr>
    </w:p>
    <w:p w:rsidR="00A761A4" w:rsidRDefault="0064189B">
      <w:pPr>
        <w:pStyle w:val="Exposdesmotifstitre"/>
        <w:rPr>
          <w:noProof/>
        </w:rPr>
      </w:pPr>
      <w:bookmarkStart w:id="0" w:name="_Toc492216444"/>
      <w:r>
        <w:rPr>
          <w:noProof/>
        </w:rPr>
        <w:lastRenderedPageBreak/>
        <w:t>OBRAZLOŽENJE</w:t>
      </w:r>
      <w:bookmarkEnd w:id="0"/>
    </w:p>
    <w:p w:rsidR="00A761A4" w:rsidRDefault="0064189B">
      <w:pPr>
        <w:pStyle w:val="ManualHeading1"/>
        <w:rPr>
          <w:noProof/>
        </w:rPr>
      </w:pPr>
      <w:bookmarkStart w:id="1" w:name="_Toc492216445"/>
      <w:r>
        <w:t>1.</w:t>
      </w:r>
      <w:r>
        <w:tab/>
      </w:r>
      <w:r>
        <w:rPr>
          <w:noProof/>
        </w:rPr>
        <w:t>KONTEKST PRIJEDLOGA</w:t>
      </w:r>
      <w:bookmarkEnd w:id="1"/>
    </w:p>
    <w:p w:rsidR="00A761A4" w:rsidRDefault="0064189B">
      <w:pPr>
        <w:pStyle w:val="ManualHeading2"/>
        <w:rPr>
          <w:rFonts w:eastAsia="Arial Unicode MS"/>
          <w:noProof/>
        </w:rPr>
      </w:pPr>
      <w:bookmarkStart w:id="2" w:name="_Toc492216446"/>
      <w:r>
        <w:rPr>
          <w:noProof/>
        </w:rPr>
        <w:t>•</w:t>
      </w:r>
      <w:r>
        <w:rPr>
          <w:noProof/>
        </w:rPr>
        <w:tab/>
        <w:t>Razlozi i ciljevi prijedloga</w:t>
      </w:r>
      <w:bookmarkEnd w:id="2"/>
    </w:p>
    <w:p w:rsidR="00A761A4" w:rsidRDefault="0064189B">
      <w:pPr>
        <w:spacing w:after="180"/>
        <w:rPr>
          <w:noProof/>
          <w:szCs w:val="24"/>
        </w:rPr>
      </w:pPr>
      <w:r>
        <w:rPr>
          <w:noProof/>
        </w:rPr>
        <w:t xml:space="preserve">Europska unija poduzela je niz mjera </w:t>
      </w:r>
      <w:r>
        <w:rPr>
          <w:noProof/>
        </w:rPr>
        <w:t>kako bi povećala otpornost i pojačala svoju kibersigurnosnu pripravnost. U prvoj strategiji EU-a za kibersigurnost</w:t>
      </w:r>
      <w:r>
        <w:rPr>
          <w:rStyle w:val="FootnoteReference"/>
          <w:noProof/>
        </w:rPr>
        <w:footnoteReference w:id="2"/>
      </w:r>
      <w:r>
        <w:rPr>
          <w:noProof/>
        </w:rPr>
        <w:t>, koja je donesena 2013., utvrđeni su strateški ciljevi i konkretne mjere za postizanje otpornosti, smanjenje kiberkriminaliteta, razvoj poli</w:t>
      </w:r>
      <w:r>
        <w:rPr>
          <w:noProof/>
        </w:rPr>
        <w:t>tike kiberobrane i sposobnosti za kiberobranu, razvoj industrijskih i tehnoloških resursa i uspostavu usklađene međunarodne politike kiberprostora za EU. U tom su se kontekstu u međuvremenu dogodile važne promjene, uključujući posebno drugi mandat Agencije</w:t>
      </w:r>
      <w:r>
        <w:rPr>
          <w:noProof/>
        </w:rPr>
        <w:t xml:space="preserve"> Europske unije za mrežnu i informacijsku sigurnost (ENISA)</w:t>
      </w:r>
      <w:r>
        <w:rPr>
          <w:rStyle w:val="FootnoteReference"/>
          <w:noProof/>
        </w:rPr>
        <w:footnoteReference w:id="3"/>
      </w:r>
      <w:r>
        <w:rPr>
          <w:noProof/>
        </w:rPr>
        <w:t xml:space="preserve"> i donošenje </w:t>
      </w:r>
      <w:r>
        <w:rPr>
          <w:b/>
          <w:noProof/>
        </w:rPr>
        <w:t>Direktive o sigurnosti mrežnih i informacijskih sustava</w:t>
      </w:r>
      <w:r>
        <w:rPr>
          <w:rStyle w:val="FootnoteReference"/>
          <w:noProof/>
        </w:rPr>
        <w:footnoteReference w:id="4"/>
      </w:r>
      <w:r>
        <w:rPr>
          <w:noProof/>
        </w:rPr>
        <w:t xml:space="preserve"> („Direktiva NIS”), na kojima se temelji ovaj prijedlog. </w:t>
      </w:r>
    </w:p>
    <w:p w:rsidR="00A761A4" w:rsidRDefault="0064189B">
      <w:pPr>
        <w:spacing w:after="180"/>
        <w:rPr>
          <w:noProof/>
          <w:szCs w:val="24"/>
        </w:rPr>
      </w:pPr>
      <w:r>
        <w:rPr>
          <w:noProof/>
        </w:rPr>
        <w:t xml:space="preserve">Nadalje, </w:t>
      </w:r>
      <w:r>
        <w:rPr>
          <w:b/>
          <w:noProof/>
        </w:rPr>
        <w:t>Europska komisija donijela je 2016. Komunikaciju o jačanju e</w:t>
      </w:r>
      <w:r>
        <w:rPr>
          <w:b/>
          <w:noProof/>
        </w:rPr>
        <w:t>uropskog sustava kibernetičke sigurnosti i poticanju konkurentne i inovativne industrije kibernetičke sigurnosti</w:t>
      </w:r>
      <w:r>
        <w:rPr>
          <w:rStyle w:val="FootnoteReference"/>
          <w:noProof/>
        </w:rPr>
        <w:footnoteReference w:id="5"/>
      </w:r>
      <w:r>
        <w:rPr>
          <w:noProof/>
        </w:rPr>
        <w:t xml:space="preserve"> u kojoj su najavljene daljnje mjere za jačanje suradnje, razmjene informacija i znanja i povećanje otpornosti i pripravnosti EU-a, uzimajući u</w:t>
      </w:r>
      <w:r>
        <w:rPr>
          <w:noProof/>
        </w:rPr>
        <w:t xml:space="preserve"> obzir i vjerojatnost incidenata velikih razmjera i moguću paneuropsku kiberkrizu. U tom kontekstu Komisija je najavila da će predložiti </w:t>
      </w:r>
      <w:r>
        <w:rPr>
          <w:b/>
          <w:noProof/>
        </w:rPr>
        <w:t>ocjenjivanje</w:t>
      </w:r>
      <w:r>
        <w:rPr>
          <w:noProof/>
        </w:rPr>
        <w:t xml:space="preserve"> i </w:t>
      </w:r>
      <w:r>
        <w:rPr>
          <w:b/>
          <w:noProof/>
        </w:rPr>
        <w:t>reviziju</w:t>
      </w:r>
      <w:r>
        <w:rPr>
          <w:noProof/>
        </w:rPr>
        <w:t xml:space="preserve"> Uredbe (EU) br. 526/2013 Europskog parlamenta i Vijeća o Agenciji Europske unije za mrežnu i in</w:t>
      </w:r>
      <w:r>
        <w:rPr>
          <w:noProof/>
        </w:rPr>
        <w:t>formacijsku sigurnost (ENISA) i o stavljanju izvan snage Uredbe (EZ) br. 460/2004 („Uredba o ENISA-i”). Postupak ocjenjivanja mogao bi dovesti do moguće reforme Agencije i jačanja njezinih sposobnosti i kapaciteta za podupiranje država članica na održiv na</w:t>
      </w:r>
      <w:r>
        <w:rPr>
          <w:noProof/>
        </w:rPr>
        <w:t>čin. Ona bi time dobila aktivniju i važniju ulogu u postizanju kiberotpornosti te bi se u okviru njezina novog mandata priznale nove odgovornosti Agencije u skladu s Direktivom NIS.</w:t>
      </w:r>
    </w:p>
    <w:p w:rsidR="00A761A4" w:rsidRDefault="0064189B">
      <w:pPr>
        <w:rPr>
          <w:noProof/>
          <w:szCs w:val="24"/>
        </w:rPr>
      </w:pPr>
      <w:r>
        <w:rPr>
          <w:noProof/>
        </w:rPr>
        <w:t>Direktiva NIS prvi je bitni korak u cilju promicanja kulture upravljanja r</w:t>
      </w:r>
      <w:r>
        <w:rPr>
          <w:noProof/>
        </w:rPr>
        <w:t>izikom uvođenjem sigurnosnih zahtjeva kao pravne obveze za glavne gospodarske aktere, posebno operatore koji pružaju ključne usluge (operatori ključnih usluga – OES) i pružatelje nekih ključnih digitalnih usluga (pružatelji digitalnih usluga – DPS). Budući</w:t>
      </w:r>
      <w:r>
        <w:rPr>
          <w:noProof/>
        </w:rPr>
        <w:t xml:space="preserve"> da se smatra da su sigurnosni zahtjevi od ključne važnosti za zaštitu koristi digitalizacije društva koja se stalno razvija te s obzirom na brzo širenje povezanih uređaja (internet stvari), u Komunikaciji iz 2016. iznesena je ideja uspostave okvira za sig</w:t>
      </w:r>
      <w:r>
        <w:rPr>
          <w:noProof/>
        </w:rPr>
        <w:t>urnosno certificiranje IKT proizvoda i usluga u cilju povećanja povjerenja i sigurnosti na jedinstvenom digitalnom tržištu. Kibersigurnosno certificiranje u području IKT-a postaje posebno važno s obzirom na sve veću uporabu tehnologija koje zahtijevaju vis</w:t>
      </w:r>
      <w:r>
        <w:rPr>
          <w:noProof/>
        </w:rPr>
        <w:t xml:space="preserve">ok stupanj kibersigurnosti, kao što su povezani i automatizirani automobili, e-zdravstvo ili kontrolni sustavi za industrijsku automatizaciju (IACS). </w:t>
      </w:r>
    </w:p>
    <w:p w:rsidR="00A761A4" w:rsidRDefault="0064189B">
      <w:pPr>
        <w:rPr>
          <w:noProof/>
          <w:szCs w:val="24"/>
        </w:rPr>
      </w:pPr>
      <w:r>
        <w:rPr>
          <w:noProof/>
        </w:rPr>
        <w:t xml:space="preserve">Te mjere politike i najave dodatno su pojačane </w:t>
      </w:r>
      <w:r>
        <w:rPr>
          <w:b/>
          <w:noProof/>
        </w:rPr>
        <w:t>Zaključcima Vijeća</w:t>
      </w:r>
      <w:r>
        <w:rPr>
          <w:noProof/>
        </w:rPr>
        <w:t xml:space="preserve"> iz 2016. u kojima se potvrđuje da se „k</w:t>
      </w:r>
      <w:r>
        <w:rPr>
          <w:noProof/>
        </w:rPr>
        <w:t xml:space="preserve">iberprijetnje i kiberslabosti nastavljaju razvijati i jačati što će zahtijevati </w:t>
      </w:r>
      <w:r>
        <w:rPr>
          <w:noProof/>
        </w:rPr>
        <w:lastRenderedPageBreak/>
        <w:t>trajnu i bližu suradnju, posebice u pogledu suočavanja s prekograničnim kiberincidentima velikih razmjera”. U Zaključcima je potvrđeno da je „Uredba o ENISA-i jedan od temeljni</w:t>
      </w:r>
      <w:r>
        <w:rPr>
          <w:noProof/>
        </w:rPr>
        <w:t>h elemenata okvira kiberotpornosti EU-a”</w:t>
      </w:r>
      <w:r>
        <w:rPr>
          <w:rStyle w:val="FootnoteReference"/>
          <w:noProof/>
        </w:rPr>
        <w:footnoteReference w:id="6"/>
      </w:r>
      <w:r>
        <w:rPr>
          <w:noProof/>
        </w:rPr>
        <w:t xml:space="preserve"> i traži se od Komisije da poduzme daljnje korake za rješavanje pitanja certifikacije na europskoj razini.</w:t>
      </w:r>
    </w:p>
    <w:p w:rsidR="00A761A4" w:rsidRDefault="0064189B">
      <w:pPr>
        <w:rPr>
          <w:noProof/>
          <w:szCs w:val="24"/>
        </w:rPr>
      </w:pPr>
      <w:r>
        <w:rPr>
          <w:noProof/>
        </w:rPr>
        <w:t>Za uspostavu programa certificiranja trebalo bi uspostaviti primjereni sustav upravljanja na razini EU-a, me</w:t>
      </w:r>
      <w:r>
        <w:rPr>
          <w:noProof/>
        </w:rPr>
        <w:t>đu ostalim s pomoću stručnih savjeta neovisne agencije EU-a. U tom je pogledu prirodan odabir ENISA-e u ovom prijedlogu kao tijela na razini EU-a nadležnog za pitanja kibersigurnosti koje bi moglo preuzeti ulogu okupljanja nacionalnih nadležnih tijela u po</w:t>
      </w:r>
      <w:r>
        <w:rPr>
          <w:noProof/>
        </w:rPr>
        <w:t xml:space="preserve">dručju certificiranja i koordinacije njihova rada. </w:t>
      </w:r>
    </w:p>
    <w:p w:rsidR="00A761A4" w:rsidRDefault="0064189B">
      <w:pPr>
        <w:spacing w:after="180"/>
        <w:rPr>
          <w:noProof/>
          <w:szCs w:val="24"/>
        </w:rPr>
      </w:pPr>
      <w:r>
        <w:rPr>
          <w:noProof/>
        </w:rPr>
        <w:t xml:space="preserve">U svojoj </w:t>
      </w:r>
      <w:r>
        <w:rPr>
          <w:b/>
          <w:noProof/>
        </w:rPr>
        <w:t>Komunikaciji o preispitivanju provedbe Strategije jedinstvenog digitalnog tržišta na sredini provedbenog razdoblja iz svibnja 2017.</w:t>
      </w:r>
      <w:r>
        <w:rPr>
          <w:noProof/>
        </w:rPr>
        <w:t xml:space="preserve"> Komisija je dalje navela da će do rujna 2017. preispitati manda</w:t>
      </w:r>
      <w:r>
        <w:rPr>
          <w:noProof/>
        </w:rPr>
        <w:t>t ENISA-e. Cilj je tog preispitivanja definirati njezinu ulogu u promijenjenom kiberekosustavu i razviti mjere povezane s normama u području kibersigurnosti, certificiranjem i označavanjem kako bi se povećala kibersigurnost sustava utemeljenih na IKT-u, uk</w:t>
      </w:r>
      <w:r>
        <w:rPr>
          <w:noProof/>
        </w:rPr>
        <w:t>ljučujući povezane objekte</w:t>
      </w:r>
      <w:r>
        <w:rPr>
          <w:rStyle w:val="FootnoteReference"/>
          <w:noProof/>
        </w:rPr>
        <w:footnoteReference w:id="7"/>
      </w:r>
      <w:r>
        <w:rPr>
          <w:noProof/>
        </w:rPr>
        <w:t xml:space="preserve">. U </w:t>
      </w:r>
      <w:r>
        <w:rPr>
          <w:b/>
          <w:noProof/>
        </w:rPr>
        <w:t xml:space="preserve">zaključcima Europskog vijeća </w:t>
      </w:r>
      <w:r>
        <w:rPr>
          <w:noProof/>
        </w:rPr>
        <w:t>iz lipnja 2017.</w:t>
      </w:r>
      <w:r>
        <w:rPr>
          <w:rStyle w:val="FootnoteReference"/>
          <w:noProof/>
        </w:rPr>
        <w:footnoteReference w:id="8"/>
      </w:r>
      <w:r>
        <w:rPr>
          <w:noProof/>
        </w:rPr>
        <w:t xml:space="preserve"> pozdravljena je namjera Komisije da u rujnu preispita strategiju za kibersigurnost i da do kraja 2017. predloži dodatne ciljane mjere.</w:t>
      </w:r>
    </w:p>
    <w:p w:rsidR="00A761A4" w:rsidRDefault="0064189B">
      <w:pPr>
        <w:spacing w:after="0"/>
        <w:contextualSpacing/>
        <w:rPr>
          <w:noProof/>
          <w:szCs w:val="24"/>
        </w:rPr>
      </w:pPr>
      <w:r>
        <w:rPr>
          <w:noProof/>
        </w:rPr>
        <w:t>Predloženom Uredbom osigurava se sveobuhvatn</w:t>
      </w:r>
      <w:r>
        <w:rPr>
          <w:noProof/>
        </w:rPr>
        <w:t>i skup mjera koje se temelje na prethodnim djelovanjima te se potiču posebni ciljevi koji se uzajamno podupiru:</w:t>
      </w:r>
    </w:p>
    <w:p w:rsidR="00A761A4" w:rsidRDefault="0064189B">
      <w:pPr>
        <w:pStyle w:val="Bullet0"/>
        <w:numPr>
          <w:ilvl w:val="0"/>
          <w:numId w:val="78"/>
        </w:numPr>
        <w:rPr>
          <w:noProof/>
        </w:rPr>
      </w:pPr>
      <w:r>
        <w:rPr>
          <w:noProof/>
        </w:rPr>
        <w:t xml:space="preserve">jačanje </w:t>
      </w:r>
      <w:r>
        <w:rPr>
          <w:b/>
          <w:noProof/>
        </w:rPr>
        <w:t>sposobnosti i pripravnosti</w:t>
      </w:r>
      <w:r>
        <w:rPr>
          <w:noProof/>
        </w:rPr>
        <w:t xml:space="preserve"> država članica i poduzeća, </w:t>
      </w:r>
    </w:p>
    <w:p w:rsidR="00A761A4" w:rsidRDefault="0064189B">
      <w:pPr>
        <w:pStyle w:val="Bullet0"/>
        <w:rPr>
          <w:noProof/>
        </w:rPr>
      </w:pPr>
      <w:r>
        <w:rPr>
          <w:noProof/>
        </w:rPr>
        <w:t xml:space="preserve">poboljšanje </w:t>
      </w:r>
      <w:r>
        <w:rPr>
          <w:b/>
          <w:noProof/>
        </w:rPr>
        <w:t>suradnje i koordinacije</w:t>
      </w:r>
      <w:r>
        <w:rPr>
          <w:noProof/>
        </w:rPr>
        <w:t xml:space="preserve"> među državama članicama i institucijama, agen</w:t>
      </w:r>
      <w:r>
        <w:rPr>
          <w:noProof/>
        </w:rPr>
        <w:t>cijama i tijelima EU-a,</w:t>
      </w:r>
    </w:p>
    <w:p w:rsidR="00A761A4" w:rsidRDefault="0064189B">
      <w:pPr>
        <w:pStyle w:val="Bullet0"/>
        <w:rPr>
          <w:noProof/>
        </w:rPr>
      </w:pPr>
      <w:r>
        <w:rPr>
          <w:noProof/>
        </w:rPr>
        <w:t xml:space="preserve">jačanje </w:t>
      </w:r>
      <w:r>
        <w:rPr>
          <w:b/>
          <w:noProof/>
        </w:rPr>
        <w:t>sposobnosti na razini EU-a za dopunu djelovanja država članica</w:t>
      </w:r>
      <w:r>
        <w:rPr>
          <w:noProof/>
        </w:rPr>
        <w:t>, posebno u slučaju prekograničnih kiberkriza,</w:t>
      </w:r>
    </w:p>
    <w:p w:rsidR="00A761A4" w:rsidRDefault="0064189B">
      <w:pPr>
        <w:pStyle w:val="Bullet0"/>
        <w:rPr>
          <w:noProof/>
        </w:rPr>
      </w:pPr>
      <w:r>
        <w:rPr>
          <w:noProof/>
        </w:rPr>
        <w:t xml:space="preserve">jačanje </w:t>
      </w:r>
      <w:r>
        <w:rPr>
          <w:b/>
          <w:noProof/>
        </w:rPr>
        <w:t>osviještenosti</w:t>
      </w:r>
      <w:r>
        <w:rPr>
          <w:noProof/>
        </w:rPr>
        <w:t xml:space="preserve"> građana i poduzeća o pitanjima kibersigurnosti, </w:t>
      </w:r>
    </w:p>
    <w:p w:rsidR="00A761A4" w:rsidRDefault="0064189B">
      <w:pPr>
        <w:pStyle w:val="Bullet0"/>
        <w:rPr>
          <w:noProof/>
        </w:rPr>
      </w:pPr>
      <w:r>
        <w:rPr>
          <w:noProof/>
        </w:rPr>
        <w:t xml:space="preserve">povećanje opće </w:t>
      </w:r>
      <w:r>
        <w:rPr>
          <w:b/>
          <w:noProof/>
        </w:rPr>
        <w:t xml:space="preserve">transparentnosti </w:t>
      </w:r>
      <w:r>
        <w:rPr>
          <w:b/>
          <w:noProof/>
        </w:rPr>
        <w:t>kibersigurnosnog jamstva</w:t>
      </w:r>
      <w:r>
        <w:rPr>
          <w:rStyle w:val="FootnoteReference"/>
          <w:noProof/>
        </w:rPr>
        <w:footnoteReference w:id="9"/>
      </w:r>
      <w:r>
        <w:rPr>
          <w:noProof/>
        </w:rPr>
        <w:t xml:space="preserve"> za IKT proizvode i usluge u cilju jačanja povjerenja u jedinstveno digitalno tržište i u digitalne inovacije i</w:t>
      </w:r>
    </w:p>
    <w:p w:rsidR="00A761A4" w:rsidRDefault="0064189B">
      <w:pPr>
        <w:pStyle w:val="Bullet0"/>
        <w:rPr>
          <w:noProof/>
        </w:rPr>
      </w:pPr>
      <w:r>
        <w:rPr>
          <w:noProof/>
        </w:rPr>
        <w:t xml:space="preserve">izbjegavanje </w:t>
      </w:r>
      <w:r>
        <w:rPr>
          <w:b/>
          <w:noProof/>
        </w:rPr>
        <w:t>fragmentiranja programa certificiranja</w:t>
      </w:r>
      <w:r>
        <w:rPr>
          <w:noProof/>
        </w:rPr>
        <w:t xml:space="preserve"> u EU-u i povezanih sigurnosnih zahtjeva i kriterija za ocjenjivanje</w:t>
      </w:r>
      <w:r>
        <w:rPr>
          <w:noProof/>
        </w:rPr>
        <w:t xml:space="preserve"> po državama članicama i sektorima.</w:t>
      </w:r>
    </w:p>
    <w:p w:rsidR="00A761A4" w:rsidRDefault="00A761A4">
      <w:pPr>
        <w:autoSpaceDE w:val="0"/>
        <w:autoSpaceDN w:val="0"/>
        <w:adjustRightInd w:val="0"/>
        <w:spacing w:after="0"/>
        <w:rPr>
          <w:noProof/>
          <w:szCs w:val="24"/>
        </w:rPr>
      </w:pPr>
    </w:p>
    <w:p w:rsidR="00A761A4" w:rsidRDefault="0064189B">
      <w:pPr>
        <w:spacing w:after="0"/>
        <w:contextualSpacing/>
        <w:rPr>
          <w:noProof/>
          <w:szCs w:val="24"/>
        </w:rPr>
      </w:pPr>
      <w:r>
        <w:rPr>
          <w:noProof/>
        </w:rPr>
        <w:t xml:space="preserve">U sljedećem dijelu Obrazloženja podrobnije se objašnjavaju temeljni razlozi za inicijativu u odnosu na predložene aktivnosti ENISA-a i kibersigurnosnu certifikaciju. </w:t>
      </w:r>
    </w:p>
    <w:p w:rsidR="00A761A4" w:rsidRDefault="00A761A4">
      <w:pPr>
        <w:rPr>
          <w:b/>
          <w:noProof/>
          <w:szCs w:val="24"/>
        </w:rPr>
      </w:pPr>
    </w:p>
    <w:p w:rsidR="00A761A4" w:rsidRDefault="0064189B">
      <w:pPr>
        <w:spacing w:before="0" w:after="200" w:line="276" w:lineRule="auto"/>
        <w:jc w:val="left"/>
        <w:rPr>
          <w:b/>
          <w:noProof/>
          <w:szCs w:val="24"/>
        </w:rPr>
      </w:pPr>
      <w:r>
        <w:rPr>
          <w:noProof/>
        </w:rPr>
        <w:br w:type="page"/>
      </w:r>
    </w:p>
    <w:p w:rsidR="00A761A4" w:rsidRDefault="0064189B">
      <w:pPr>
        <w:rPr>
          <w:b/>
          <w:noProof/>
          <w:szCs w:val="24"/>
        </w:rPr>
      </w:pPr>
      <w:r>
        <w:rPr>
          <w:b/>
          <w:noProof/>
        </w:rPr>
        <w:lastRenderedPageBreak/>
        <w:t>ENISA</w:t>
      </w:r>
    </w:p>
    <w:p w:rsidR="00A761A4" w:rsidRDefault="0064189B">
      <w:pPr>
        <w:rPr>
          <w:noProof/>
          <w:szCs w:val="24"/>
        </w:rPr>
      </w:pPr>
      <w:r>
        <w:rPr>
          <w:noProof/>
        </w:rPr>
        <w:t>ENISA djeluje kao stručni centar za jačanje</w:t>
      </w:r>
      <w:r>
        <w:rPr>
          <w:noProof/>
        </w:rPr>
        <w:t xml:space="preserve"> mrežne i informacijske sigurnosti u Uniji i potporu jačanju kapaciteta u državama članicama. </w:t>
      </w:r>
    </w:p>
    <w:p w:rsidR="00A761A4" w:rsidRDefault="0064189B">
      <w:pPr>
        <w:rPr>
          <w:noProof/>
          <w:szCs w:val="24"/>
        </w:rPr>
      </w:pPr>
      <w:r>
        <w:rPr>
          <w:noProof/>
        </w:rPr>
        <w:t>ENISA je osnovana 2004.</w:t>
      </w:r>
      <w:r>
        <w:rPr>
          <w:rStyle w:val="FootnoteReference"/>
          <w:noProof/>
        </w:rPr>
        <w:footnoteReference w:id="10"/>
      </w:r>
      <w:r>
        <w:rPr>
          <w:noProof/>
        </w:rPr>
        <w:t xml:space="preserve"> kako bi se pridonijelo općem cilju osiguranja visoke razine mrežne i informacijske sigurnosti u EU-u. Godine 2013. Uredbom (EU) br. 526/</w:t>
      </w:r>
      <w:r>
        <w:rPr>
          <w:noProof/>
        </w:rPr>
        <w:t xml:space="preserve">2013 utvrđen je novi mandat Agencije na razdoblje od sedam godina, do 2020. Uredi Agencije nalaze se u Grčkoj, odnosno njezino administrativno središte je u Heraklionu (Kreta), a operativno središte u Ateni.  </w:t>
      </w:r>
    </w:p>
    <w:p w:rsidR="00A761A4" w:rsidRDefault="0064189B">
      <w:pPr>
        <w:rPr>
          <w:noProof/>
          <w:szCs w:val="24"/>
        </w:rPr>
      </w:pPr>
      <w:r>
        <w:rPr>
          <w:noProof/>
        </w:rPr>
        <w:t>ENISA je mala agencija s malim proračunom i ma</w:t>
      </w:r>
      <w:r>
        <w:rPr>
          <w:noProof/>
        </w:rPr>
        <w:t>lim brojem osoblja u usporedbi s drugim agencijama EU-a. Njezin je mandat ograničen.</w:t>
      </w:r>
    </w:p>
    <w:p w:rsidR="00A761A4" w:rsidRDefault="0064189B">
      <w:pPr>
        <w:spacing w:after="180"/>
        <w:rPr>
          <w:noProof/>
          <w:szCs w:val="24"/>
        </w:rPr>
      </w:pPr>
      <w:r>
        <w:rPr>
          <w:noProof/>
        </w:rPr>
        <w:t xml:space="preserve">ENISA pruža potporu europskim institucijama, državama članicama i poslovnoj zajednici u </w:t>
      </w:r>
      <w:r>
        <w:rPr>
          <w:b/>
          <w:noProof/>
        </w:rPr>
        <w:t xml:space="preserve">rješavanju problema povezanih s mrežnom i informacijskom sigurnošću, u odgovaranju </w:t>
      </w:r>
      <w:r>
        <w:rPr>
          <w:b/>
          <w:noProof/>
        </w:rPr>
        <w:t>na te probleme i posebno u njihovom sprječavanju.</w:t>
      </w:r>
      <w:r>
        <w:rPr>
          <w:noProof/>
        </w:rPr>
        <w:t xml:space="preserve"> Ona to čini nizom aktivnosti u pet područja utvrđenih u strategiji</w:t>
      </w:r>
      <w:r>
        <w:rPr>
          <w:rStyle w:val="FootnoteReference"/>
          <w:noProof/>
        </w:rPr>
        <w:footnoteReference w:id="11"/>
      </w:r>
      <w:r>
        <w:rPr>
          <w:noProof/>
        </w:rPr>
        <w:t>:</w:t>
      </w:r>
    </w:p>
    <w:p w:rsidR="00A761A4" w:rsidRDefault="0064189B">
      <w:pPr>
        <w:pStyle w:val="Bullet1"/>
        <w:numPr>
          <w:ilvl w:val="0"/>
          <w:numId w:val="79"/>
        </w:numPr>
        <w:rPr>
          <w:noProof/>
        </w:rPr>
      </w:pPr>
      <w:r>
        <w:rPr>
          <w:noProof/>
        </w:rPr>
        <w:t>stručno znanje: pružanje informacija i stručnog znanja o ključnim pitanjima mrežne i informacijske sigurnosti,</w:t>
      </w:r>
    </w:p>
    <w:p w:rsidR="00A761A4" w:rsidRDefault="0064189B">
      <w:pPr>
        <w:pStyle w:val="Bullet1"/>
        <w:rPr>
          <w:noProof/>
        </w:rPr>
      </w:pPr>
      <w:r>
        <w:rPr>
          <w:noProof/>
        </w:rPr>
        <w:t>politika: potpora donošenj</w:t>
      </w:r>
      <w:r>
        <w:rPr>
          <w:noProof/>
        </w:rPr>
        <w:t>u i provedbi politike u Uniji,</w:t>
      </w:r>
    </w:p>
    <w:p w:rsidR="00A761A4" w:rsidRDefault="0064189B">
      <w:pPr>
        <w:pStyle w:val="Bullet1"/>
        <w:rPr>
          <w:noProof/>
        </w:rPr>
      </w:pPr>
      <w:r>
        <w:rPr>
          <w:noProof/>
        </w:rPr>
        <w:t>kapacitet: potpora jačanju kapaciteta u Uniji (npr. s pomoću osposobljavanja, preporuka i aktivnosti osvješćivanja).</w:t>
      </w:r>
    </w:p>
    <w:p w:rsidR="00A761A4" w:rsidRDefault="0064189B">
      <w:pPr>
        <w:pStyle w:val="Bullet1"/>
        <w:rPr>
          <w:noProof/>
        </w:rPr>
      </w:pPr>
      <w:r>
        <w:rPr>
          <w:noProof/>
        </w:rPr>
        <w:t>zajednica: jačanje zajednice mrežne i informacijske sigurnosti (npr. potpora timovima za hitne računalne int</w:t>
      </w:r>
      <w:r>
        <w:rPr>
          <w:noProof/>
        </w:rPr>
        <w:t>ervencije (CERT-ovima), koordinacija paneuropskih vježbi u području kibersigurnosti),</w:t>
      </w:r>
    </w:p>
    <w:p w:rsidR="00A761A4" w:rsidRDefault="0064189B">
      <w:pPr>
        <w:pStyle w:val="Bullet1"/>
        <w:rPr>
          <w:noProof/>
        </w:rPr>
      </w:pPr>
      <w:r>
        <w:rPr>
          <w:noProof/>
        </w:rPr>
        <w:t>omogućavanje (npr. suradnja s dionicima i međunarodni odnosi).</w:t>
      </w:r>
    </w:p>
    <w:p w:rsidR="00A761A4" w:rsidRDefault="00A761A4">
      <w:pPr>
        <w:spacing w:after="0"/>
        <w:ind w:left="714"/>
        <w:rPr>
          <w:noProof/>
          <w:szCs w:val="24"/>
        </w:rPr>
      </w:pPr>
    </w:p>
    <w:p w:rsidR="00A761A4" w:rsidRDefault="0064189B">
      <w:pPr>
        <w:spacing w:after="180"/>
        <w:rPr>
          <w:noProof/>
          <w:szCs w:val="24"/>
        </w:rPr>
      </w:pPr>
      <w:r>
        <w:rPr>
          <w:noProof/>
        </w:rPr>
        <w:t>Tijekom pregovora o Direktivi NIS suzakonodavci EU-a odlučili su ENISA-i dodijeliti važne uloge u njezinoj</w:t>
      </w:r>
      <w:r>
        <w:rPr>
          <w:noProof/>
        </w:rPr>
        <w:t xml:space="preserve"> provedbi. Konkretno, Agencija mreži CSIRT-ova osigurava tajništvo (uspostavljeno u cilju promicanja brze i učinkovite operativne suradnje među državama članicama u slučaju određenih kiberincidenata i razmjene informacija o rizicima) i od nje se traži da p</w:t>
      </w:r>
      <w:r>
        <w:rPr>
          <w:noProof/>
        </w:rPr>
        <w:t>omaže Skupini za suradnju pri izvršavanju njezinih zadaća. Nadalje, Direktivom se zahtijeva od ENISA-e da pomaže državama članicama i Komisiji pružanjem stručnog znanja i savjetovanjem te olakšavanjem razmjene najbolje prakse.</w:t>
      </w:r>
    </w:p>
    <w:p w:rsidR="00A761A4" w:rsidRDefault="0064189B">
      <w:pPr>
        <w:spacing w:after="180"/>
        <w:rPr>
          <w:noProof/>
          <w:szCs w:val="24"/>
        </w:rPr>
      </w:pPr>
      <w:r>
        <w:rPr>
          <w:noProof/>
        </w:rPr>
        <w:t xml:space="preserve">U skladu s Uredbom o ENISA-i </w:t>
      </w:r>
      <w:r>
        <w:rPr>
          <w:noProof/>
        </w:rPr>
        <w:t>Komisija je izvršila ocjenjivanje Agencije koja uključuje neovisnu studiju i javno savjetovanje. Tijekom ocjenjivanja procijenjeni su relevantnost, učinak, djelotvornost, učinkovitost, usklađenost Agencije te njezina dodana vrijednost za EU s obzirom na nj</w:t>
      </w:r>
      <w:r>
        <w:rPr>
          <w:noProof/>
        </w:rPr>
        <w:t>ezinu uspješnost, upravljanje, unutarnje ustrojstvo i radnu praksu u razdoblju od 2013. do 2016.</w:t>
      </w:r>
    </w:p>
    <w:p w:rsidR="00A761A4" w:rsidRDefault="0064189B">
      <w:pPr>
        <w:spacing w:after="180"/>
        <w:rPr>
          <w:noProof/>
          <w:szCs w:val="24"/>
        </w:rPr>
      </w:pPr>
      <w:r>
        <w:rPr>
          <w:noProof/>
        </w:rPr>
        <w:t>Većina ispitanika u javnom savjetovanju pozitivno je ocijenila uspješnost rada ENISA-e</w:t>
      </w:r>
      <w:r>
        <w:rPr>
          <w:rStyle w:val="FootnoteReference"/>
          <w:noProof/>
        </w:rPr>
        <w:footnoteReference w:id="12"/>
      </w:r>
      <w:r>
        <w:rPr>
          <w:noProof/>
          <w:vertAlign w:val="superscript"/>
        </w:rPr>
        <w:t xml:space="preserve"> </w:t>
      </w:r>
      <w:r>
        <w:rPr>
          <w:noProof/>
        </w:rPr>
        <w:t>(74 %). Nadalje, većina ispitanika smatrala je da ENISA ostvaruje svoje</w:t>
      </w:r>
      <w:r>
        <w:rPr>
          <w:noProof/>
        </w:rPr>
        <w:t xml:space="preserve"> različite ciljeve (barem 63 % za svaki cilj). Približno pola ispitanika (46 %) redovito (mjesečno ili češće) koristi se uslugama i proizvodima ENISA-e i te su usluge i proizvodi cijenjeni jer ih pruža tijelo na razini EU-a (83 %) i zbog njihove kvalitete </w:t>
      </w:r>
      <w:r>
        <w:rPr>
          <w:noProof/>
        </w:rPr>
        <w:t xml:space="preserve">(62 %). </w:t>
      </w:r>
    </w:p>
    <w:p w:rsidR="00A761A4" w:rsidRDefault="0064189B">
      <w:pPr>
        <w:spacing w:after="180"/>
        <w:rPr>
          <w:noProof/>
          <w:szCs w:val="24"/>
        </w:rPr>
      </w:pPr>
      <w:r>
        <w:rPr>
          <w:noProof/>
        </w:rPr>
        <w:t>Međutim, velika većina (88 %) ispitanika smatrala je da trenutačni instrumenti i mehanizmi koji su dostupni na razini EU-a nisu dostatni ili su samo djelomično prikladni za rješavanje trenutačnih izazova u području kibersigurnosti. Velika većina i</w:t>
      </w:r>
      <w:r>
        <w:rPr>
          <w:noProof/>
        </w:rPr>
        <w:t>spitanika (98 %) navela je da bi se zadovoljavanjem tih potrebe trebalo baviti tijelo EU-a, a 99 % ispitanika smatralo je da je ENISA prava organizacija za to. Nadalje, 67,5 % ispitanika izjavilo je da bi ENISA mogla imati ulogu u uspostavi usklađenog okvi</w:t>
      </w:r>
      <w:r>
        <w:rPr>
          <w:noProof/>
        </w:rPr>
        <w:t xml:space="preserve">ra za sigurnosno certificiranje IKT proizvoda i usluga. </w:t>
      </w:r>
    </w:p>
    <w:p w:rsidR="00A761A4" w:rsidRDefault="0064189B">
      <w:pPr>
        <w:rPr>
          <w:noProof/>
          <w:szCs w:val="24"/>
        </w:rPr>
      </w:pPr>
      <w:r>
        <w:rPr>
          <w:noProof/>
        </w:rPr>
        <w:t xml:space="preserve">Tijekom općeg ocjenjivanja (koje se ne temelji samo na javnom savjetovanju već i na nizu pojedinačnih razgovora, dodatnih ciljanih anketa i radionica) doneseni su sljedeći zaključci: </w:t>
      </w:r>
    </w:p>
    <w:p w:rsidR="00A761A4" w:rsidRDefault="0064189B">
      <w:pPr>
        <w:pStyle w:val="Bullet0"/>
        <w:rPr>
          <w:noProof/>
        </w:rPr>
      </w:pPr>
      <w:r>
        <w:rPr>
          <w:noProof/>
        </w:rPr>
        <w:t>Ciljevi ENISA-e</w:t>
      </w:r>
      <w:r>
        <w:rPr>
          <w:noProof/>
        </w:rPr>
        <w:t xml:space="preserve"> još uvijek su relevantni. U kontekstu brzog tehnološkog razvoja i rastućih prijetnji te s obzirom na sve veće globalne rizike u području kibersigurnosti jasno je da EU mora poticati i dalje jačati tehničku stručnost za pitanja kibersigurnosti na visokoj r</w:t>
      </w:r>
      <w:r>
        <w:rPr>
          <w:noProof/>
        </w:rPr>
        <w:t xml:space="preserve">azini. U državama članicama treba jačati kapacitete za razumijevanje prijetnji i za odgovor na prijetnje i dionici moraju surađivati u svim tematskim područjima i sa svim institucijama. </w:t>
      </w:r>
    </w:p>
    <w:p w:rsidR="00A761A4" w:rsidRDefault="0064189B">
      <w:pPr>
        <w:pStyle w:val="Bullet0"/>
        <w:rPr>
          <w:noProof/>
        </w:rPr>
      </w:pPr>
      <w:r>
        <w:rPr>
          <w:noProof/>
        </w:rPr>
        <w:t>Unatoč malom proračunu Agencija je učinkovito iskorištavala svoje res</w:t>
      </w:r>
      <w:r>
        <w:rPr>
          <w:noProof/>
        </w:rPr>
        <w:t>urse i izvršavala svoje zadaće. Međutim, zbog dvije lokacije u Ateni i Heraklionu nastali su dodatni administrativni troškovi.</w:t>
      </w:r>
    </w:p>
    <w:p w:rsidR="00A761A4" w:rsidRDefault="0064189B">
      <w:pPr>
        <w:pStyle w:val="Bullet0"/>
        <w:rPr>
          <w:noProof/>
        </w:rPr>
      </w:pPr>
      <w:r>
        <w:rPr>
          <w:noProof/>
        </w:rPr>
        <w:t xml:space="preserve">Kada je riječ o djelotvornosti, ENISA je djelomično ostvarila svoje ciljeve. Agencija je uspješno pridonijela poboljšanju mrežne </w:t>
      </w:r>
      <w:r>
        <w:rPr>
          <w:noProof/>
        </w:rPr>
        <w:t>i informacijske sigurnosti u Europi ponudom jačanja kapaciteta u 28 država članica</w:t>
      </w:r>
      <w:r>
        <w:rPr>
          <w:rStyle w:val="FootnoteReference"/>
          <w:noProof/>
        </w:rPr>
        <w:footnoteReference w:id="13"/>
      </w:r>
      <w:r>
        <w:rPr>
          <w:noProof/>
        </w:rPr>
        <w:t>, jačanjem suradnje među državama članicama i dionicima u području mrežne i informacijske sigurnosti te pružanjem stručnih savjeta, jačanja zajedništva i potpore razvoju pol</w:t>
      </w:r>
      <w:r>
        <w:rPr>
          <w:noProof/>
        </w:rPr>
        <w:t xml:space="preserve">itika. ENISA se vrijedno usmjerila na provedbu svojeg programa rada i bila je pouzdani partner svojim dionicima u području čija je velika prekogranična važnost priznata tek nedavno. </w:t>
      </w:r>
    </w:p>
    <w:p w:rsidR="00A761A4" w:rsidRDefault="0064189B">
      <w:pPr>
        <w:pStyle w:val="Bullet0"/>
        <w:rPr>
          <w:noProof/>
        </w:rPr>
      </w:pPr>
      <w:r>
        <w:rPr>
          <w:noProof/>
        </w:rPr>
        <w:t>ENISA je uspjela ostvariti učinak, barem u određenoj mjeri, u širokom pod</w:t>
      </w:r>
      <w:r>
        <w:rPr>
          <w:noProof/>
        </w:rPr>
        <w:t>ručju mrežne i informacijske sigurnosti, ali nije u potpunosti uspjela razviti prepoznatljivost i dostatnu vidljivost da bi bila priznata kao „glavni” stručni centar u Europi. To se može objasniti širokim mandatom ENISA-e za koji joj nisu osigurana razmjer</w:t>
      </w:r>
      <w:r>
        <w:rPr>
          <w:noProof/>
        </w:rPr>
        <w:t>na i dostatna sredstva. Nadalje, ENISA je jedina agencija EU-a s ograničenim mandatom, zbog čega je ograničena njezina mogućnost razvoja dugoročne vizije i održive potpore dionicima. To je i u suprotnosti s odredbama Direktive NIS kojom se ENISA-i povjerav</w:t>
      </w:r>
      <w:r>
        <w:rPr>
          <w:noProof/>
        </w:rPr>
        <w:t>aju zadaće koje nisu ograničenog trajanja. Naposljetku, ocjenjivanjem je utvrđeno da se njezina ograničena djelotvornost dijelom može objasniti znatnim oslanjanjem na vanjske stručnjake umjesto na vlastite stručnjake te teškoćama sa zapošljavanjem i zadrža</w:t>
      </w:r>
      <w:r>
        <w:rPr>
          <w:noProof/>
        </w:rPr>
        <w:t>vanjem stručnog osoblja.</w:t>
      </w:r>
    </w:p>
    <w:p w:rsidR="00A761A4" w:rsidRDefault="0064189B">
      <w:pPr>
        <w:pStyle w:val="Bullet0"/>
        <w:rPr>
          <w:noProof/>
        </w:rPr>
      </w:pPr>
      <w:r>
        <w:rPr>
          <w:noProof/>
        </w:rPr>
        <w:t>Naposljetku, ali ne najmanje važno, zaključak je ocjenjivanja da dodana vrijednost ENISA-e poglavito proizlazi iz sposobnosti Agencije da pojača suradnju poglavito među državama članicama, a posebno s povezanim zajednicama mrežne i</w:t>
      </w:r>
      <w:r>
        <w:rPr>
          <w:noProof/>
        </w:rPr>
        <w:t xml:space="preserve"> informacijske sigurnosti (posebno između CSIRT-ova). Na razini EU-a ne postoji nijedan drugi akter koji podupire tako široki raspon dionika u području mrežne i informacijske sigurnosti. Međutim, budući da ENISA mora strogo odrediti prioritete među svojim </w:t>
      </w:r>
      <w:r>
        <w:rPr>
          <w:noProof/>
        </w:rPr>
        <w:t xml:space="preserve">aktivnostima, njezin program rada većinom se temelji na potrebama država članica. Ona zbog toga ne rješava u dovoljnoj mjeri potrebe drugih dionika, posebno industrije. Osim toga, Agencija poglavito zadovoljava potrebe svojih ključnih dionika, a zbog toga </w:t>
      </w:r>
      <w:r>
        <w:rPr>
          <w:noProof/>
        </w:rPr>
        <w:t>ne može ostvariti veći učinak. Stoga se dodana vrijednost Agencije razlikovala ovisno o različitim potrebama njezinih dionika i mjeri do koje ih je mogla zadovoljiti (npr. velike države članice u odnosu na male države članice; države članice u odnosu na in</w:t>
      </w:r>
      <w:r>
        <w:rPr>
          <w:noProof/>
        </w:rPr>
        <w:t xml:space="preserve">dustriju). </w:t>
      </w:r>
    </w:p>
    <w:p w:rsidR="00A761A4" w:rsidRDefault="0064189B">
      <w:pPr>
        <w:rPr>
          <w:noProof/>
          <w:szCs w:val="24"/>
        </w:rPr>
      </w:pPr>
      <w:r>
        <w:rPr>
          <w:noProof/>
        </w:rPr>
        <w:t xml:space="preserve">Ukratko, na temelju rezultata savjetovanja s dionicima i ocjenjivanja moglo se zaključiti da treba prilagoditi resurse i mandat ENISA-e kako bi ona mogla imati odgovarajuću ulogu u odgovoru na sadašnje i buduće izazove. </w:t>
      </w:r>
    </w:p>
    <w:p w:rsidR="00A761A4" w:rsidRDefault="0064189B">
      <w:pPr>
        <w:spacing w:after="0"/>
        <w:rPr>
          <w:rFonts w:eastAsia="Calibri"/>
          <w:noProof/>
          <w:szCs w:val="24"/>
        </w:rPr>
      </w:pPr>
      <w:r>
        <w:rPr>
          <w:noProof/>
        </w:rPr>
        <w:t>Uzimajući u obzir te na</w:t>
      </w:r>
      <w:r>
        <w:rPr>
          <w:noProof/>
        </w:rPr>
        <w:t>laze u ovom prijedlogu preispituje se trenutačni mandat ENISA-e i utvrđuje obnovljeni skup zadaća i funkcija u cilju djelotvorne i učinkovite potpore nastojanju država članica, institucija EU-a i ostalih dionika da u Europskoj uniji osiguraju siguran kiber</w:t>
      </w:r>
      <w:r>
        <w:rPr>
          <w:noProof/>
        </w:rPr>
        <w:t>prostor. Novim predloženim mandatom nastoji se Agenciji dati snažnija i važnija uloga koja će posebno uključivati podupiranje država članica u provedbi Direktive NIS te osigurati da aktivnije suzbija određene prijetnje (operativni kapacitet) i da postane s</w:t>
      </w:r>
      <w:r>
        <w:rPr>
          <w:noProof/>
        </w:rPr>
        <w:t xml:space="preserve">tručni centar za pomoć državama članicama i Komisiji u postupku kibersigurnosne certifikacije. Ovim prijedlogom: </w:t>
      </w:r>
    </w:p>
    <w:p w:rsidR="00A761A4" w:rsidRDefault="0064189B">
      <w:pPr>
        <w:pStyle w:val="Bullet0"/>
        <w:rPr>
          <w:noProof/>
        </w:rPr>
      </w:pPr>
      <w:r>
        <w:rPr>
          <w:noProof/>
        </w:rPr>
        <w:t xml:space="preserve">ENISA-i će se odobriti stalni mandat i osigurati stabilna osnova za budućnost. Mandat, ciljevi i zadaće trebali bi se i dalje redovito </w:t>
      </w:r>
      <w:r>
        <w:rPr>
          <w:noProof/>
        </w:rPr>
        <w:t>preispitivati.</w:t>
      </w:r>
    </w:p>
    <w:p w:rsidR="00A761A4" w:rsidRDefault="0064189B">
      <w:pPr>
        <w:pStyle w:val="Bullet0"/>
        <w:rPr>
          <w:noProof/>
        </w:rPr>
      </w:pPr>
      <w:r>
        <w:rPr>
          <w:noProof/>
        </w:rPr>
        <w:t xml:space="preserve">Predloženim mandatom dodatno se pojašnjava uloga ENISA-e kao agencije EU-a za kibersigurnost i kao referentne točke u kiberekosustavu EU-a koja djeluje u bliskoj suradnji sa svim drugim relevantnim tijelima takvog ekosustava. </w:t>
      </w:r>
    </w:p>
    <w:p w:rsidR="00A761A4" w:rsidRDefault="0064189B">
      <w:pPr>
        <w:pStyle w:val="Bullet0"/>
        <w:rPr>
          <w:noProof/>
        </w:rPr>
      </w:pPr>
      <w:r>
        <w:rPr>
          <w:noProof/>
        </w:rPr>
        <w:t>Preispitivanje</w:t>
      </w:r>
      <w:r>
        <w:rPr>
          <w:noProof/>
        </w:rPr>
        <w:t xml:space="preserve"> ustrojstva Agencije i upravljanja njome, koji su tijekom ocjenjivanja pozitivno ocijenjeni, provelo bi se u umjerenom opsegu, konkretno kako bi se osiguralo da su radom Agencije bolje obuhvaćene potrebe šire zajednice dionika. </w:t>
      </w:r>
    </w:p>
    <w:p w:rsidR="00A761A4" w:rsidRDefault="0064189B">
      <w:pPr>
        <w:pStyle w:val="Bullet0"/>
        <w:rPr>
          <w:noProof/>
        </w:rPr>
      </w:pPr>
      <w:r>
        <w:rPr>
          <w:noProof/>
        </w:rPr>
        <w:t>Podrobno je opisan predlože</w:t>
      </w:r>
      <w:r>
        <w:rPr>
          <w:noProof/>
        </w:rPr>
        <w:t xml:space="preserve">ni opseg mandata s većim naglaskom na područjima u kojima je agencija pokazala jasnu dodanu vrijednost te dodavanjem novih područja u kojima je potrebna potpora zbog novih prioriteta politike i instrumenata, posebno Direktive NIS, revizije Strategije EU-a </w:t>
      </w:r>
      <w:r>
        <w:rPr>
          <w:noProof/>
        </w:rPr>
        <w:t>za kibersigurnost, novog Plana EU-a u području kibersigurnosti za suradnju u kiberkrizama i sigurnosno certificiranje u području IKT-a:</w:t>
      </w:r>
    </w:p>
    <w:p w:rsidR="00A761A4" w:rsidRDefault="0064189B">
      <w:pPr>
        <w:pStyle w:val="Bullet1"/>
        <w:rPr>
          <w:noProof/>
        </w:rPr>
      </w:pPr>
      <w:r>
        <w:rPr>
          <w:b/>
          <w:noProof/>
        </w:rPr>
        <w:t xml:space="preserve">Razvoj i provedba politike EU-a: </w:t>
      </w:r>
      <w:r>
        <w:rPr>
          <w:noProof/>
        </w:rPr>
        <w:t>ENISA bi dobila zadaću da proaktivno pridonosi razvoju politike u području mrežne i inf</w:t>
      </w:r>
      <w:r>
        <w:rPr>
          <w:noProof/>
        </w:rPr>
        <w:t xml:space="preserve">ormacijske sigurnosti te drugim inicijativama politike koja obuhvaća elemente kibersigurnosti u različitim sektorima (npr. energija, promet, financije). Ona bi u tu svrhu imala snažnu savjetodavnu ulogu koju bi mogla ispuniti pružanjem neovisnih mišljenja </w:t>
      </w:r>
      <w:r>
        <w:rPr>
          <w:noProof/>
        </w:rPr>
        <w:t xml:space="preserve">i pripremnih aktivnosti za razvoj i ažuriranje politike i zakona. ENISA bi također podupirala politiku i zakonodavstvo EU-a u području elektroničkih komunikacija, elektroničkog identiteta i usluga povjerenja u cilju promicanja veće razine kibersigurnosti. </w:t>
      </w:r>
      <w:r>
        <w:rPr>
          <w:noProof/>
        </w:rPr>
        <w:t xml:space="preserve">U fazi provedbe, a posebno u kontekstu skupine za suradnju NIS, ENISA bi pomagala državama članicama da ostvare usklađeni pristup provedbi Direktive NIS-u preko granica i u svim sektorima te u drugim relevantnim politikama i zakonima. ENISA bi pridonosila </w:t>
      </w:r>
      <w:r>
        <w:rPr>
          <w:noProof/>
        </w:rPr>
        <w:t xml:space="preserve">redovitom preispitivanju politika i zakona u području kibersigurnosti i redovitim izvješćivanjem o stanju provedbe pravnog okvira EU-a. </w:t>
      </w:r>
    </w:p>
    <w:p w:rsidR="00A761A4" w:rsidRDefault="0064189B">
      <w:pPr>
        <w:pStyle w:val="Bullet1"/>
        <w:rPr>
          <w:noProof/>
        </w:rPr>
      </w:pPr>
      <w:r>
        <w:rPr>
          <w:b/>
          <w:noProof/>
        </w:rPr>
        <w:t>Jačanje kapaciteta:</w:t>
      </w:r>
      <w:r>
        <w:rPr>
          <w:noProof/>
        </w:rPr>
        <w:t xml:space="preserve"> ESISA bi pridonosila jačanju sposobnosti i stručnosti tijela EU-a i nacionalnih javnih tijela, uklj</w:t>
      </w:r>
      <w:r>
        <w:rPr>
          <w:noProof/>
        </w:rPr>
        <w:t>učujući u području odgovora na incidente i nadzora regulatornih mjera povezanih s kibersigurnošću. Agencija bi imala obvezu pridonijeti i uspostavi centara za razmjenu i analizu informacija (ISAC-ovi) u različitim sektorima pružanjem najbolje prakse i savj</w:t>
      </w:r>
      <w:r>
        <w:rPr>
          <w:noProof/>
        </w:rPr>
        <w:t>eta o dostupnim alatima i postupcima te prikladnim rješavanjem regulatornih pitanja povezanih s razmjenom informacija.</w:t>
      </w:r>
    </w:p>
    <w:p w:rsidR="00A761A4" w:rsidRDefault="0064189B">
      <w:pPr>
        <w:pStyle w:val="Bullet1"/>
        <w:rPr>
          <w:noProof/>
        </w:rPr>
      </w:pPr>
      <w:r>
        <w:rPr>
          <w:b/>
          <w:noProof/>
        </w:rPr>
        <w:t>Znanje i informacije, podizanje razine osviještenosti:</w:t>
      </w:r>
      <w:r>
        <w:rPr>
          <w:noProof/>
        </w:rPr>
        <w:t xml:space="preserve"> ENISA bi postala informativni centar EU-a. To bi značilo promicanje i razmjenu naj</w:t>
      </w:r>
      <w:r>
        <w:rPr>
          <w:noProof/>
        </w:rPr>
        <w:t>bolje prakse i inicijativa u cijelom EU-u prikupljanjem informacija o kibersigurnosti od institucija, agencija i tijela EU-a i nacionalnih institucija, agencija i tijela. Agencija bi pružala i savjete, smjernice i najbolju praksu u pogledu sigurnosti ključ</w:t>
      </w:r>
      <w:r>
        <w:rPr>
          <w:noProof/>
        </w:rPr>
        <w:t>ne infrastrukture. Nakon znatnih prekograničnih kiberincidenata ENISA bi sastavljala izvješća u cilju pružanja savjeta poduzećima i građanima u cijelom EU-u. Takva organizacija posla uključivala bi i redovitu organizaciju aktivnosti osvješćivanja u koordin</w:t>
      </w:r>
      <w:r>
        <w:rPr>
          <w:noProof/>
        </w:rPr>
        <w:t xml:space="preserve">aciji s nadležnim tijelima država članica. </w:t>
      </w:r>
    </w:p>
    <w:p w:rsidR="00A761A4" w:rsidRDefault="0064189B">
      <w:pPr>
        <w:pStyle w:val="Bullet1"/>
        <w:rPr>
          <w:noProof/>
        </w:rPr>
      </w:pPr>
      <w:r>
        <w:rPr>
          <w:b/>
          <w:noProof/>
        </w:rPr>
        <w:t>Zadaće povezane s tržištem (normizacija, kibersigurnosna certifikacija):</w:t>
      </w:r>
      <w:r>
        <w:rPr>
          <w:noProof/>
        </w:rPr>
        <w:t xml:space="preserve"> ENISA bi obavljala niz funkcija kojima se posebno podupire unutarnje tržište i koje obuhvaćaju „opservatorij tržišta” kibersigurnosti, a uk</w:t>
      </w:r>
      <w:r>
        <w:rPr>
          <w:noProof/>
        </w:rPr>
        <w:t>ljučuju analizu relevantnih trendova na kibersigurnosnom tržištu radi boljeg usklađivanja ponude i potražnje i podupiranje razvoja politike EU-a u području normizacije IKT-a i kibersigurnosne certifikacije u području IKT-a. Kada je konkretno riječ o normiz</w:t>
      </w:r>
      <w:r>
        <w:rPr>
          <w:noProof/>
        </w:rPr>
        <w:t xml:space="preserve">aciji, njome bi se olakšala uspostava i prihvaćanje normi u području kibersigurnosti. ENISA bi obavljala i zadaće koje su predviđene u kontekstu budućeg okvira za certifikaciju (vidi odjeljak u nastavku). </w:t>
      </w:r>
    </w:p>
    <w:p w:rsidR="00A761A4" w:rsidRDefault="0064189B">
      <w:pPr>
        <w:pStyle w:val="Bullet1"/>
        <w:rPr>
          <w:noProof/>
        </w:rPr>
      </w:pPr>
      <w:r>
        <w:rPr>
          <w:b/>
          <w:noProof/>
        </w:rPr>
        <w:t xml:space="preserve">Istraživanje i inovacije: </w:t>
      </w:r>
      <w:r>
        <w:rPr>
          <w:noProof/>
        </w:rPr>
        <w:t>ENISA bi pružala stručne</w:t>
      </w:r>
      <w:r>
        <w:rPr>
          <w:noProof/>
        </w:rPr>
        <w:t xml:space="preserve"> savjete tijelima EU-a i nacionalnim tijelima o utvrđivanju prioriteta u području istraživanja i razvoja, među ostalim u kontekstu ugovornog javno-privatnog partnerstva u području kibersigurnosti (cPPP). Savjeti ENISA-e o istraživanju uzeli bi se u obzir u</w:t>
      </w:r>
      <w:r>
        <w:rPr>
          <w:noProof/>
        </w:rPr>
        <w:t xml:space="preserve"> novom Europskom centru za istraživanje i kompetencije u području kibersigurnosti u okviru sljedećeg višegodišnjeg financijskog okvira. ENISA bi, na zahtjev Komisije, sudjelovala i u provedbi programa EU-a za financiranje istraživanja i inovacija.</w:t>
      </w:r>
    </w:p>
    <w:p w:rsidR="00A761A4" w:rsidRDefault="0064189B">
      <w:pPr>
        <w:pStyle w:val="Bullet1"/>
        <w:rPr>
          <w:noProof/>
        </w:rPr>
      </w:pPr>
      <w:r>
        <w:rPr>
          <w:b/>
          <w:noProof/>
        </w:rPr>
        <w:t>Operativ</w:t>
      </w:r>
      <w:r>
        <w:rPr>
          <w:b/>
          <w:noProof/>
        </w:rPr>
        <w:t>na suradnja i upravljanje krizom:</w:t>
      </w:r>
      <w:r>
        <w:rPr>
          <w:noProof/>
        </w:rPr>
        <w:t xml:space="preserve"> te aktivnosti temeljile bi se na jačanju postojećih operativnih sposobnosti za prevenciju, što bi konkretno uključivalo unaprjeđenje paneuropskih vježbi u području kibersigurnosti (Cyber Europe) njihovim održavanjem svake </w:t>
      </w:r>
      <w:r>
        <w:rPr>
          <w:noProof/>
        </w:rPr>
        <w:t>godine te pomoćnu ulogu u operativnoj suradnji koju bi ona imala kao tajništvo mreže CSIRT-ova (u skladu s odredbama Direktive NIS) koja uključuje osiguranje, među ostalim, dobrog funkcioniranja IT infrastrukture i komunikacijskih kanala mreže CSIRT-ova. U</w:t>
      </w:r>
      <w:r>
        <w:rPr>
          <w:noProof/>
        </w:rPr>
        <w:t xml:space="preserve"> tom bi kontekstu bila potrebna strukturirana suradnja s CERT-EU-om, Europskim centrom za kiberkriminal (EC3) i drugim nadležnim tijelima EU-a. Nadalje, strukturirana suradnja s CERT-EU-om, u velikoj fizičkoj blizini, trebala bi dovesti do funkcije pružanj</w:t>
      </w:r>
      <w:r>
        <w:rPr>
          <w:noProof/>
        </w:rPr>
        <w:t xml:space="preserve">a tehničke pomoći u slučaju znatnih incidenata i podupiranja analize incidenata. Države članice koje to zatraže dobile bi pomoć za rješavanje incidenata i potporu za analizu </w:t>
      </w:r>
      <w:bookmarkStart w:id="3" w:name="_GoBack"/>
      <w:bookmarkEnd w:id="3"/>
      <w:r>
        <w:rPr>
          <w:noProof/>
        </w:rPr>
        <w:t>ranjivosti, tragova i incidenata u cilju jačanja njihovih preventivnih i reaktivni</w:t>
      </w:r>
      <w:r>
        <w:rPr>
          <w:noProof/>
        </w:rPr>
        <w:t xml:space="preserve">h sposobnosti. </w:t>
      </w:r>
    </w:p>
    <w:p w:rsidR="00A761A4" w:rsidRDefault="0064189B">
      <w:pPr>
        <w:pStyle w:val="Bullet1"/>
        <w:rPr>
          <w:rFonts w:eastAsia="Calibri"/>
          <w:noProof/>
        </w:rPr>
      </w:pPr>
      <w:r>
        <w:rPr>
          <w:noProof/>
        </w:rPr>
        <w:t xml:space="preserve">ENISA bi imala važnu ulogu i u </w:t>
      </w:r>
      <w:r>
        <w:rPr>
          <w:b/>
          <w:noProof/>
        </w:rPr>
        <w:t>EU-ovu planu za kibersigurnost</w:t>
      </w:r>
      <w:r>
        <w:rPr>
          <w:noProof/>
        </w:rPr>
        <w:t xml:space="preserve"> koji se predstavlja u okviru ovog paketa i u kojem je navedena preporuka Komisije državama članicama o koordiniranom odgovoru na velike prekogranične incidente u području kibersi</w:t>
      </w:r>
      <w:r>
        <w:rPr>
          <w:noProof/>
        </w:rPr>
        <w:t>gurnosti i krize na razini EU-a</w:t>
      </w:r>
      <w:r>
        <w:rPr>
          <w:rStyle w:val="FootnoteReference"/>
          <w:noProof/>
        </w:rPr>
        <w:footnoteReference w:id="14"/>
      </w:r>
      <w:r>
        <w:rPr>
          <w:noProof/>
        </w:rPr>
        <w:t>. ENISA bi olakšala suradnju među pojedinim državama članicama u okviru hitnih odgovora analizom i objedinjavanjem nacionalnih izvješća o stanju na temelju informacija koje joj dobrovoljno dostavljaju države članice i ostali</w:t>
      </w:r>
      <w:r>
        <w:rPr>
          <w:noProof/>
        </w:rPr>
        <w:t xml:space="preserve"> subjekti.</w:t>
      </w:r>
    </w:p>
    <w:p w:rsidR="00A761A4" w:rsidRDefault="00A761A4">
      <w:pPr>
        <w:contextualSpacing/>
        <w:rPr>
          <w:noProof/>
          <w:szCs w:val="24"/>
        </w:rPr>
      </w:pPr>
    </w:p>
    <w:p w:rsidR="00A761A4" w:rsidRDefault="0064189B">
      <w:pPr>
        <w:pStyle w:val="Bullet0"/>
        <w:rPr>
          <w:b/>
          <w:noProof/>
        </w:rPr>
      </w:pPr>
      <w:r>
        <w:rPr>
          <w:b/>
          <w:noProof/>
        </w:rPr>
        <w:t>Kibersigurnosna certifikacija IKT proizvoda i usluga</w:t>
      </w:r>
    </w:p>
    <w:p w:rsidR="00A761A4" w:rsidRDefault="0064189B">
      <w:pPr>
        <w:rPr>
          <w:noProof/>
        </w:rPr>
      </w:pPr>
      <w:r>
        <w:rPr>
          <w:noProof/>
        </w:rPr>
        <w:t>U cilju uspostave i očuvanja povjerenja i sigurnosti IKT proizvodi i usluge moraju izravno uključivati sigurnosne značajke u ranim fazama svojeg tehničkog dizajna i razvoja (integrirana sigur</w:t>
      </w:r>
      <w:r>
        <w:rPr>
          <w:noProof/>
        </w:rPr>
        <w:t xml:space="preserve">nost). Nadalje, potrošači i korisnici moraju moći provjeriti razinu sigurnosnog jamstva proizvoda i usluga koje nabavljaju ili kupuju. </w:t>
      </w:r>
    </w:p>
    <w:p w:rsidR="00A761A4" w:rsidRDefault="0064189B">
      <w:pPr>
        <w:rPr>
          <w:noProof/>
        </w:rPr>
      </w:pPr>
      <w:r>
        <w:rPr>
          <w:noProof/>
        </w:rPr>
        <w:t>Certifikacija, koja obuhvaća formalno ocjenjivanje proizvoda, usluga i postupaka koje obavlja neovisno i akreditirano ti</w:t>
      </w:r>
      <w:r>
        <w:rPr>
          <w:noProof/>
        </w:rPr>
        <w:t>jelo u skladu s utvrđenim skupom kriterija i izdavanje certifikata o sukladnosti, ima važnu ulogu za povećanje povjerenja i sigurnosti proizvoda i usluga. Iako je ocjenjivanje sigurnosti u dobroj mjeri tehničko područje, svrha je certificiranja informirati</w:t>
      </w:r>
      <w:r>
        <w:rPr>
          <w:noProof/>
        </w:rPr>
        <w:t xml:space="preserve"> kupce i korisnike o sigurnosnim obilježjima IKT proizvoda i usluga koje kupuju i kojima se koriste i uvjeriti ih u njihovu sigurnost. Kako je prethodno navedeno, to se posebno odnosi na nove sustave u kojima se u velikoj mjeri upotrebljavaju digitalne teh</w:t>
      </w:r>
      <w:r>
        <w:rPr>
          <w:noProof/>
        </w:rPr>
        <w:t>nologije i koji zahtijevaju visoku razinu sigurnosti, primjerice povezani i automatizirani automobili, e-zdravlje, kontrolni sustavi za industrijsku automatizaciju</w:t>
      </w:r>
      <w:r>
        <w:rPr>
          <w:rStyle w:val="FootnoteReference"/>
          <w:noProof/>
        </w:rPr>
        <w:footnoteReference w:id="15"/>
      </w:r>
      <w:r>
        <w:rPr>
          <w:noProof/>
        </w:rPr>
        <w:t xml:space="preserve"> ili pametne mreže.</w:t>
      </w:r>
    </w:p>
    <w:p w:rsidR="00A761A4" w:rsidRDefault="0064189B">
      <w:pPr>
        <w:rPr>
          <w:noProof/>
        </w:rPr>
      </w:pPr>
      <w:r>
        <w:rPr>
          <w:noProof/>
        </w:rPr>
        <w:t>Trenutačno je kibersigurnosna certifikacija IKT proizvoda i usluga u EU-</w:t>
      </w:r>
      <w:r>
        <w:rPr>
          <w:noProof/>
        </w:rPr>
        <w:t>u u znatnoj mjeri fragmentirana. Postoji niz međunarodnih inicijativa, na primjer Zajednički kriteriji (CC) za sigurnosno ocjenjivanje informacijske tehnologije (ISO 15408), što je međunarodna norma za ocjenjivanje računalne sigurnosti. Temelji se na evalu</w:t>
      </w:r>
      <w:r>
        <w:rPr>
          <w:noProof/>
        </w:rPr>
        <w:t>aciji treće strane i predviđa sedam razina Procjene razine osiguranja (EAL). Zajednički kriteriji i prateća Zajednička metodologija za ocjenjivanje sigurnosti informacijske tehnologije (CEM) tehnička su osnova za međunarodni sporazum, Sporazum o zajednički</w:t>
      </w:r>
      <w:r>
        <w:rPr>
          <w:noProof/>
        </w:rPr>
        <w:t>m kriterijima za priznavanje (CCRA) kojim se osigurava da certifikate o ispunjavanju zajedničkih kriterija priznaju svi njegovi potpisnici. Međutim, u okviru trenutačne verzije CCRA-a uzajamno se priznaju samo ocjene do razine EAL 2. Nadalje, sporazum je p</w:t>
      </w:r>
      <w:r>
        <w:rPr>
          <w:noProof/>
        </w:rPr>
        <w:t xml:space="preserve">otpisalo samo 13 država članica. </w:t>
      </w:r>
    </w:p>
    <w:p w:rsidR="00A761A4" w:rsidRDefault="0064189B">
      <w:pPr>
        <w:rPr>
          <w:noProof/>
        </w:rPr>
      </w:pPr>
      <w:r>
        <w:rPr>
          <w:noProof/>
        </w:rPr>
        <w:t>Tijela za certificiranje 12 država članica sklopila su sporazum o uzajamnom priznavanju koji se odnosi na certifikate izdane u skladu sa sporazumom na temelju Zajedničkih kriterija</w:t>
      </w:r>
      <w:r>
        <w:rPr>
          <w:rStyle w:val="FootnoteReference"/>
          <w:noProof/>
        </w:rPr>
        <w:footnoteReference w:id="16"/>
      </w:r>
      <w:r>
        <w:rPr>
          <w:noProof/>
        </w:rPr>
        <w:t>. Nadalje, u državama članicama trenutačn</w:t>
      </w:r>
      <w:r>
        <w:rPr>
          <w:noProof/>
        </w:rPr>
        <w:t xml:space="preserve">o postoji određeni broj inicijativa za certifikaciju IKT-a ili je njihova uspostava u tijeku. Bez obzira na njihovu važnost, prisutan je rizik od rascjepkanosti tržišta i pojave problema povezanih s interoperabilnošću. Zbog toga će trgovačko društvo možda </w:t>
      </w:r>
      <w:r>
        <w:rPr>
          <w:noProof/>
        </w:rPr>
        <w:t>morati prolaziti nekoliko postupaka certificiranja u različitim državama članicama da bi svoj proizvod moglo ponuditi na više tržišta. Na primjer, proizvođač brojila koji želi prodavati svoje proizvode u tri države članice, na primjer u Njemačkoj, Francusk</w:t>
      </w:r>
      <w:r>
        <w:rPr>
          <w:noProof/>
        </w:rPr>
        <w:t>oj i UK-u trenutačno se mora uskladiti s tri različita programa certificiranja. To su Jamstvo za komercijalne proizvode (CPA) u UK-u, Certification de Sécurité de Premier Niveau u Francuskoj (CSPN) i profil za posebnu zaštitu na temelju Zajedničkih kriteri</w:t>
      </w:r>
      <w:r>
        <w:rPr>
          <w:noProof/>
        </w:rPr>
        <w:t>ja u Njemačkoj.</w:t>
      </w:r>
    </w:p>
    <w:p w:rsidR="00A761A4" w:rsidRDefault="0064189B">
      <w:pPr>
        <w:rPr>
          <w:noProof/>
        </w:rPr>
      </w:pPr>
      <w:r>
        <w:rPr>
          <w:noProof/>
        </w:rPr>
        <w:t>To stanje dovodi do većih troškova i trgovačkim društvima koja djeluju u nekoliko država članica stvara znatno administrativno opterećenje. Iako se trošak certificiranja može znatno razlikovati ovisno o predmetnom proizvodu/usluzi, traženoj</w:t>
      </w:r>
      <w:r>
        <w:rPr>
          <w:noProof/>
        </w:rPr>
        <w:t xml:space="preserve"> razini osiguranja u okviru ocjenjivanja i/ili ostalim komponentama, u načelu je riječ o velikim troškovima za poduzeća. BSI-jev certifikat „Smart Meter Gateway”, na primjer, košta više od milijun EUR (najviša razina ispitivanja i jamstva, ne odnosi se sam</w:t>
      </w:r>
      <w:r>
        <w:rPr>
          <w:noProof/>
        </w:rPr>
        <w:t>o na jedan proizvod već i na cijelu infrastrukturu oko proizvoda). Certifikacija pametnih brojila u UK-u košta približno 150 000 EUR. Trošak u Francuskoj sličan je trošku u UK-u, približno 150 000 EUR ili više.</w:t>
      </w:r>
    </w:p>
    <w:p w:rsidR="00A761A4" w:rsidRDefault="0064189B">
      <w:pPr>
        <w:rPr>
          <w:noProof/>
        </w:rPr>
      </w:pPr>
      <w:r>
        <w:rPr>
          <w:noProof/>
        </w:rPr>
        <w:t>Ključni javni i privatni dionici potvrdili su</w:t>
      </w:r>
      <w:r>
        <w:rPr>
          <w:noProof/>
        </w:rPr>
        <w:t xml:space="preserve"> da trgovačka društva, zbog nepostojanja programa kibersigurnosne certifikacije za cijeli EU, moraju u mnogim okolnostima biti zasebno certificirana u svakoj državi članici, što dovodi do rascjepkanosti tržišta. Još je važnije napomenuti da bi, u nedostatk</w:t>
      </w:r>
      <w:r>
        <w:rPr>
          <w:noProof/>
        </w:rPr>
        <w:t>u zakonodavstva EU-a o usklađivanju u području IKT proizvoda i usluga, zbog razlika u normama i praksi kibersigurnosne certifikacije u državama članicama u EU-u moglo nastati 28 odvojenih sigurnosnih tržišta s vlastitim tehničkim zahtjevima, metodologijama</w:t>
      </w:r>
      <w:r>
        <w:rPr>
          <w:noProof/>
        </w:rPr>
        <w:t xml:space="preserve"> ispitivanja i postupcima za kibersigurnosna certifikacija. Ako se ne poduzmu prikladne mjere na razini EU-a, ti različiti pristupi na nacionalnoj razini mogli bi uzrokovati znatne probleme u uspostavi jedinstvenog digitalnog tržišta jer bi se usporili ili</w:t>
      </w:r>
      <w:r>
        <w:rPr>
          <w:noProof/>
        </w:rPr>
        <w:t xml:space="preserve"> spriječili povezani pozitivni učinci u pogledu rasta i zapošljavanja.</w:t>
      </w:r>
    </w:p>
    <w:p w:rsidR="00A761A4" w:rsidRDefault="0064189B">
      <w:pPr>
        <w:rPr>
          <w:noProof/>
        </w:rPr>
      </w:pPr>
      <w:r>
        <w:rPr>
          <w:noProof/>
        </w:rPr>
        <w:t>Na temelju prethodno navedenih kretanja predloženom Uredbom uspostavlja se okvir za kibersigurnosnu certifikaciju („</w:t>
      </w:r>
      <w:r>
        <w:rPr>
          <w:b/>
          <w:noProof/>
        </w:rPr>
        <w:t>Okvir</w:t>
      </w:r>
      <w:r>
        <w:rPr>
          <w:noProof/>
        </w:rPr>
        <w:t>”) IKT proizvoda i usluga i opisuju osnovne funkcije i zadaće EN</w:t>
      </w:r>
      <w:r>
        <w:rPr>
          <w:noProof/>
        </w:rPr>
        <w:t>ISA-e u području kibersigurnosne certifikacije. Ovim prijedlogom uspostavlja se opći okvir pravila kojima se uređuju europski programi kibersigurnosne certifikacije. Prijedlogom se ne uvode izravno operativni programi certificiranja već se stvara sustav (o</w:t>
      </w:r>
      <w:r>
        <w:rPr>
          <w:noProof/>
        </w:rPr>
        <w:t>kvir) za uspostavu posebnih programa certificiranja za određene IKT proizvode/usluge („Europski programi kibersigurnosne certifikacije”). Stvaranjem europskih programa kibersigurnosne certifikacije u skladu s Okvirom omogućit će se da certifikati izdani na</w:t>
      </w:r>
      <w:r>
        <w:rPr>
          <w:noProof/>
        </w:rPr>
        <w:t xml:space="preserve"> temelju tih programa budu važeći i priznati u svim državama članicama te će se riješiti postojeći problem rascjepkanosti tržišta. </w:t>
      </w:r>
    </w:p>
    <w:p w:rsidR="00A761A4" w:rsidRDefault="0064189B">
      <w:pPr>
        <w:rPr>
          <w:noProof/>
        </w:rPr>
      </w:pPr>
      <w:r>
        <w:rPr>
          <w:noProof/>
        </w:rPr>
        <w:t xml:space="preserve">Opća je svrha europskog programa kibersigurnosne certifikacije potvrditi da su IKT proizvodi i usluge koji su certificirani </w:t>
      </w:r>
      <w:r>
        <w:rPr>
          <w:noProof/>
        </w:rPr>
        <w:t>u skladu s takvim programom u skladu s navedenim kibersigurnosnim zahtjevima. To bi, primjerice, uključivalo njihovu sposobnost da zaštite podatke (pohranjene, poslane ili obrađene na neki drugi način) od slučajnog ili neovlaštenog pohranjivanja, obrade, p</w:t>
      </w:r>
      <w:r>
        <w:rPr>
          <w:noProof/>
        </w:rPr>
        <w:t>ristupa, otkrivanja, uništavanja, slučajnog gubitka ili izmjene. Programima kibersigurnosne certifikacije EU-a iskoristile bi se postojeće norme u pogledu tehničkih zahtjeva i postupaka evaluacije s kojima se proizvodi moraju uskladiti, a ne bi se razvijal</w:t>
      </w:r>
      <w:r>
        <w:rPr>
          <w:noProof/>
        </w:rPr>
        <w:t>e posebne tehničke norme</w:t>
      </w:r>
      <w:r>
        <w:rPr>
          <w:rStyle w:val="FootnoteReference"/>
          <w:noProof/>
        </w:rPr>
        <w:footnoteReference w:id="17"/>
      </w:r>
      <w:r>
        <w:rPr>
          <w:noProof/>
        </w:rPr>
        <w:t>. Na primjer, certificiranje proizvoda poput pametnih kartica, koji se trenutačno ispituju na temelju međunarodnih normi CC-a u skladu s multilateralnim programom SOG-IS (kako je prethodno opisano) u cijelom EU-u značilo bi da se t</w:t>
      </w:r>
      <w:r>
        <w:rPr>
          <w:noProof/>
        </w:rPr>
        <w:t>aj program primjenjuje u cijelom EU-u.</w:t>
      </w:r>
    </w:p>
    <w:p w:rsidR="00A761A4" w:rsidRDefault="0064189B">
      <w:pPr>
        <w:rPr>
          <w:noProof/>
        </w:rPr>
      </w:pPr>
      <w:r>
        <w:rPr>
          <w:noProof/>
        </w:rPr>
        <w:t>U prijedlogu se ne ističe samo poseban skup sigurnosnih ciljeva koje treba uzeti u obzir pri oblikovanju posebnog europskog programa kibersigurnosne certifikacije već se propisuje i minimalni sadržaj takvih programa T</w:t>
      </w:r>
      <w:r>
        <w:rPr>
          <w:noProof/>
        </w:rPr>
        <w:t>akvim programima morat će se odrediti, među ostalim, broj posebnih elemenata kojima se utvrđuju područje primjene i cilj kibersigurnosne certifikacije. To uključuje utvrđivanje obuhvaćenih kategorija proizvoda i usluga, detaljnu specifikaciju kibersigurnos</w:t>
      </w:r>
      <w:r>
        <w:rPr>
          <w:noProof/>
        </w:rPr>
        <w:t>nih zahtjeva (na primjer upućivanjem na primjenjive norme ili tehničke specifikacije), posebne kriterije i metode za ocjenjivanje i razinu jamstva koja se njima planira osigurati (npr. osnovna, znatna ili visoka).</w:t>
      </w:r>
    </w:p>
    <w:p w:rsidR="00A761A4" w:rsidRDefault="0064189B">
      <w:pPr>
        <w:rPr>
          <w:noProof/>
        </w:rPr>
      </w:pPr>
      <w:r>
        <w:rPr>
          <w:noProof/>
        </w:rPr>
        <w:t>Europske programe kibersigurnosne certifik</w:t>
      </w:r>
      <w:r>
        <w:rPr>
          <w:noProof/>
        </w:rPr>
        <w:t>acije izradit će ENISA uz pomoć i stručne savjete Europske skupine za kibersigurnosnu certifikaciju (vidjeti u nastavku) i u suradnji s njome, a donijet će ih Komisija provedbenim aktima. Kada se utvrdi da je potreban program kibersigurnosne certifikacije,</w:t>
      </w:r>
      <w:r>
        <w:rPr>
          <w:noProof/>
        </w:rPr>
        <w:t xml:space="preserve"> Komisija će zatražiti od ENISA-e da izradi program za određene IKT proizvode i usluge. ENISA će raditi na programu u bliskoj suradnji s nacionalnim tijelima za nadzor certifikacije koja su zastupljena u Skupini. Države članice i skupina mogu Komisiji pred</w:t>
      </w:r>
      <w:r>
        <w:rPr>
          <w:noProof/>
        </w:rPr>
        <w:t xml:space="preserve">ložiti da od ENISA-e zatraži izradu određenog programa. </w:t>
      </w:r>
    </w:p>
    <w:p w:rsidR="00A761A4" w:rsidRDefault="0064189B">
      <w:pPr>
        <w:rPr>
          <w:noProof/>
        </w:rPr>
      </w:pPr>
      <w:r>
        <w:rPr>
          <w:noProof/>
        </w:rPr>
        <w:t xml:space="preserve">Certificiranje može biti vrlo skup postupak koji bi mogao dovesti do viših cijena za kupce i potrošače. Potreba za certificiranjem može se znatno razlikovati i zbog posebnog konteksta </w:t>
      </w:r>
      <w:r>
        <w:rPr>
          <w:noProof/>
        </w:rPr>
        <w:t>uporabe proizvoda i usluga i brzine tehnoloških promjena. Uporaba europske kibersigurnosne certifikacije stoga bi i dalje trebala biti dobrovoljna, osim ako je drugačije predviđeno u zakonodavstvu Unije kojim su propisani sigurnosni zahtjevi za IKT proizvo</w:t>
      </w:r>
      <w:r>
        <w:rPr>
          <w:noProof/>
        </w:rPr>
        <w:t xml:space="preserve">de i usluge. </w:t>
      </w:r>
    </w:p>
    <w:p w:rsidR="00A761A4" w:rsidRDefault="0064189B">
      <w:pPr>
        <w:rPr>
          <w:noProof/>
        </w:rPr>
      </w:pPr>
      <w:r>
        <w:rPr>
          <w:noProof/>
        </w:rPr>
        <w:t>Kako bi se osigurala usklađenost i izbjegla rascjepkanost, nacionalni programi ili postupci kibersigurnosne certifikacije za IKT proizvode i usluge obuhvaćene europskim programom kibersigurnosne certifikacije prestat će se primjenjivati od da</w:t>
      </w:r>
      <w:r>
        <w:rPr>
          <w:noProof/>
        </w:rPr>
        <w:t>tuma utvrđenog u provedbenom aktu o donošenju programa. Države članice ne bi trebale uvoditi nove nacionalne programe kibersigurnosne certifikacije IKT proizvoda i usluga koji su već obuhvaćeni postojećim europskim programom kibersigurnosne certifikacije.</w:t>
      </w:r>
    </w:p>
    <w:p w:rsidR="00A761A4" w:rsidRDefault="0064189B">
      <w:pPr>
        <w:rPr>
          <w:noProof/>
        </w:rPr>
      </w:pPr>
      <w:r>
        <w:rPr>
          <w:noProof/>
        </w:rPr>
        <w:t>Nakon donošenja europskog programa kibersigurnosne certifikacije, proizvođači IKT proizvoda ili pružatelji IKT usluga moći će podnijeti zahtjev za certifikaciju svojih proizvoda i usluga tijelu za ocjenjivanje sukladnosti po svojem izboru. Ako tijela za oc</w:t>
      </w:r>
      <w:r>
        <w:rPr>
          <w:noProof/>
        </w:rPr>
        <w:t xml:space="preserve">jenjivanje sukladnosti ispunjavaju određene propisane zahtjeve, trebalo bi ih akreditirati akreditacijsko tijelo. Akreditacija se izdaje na najviše pet godina i može se obnoviti pod istim uvjetima ako tijelo za ocjenjivanje sukladnosti ispunjava zahtjeve. </w:t>
      </w:r>
      <w:r>
        <w:rPr>
          <w:noProof/>
        </w:rPr>
        <w:t>Akreditacijska tijela ukidaju akreditaciju tijela za ocjenjivanje sukladnosti ako ono ne ispunjava, ili je prestalo ispunjavati, uvjete za akreditaciju ili ako se mjerama koje je poduzelo tijelo za ocjenjivanje sukladnosti krši ova Uredba.</w:t>
      </w:r>
    </w:p>
    <w:p w:rsidR="00A761A4" w:rsidRDefault="0064189B">
      <w:pPr>
        <w:rPr>
          <w:noProof/>
        </w:rPr>
      </w:pPr>
      <w:r>
        <w:rPr>
          <w:noProof/>
        </w:rPr>
        <w:t xml:space="preserve">U skladu s ovim </w:t>
      </w:r>
      <w:r>
        <w:rPr>
          <w:noProof/>
        </w:rPr>
        <w:t xml:space="preserve">prijedlogom države članice odgovorne su za zadaće praćenja, nadzora i izvršenja. Države članice morat će osigurati jedno tijelo za nadzor certifikacije. To će tijelo nadzirati usklađenost tijela za ocjenjivanje sukladnosti i certifikate koje izdaju tijela </w:t>
      </w:r>
      <w:r>
        <w:rPr>
          <w:noProof/>
        </w:rPr>
        <w:t>za ocjenjivanje sukladnosti osnovana na njihovu državnom području sa zahtjevima iz ove Uredbe i relevantnim europskim programima za kibersigurnosnu certifikaciju. Nacionalna tijela za nadzor certifikacije bit će nadležna za rješavanje pritužbi fizičkih ili</w:t>
      </w:r>
      <w:r>
        <w:rPr>
          <w:noProof/>
        </w:rPr>
        <w:t xml:space="preserve"> pravnih osoba u vezi s certifikatima koje su izdala tijela za ocjenjivanje sukladnosti na njihovu državnom području. Ona će u određenoj mjeri provoditi istragu predmeta pritužbe i u razumnom roku obavijestiti podnositelja pritužbe o napretku i ishodu istr</w:t>
      </w:r>
      <w:r>
        <w:rPr>
          <w:noProof/>
        </w:rPr>
        <w:t>age. Nadalje, ona će surađivati s drugim tijelima za nadzor certifikacije ili s drugim javnim tijelima, na primjer razmjenom informacija o mogućoj neusklađenosti IKT proizvoda i usluga sa zahtjevima iz ove Uredbe ili s posebnim europskim programima kibersi</w:t>
      </w:r>
      <w:r>
        <w:rPr>
          <w:noProof/>
        </w:rPr>
        <w:t>gurnosne certifikacije.</w:t>
      </w:r>
    </w:p>
    <w:p w:rsidR="00A761A4" w:rsidRDefault="0064189B">
      <w:pPr>
        <w:rPr>
          <w:noProof/>
        </w:rPr>
      </w:pPr>
      <w:r>
        <w:rPr>
          <w:noProof/>
        </w:rPr>
        <w:t>Naposljetku, prijedlogom se uspostavlja Europska skupina za kibersigurnosnu certifikaciju („Skupina”) sastavljena od nacionalnih tijela za nadzor certifikacije iz svih država članica. Glavna je zadaća te Skupine savjetovati Komisiju</w:t>
      </w:r>
      <w:r>
        <w:rPr>
          <w:noProof/>
        </w:rPr>
        <w:t xml:space="preserve"> o pitanjima povezanima s politikom kibersigurnosne certifikacije i surađivati s ENISA-om na razvoju nacrta europskih programa kibersigurnosne certifikacije. ENISA će pomagati Komisiji osiguravanjem tajništva Skupine i vođenjem ažurnog javnog popisa progra</w:t>
      </w:r>
      <w:r>
        <w:rPr>
          <w:noProof/>
        </w:rPr>
        <w:t>ma koji su odobreni unutar europskog okvira za kibersigurnosnu certifikaciju. ENISA bi se povezala i s normizacijskim tijelima kako bi osigurala primjenu odgovarajućih normi u odobrenim programima i utvrdila područja u kojima su kibersigurnosne norme potre</w:t>
      </w:r>
      <w:r>
        <w:rPr>
          <w:noProof/>
        </w:rPr>
        <w:t>bne.</w:t>
      </w:r>
    </w:p>
    <w:p w:rsidR="00A761A4" w:rsidRDefault="0064189B">
      <w:pPr>
        <w:rPr>
          <w:noProof/>
        </w:rPr>
      </w:pPr>
      <w:r>
        <w:rPr>
          <w:noProof/>
        </w:rPr>
        <w:t>Europskim okvirom za kibersigurnosnu certifikaciju („Okvir”) osigurat će se koristi za građane i poduzeća, primjerice:</w:t>
      </w:r>
    </w:p>
    <w:p w:rsidR="00A761A4" w:rsidRDefault="0064189B">
      <w:pPr>
        <w:pStyle w:val="Bullet0"/>
        <w:rPr>
          <w:noProof/>
        </w:rPr>
      </w:pPr>
      <w:r>
        <w:rPr>
          <w:noProof/>
        </w:rPr>
        <w:t>uspostavom programa za kibersigurnosnu certifikaciju u cijelom EU-u za određene proizvode ili usluge trgovačkim društvima osigurat ć</w:t>
      </w:r>
      <w:r>
        <w:rPr>
          <w:noProof/>
        </w:rPr>
        <w:t>e se „jedinstvena točka” za kibersigurnosnu certifikaciju u EU-u. Ta trgovačka društva moći će svoj proizvod certificirati samo jednom i dobiti certifikat koji je valjan u svim državama članicama. Ona svoje proizvode neće morati ponovno certificirati kod r</w:t>
      </w:r>
      <w:r>
        <w:rPr>
          <w:noProof/>
        </w:rPr>
        <w:t>azličitih nacionalnih tijela za certifikaciju. Time će se znatno smanjiti troškovi za trgovačka društva, olakšati prekogranično poslovanje i u konačnici smanjiti i izbjeći rascjepkanost unutarnjeg tržišta predmetnih proizvoda.</w:t>
      </w:r>
    </w:p>
    <w:p w:rsidR="00A761A4" w:rsidRDefault="0064189B">
      <w:pPr>
        <w:pStyle w:val="Bullet0"/>
        <w:rPr>
          <w:noProof/>
        </w:rPr>
      </w:pPr>
      <w:r>
        <w:rPr>
          <w:noProof/>
        </w:rPr>
        <w:t xml:space="preserve">Okvirom se utvrđuje prednost </w:t>
      </w:r>
      <w:r>
        <w:rPr>
          <w:noProof/>
        </w:rPr>
        <w:t>europskih programa kibersigurnosne certifikacije u odnosu na nacionalne programe. U skladu s tim pravilom, donošenjem europskog programa kibersigurnosne certifikacije zamijenit će se svi postojeći usporedni nacionalni sustavi za iste IKT proizvode i usluge</w:t>
      </w:r>
      <w:r>
        <w:rPr>
          <w:noProof/>
        </w:rPr>
        <w:t xml:space="preserve"> na određenoj razini jamstva. Time će se povećati jasnoća i smanjiti trenutačni porast broja nacionalnih programa za kibersigurnosnu certifikaciju koji se preklapaju ili su međusobno proturječni. </w:t>
      </w:r>
    </w:p>
    <w:p w:rsidR="00A761A4" w:rsidRDefault="0064189B">
      <w:pPr>
        <w:pStyle w:val="Bullet0"/>
        <w:rPr>
          <w:noProof/>
        </w:rPr>
      </w:pPr>
      <w:r>
        <w:rPr>
          <w:noProof/>
        </w:rPr>
        <w:t>Prijedlogom se podupire i dopunjuje provedba Direktive NIS na način da se poduzećima na koja se primjenjuje Direktiva osigurava vrlo koristan alat za dokazivanje sukladnosti sa zahtjevima mrežne i informacijske sigurnosti u cijeloj Uniji. Pri razvoju novih</w:t>
      </w:r>
      <w:r>
        <w:rPr>
          <w:noProof/>
        </w:rPr>
        <w:t xml:space="preserve"> programa kibersigurnosne certifikacije Komisija i ENISA posebnu će pozornost posvetiti potrebi da osiguraju uključenost zahtjeva mrežne i informacijske sigurnosti u programe kibersigurnosne certifikacije. </w:t>
      </w:r>
    </w:p>
    <w:p w:rsidR="00A761A4" w:rsidRDefault="0064189B">
      <w:pPr>
        <w:pStyle w:val="Bullet0"/>
        <w:rPr>
          <w:noProof/>
        </w:rPr>
      </w:pPr>
      <w:r>
        <w:rPr>
          <w:noProof/>
        </w:rPr>
        <w:t>Prijedlogom će se poduprijeti i olakšati razvoj e</w:t>
      </w:r>
      <w:r>
        <w:rPr>
          <w:noProof/>
        </w:rPr>
        <w:t>uropske politike kibersigurnosti usklađivanjem uvjeta i materijalnih zahtjeva za kibersigurnosnu certifikaciju IKT proizvoda i usluga u EU-u. U europskim programima kibersigurnosne certifikacije upućivat će se na zajedničke norme ili kriterije za ocjenjiva</w:t>
      </w:r>
      <w:r>
        <w:rPr>
          <w:noProof/>
        </w:rPr>
        <w:t>nje i metodologije ispitivanja. Time će se znatno, ali neizravno, pridonijeti prihvaćaju zajedničkih sigurnosnih rješenja u EU-u i istodobno će se ukloniti prepreke na unutarnjem tržištu.</w:t>
      </w:r>
    </w:p>
    <w:p w:rsidR="00A761A4" w:rsidRDefault="0064189B">
      <w:pPr>
        <w:pStyle w:val="Bullet0"/>
        <w:rPr>
          <w:noProof/>
        </w:rPr>
      </w:pPr>
      <w:r>
        <w:rPr>
          <w:noProof/>
        </w:rPr>
        <w:t>Okvir je izrađen tako da se njime osigurava nužna fleksibilnost prog</w:t>
      </w:r>
      <w:r>
        <w:rPr>
          <w:noProof/>
        </w:rPr>
        <w:t>rama kibersigurnosne certifikacije. Ovisno o posebnim kibersigurnosnim potrebama, proizvod ili usluga mogu se certificirati prema višoj ili nižoj razini sigurnosti. Europski programi kibersigurnosne certifikacije bit će osmišljeni uzimajući u obzir tu flek</w:t>
      </w:r>
      <w:r>
        <w:rPr>
          <w:noProof/>
        </w:rPr>
        <w:t>sibilnost, čime će se omogućiti različite razine jamstva (tj. osnovna, znatna ili visoka) i njihova upotreba u različite svrhe ili u različitim kontekstima.</w:t>
      </w:r>
    </w:p>
    <w:p w:rsidR="00A761A4" w:rsidRDefault="0064189B">
      <w:pPr>
        <w:pStyle w:val="Bullet0"/>
        <w:rPr>
          <w:noProof/>
        </w:rPr>
      </w:pPr>
      <w:r>
        <w:rPr>
          <w:noProof/>
        </w:rPr>
        <w:t>Svim prethodno navedenim elementima povećat će se privlačnost kibersigurnosne certifikacije za podu</w:t>
      </w:r>
      <w:r>
        <w:rPr>
          <w:noProof/>
        </w:rPr>
        <w:t>zeća kao učinkovitog sredstva za obavješćivanje o razini kibersigurnosnog jamstva za IKT proizvode i usluge. U mjeri u kojoj kibersigurnosna certifikacija postane jeftinija, učinkovitija i komercijalno privlačnija, poduzeća će imati više poticaja za certif</w:t>
      </w:r>
      <w:r>
        <w:rPr>
          <w:noProof/>
        </w:rPr>
        <w:t>ikaciju svojih proizvoda od kibersigurnosnih rizika i time će pridonijeti širenju bolje kibersigurnosne prakse u oblikovanju IKT proizvoda i usluga (kibersigurnost u dizajnu).</w:t>
      </w:r>
    </w:p>
    <w:p w:rsidR="00A761A4" w:rsidRDefault="00A761A4">
      <w:pPr>
        <w:rPr>
          <w:noProof/>
        </w:rPr>
      </w:pPr>
    </w:p>
    <w:p w:rsidR="00A761A4" w:rsidRDefault="0064189B">
      <w:pPr>
        <w:pStyle w:val="ManualHeading2"/>
        <w:rPr>
          <w:rFonts w:eastAsia="Arial Unicode MS"/>
          <w:noProof/>
          <w:u w:color="000000"/>
          <w:bdr w:val="nil"/>
        </w:rPr>
      </w:pPr>
      <w:bookmarkStart w:id="4" w:name="_Toc492216447"/>
      <w:r>
        <w:rPr>
          <w:noProof/>
        </w:rPr>
        <w:t>•</w:t>
      </w:r>
      <w:r>
        <w:rPr>
          <w:noProof/>
        </w:rPr>
        <w:tab/>
        <w:t>Usklađenost s postojećim odredbama politike u tom području politike</w:t>
      </w:r>
      <w:bookmarkEnd w:id="4"/>
    </w:p>
    <w:p w:rsidR="00A761A4" w:rsidRDefault="0064189B">
      <w:pPr>
        <w:rPr>
          <w:noProof/>
        </w:rPr>
      </w:pPr>
      <w:r>
        <w:rPr>
          <w:noProof/>
        </w:rPr>
        <w:t xml:space="preserve">U skladu </w:t>
      </w:r>
      <w:r>
        <w:rPr>
          <w:noProof/>
        </w:rPr>
        <w:t>s Direktivom NIS, operatori u sektorima koji su ključni za naše gospodarstvo i društvo, primjerice energetika, promet, vodoopskrba, bankarstvo, infrastrukture financijskog tržišta, zdravstvena skrb i digitalna infrastruktura, i pružatelji digitalnih usluga</w:t>
      </w:r>
      <w:r>
        <w:rPr>
          <w:noProof/>
        </w:rPr>
        <w:t xml:space="preserve"> (npr. tražilice, usluge računalstva u oblaku i trgovačka mjesta na internetu) dužni su poduzeti mjere za prikladno upravljanje sigurnosnim rizicima. Novim pravilima u ovom prijedlogu dopunjuju se odredbe Direktive NIS i osigurava se usklađenost s tim odre</w:t>
      </w:r>
      <w:r>
        <w:rPr>
          <w:noProof/>
        </w:rPr>
        <w:t xml:space="preserve">dbama u cilju daljnjeg razvoja kiberotpornosti EU-a jačanjem sposobnosti, suradnje, upravljanja rizikom i kiberosviještenosti. </w:t>
      </w:r>
    </w:p>
    <w:p w:rsidR="00A761A4" w:rsidRDefault="0064189B">
      <w:pPr>
        <w:rPr>
          <w:noProof/>
        </w:rPr>
      </w:pPr>
      <w:r>
        <w:rPr>
          <w:noProof/>
        </w:rPr>
        <w:t>Nadalje, pravilima o kibersigurnosnoj certifikaciji osigurava se bitan alat za trgovačka društva na koja se primjenjuje Direktiv</w:t>
      </w:r>
      <w:r>
        <w:rPr>
          <w:noProof/>
        </w:rPr>
        <w:t>a NIS jer će ona moći certificirati svoje IKT proizvode i usluge u odnosu na kibersigurnosne rizike na temelju programâ kibersigurnosnog certificiranja koji su valjani i priznaju se u cijelom EU-u. Njima će se dopuniti i sigurnosni zahtjevi iz Uredbe o eID</w:t>
      </w:r>
      <w:r>
        <w:rPr>
          <w:noProof/>
        </w:rPr>
        <w:t>AS-u</w:t>
      </w:r>
      <w:r>
        <w:rPr>
          <w:rStyle w:val="FootnoteReference"/>
          <w:noProof/>
        </w:rPr>
        <w:footnoteReference w:id="18"/>
      </w:r>
      <w:r>
        <w:rPr>
          <w:noProof/>
        </w:rPr>
        <w:t xml:space="preserve"> i Direktive o radijskoj opremi</w:t>
      </w:r>
      <w:r>
        <w:rPr>
          <w:rStyle w:val="FootnoteReference"/>
          <w:noProof/>
        </w:rPr>
        <w:footnoteReference w:id="19"/>
      </w:r>
      <w:r>
        <w:rPr>
          <w:noProof/>
        </w:rPr>
        <w:t xml:space="preserve">. </w:t>
      </w:r>
    </w:p>
    <w:p w:rsidR="00A761A4" w:rsidRDefault="00A761A4">
      <w:pPr>
        <w:rPr>
          <w:noProof/>
        </w:rPr>
      </w:pPr>
    </w:p>
    <w:p w:rsidR="00A761A4" w:rsidRDefault="0064189B">
      <w:pPr>
        <w:pStyle w:val="ManualHeading2"/>
        <w:rPr>
          <w:rFonts w:eastAsia="Arial Unicode MS"/>
          <w:noProof/>
        </w:rPr>
      </w:pPr>
      <w:bookmarkStart w:id="5" w:name="_Toc492216448"/>
      <w:r>
        <w:rPr>
          <w:noProof/>
        </w:rPr>
        <w:t>•</w:t>
      </w:r>
      <w:r>
        <w:rPr>
          <w:noProof/>
        </w:rPr>
        <w:tab/>
        <w:t>Usklađenost s drugim politikama Unije</w:t>
      </w:r>
      <w:bookmarkEnd w:id="5"/>
    </w:p>
    <w:p w:rsidR="00A761A4" w:rsidRDefault="0064189B">
      <w:pPr>
        <w:rPr>
          <w:noProof/>
        </w:rPr>
      </w:pPr>
      <w:r>
        <w:rPr>
          <w:noProof/>
        </w:rPr>
        <w:t>U Uredbi (EU) 2016/679 (Opća uredba o zaštiti podataka, „GDPR”)</w:t>
      </w:r>
      <w:r>
        <w:rPr>
          <w:rStyle w:val="FootnoteReference"/>
          <w:noProof/>
        </w:rPr>
        <w:footnoteReference w:id="20"/>
      </w:r>
      <w:r>
        <w:rPr>
          <w:noProof/>
        </w:rPr>
        <w:t xml:space="preserve"> predviđena je uspostava programa certificiranja te pečata i oznaka za zaštitu podataka za potrebe dokazivanja </w:t>
      </w:r>
      <w:r>
        <w:rPr>
          <w:noProof/>
        </w:rPr>
        <w:t>da su postupci obrade koje obavljaju voditelji ili izvršitelji obrade u skladu s tom Uredbom. Ovom Uredbom ne dovodi se u pitanje certificiranje postupaka obrade podataka, uključujući kada su ti postupci ugrađeni u proizvode i usluge, u skladu s Općom ured</w:t>
      </w:r>
      <w:r>
        <w:rPr>
          <w:noProof/>
        </w:rPr>
        <w:t>bom o zaštiti podataka.</w:t>
      </w:r>
    </w:p>
    <w:p w:rsidR="00A761A4" w:rsidRDefault="0064189B">
      <w:pPr>
        <w:rPr>
          <w:noProof/>
        </w:rPr>
      </w:pPr>
      <w:r>
        <w:rPr>
          <w:noProof/>
        </w:rPr>
        <w:t>Predloženom Uredbom osigurat će se usklađenost s Uredbom 765/2008 o zahtjevima za akreditaciju i nadzor tržišta</w:t>
      </w:r>
      <w:r>
        <w:rPr>
          <w:rStyle w:val="FootnoteReference"/>
          <w:noProof/>
        </w:rPr>
        <w:footnoteReference w:id="21"/>
      </w:r>
      <w:r>
        <w:rPr>
          <w:noProof/>
        </w:rPr>
        <w:t xml:space="preserve"> upućivanjem na pravila iz tog okvira o nacionalnim akreditacijskim tijelima i tijelima za ocjenjivanje sukladnosti. Kad</w:t>
      </w:r>
      <w:r>
        <w:rPr>
          <w:noProof/>
        </w:rPr>
        <w:t xml:space="preserve">a je riječ o nadzornim tijelima, predloženom Uredbom tražit će se od država članica da imenuju nacionalna tijela za nadzor certifikacije koja će biti odgovorna za nadzor, praćenje i izvršavanje pravila. Ta će tijela biti odvojena od tijela za ocjenjivanje </w:t>
      </w:r>
      <w:r>
        <w:rPr>
          <w:noProof/>
        </w:rPr>
        <w:t>sukladnosti kako je propisano Uredbom 765/2008.</w:t>
      </w:r>
    </w:p>
    <w:p w:rsidR="00A761A4" w:rsidRDefault="0064189B">
      <w:pPr>
        <w:pStyle w:val="ManualHeading1"/>
        <w:rPr>
          <w:noProof/>
        </w:rPr>
      </w:pPr>
      <w:bookmarkStart w:id="6" w:name="_Toc492216449"/>
      <w:r>
        <w:t>2.</w:t>
      </w:r>
      <w:r>
        <w:tab/>
      </w:r>
      <w:r>
        <w:rPr>
          <w:noProof/>
        </w:rPr>
        <w:t>PRAVNA OSNOVA, SUPSIDIJARNOST I PROPORCIONALNOST</w:t>
      </w:r>
      <w:bookmarkEnd w:id="6"/>
    </w:p>
    <w:p w:rsidR="00A761A4" w:rsidRDefault="0064189B">
      <w:pPr>
        <w:pStyle w:val="ManualHeading2"/>
        <w:rPr>
          <w:rFonts w:eastAsia="Arial Unicode MS"/>
          <w:noProof/>
          <w:u w:color="000000"/>
          <w:bdr w:val="nil"/>
        </w:rPr>
      </w:pPr>
      <w:bookmarkStart w:id="7" w:name="_Toc492216450"/>
      <w:r>
        <w:rPr>
          <w:noProof/>
        </w:rPr>
        <w:t>•</w:t>
      </w:r>
      <w:r>
        <w:rPr>
          <w:noProof/>
        </w:rPr>
        <w:tab/>
        <w:t>Pravna osnova</w:t>
      </w:r>
      <w:bookmarkEnd w:id="7"/>
    </w:p>
    <w:p w:rsidR="00A761A4" w:rsidRDefault="0064189B">
      <w:pPr>
        <w:rPr>
          <w:noProof/>
        </w:rPr>
      </w:pPr>
      <w:r>
        <w:rPr>
          <w:noProof/>
        </w:rPr>
        <w:t xml:space="preserve">Pravna osnova za djelovanje EU-a je članak 114. Ugovora o funkcioniranju Europske unije (UFEU) koji se odnosi na usklađivanje zakona država </w:t>
      </w:r>
      <w:r>
        <w:rPr>
          <w:noProof/>
        </w:rPr>
        <w:t>članica u cilju ostvarivanja ciljeva članka 26. UFEU-a, odnosno pravilnog funkcioniranja unutarnjeg tržišta.</w:t>
      </w:r>
    </w:p>
    <w:p w:rsidR="00A761A4" w:rsidRDefault="0064189B">
      <w:pPr>
        <w:rPr>
          <w:noProof/>
        </w:rPr>
      </w:pPr>
      <w:r>
        <w:rPr>
          <w:noProof/>
        </w:rPr>
        <w:t xml:space="preserve">Pravnu osnovu na unutarnjem tržištu za uspostavu ENISA-e potvrdio je Sud EU-a (u predmetu C-217/04 </w:t>
      </w:r>
      <w:r>
        <w:rPr>
          <w:i/>
          <w:noProof/>
        </w:rPr>
        <w:t>Ujedinjena Kraljevina protiv Europskog parlament</w:t>
      </w:r>
      <w:r>
        <w:rPr>
          <w:i/>
          <w:noProof/>
        </w:rPr>
        <w:t>a i Vijeća</w:t>
      </w:r>
      <w:r>
        <w:rPr>
          <w:noProof/>
        </w:rPr>
        <w:t>) i ona je dodatno potvrđena uredbom iz 2013. kojom je utvrđen trenutačni mandat Agencije. Nadalje, aktivnosti usmjerene na jačanje suradnje i koordinacije među državama članicama te aktivnosti kojima se dodaju sposobnosti na razini EU-a za dopun</w:t>
      </w:r>
      <w:r>
        <w:rPr>
          <w:noProof/>
        </w:rPr>
        <w:t>u djelovanja država članica mogu se svrstati u kategoriju „operativne suradnje”. To je posebno utvrđeno Direktivom NIS (za koju je pravna osnova članak 114. UFEU-a) kao cilj koji treba ostvariti u kontekstu mreže CSIRT-ova u kojoj „ENISA osigurava tajništv</w:t>
      </w:r>
      <w:r>
        <w:rPr>
          <w:noProof/>
        </w:rPr>
        <w:t>o i aktivno podržava suradnju” (članak 12. stavak 2.). Konkretno, člankom 12. stavkom 3. točkom (f) dodatno se opisuju različiti oblici operativne suradnje u okviru zadaća mreže CSIRT-ova, među ostalim u odnosu na: i. kategorije rizika i incidenata; ii. ra</w:t>
      </w:r>
      <w:r>
        <w:rPr>
          <w:noProof/>
        </w:rPr>
        <w:t xml:space="preserve">na upozorenja; iii. uzajamnu pomoć i iv. načela i načine koordinacije, kada države članice odgovaraju na prekogranične rizike i incidente. </w:t>
      </w:r>
    </w:p>
    <w:p w:rsidR="00A761A4" w:rsidRDefault="0064189B">
      <w:pPr>
        <w:pStyle w:val="Bullet0"/>
        <w:rPr>
          <w:noProof/>
        </w:rPr>
      </w:pPr>
      <w:r>
        <w:rPr>
          <w:noProof/>
        </w:rPr>
        <w:t>Trenutačna rascjepkanost programa certificiranja IKT proizvoda i usluga rezultat je i nepostojanja zajedničkog pravn</w:t>
      </w:r>
      <w:r>
        <w:rPr>
          <w:noProof/>
        </w:rPr>
        <w:t>o obvezujućeg i učinkovitog okvirnog postupka koji se primjenjuje na države članice. Time se sprječava stvaranje unutarnjeg tržišta za IKT proizvode i usluge i ugrožava konkurentnost europske industrije u tom sektoru. Ovim prijedlogom nastoji se riješiti p</w:t>
      </w:r>
      <w:r>
        <w:rPr>
          <w:noProof/>
        </w:rPr>
        <w:t>ostojeća rascjepkanost i s tim povezane prepreke za unutarnje tržište osiguravanjem zajedničkog okvira za uspostavu programa kibersigurnosne certifikacije koji je valjan u cijelom EU-u.</w:t>
      </w:r>
    </w:p>
    <w:p w:rsidR="00A761A4" w:rsidRDefault="00A761A4">
      <w:pPr>
        <w:rPr>
          <w:noProof/>
        </w:rPr>
      </w:pPr>
    </w:p>
    <w:p w:rsidR="00A761A4" w:rsidRDefault="0064189B">
      <w:pPr>
        <w:pStyle w:val="ManualHeading2"/>
        <w:rPr>
          <w:rFonts w:eastAsia="Arial Unicode MS"/>
          <w:noProof/>
          <w:u w:color="000000"/>
          <w:bdr w:val="nil"/>
        </w:rPr>
      </w:pPr>
      <w:r>
        <w:rPr>
          <w:noProof/>
        </w:rPr>
        <w:t xml:space="preserve">Supsidijarnost (za neisključivu nadležnost) </w:t>
      </w:r>
    </w:p>
    <w:p w:rsidR="00A761A4" w:rsidRDefault="0064189B">
      <w:pPr>
        <w:rPr>
          <w:noProof/>
        </w:rPr>
      </w:pPr>
      <w:r>
        <w:rPr>
          <w:noProof/>
        </w:rPr>
        <w:t>Načelo supsidijarnosti z</w:t>
      </w:r>
      <w:r>
        <w:rPr>
          <w:noProof/>
        </w:rPr>
        <w:t>ahtijeva procjenu nužnosti i dodane vrijednosti djelovanja EU-a. Poštovanje supsidijarnosti u ovom području već je priznato pri donošenju postojeće Uredbe o ENISA-i</w:t>
      </w:r>
      <w:r>
        <w:rPr>
          <w:rStyle w:val="FootnoteReference"/>
          <w:noProof/>
        </w:rPr>
        <w:footnoteReference w:id="22"/>
      </w:r>
      <w:r>
        <w:rPr>
          <w:noProof/>
        </w:rPr>
        <w:t xml:space="preserve">.  </w:t>
      </w:r>
    </w:p>
    <w:p w:rsidR="00A761A4" w:rsidRDefault="0064189B">
      <w:pPr>
        <w:spacing w:before="0" w:line="240" w:lineRule="atLeast"/>
        <w:ind w:right="-29"/>
        <w:rPr>
          <w:rFonts w:eastAsia="Times New Roman"/>
          <w:noProof/>
          <w:szCs w:val="24"/>
        </w:rPr>
      </w:pPr>
      <w:r>
        <w:rPr>
          <w:noProof/>
        </w:rPr>
        <w:t xml:space="preserve">Kibersigurnost je pitanje od zajedničkog interesa za Uniju. Mreže i informacijski </w:t>
      </w:r>
      <w:r>
        <w:rPr>
          <w:noProof/>
        </w:rPr>
        <w:t>sustavi toliko su međusobno ovisni da se pojedinačni akteri (javni i privatni, uključujući građane) često ne mogu sami suočiti s prijetnjama i upravljati rizicima i mogućim učincima kiberincidenata. S druge strane, zbog međuovisnosti država članica, među o</w:t>
      </w:r>
      <w:r>
        <w:rPr>
          <w:noProof/>
        </w:rPr>
        <w:t>stalim u pogledu funkcioniranja ključnih infrastruktura (energetika, promet, vodoopskrba), javna intervencija na europskoj razini nije samo korisna, već i nužna. S druge strane, intervencijom EU-a mogu se ostvariti pozitivni učinci „prelijevanja” zbog razm</w:t>
      </w:r>
      <w:r>
        <w:rPr>
          <w:noProof/>
        </w:rPr>
        <w:t>jene dobre prakse među državama članicama, čime se može povećati kibersigurnost u Uniji.</w:t>
      </w:r>
    </w:p>
    <w:p w:rsidR="00A761A4" w:rsidRDefault="0064189B">
      <w:pPr>
        <w:spacing w:before="0" w:line="240" w:lineRule="atLeast"/>
        <w:ind w:right="-29"/>
        <w:rPr>
          <w:rFonts w:eastAsia="Times New Roman"/>
          <w:noProof/>
          <w:szCs w:val="24"/>
        </w:rPr>
      </w:pPr>
      <w:r>
        <w:rPr>
          <w:noProof/>
        </w:rPr>
        <w:t xml:space="preserve">Ukratko, u sadašnjem kontekstu i ako se razmotre budući scenariji čini se da </w:t>
      </w:r>
      <w:r>
        <w:rPr>
          <w:b/>
          <w:noProof/>
        </w:rPr>
        <w:t>odvojena djelovanja država članica EU-a i rascjepkani pristup kibersigurnosti</w:t>
      </w:r>
      <w:r>
        <w:rPr>
          <w:noProof/>
        </w:rPr>
        <w:t xml:space="preserve"> neće biti do</w:t>
      </w:r>
      <w:r>
        <w:rPr>
          <w:noProof/>
        </w:rPr>
        <w:t xml:space="preserve">statni za </w:t>
      </w:r>
      <w:r>
        <w:rPr>
          <w:b/>
          <w:noProof/>
        </w:rPr>
        <w:t>povećanje kolektivne kiberotpornosti</w:t>
      </w:r>
      <w:r>
        <w:rPr>
          <w:noProof/>
        </w:rPr>
        <w:t xml:space="preserve"> Unije.  </w:t>
      </w:r>
    </w:p>
    <w:p w:rsidR="00A761A4" w:rsidRDefault="0064189B">
      <w:pPr>
        <w:spacing w:before="0" w:line="240" w:lineRule="atLeast"/>
        <w:ind w:right="-29"/>
        <w:rPr>
          <w:rFonts w:eastAsia="Times New Roman"/>
          <w:noProof/>
          <w:szCs w:val="24"/>
        </w:rPr>
      </w:pPr>
      <w:r>
        <w:rPr>
          <w:noProof/>
        </w:rPr>
        <w:t>Smatra se da je djelovanje EU-a nužno i radi smanjenja rascjepkanosti trenutačnih programa kibersigurnosne certifikacije. Time bi se proizvođačima omogućilo da potpuno ostvaruju koristi unutarnjeg trž</w:t>
      </w:r>
      <w:r>
        <w:rPr>
          <w:noProof/>
        </w:rPr>
        <w:t>išta uz znatne uštede u pogledu troškova ispitivanja i redizajniranja. Iako su primjerice trenutačnim sporazumom o uzajamnom priznavanju (MRA) Skupine viših dužnosnika za sigurnost informacijskih sustava (SOG-IS) ostvareni važni rezultati u tom pogledu, sp</w:t>
      </w:r>
      <w:r>
        <w:rPr>
          <w:noProof/>
        </w:rPr>
        <w:t>orazum je pokazao i da postoje važna ograničenja zbog kojih nije prikladan da se njime osiguraju dugoročna održiva rješenja za ostvarivanje potpunog potencijala unutarnjeg tržišta.</w:t>
      </w:r>
    </w:p>
    <w:p w:rsidR="00A761A4" w:rsidRDefault="0064189B">
      <w:pPr>
        <w:spacing w:before="0" w:line="240" w:lineRule="atLeast"/>
        <w:ind w:right="-29"/>
        <w:rPr>
          <w:rFonts w:eastAsia="Times New Roman"/>
          <w:noProof/>
          <w:szCs w:val="24"/>
        </w:rPr>
      </w:pPr>
      <w:r>
        <w:rPr>
          <w:noProof/>
        </w:rPr>
        <w:t>Dodana vrijednost djelovanja na razini EU-a, posebno za jačanje suradnje me</w:t>
      </w:r>
      <w:r>
        <w:rPr>
          <w:noProof/>
        </w:rPr>
        <w:t xml:space="preserve">đu državama članicama, ali i među zajednicama za mrežnu i informacijsku sigurnost, priznata je u Zaključcima Vijeća iz 2016. </w:t>
      </w:r>
      <w:r>
        <w:rPr>
          <w:rStyle w:val="FootnoteReference"/>
          <w:noProof/>
        </w:rPr>
        <w:footnoteReference w:id="23"/>
      </w:r>
      <w:r>
        <w:rPr>
          <w:noProof/>
        </w:rPr>
        <w:t xml:space="preserve">, a razvidna je i iz ocjene ENISA-e. </w:t>
      </w:r>
    </w:p>
    <w:p w:rsidR="00A761A4" w:rsidRDefault="00A761A4">
      <w:pPr>
        <w:spacing w:before="0" w:line="240" w:lineRule="atLeast"/>
        <w:ind w:right="-29"/>
        <w:rPr>
          <w:rFonts w:eastAsia="Times New Roman"/>
          <w:noProof/>
          <w:szCs w:val="24"/>
        </w:rPr>
      </w:pPr>
    </w:p>
    <w:p w:rsidR="00A761A4" w:rsidRDefault="0064189B">
      <w:pPr>
        <w:pStyle w:val="ManualHeading2"/>
        <w:rPr>
          <w:rFonts w:eastAsia="Arial Unicode MS"/>
          <w:noProof/>
          <w:u w:color="000000"/>
          <w:bdr w:val="nil"/>
        </w:rPr>
      </w:pPr>
      <w:bookmarkStart w:id="8" w:name="_Toc492216451"/>
      <w:r>
        <w:rPr>
          <w:noProof/>
        </w:rPr>
        <w:t>•</w:t>
      </w:r>
      <w:r>
        <w:rPr>
          <w:noProof/>
        </w:rPr>
        <w:tab/>
        <w:t>Proporcionalnost</w:t>
      </w:r>
      <w:bookmarkEnd w:id="8"/>
    </w:p>
    <w:p w:rsidR="00A761A4" w:rsidRDefault="0064189B">
      <w:pPr>
        <w:rPr>
          <w:noProof/>
        </w:rPr>
      </w:pPr>
      <w:r>
        <w:rPr>
          <w:noProof/>
        </w:rPr>
        <w:t>Predviđenom mjerom ne prelazi se ono što je nužno za ostvarivanje njezin</w:t>
      </w:r>
      <w:r>
        <w:rPr>
          <w:noProof/>
        </w:rPr>
        <w:t>ih ciljeva politike. Nadalje, područjem primjene intervencije EU-a ne sprječavaju se daljnje nacionalne mjere povezane s pitanjima nacionalne sigurnosti. Djelovanje EU-a stoga je opravdano na temelju supsidijarnosti i proporcionalnosti.</w:t>
      </w:r>
    </w:p>
    <w:p w:rsidR="00A761A4" w:rsidRDefault="00A761A4">
      <w:pPr>
        <w:rPr>
          <w:noProof/>
        </w:rPr>
      </w:pPr>
    </w:p>
    <w:p w:rsidR="00A761A4" w:rsidRDefault="0064189B">
      <w:pPr>
        <w:pStyle w:val="ManualHeading2"/>
        <w:rPr>
          <w:rFonts w:eastAsia="Arial Unicode MS"/>
          <w:noProof/>
          <w:u w:color="000000"/>
          <w:bdr w:val="nil"/>
        </w:rPr>
      </w:pPr>
      <w:bookmarkStart w:id="9" w:name="_Toc492216452"/>
      <w:r>
        <w:rPr>
          <w:noProof/>
        </w:rPr>
        <w:t>•</w:t>
      </w:r>
      <w:r>
        <w:rPr>
          <w:noProof/>
        </w:rPr>
        <w:tab/>
        <w:t>Odabir instrumen</w:t>
      </w:r>
      <w:r>
        <w:rPr>
          <w:noProof/>
        </w:rPr>
        <w:t>ta</w:t>
      </w:r>
      <w:bookmarkEnd w:id="9"/>
    </w:p>
    <w:p w:rsidR="00A761A4" w:rsidRDefault="0064189B">
      <w:pPr>
        <w:rPr>
          <w:noProof/>
        </w:rPr>
      </w:pPr>
      <w:r>
        <w:rPr>
          <w:noProof/>
        </w:rPr>
        <w:t xml:space="preserve">Ovim prijedlogom preispituje se Uredba (EU) br. 526/2013 kojom se utvrđuju trenutačni mandat i zadaće ENISA-e. Nadalje, s obzirom na važnu ulogu ENISA-e u uspostavi okvira za kibersigurnosnu certifikaciju EU-a, njezin novi mandat i navedeni okvir najbolje </w:t>
      </w:r>
      <w:r>
        <w:rPr>
          <w:noProof/>
        </w:rPr>
        <w:t xml:space="preserve">je uspostaviti jednim pravnim instrumentom. Taj će instrument biti uredba.  </w:t>
      </w:r>
    </w:p>
    <w:p w:rsidR="00A761A4" w:rsidRDefault="0064189B">
      <w:pPr>
        <w:pStyle w:val="ManualHeading1"/>
        <w:rPr>
          <w:rStyle w:val="Heading1Char"/>
          <w:noProof/>
          <w:lang w:val="hr-HR"/>
        </w:rPr>
      </w:pPr>
      <w:bookmarkStart w:id="10" w:name="_Toc492216453"/>
      <w:r w:rsidRPr="0064189B">
        <w:rPr>
          <w:rStyle w:val="Heading1Char"/>
          <w:lang w:val="hr-HR"/>
        </w:rPr>
        <w:t>3.</w:t>
      </w:r>
      <w:r w:rsidRPr="0064189B">
        <w:rPr>
          <w:rStyle w:val="Heading1Char"/>
          <w:lang w:val="hr-HR"/>
        </w:rPr>
        <w:tab/>
      </w:r>
      <w:r>
        <w:rPr>
          <w:rStyle w:val="Heading1Char"/>
          <w:noProof/>
          <w:lang w:val="hr-HR"/>
        </w:rPr>
        <w:t>REZULTATI EX - POST EVALUACIJA, SAVJETOVANJA S DIONICIMA I PROCJENE UČINAKA</w:t>
      </w:r>
      <w:bookmarkEnd w:id="10"/>
    </w:p>
    <w:p w:rsidR="00A761A4" w:rsidRDefault="0064189B">
      <w:pPr>
        <w:pStyle w:val="ManualHeading2"/>
        <w:rPr>
          <w:rFonts w:eastAsia="Arial Unicode MS"/>
          <w:noProof/>
          <w:u w:color="000000"/>
          <w:bdr w:val="nil"/>
        </w:rPr>
      </w:pPr>
      <w:bookmarkStart w:id="11" w:name="_Toc492216454"/>
      <w:r>
        <w:rPr>
          <w:i/>
          <w:noProof/>
        </w:rPr>
        <w:t>Ex post</w:t>
      </w:r>
      <w:r>
        <w:rPr>
          <w:noProof/>
        </w:rPr>
        <w:t xml:space="preserve"> evaluacije / provjere primjerenosti postojećeg zakonodavstva</w:t>
      </w:r>
      <w:bookmarkEnd w:id="11"/>
    </w:p>
    <w:p w:rsidR="00A761A4" w:rsidRDefault="0064189B">
      <w:pPr>
        <w:rPr>
          <w:noProof/>
        </w:rPr>
      </w:pPr>
      <w:r>
        <w:rPr>
          <w:noProof/>
        </w:rPr>
        <w:t xml:space="preserve">Komisija je, u skladu s planom </w:t>
      </w:r>
      <w:r>
        <w:rPr>
          <w:noProof/>
        </w:rPr>
        <w:t>evaluacije</w:t>
      </w:r>
      <w:r>
        <w:rPr>
          <w:rStyle w:val="FootnoteReference"/>
          <w:noProof/>
        </w:rPr>
        <w:footnoteReference w:id="24"/>
      </w:r>
      <w:r>
        <w:rPr>
          <w:noProof/>
        </w:rPr>
        <w:t xml:space="preserve">, ocijenila </w:t>
      </w:r>
      <w:r>
        <w:rPr>
          <w:b/>
          <w:noProof/>
        </w:rPr>
        <w:t>relevantnost, učinak, djelotvornost, učinkovitost, usklađenost i dodanu vrijednost</w:t>
      </w:r>
      <w:r>
        <w:rPr>
          <w:noProof/>
        </w:rPr>
        <w:t xml:space="preserve"> Agencije s obzirom na njezinu uspješnost, upravljanje, unutarnje ustrojstvo i način rada u razdoblju od 2013. do 2016. Glavni zaključci mogu se sažeti</w:t>
      </w:r>
      <w:r>
        <w:rPr>
          <w:noProof/>
        </w:rPr>
        <w:t xml:space="preserve"> kako slijedi (više informacija navedeno je u radnom dokumentu službi Komisije na tu temu koji je priložen procjeni učinka). </w:t>
      </w:r>
    </w:p>
    <w:p w:rsidR="00A761A4" w:rsidRDefault="0064189B">
      <w:pPr>
        <w:pStyle w:val="Bullet0"/>
        <w:rPr>
          <w:noProof/>
        </w:rPr>
      </w:pPr>
      <w:r>
        <w:rPr>
          <w:b/>
          <w:noProof/>
        </w:rPr>
        <w:t xml:space="preserve">Relevantnost: </w:t>
      </w:r>
      <w:r>
        <w:rPr>
          <w:noProof/>
        </w:rPr>
        <w:t>u kontekstu tehnološkog razvoja i rastućih prijetnji te uzimajući u obzir znatnu potrebu za pojačanom kibersigurnošć</w:t>
      </w:r>
      <w:r>
        <w:rPr>
          <w:noProof/>
        </w:rPr>
        <w:t xml:space="preserve">u u EU-u, pokazalo se da su ciljevi ENISA-e relevantni. Države članice i tijela EU-a oslanjaju se na njezinu stručnost u području kibersigurnosti. Nadalje, u državama članicama potrebno je jačati kapacitete za bolje razumijevanje prijetnji i za odgovor na </w:t>
      </w:r>
      <w:r>
        <w:rPr>
          <w:noProof/>
        </w:rPr>
        <w:t>prijetnje, a dionici moraju surađivati u svim tematskim područjima i sa svim institucijama. Kibersigurnost je i dalje ključan politički prioritet EU-a i očekuje se da će ENISA na njega odgovoriti. Međutim, budući da je ENISA agencija EU-a ograničenog manda</w:t>
      </w:r>
      <w:r>
        <w:rPr>
          <w:noProof/>
        </w:rPr>
        <w:t>ta: i. nije moguće dugoročno planiranje i održiva potpora državama članicama i institucijama EU-a; ii. to može dovesti do pravnog vakuuma jer su odredbe Direktive NIS kojom se ENISA-i povjeravaju njezine zadaće trajne prirode</w:t>
      </w:r>
      <w:r>
        <w:rPr>
          <w:rStyle w:val="FootnoteReference"/>
          <w:noProof/>
        </w:rPr>
        <w:footnoteReference w:id="25"/>
      </w:r>
      <w:r>
        <w:rPr>
          <w:noProof/>
        </w:rPr>
        <w:t>; iii. nije usklađena s vizijo</w:t>
      </w:r>
      <w:r>
        <w:rPr>
          <w:noProof/>
        </w:rPr>
        <w:t>m kojom se ENISA povezuje se pojačanim kibersigurnosnim ekosustavom EU-a.</w:t>
      </w:r>
    </w:p>
    <w:p w:rsidR="00A761A4" w:rsidRDefault="0064189B">
      <w:pPr>
        <w:pStyle w:val="Bullet0"/>
        <w:rPr>
          <w:noProof/>
        </w:rPr>
      </w:pPr>
      <w:r>
        <w:rPr>
          <w:b/>
          <w:noProof/>
        </w:rPr>
        <w:t>Djelotvornost</w:t>
      </w:r>
      <w:r>
        <w:rPr>
          <w:noProof/>
        </w:rPr>
        <w:t xml:space="preserve">: ENISA je u načelu ispunila svoje ciljeve i izvršila svoje zadaće. Pridonijela je većoj mrežnoj i informacijskoj sigurnosti u Europi s pomoću svojih glavnih aktivnosti </w:t>
      </w:r>
      <w:r>
        <w:rPr>
          <w:noProof/>
        </w:rPr>
        <w:t>(jačanje kapaciteta, pružanje stručnosti, izgradnja zajedništva i potpora politici). Međutim, potencijal za unaprjeđenje postoji u svim područjima.  Zaključak je evaluacije da je ENISA doista stvorila snažne i pouzdane odnose s nekima od svojih dionika, po</w:t>
      </w:r>
      <w:r>
        <w:rPr>
          <w:noProof/>
        </w:rPr>
        <w:t>sebno s državama članicama i zajednicom CSIRT-ova. Intervencije u području jačanja kapaciteta pokazale su se djelotvornima, posebno za države članice s manje resursa. Jedno od istaknutih područja bilo je poticanje široke suradnje i svi su se dionici složil</w:t>
      </w:r>
      <w:r>
        <w:rPr>
          <w:noProof/>
        </w:rPr>
        <w:t>i da tu ENISA ima pozitivnu ulogu. Međutim, ENISA se suočila s teškoćama u pokušaju da postigne veliki učinak u golemom području mrežne i informacijske sigurnosti. Jedan je od razloga i to što je za izvršavanje vrlo širokog mandata raspolagala prilično ogr</w:t>
      </w:r>
      <w:r>
        <w:rPr>
          <w:noProof/>
        </w:rPr>
        <w:t xml:space="preserve">aničenim ljudskim i financijskim resursima. Zaključak je evaluacije i da je ENISA djelomično ispunila cilj pružanja stručnog znanja povezanog s problemima zapošljavanja stručnjaka (vidjeti u nastavku u odjeljku o učinkovitosti). </w:t>
      </w:r>
    </w:p>
    <w:p w:rsidR="00A761A4" w:rsidRDefault="0064189B">
      <w:pPr>
        <w:pStyle w:val="Bullet0"/>
        <w:rPr>
          <w:noProof/>
        </w:rPr>
      </w:pPr>
      <w:r>
        <w:rPr>
          <w:b/>
          <w:noProof/>
        </w:rPr>
        <w:t>Učinkovitost</w:t>
      </w:r>
      <w:r>
        <w:rPr>
          <w:noProof/>
        </w:rPr>
        <w:t>: unatoč malom</w:t>
      </w:r>
      <w:r>
        <w:rPr>
          <w:noProof/>
        </w:rPr>
        <w:t xml:space="preserve"> proračunu, koji je među najnižima u usporedbi s drugim agencijama EU-a, Agencija je uspjela pridonijeti ciljevima te je učinkovito upotrebljavala resurse. Zaključak je evaluacije da su postupci općenito bili učinkoviti te da je jasnom podjelom odgovornost</w:t>
      </w:r>
      <w:r>
        <w:rPr>
          <w:noProof/>
        </w:rPr>
        <w:t>i u organizaciji omogućeno uspješno obavljanje poslova. Jedan od glavnih izazova učinkovitosti Agencije povezan je s problemima s kojima se ENISA suočava pri zapošljavanju i zadržavanju visokokvalificiranih stručnjaka. Nalazi pokazuju da se to može objasni</w:t>
      </w:r>
      <w:r>
        <w:rPr>
          <w:noProof/>
        </w:rPr>
        <w:t>ti kombinacijom čimbenika, među ostalim općenitim teškoćama javnog sektora kada se natječe s privatnim sektorom u zapošljavanju visokokvalificiranih stručnjaka, vrstom ugovora (na određeno vrijeme) koje je Agencija mogla ponuditi i niskom razinom privlačno</w:t>
      </w:r>
      <w:r>
        <w:rPr>
          <w:noProof/>
        </w:rPr>
        <w:t>sti lokacije ENISA-e, što je primjerice povezano s teškoćama s kojima se suočavaju bračni partneri pri pronalaženju posla. Zbog dvije lokacije u Ateni i Heraklionu bili su potrebni dodatni koordinacijski napori i nastajali su dodatni troškovi, ali preselje</w:t>
      </w:r>
      <w:r>
        <w:rPr>
          <w:noProof/>
        </w:rPr>
        <w:t>njem glavnog operativnog odjela Agencije u Atenu 2013. povećala se operativna učinkovitost Agencije.</w:t>
      </w:r>
    </w:p>
    <w:p w:rsidR="00A761A4" w:rsidRDefault="0064189B">
      <w:pPr>
        <w:pStyle w:val="Bullet0"/>
        <w:rPr>
          <w:noProof/>
        </w:rPr>
      </w:pPr>
      <w:r>
        <w:rPr>
          <w:b/>
          <w:noProof/>
        </w:rPr>
        <w:t>Usklađenost</w:t>
      </w:r>
      <w:r>
        <w:rPr>
          <w:noProof/>
        </w:rPr>
        <w:t>: Aktivnosti ENISA-e bile su u načelu u skladu s politikama i aktivnostima njezinih dionika, na nacionalnoj razini i razini EU-a, ali potreban j</w:t>
      </w:r>
      <w:r>
        <w:rPr>
          <w:noProof/>
        </w:rPr>
        <w:t>e koordiniraniji pristup kibersigurnosti na razini EU-a. Nije potpuno iskorištena mogućnost suradnje između ENISA-e i ostalih tijela EU-a. Zbog razvoja pravnog i političkog okruženja u EU-u trenutačni mandat danas je manje usklađen.</w:t>
      </w:r>
    </w:p>
    <w:p w:rsidR="00A761A4" w:rsidRDefault="0064189B">
      <w:pPr>
        <w:pStyle w:val="Bullet0"/>
        <w:rPr>
          <w:noProof/>
        </w:rPr>
      </w:pPr>
      <w:r>
        <w:rPr>
          <w:b/>
          <w:noProof/>
        </w:rPr>
        <w:t>Dodana vrijednost EU-a</w:t>
      </w:r>
      <w:r>
        <w:rPr>
          <w:noProof/>
        </w:rPr>
        <w:t>:</w:t>
      </w:r>
      <w:r>
        <w:rPr>
          <w:noProof/>
        </w:rPr>
        <w:t xml:space="preserve"> Dodana vrijednost ENISA-e poglavito proizlazi iz sposobnosti Agencije da pojača suradnju, uglavnom među državama članicama, ali i s povezanim zajednicama mrežne i informacijske sigurnosti. Na razini EU-a ne postoji nijedan drugi akter koji podupire suradn</w:t>
      </w:r>
      <w:r>
        <w:rPr>
          <w:noProof/>
        </w:rPr>
        <w:t>ju toliko velikog broja dionika u području mrežne i informacijske sigurnosti. Dodana vrijednost Agencije razlikovala se prema različitim potrebama i resursima njezinih dionika (npr. velike u odnosu na male države članice; države članice u odnosu na industr</w:t>
      </w:r>
      <w:r>
        <w:rPr>
          <w:noProof/>
        </w:rPr>
        <w:t>iju) i potrebi Agencije da daje prednost svojim aktivnostima u skladu s programom rada. Zaključak je evaluacije da bi moguće ukidanje ENISA-e značilo izgubljene prilike za sve države članice. Neće se moći osigurati jednaki stupanj jačanja zajedništva i sur</w:t>
      </w:r>
      <w:r>
        <w:rPr>
          <w:noProof/>
        </w:rPr>
        <w:t xml:space="preserve">adnje među državama članicama u području kibersigurnosti. Bez centralizirane agencije EU-a povećala bi se rascjepkanost, a praznina koja bi ostala nakon ENISA-e morala bi se popuniti bilateralnom ili regionalnom suradnjom. </w:t>
      </w:r>
    </w:p>
    <w:p w:rsidR="00A761A4" w:rsidRDefault="0064189B">
      <w:pPr>
        <w:rPr>
          <w:noProof/>
          <w:szCs w:val="24"/>
        </w:rPr>
      </w:pPr>
      <w:r>
        <w:rPr>
          <w:noProof/>
        </w:rPr>
        <w:t>Uzimajući u obzir prethodne rezu</w:t>
      </w:r>
      <w:r>
        <w:rPr>
          <w:noProof/>
        </w:rPr>
        <w:t>ltate ENISA-e i budućnost, glavni trendovi koji proizlaze iz savjetovanja iz 2017. jesu sljedeći</w:t>
      </w:r>
      <w:r>
        <w:rPr>
          <w:rStyle w:val="FootnoteReference"/>
          <w:noProof/>
        </w:rPr>
        <w:footnoteReference w:id="26"/>
      </w:r>
      <w:r>
        <w:rPr>
          <w:noProof/>
        </w:rPr>
        <w:t>:</w:t>
      </w:r>
    </w:p>
    <w:p w:rsidR="00A761A4" w:rsidRDefault="0064189B">
      <w:pPr>
        <w:pStyle w:val="Bullet0"/>
        <w:rPr>
          <w:noProof/>
        </w:rPr>
      </w:pPr>
      <w:r>
        <w:rPr>
          <w:noProof/>
        </w:rPr>
        <w:t>Većina ispitanika (74 %) pozitivno je ocijenila rad ENISA-e u razdoblju od 2013. do 2016. Nadalje, većina ispitanika smatrala je da ENISA ostvaruje svoje raz</w:t>
      </w:r>
      <w:r>
        <w:rPr>
          <w:noProof/>
        </w:rPr>
        <w:t>ličite ciljeve (barem 63 % za svaki cilj). Približno pola ispitanika (46 %) redovito (mjesečno ili češće) koristi se uslugama i proizvodima ENISA-e i te su usluge i proizvodi cijenjeni jer ih pruža tijelo na razini EU-a (83 %) i zbog njihove kvalitete (62 </w:t>
      </w:r>
      <w:r>
        <w:rPr>
          <w:noProof/>
        </w:rPr>
        <w:t xml:space="preserve">%). </w:t>
      </w:r>
    </w:p>
    <w:p w:rsidR="00A761A4" w:rsidRDefault="0064189B">
      <w:pPr>
        <w:pStyle w:val="Bullet0"/>
        <w:rPr>
          <w:noProof/>
        </w:rPr>
      </w:pPr>
      <w:r>
        <w:rPr>
          <w:noProof/>
        </w:rPr>
        <w:t>Ispitanici su utvrdili niz nedostataka i izazova za budućnost kibersigurnosti u EU-u, a glavnih pet (na popisu od 16) bili su posebno sljedeći: suradnja među državama članicama; kapacitet za sprječavanje, otkrivanje i rješavanje kibernapada velikih ra</w:t>
      </w:r>
      <w:r>
        <w:rPr>
          <w:noProof/>
        </w:rPr>
        <w:t>zmjera; suradnja među državama članicama u područjima povezanima s kibersigurnošću; suradnja i razmjena informacija među različitim dionicima, uključujući javno-privatnu suradnju; zaštita ključne infrastrukture od kibernapada.</w:t>
      </w:r>
    </w:p>
    <w:p w:rsidR="00A761A4" w:rsidRDefault="0064189B">
      <w:pPr>
        <w:pStyle w:val="Bullet0"/>
        <w:rPr>
          <w:noProof/>
        </w:rPr>
      </w:pPr>
      <w:r>
        <w:rPr>
          <w:noProof/>
        </w:rPr>
        <w:t>Velika većina (88 %) ispitani</w:t>
      </w:r>
      <w:r>
        <w:rPr>
          <w:noProof/>
        </w:rPr>
        <w:t xml:space="preserve">ka smatrala je da trenutačni instrumenti i mehanizmi koji su dostupni na razini EU-a nisu dostatni ili su samo djelomično prikladni za njihovo rješavanje. Velika većina ispitanika (98 %) navela je da bi na te potrebe trebalo odgovoriti tijelo EU-a, a 99 % </w:t>
      </w:r>
      <w:r>
        <w:rPr>
          <w:noProof/>
        </w:rPr>
        <w:t>ispitanika smatralo je da to tijelo treba biti ENISA.</w:t>
      </w:r>
    </w:p>
    <w:p w:rsidR="00A761A4" w:rsidRDefault="00A761A4">
      <w:pPr>
        <w:rPr>
          <w:noProof/>
        </w:rPr>
      </w:pPr>
    </w:p>
    <w:p w:rsidR="00A761A4" w:rsidRDefault="0064189B">
      <w:pPr>
        <w:pStyle w:val="ManualHeading2"/>
        <w:rPr>
          <w:rFonts w:eastAsia="Arial Unicode MS"/>
          <w:noProof/>
          <w:u w:color="000000"/>
          <w:bdr w:val="nil"/>
        </w:rPr>
      </w:pPr>
      <w:r>
        <w:rPr>
          <w:noProof/>
        </w:rPr>
        <w:tab/>
      </w:r>
      <w:bookmarkStart w:id="12" w:name="_Toc492216455"/>
      <w:r>
        <w:rPr>
          <w:noProof/>
        </w:rPr>
        <w:t>Savjetovanja s dionicima</w:t>
      </w:r>
      <w:bookmarkEnd w:id="12"/>
    </w:p>
    <w:p w:rsidR="00A761A4" w:rsidRDefault="0064189B">
      <w:pPr>
        <w:pStyle w:val="Bullet0"/>
        <w:rPr>
          <w:noProof/>
        </w:rPr>
      </w:pPr>
      <w:r>
        <w:rPr>
          <w:noProof/>
        </w:rPr>
        <w:t>Komisija je organizirala javno savjetovanje za preispitivanje rada ENISA-e od 12. travnja do 5. srpnja 2016. i zaprimila je 421 odgovor</w:t>
      </w:r>
      <w:r>
        <w:rPr>
          <w:rStyle w:val="FootnoteReference"/>
          <w:noProof/>
        </w:rPr>
        <w:footnoteReference w:id="27"/>
      </w:r>
      <w:r>
        <w:rPr>
          <w:noProof/>
        </w:rPr>
        <w:t>. Rezultati pokazuju da je 67,5 % ispit</w:t>
      </w:r>
      <w:r>
        <w:rPr>
          <w:noProof/>
        </w:rPr>
        <w:t>anika izrazilo stajalište da bi ENISA mogla imati ulogu u uspostavi usklađenog okvira za sigurnosno certificiranje IKT proizvoda i usluga.</w:t>
      </w:r>
    </w:p>
    <w:p w:rsidR="00A761A4" w:rsidRDefault="0064189B">
      <w:pPr>
        <w:spacing w:line="270" w:lineRule="atLeast"/>
        <w:rPr>
          <w:noProof/>
          <w:szCs w:val="24"/>
        </w:rPr>
      </w:pPr>
      <w:r>
        <w:rPr>
          <w:noProof/>
        </w:rPr>
        <w:t>Rezultati savjetovanja o kibersigurnosti cPPP-a</w:t>
      </w:r>
      <w:r>
        <w:rPr>
          <w:rStyle w:val="FootnoteReference"/>
          <w:noProof/>
        </w:rPr>
        <w:footnoteReference w:id="28"/>
      </w:r>
      <w:r>
        <w:rPr>
          <w:noProof/>
        </w:rPr>
        <w:t xml:space="preserve"> u odjeljku o certificiranju pokazuju sljedeće:</w:t>
      </w:r>
    </w:p>
    <w:p w:rsidR="00A761A4" w:rsidRDefault="0064189B">
      <w:pPr>
        <w:pStyle w:val="Bullet0"/>
        <w:rPr>
          <w:noProof/>
        </w:rPr>
      </w:pPr>
      <w:r>
        <w:rPr>
          <w:noProof/>
        </w:rPr>
        <w:t xml:space="preserve">50,4 % (tj. 121 od </w:t>
      </w:r>
      <w:r>
        <w:rPr>
          <w:noProof/>
        </w:rPr>
        <w:t>240) ispitanika ne zna priznaju li se nacionalni programi certificiranja uzajamno među državama članicama EU-a. 25,8 % (62 od 240) odgovorilo je „ne”, a 23,8 % (57 od 240) odgovorilo je „da”,</w:t>
      </w:r>
    </w:p>
    <w:p w:rsidR="00A761A4" w:rsidRDefault="0064189B">
      <w:pPr>
        <w:pStyle w:val="Bullet0"/>
        <w:rPr>
          <w:noProof/>
        </w:rPr>
      </w:pPr>
      <w:r>
        <w:rPr>
          <w:noProof/>
        </w:rPr>
        <w:t>37,9 % ispitanika (91 od 240) smatra da postojeći programi certi</w:t>
      </w:r>
      <w:r>
        <w:rPr>
          <w:noProof/>
        </w:rPr>
        <w:t xml:space="preserve">ficiranja ne zadovoljavaju potrebe europske industrije. S druge strane, 17,5 % (42 od 240), većinom globalna trgovačka društava koja posluju na europskom tržištu, izrazilo je suprotno stajalište, </w:t>
      </w:r>
    </w:p>
    <w:p w:rsidR="00A761A4" w:rsidRDefault="0064189B">
      <w:pPr>
        <w:pStyle w:val="Bullet0"/>
        <w:rPr>
          <w:noProof/>
        </w:rPr>
      </w:pPr>
      <w:r>
        <w:rPr>
          <w:noProof/>
        </w:rPr>
        <w:t>49,6 % (119 od 240) ispitanika kaže da nije lako dokazati j</w:t>
      </w:r>
      <w:r>
        <w:rPr>
          <w:noProof/>
        </w:rPr>
        <w:t>ednakovrijednost normi, programa certificiranja i oznaka. 37,9 % (91 od 240) odgovorilo je „ne znam”, a 12,5 % (30 od 240) odgovorilo je „da”.</w:t>
      </w:r>
    </w:p>
    <w:p w:rsidR="00A761A4" w:rsidRDefault="00A761A4">
      <w:pPr>
        <w:rPr>
          <w:noProof/>
        </w:rPr>
      </w:pPr>
    </w:p>
    <w:p w:rsidR="00A761A4" w:rsidRDefault="0064189B">
      <w:pPr>
        <w:pStyle w:val="ManualHeading2"/>
        <w:rPr>
          <w:rFonts w:eastAsia="Arial Unicode MS"/>
          <w:noProof/>
          <w:u w:color="000000"/>
          <w:bdr w:val="nil"/>
        </w:rPr>
      </w:pPr>
      <w:bookmarkStart w:id="13" w:name="_Toc492216456"/>
      <w:r>
        <w:rPr>
          <w:noProof/>
        </w:rPr>
        <w:t>Prikupljanje i primjena stručnog znanja</w:t>
      </w:r>
      <w:bookmarkEnd w:id="13"/>
    </w:p>
    <w:p w:rsidR="00A761A4" w:rsidRDefault="0064189B">
      <w:pPr>
        <w:rPr>
          <w:noProof/>
        </w:rPr>
      </w:pPr>
      <w:r>
        <w:rPr>
          <w:noProof/>
        </w:rPr>
        <w:t xml:space="preserve">Komisija se oslanjala na sljedeće vanjske stručne savjete: </w:t>
      </w:r>
    </w:p>
    <w:p w:rsidR="00A761A4" w:rsidRDefault="0064189B">
      <w:pPr>
        <w:pStyle w:val="Bullet0"/>
        <w:rPr>
          <w:noProof/>
        </w:rPr>
      </w:pPr>
      <w:r>
        <w:rPr>
          <w:noProof/>
        </w:rPr>
        <w:t>Studija o oc</w:t>
      </w:r>
      <w:r>
        <w:rPr>
          <w:noProof/>
        </w:rPr>
        <w:t>jenjivanju ENISA-e (Ramboll/Carsa 2017., SMART br. 2016/0077),</w:t>
      </w:r>
    </w:p>
    <w:p w:rsidR="00A761A4" w:rsidRDefault="0064189B">
      <w:pPr>
        <w:pStyle w:val="Bullet0"/>
        <w:rPr>
          <w:noProof/>
        </w:rPr>
      </w:pPr>
      <w:r>
        <w:rPr>
          <w:noProof/>
        </w:rPr>
        <w:t>Studija o sigurnosnom certificiranju i označavanju u području IKT-a – prikupljanje dokaza i procjena učinka (PriceWaterhouseCoopers 2017., SMART br. 2016/0029).</w:t>
      </w:r>
    </w:p>
    <w:p w:rsidR="00A761A4" w:rsidRDefault="00A761A4">
      <w:pPr>
        <w:rPr>
          <w:noProof/>
        </w:rPr>
      </w:pPr>
    </w:p>
    <w:p w:rsidR="00A761A4" w:rsidRDefault="0064189B">
      <w:pPr>
        <w:pStyle w:val="ManualHeading2"/>
        <w:rPr>
          <w:rFonts w:eastAsia="Arial Unicode MS"/>
          <w:noProof/>
          <w:u w:color="000000"/>
          <w:bdr w:val="nil"/>
        </w:rPr>
      </w:pPr>
      <w:bookmarkStart w:id="14" w:name="_Toc492216457"/>
      <w:r>
        <w:rPr>
          <w:noProof/>
        </w:rPr>
        <w:t>Procjena učinka</w:t>
      </w:r>
      <w:bookmarkEnd w:id="14"/>
    </w:p>
    <w:p w:rsidR="00A761A4" w:rsidRDefault="0064189B">
      <w:pPr>
        <w:pStyle w:val="Bullet0"/>
        <w:rPr>
          <w:noProof/>
        </w:rPr>
      </w:pPr>
      <w:r>
        <w:rPr>
          <w:noProof/>
        </w:rPr>
        <w:t xml:space="preserve">U izvješću o </w:t>
      </w:r>
      <w:r>
        <w:rPr>
          <w:noProof/>
        </w:rPr>
        <w:t>procjeni učinka ove inicijative utvrđeni su sljedeći glavni problemi koje treba riješiti:</w:t>
      </w:r>
    </w:p>
    <w:p w:rsidR="00A761A4" w:rsidRDefault="0064189B">
      <w:pPr>
        <w:pStyle w:val="Bullet0"/>
        <w:rPr>
          <w:noProof/>
        </w:rPr>
      </w:pPr>
      <w:r>
        <w:rPr>
          <w:noProof/>
        </w:rPr>
        <w:t>rascjepkanost politika i pristupa kibersigurnosti u državama članicama,</w:t>
      </w:r>
    </w:p>
    <w:p w:rsidR="00A761A4" w:rsidRDefault="0064189B">
      <w:pPr>
        <w:pStyle w:val="Bullet0"/>
        <w:rPr>
          <w:noProof/>
        </w:rPr>
      </w:pPr>
      <w:r>
        <w:rPr>
          <w:noProof/>
        </w:rPr>
        <w:t>raspršeni resursi i rascjepkanost pristupâ kibersigurnosti u institucijama, agencijama i tijel</w:t>
      </w:r>
      <w:r>
        <w:rPr>
          <w:noProof/>
        </w:rPr>
        <w:t>ima EU-a i</w:t>
      </w:r>
    </w:p>
    <w:p w:rsidR="00A761A4" w:rsidRDefault="0064189B">
      <w:pPr>
        <w:pStyle w:val="Bullet0"/>
        <w:rPr>
          <w:noProof/>
        </w:rPr>
      </w:pPr>
      <w:r>
        <w:rPr>
          <w:noProof/>
        </w:rPr>
        <w:t>nedostatna osviještenost i informiranost građana i poduzeća u kombinaciji sa sve većim brojem višestrukih nacionalnih i sektorskih programa certificiranja.</w:t>
      </w:r>
    </w:p>
    <w:p w:rsidR="00A761A4" w:rsidRDefault="0064189B">
      <w:pPr>
        <w:spacing w:line="270" w:lineRule="atLeast"/>
        <w:rPr>
          <w:noProof/>
          <w:szCs w:val="24"/>
        </w:rPr>
      </w:pPr>
      <w:r>
        <w:rPr>
          <w:noProof/>
        </w:rPr>
        <w:t>U izvješću su ocijenjene sljedeće mogućnosti u pogledu mandata ENISA-e:</w:t>
      </w:r>
    </w:p>
    <w:p w:rsidR="00A761A4" w:rsidRDefault="0064189B">
      <w:pPr>
        <w:pStyle w:val="Bullet0"/>
        <w:rPr>
          <w:noProof/>
        </w:rPr>
      </w:pPr>
      <w:r>
        <w:rPr>
          <w:noProof/>
        </w:rPr>
        <w:t xml:space="preserve">očuvanje </w:t>
      </w:r>
      <w:r>
        <w:rPr>
          <w:i/>
          <w:noProof/>
        </w:rPr>
        <w:t xml:space="preserve">statusa </w:t>
      </w:r>
      <w:r>
        <w:rPr>
          <w:i/>
          <w:noProof/>
        </w:rPr>
        <w:t>quo</w:t>
      </w:r>
      <w:r>
        <w:rPr>
          <w:noProof/>
        </w:rPr>
        <w:t>, koja uključuje prošireni mandat koji je i dalje ograničenog trajanja (osnovna mogućnost),</w:t>
      </w:r>
    </w:p>
    <w:p w:rsidR="00A761A4" w:rsidRDefault="0064189B">
      <w:pPr>
        <w:pStyle w:val="Bullet0"/>
        <w:rPr>
          <w:noProof/>
        </w:rPr>
      </w:pPr>
      <w:r>
        <w:rPr>
          <w:noProof/>
        </w:rPr>
        <w:t>istek trenutačnog mandata ENISA-e bez obnove i ukidanje ENISA-e (bez intervencije politike),</w:t>
      </w:r>
    </w:p>
    <w:p w:rsidR="00A761A4" w:rsidRDefault="0064189B">
      <w:pPr>
        <w:pStyle w:val="Bullet0"/>
        <w:rPr>
          <w:noProof/>
        </w:rPr>
      </w:pPr>
      <w:r>
        <w:rPr>
          <w:noProof/>
        </w:rPr>
        <w:t xml:space="preserve">„reformirana ENISA” i </w:t>
      </w:r>
    </w:p>
    <w:p w:rsidR="00A761A4" w:rsidRDefault="0064189B">
      <w:pPr>
        <w:pStyle w:val="Bullet0"/>
        <w:rPr>
          <w:noProof/>
        </w:rPr>
      </w:pPr>
      <w:r>
        <w:rPr>
          <w:noProof/>
        </w:rPr>
        <w:t>agencija EU-a za kibersigurnost s potpunim op</w:t>
      </w:r>
      <w:r>
        <w:rPr>
          <w:noProof/>
        </w:rPr>
        <w:t xml:space="preserve">erativnim sposobnostima. </w:t>
      </w:r>
    </w:p>
    <w:p w:rsidR="00A761A4" w:rsidRDefault="0064189B">
      <w:pPr>
        <w:rPr>
          <w:noProof/>
        </w:rPr>
      </w:pPr>
      <w:r>
        <w:rPr>
          <w:noProof/>
        </w:rPr>
        <w:t>U izvješću su ocijenjene sljedeće mogućnosti u pogledu kibersigurnosne certifikacije:</w:t>
      </w:r>
    </w:p>
    <w:p w:rsidR="00A761A4" w:rsidRDefault="0064189B">
      <w:pPr>
        <w:pStyle w:val="Bullet0"/>
        <w:rPr>
          <w:noProof/>
        </w:rPr>
      </w:pPr>
      <w:r>
        <w:rPr>
          <w:noProof/>
        </w:rPr>
        <w:t>nepoduzimanje intervencije u području politike (osnovna mogućnost),</w:t>
      </w:r>
    </w:p>
    <w:p w:rsidR="00A761A4" w:rsidRDefault="0064189B">
      <w:pPr>
        <w:pStyle w:val="Bullet0"/>
        <w:rPr>
          <w:noProof/>
        </w:rPr>
      </w:pPr>
      <w:r>
        <w:rPr>
          <w:noProof/>
        </w:rPr>
        <w:t>nezakonodavne („pravno neobvezujuće”) mjere,</w:t>
      </w:r>
    </w:p>
    <w:p w:rsidR="00A761A4" w:rsidRDefault="0064189B">
      <w:pPr>
        <w:pStyle w:val="Bullet0"/>
        <w:rPr>
          <w:noProof/>
        </w:rPr>
      </w:pPr>
      <w:r>
        <w:rPr>
          <w:noProof/>
        </w:rPr>
        <w:t>zakonodavni akt EU-a kojim će s</w:t>
      </w:r>
      <w:r>
        <w:rPr>
          <w:noProof/>
        </w:rPr>
        <w:t xml:space="preserve">e stvoriti obvezni sustav za sve države članice na temelju sustava SOG-IS-a i </w:t>
      </w:r>
    </w:p>
    <w:p w:rsidR="00A761A4" w:rsidRDefault="0064189B">
      <w:pPr>
        <w:pStyle w:val="Bullet0"/>
        <w:rPr>
          <w:noProof/>
        </w:rPr>
      </w:pPr>
      <w:r>
        <w:rPr>
          <w:noProof/>
        </w:rPr>
        <w:t>i opći okvir EU-a za kibersigurnosnu certifikaciju u području IKT-a.</w:t>
      </w:r>
    </w:p>
    <w:p w:rsidR="00A761A4" w:rsidRDefault="0064189B">
      <w:pPr>
        <w:rPr>
          <w:noProof/>
        </w:rPr>
      </w:pPr>
      <w:r>
        <w:rPr>
          <w:noProof/>
        </w:rPr>
        <w:t>Na temelju analize donesen je zaključak da je „reformirana ENISA” u kombinaciji s općim okvirom EU-a za kibe</w:t>
      </w:r>
      <w:r>
        <w:rPr>
          <w:noProof/>
        </w:rPr>
        <w:t xml:space="preserve">rsigurnosnu certifikaciju u području IKT-a najprihvatljivija opcija. </w:t>
      </w:r>
    </w:p>
    <w:p w:rsidR="00A761A4" w:rsidRDefault="0064189B">
      <w:pPr>
        <w:rPr>
          <w:noProof/>
        </w:rPr>
      </w:pPr>
      <w:r>
        <w:rPr>
          <w:noProof/>
        </w:rPr>
        <w:t>Ocijenjeno je da je ta opcija najučinkovitije rješenje s pomoću kojeg EU može ostvariti sljedeće utvrđene ciljeve: jačanje kibersigurnosnih sposobnosti, pripravnosti, suradnje, osviješte</w:t>
      </w:r>
      <w:r>
        <w:rPr>
          <w:noProof/>
        </w:rPr>
        <w:t>nosti, transparentnosti i izbjegavanje rascjepkanosti tržišta. Ocijenjeno je da je ta opcija ujedno i najusklađenija s prioritetima politike iz strategije EU-a za kibersigurnost i povezanih politika (npr. Direktive NIS) i strategijom jedinstvenog digitalno</w:t>
      </w:r>
      <w:r>
        <w:rPr>
          <w:noProof/>
        </w:rPr>
        <w:t>g tržišta. Osim toga, tijekom savjetodavnog postupka pokazalo se da ta opcija uživa potporu većine dionika. Nadalje, analiza provedena u okviru procjene učinka pokazala je da ta opcija omogućuje ostvarivanje ciljeva iskorištavanjem razumne količine resursa</w:t>
      </w:r>
      <w:r>
        <w:rPr>
          <w:noProof/>
        </w:rPr>
        <w:t>.</w:t>
      </w:r>
    </w:p>
    <w:p w:rsidR="00A761A4" w:rsidRDefault="0064189B">
      <w:pPr>
        <w:spacing w:line="270" w:lineRule="atLeast"/>
        <w:rPr>
          <w:noProof/>
          <w:szCs w:val="24"/>
        </w:rPr>
      </w:pPr>
      <w:r>
        <w:rPr>
          <w:noProof/>
        </w:rPr>
        <w:t>Komisijin Odbor za regulatorni nadzor prvo je 24. srpnja dao negativno mišljenje, a 25. kolovoza 2017. nakon ponovnog podnošenja pozitivno mišljenje. Izmijenjeno izvješće o procjeni učinka sadržavalo je dodatne dokaze, konačne zaključke evaluacije ENISA-</w:t>
      </w:r>
      <w:r>
        <w:rPr>
          <w:noProof/>
        </w:rPr>
        <w:t>e i dodatna pojašnjenja opcija politike i njihovih učinaka. U prilogu 1. završnom izvješću o procjeni učinka sažeto se opisuje kako su napomene Odbora iz drugog mišljenja uzete u obzir. Konkretno, izvješće je ažurirano kako bi se iscrpnije opisao kibersigu</w:t>
      </w:r>
      <w:r>
        <w:rPr>
          <w:noProof/>
        </w:rPr>
        <w:t>rnosni kontekst EU-a, uključujući mjere iz zajedničke komunikacije „Otpornost, odvraćanje i obrana: jačanje kibersigurnosti EU-a” (JOIN(2017) 450) koje su posebno relevantne za ENISA-u: EU-ov plan za kibersigurnost i Europski centar za istraživanje i struč</w:t>
      </w:r>
      <w:r>
        <w:rPr>
          <w:noProof/>
        </w:rPr>
        <w:t xml:space="preserve">nost u području kibersigurnosti, s kojima bi Agencija povezivala svoje preporuke u pogledu istraživačkih potreba EU-a. </w:t>
      </w:r>
    </w:p>
    <w:p w:rsidR="00A761A4" w:rsidRDefault="0064189B">
      <w:pPr>
        <w:spacing w:line="270" w:lineRule="atLeast"/>
        <w:rPr>
          <w:noProof/>
          <w:szCs w:val="24"/>
        </w:rPr>
      </w:pPr>
      <w:r>
        <w:rPr>
          <w:noProof/>
        </w:rPr>
        <w:t>U izvješću se objašnjava kako bi se reformom Agencije, uključujući nove zadaće, bolje uvjete zaposlenja i strukturnu suradnju s tijelima</w:t>
      </w:r>
      <w:r>
        <w:rPr>
          <w:noProof/>
        </w:rPr>
        <w:t xml:space="preserve"> EU-a u tom području, poboljšala njezina privlačnost kao poslodavca i pridonijelo rješavanju problema povezanih sa zapošljavanjem stručnjaka. Prilog 6. izvješću sadržava i revidiranu procjenu troškova povezanih s opcijama politike za ENISA-u. Kada je riječ</w:t>
      </w:r>
      <w:r>
        <w:rPr>
          <w:noProof/>
        </w:rPr>
        <w:t xml:space="preserve"> o certifikaciji, izvješće je revidirano kako bi se najprihvatljivija opcija iscrpnije pojasnila, među ostalim i grafičkim prikazom, te kako bi se uključile procjene troškova koje bi države članice i Komisija snosili u vezi s tim novim okvirom certifikacij</w:t>
      </w:r>
      <w:r>
        <w:rPr>
          <w:noProof/>
        </w:rPr>
        <w:t>e. Razlozi odabira ENISA-e kao ključnog aktera u tom okviru dodatno su poduprti njezinom stručnošću u tom području i činjenicom da je ENISA jedina agencija na razini EU-a koja se bavi kibersigurnošću. Konačno, revidirani su odjeljci koji se odnose na certi</w:t>
      </w:r>
      <w:r>
        <w:rPr>
          <w:noProof/>
        </w:rPr>
        <w:t>fikaciju kako bi se razjasnile razlike između postojećeg sustava SOG-IS i prednosti različitih opcija politike te objasnilo da će vrsta IKT proizvoda i usluge obuhvaćena europskim programom certifikacije biti definirana u okviru samog odobrenog programa.</w:t>
      </w:r>
    </w:p>
    <w:p w:rsidR="00A761A4" w:rsidRDefault="00A761A4">
      <w:pPr>
        <w:spacing w:line="270" w:lineRule="atLeast"/>
        <w:rPr>
          <w:noProof/>
          <w:szCs w:val="24"/>
        </w:rPr>
      </w:pPr>
    </w:p>
    <w:p w:rsidR="00A761A4" w:rsidRDefault="0064189B">
      <w:pPr>
        <w:pStyle w:val="ManualHeading2"/>
        <w:rPr>
          <w:rFonts w:eastAsia="Arial Unicode MS"/>
          <w:noProof/>
          <w:u w:color="000000"/>
          <w:bdr w:val="nil"/>
        </w:rPr>
      </w:pPr>
      <w:bookmarkStart w:id="15" w:name="_Toc492216458"/>
      <w:r>
        <w:rPr>
          <w:noProof/>
        </w:rPr>
        <w:t>Primjerenost propisa i pojednostavnjivanje</w:t>
      </w:r>
      <w:bookmarkEnd w:id="15"/>
    </w:p>
    <w:p w:rsidR="00A761A4" w:rsidRDefault="0064189B">
      <w:pPr>
        <w:spacing w:before="0" w:after="200" w:line="276" w:lineRule="auto"/>
        <w:jc w:val="left"/>
        <w:rPr>
          <w:i/>
          <w:noProof/>
          <w:szCs w:val="24"/>
        </w:rPr>
      </w:pPr>
      <w:r>
        <w:rPr>
          <w:i/>
          <w:noProof/>
        </w:rPr>
        <w:t>Nije primjenjivo</w:t>
      </w:r>
    </w:p>
    <w:p w:rsidR="00A761A4" w:rsidRDefault="00A761A4">
      <w:pPr>
        <w:spacing w:before="0" w:after="200" w:line="276" w:lineRule="auto"/>
        <w:jc w:val="left"/>
        <w:rPr>
          <w:rFonts w:asciiTheme="minorHAnsi" w:hAnsiTheme="minorHAnsi" w:cstheme="minorBidi"/>
          <w:i/>
          <w:noProof/>
          <w:sz w:val="22"/>
          <w:szCs w:val="24"/>
        </w:rPr>
      </w:pPr>
    </w:p>
    <w:p w:rsidR="00A761A4" w:rsidRDefault="0064189B">
      <w:pPr>
        <w:pStyle w:val="ManualHeading2"/>
        <w:rPr>
          <w:rFonts w:eastAsia="Arial Unicode MS"/>
          <w:noProof/>
          <w:u w:color="000000"/>
          <w:bdr w:val="nil"/>
        </w:rPr>
      </w:pPr>
      <w:bookmarkStart w:id="16" w:name="_Toc492216459"/>
      <w:r>
        <w:rPr>
          <w:noProof/>
        </w:rPr>
        <w:t>Utjecaj na temeljna prava</w:t>
      </w:r>
      <w:bookmarkEnd w:id="16"/>
    </w:p>
    <w:p w:rsidR="00A761A4" w:rsidRDefault="0064189B">
      <w:pPr>
        <w:spacing w:line="270" w:lineRule="atLeast"/>
        <w:rPr>
          <w:rFonts w:eastAsia="Arial Unicode MS"/>
          <w:noProof/>
        </w:rPr>
      </w:pPr>
      <w:r>
        <w:rPr>
          <w:noProof/>
        </w:rPr>
        <w:t>Kibersigurnost ima bitnu ulogu u zaštiti privatnosti i osobnih podataka građana u skladu s člancima 7. i 8. Povelje Europske unije o temeljnim pravima. U slučaju kiberin</w:t>
      </w:r>
      <w:r>
        <w:rPr>
          <w:noProof/>
        </w:rPr>
        <w:t>cidenata jasno je da su izloženi privatnost i zaštita naših osobnih podataka. Kibersigurnost je stoga nužan preduvjet za poštovanje privatnosti i povjerljivosti naših osobnih podataka. U tom kontekstu, prijedlogom, čiji je cilj pojačati kibersigurnost u Eu</w:t>
      </w:r>
      <w:r>
        <w:rPr>
          <w:noProof/>
        </w:rPr>
        <w:t>ropi, osigurava se važna dopuna postojećem zakonodavstvu u zaštiti temeljnih prava na privatnost i osobne podatke. Kibersigurnost je od ključne važnosti i za zaštitu povjerljivosti naše elektroničke komunikacije i za ostvarivanje slobode izražavanja i info</w:t>
      </w:r>
      <w:r>
        <w:rPr>
          <w:noProof/>
        </w:rPr>
        <w:t>rmiranja i ostalih povezanih prava, poput slobode mišljenja, savjesti i vjeroispovijedi.</w:t>
      </w:r>
    </w:p>
    <w:p w:rsidR="00A761A4" w:rsidRDefault="0064189B">
      <w:pPr>
        <w:pStyle w:val="ManualHeading1"/>
        <w:rPr>
          <w:noProof/>
        </w:rPr>
      </w:pPr>
      <w:bookmarkStart w:id="17" w:name="_Toc492216460"/>
      <w:r>
        <w:t>4.</w:t>
      </w:r>
      <w:r>
        <w:tab/>
      </w:r>
      <w:r>
        <w:rPr>
          <w:noProof/>
        </w:rPr>
        <w:t>UTJECAJ NA PRORAČUN</w:t>
      </w:r>
      <w:bookmarkEnd w:id="17"/>
    </w:p>
    <w:p w:rsidR="00A761A4" w:rsidRDefault="0064189B">
      <w:pPr>
        <w:spacing w:before="0" w:after="200" w:line="276" w:lineRule="auto"/>
        <w:jc w:val="left"/>
        <w:rPr>
          <w:i/>
          <w:noProof/>
        </w:rPr>
      </w:pPr>
      <w:r>
        <w:rPr>
          <w:i/>
          <w:noProof/>
        </w:rPr>
        <w:t>Vidi financijski plan</w:t>
      </w:r>
    </w:p>
    <w:p w:rsidR="00A761A4" w:rsidRDefault="0064189B">
      <w:pPr>
        <w:pStyle w:val="ManualHeading1"/>
        <w:rPr>
          <w:noProof/>
        </w:rPr>
      </w:pPr>
      <w:bookmarkStart w:id="18" w:name="_Toc492216461"/>
      <w:r>
        <w:rPr>
          <w:noProof/>
        </w:rPr>
        <w:t>5.</w:t>
      </w:r>
      <w:r>
        <w:rPr>
          <w:noProof/>
        </w:rPr>
        <w:tab/>
        <w:t>OSTALI ELEMENTI</w:t>
      </w:r>
      <w:bookmarkEnd w:id="18"/>
    </w:p>
    <w:p w:rsidR="00A761A4" w:rsidRDefault="0064189B">
      <w:pPr>
        <w:pStyle w:val="ManualHeading2"/>
        <w:rPr>
          <w:rFonts w:eastAsia="Arial Unicode MS"/>
          <w:noProof/>
          <w:u w:color="000000"/>
          <w:bdr w:val="nil"/>
        </w:rPr>
      </w:pPr>
      <w:bookmarkStart w:id="19" w:name="_Toc492216462"/>
      <w:r>
        <w:rPr>
          <w:noProof/>
        </w:rPr>
        <w:t>•</w:t>
      </w:r>
      <w:r>
        <w:rPr>
          <w:noProof/>
        </w:rPr>
        <w:tab/>
        <w:t>Planovi provedbe i mehanizmi praćenja, evaluacije i izvješćivanja</w:t>
      </w:r>
      <w:bookmarkEnd w:id="19"/>
    </w:p>
    <w:p w:rsidR="00A761A4" w:rsidRDefault="0064189B">
      <w:pPr>
        <w:spacing w:before="0" w:after="200" w:line="270" w:lineRule="atLeast"/>
        <w:rPr>
          <w:noProof/>
          <w:szCs w:val="24"/>
        </w:rPr>
      </w:pPr>
      <w:r>
        <w:rPr>
          <w:noProof/>
        </w:rPr>
        <w:t>Komisija će pratiti primjenu Uredbe</w:t>
      </w:r>
      <w:r>
        <w:rPr>
          <w:noProof/>
        </w:rPr>
        <w:t xml:space="preserve"> i svakih pet godina podnosit će izvješće o njezinoj evaluaciji Europskom parlamentu i Vijeću te Europskom gospodarskom i socijalnom odboru. Ta će izvješća biti javna i sadržavat će detaljni opis primjene i izvršenja ove Uredbe.</w:t>
      </w:r>
    </w:p>
    <w:p w:rsidR="00A761A4" w:rsidRDefault="0064189B">
      <w:pPr>
        <w:pStyle w:val="ManualHeading2"/>
        <w:rPr>
          <w:rFonts w:eastAsia="Arial Unicode MS"/>
          <w:noProof/>
          <w:u w:color="000000"/>
          <w:bdr w:val="nil"/>
        </w:rPr>
      </w:pPr>
      <w:bookmarkStart w:id="20" w:name="_Toc492216463"/>
      <w:r>
        <w:rPr>
          <w:noProof/>
        </w:rPr>
        <w:t>•</w:t>
      </w:r>
      <w:r>
        <w:rPr>
          <w:noProof/>
        </w:rPr>
        <w:tab/>
        <w:t>Detaljno obrazloženje poj</w:t>
      </w:r>
      <w:r>
        <w:rPr>
          <w:noProof/>
        </w:rPr>
        <w:t>edinih odredbi prijedloga</w:t>
      </w:r>
      <w:bookmarkEnd w:id="20"/>
    </w:p>
    <w:p w:rsidR="00A761A4" w:rsidRDefault="0064189B">
      <w:pPr>
        <w:spacing w:line="270" w:lineRule="atLeast"/>
        <w:rPr>
          <w:noProof/>
          <w:szCs w:val="24"/>
        </w:rPr>
      </w:pPr>
      <w:r>
        <w:rPr>
          <w:noProof/>
        </w:rPr>
        <w:t xml:space="preserve">Glava I. Uredbe sadržava opće odredbe: predmet (članak 1.), definicije (članak 2.), uključujući upućivanja na relevantne definicije iz drugih instrumenata EU-a, na primjer iz Direktive (EU) 2016/1148 Europskog parlamenta i Vijeća </w:t>
      </w:r>
      <w:r>
        <w:rPr>
          <w:noProof/>
        </w:rPr>
        <w:t>o mjerama za visoku zajedničku razinu sigurnosti mrežnih i informacijskih sustava širom Unije (Direktiva NIS), Uredbe (EZ) br. 765/2008 Europskog parlamenta i Vijeća o utvrđivanju zahtjeva za akreditaciju i za nadzor tržišta u odnosu na stavljanje proizvod</w:t>
      </w:r>
      <w:r>
        <w:rPr>
          <w:noProof/>
        </w:rPr>
        <w:t>a na tržište i o stavljanju izvan snage Uredbe (EEZ) br. 339/93 i Uredbe (EU) br. 1025/2012 Europskog parlamenta i Vijeća o europskoj normizaciji.</w:t>
      </w:r>
    </w:p>
    <w:p w:rsidR="00A761A4" w:rsidRDefault="0064189B">
      <w:pPr>
        <w:spacing w:line="270" w:lineRule="atLeast"/>
        <w:rPr>
          <w:noProof/>
          <w:szCs w:val="24"/>
        </w:rPr>
      </w:pPr>
      <w:r>
        <w:rPr>
          <w:noProof/>
        </w:rPr>
        <w:t xml:space="preserve">Glava II. Uredbe sadržava ključne odredbe o ENISA-i, agenciji EU-a za kibersigurnost. </w:t>
      </w:r>
    </w:p>
    <w:p w:rsidR="00A761A4" w:rsidRDefault="0064189B">
      <w:pPr>
        <w:spacing w:line="270" w:lineRule="atLeast"/>
        <w:rPr>
          <w:noProof/>
          <w:szCs w:val="24"/>
        </w:rPr>
      </w:pPr>
      <w:r>
        <w:rPr>
          <w:noProof/>
        </w:rPr>
        <w:t>U poglavlju I. te glav</w:t>
      </w:r>
      <w:r>
        <w:rPr>
          <w:noProof/>
        </w:rPr>
        <w:t xml:space="preserve">e opisan je mandat (članak 3.), ciljevi (članak 4.) i zadaće Agencije (članci od 5. do 11.) </w:t>
      </w:r>
    </w:p>
    <w:p w:rsidR="00A761A4" w:rsidRDefault="0064189B">
      <w:pPr>
        <w:spacing w:line="270" w:lineRule="atLeast"/>
        <w:rPr>
          <w:noProof/>
          <w:szCs w:val="24"/>
        </w:rPr>
      </w:pPr>
      <w:r>
        <w:rPr>
          <w:noProof/>
        </w:rPr>
        <w:t>U poglavlju II. opisano je ustrojstvo ENISA-e i navode se ključne odredbe o njezinoj strukturi (članak 12.).  Njime su obuhvaćeni sastav, pravila glasovanja i funk</w:t>
      </w:r>
      <w:r>
        <w:rPr>
          <w:noProof/>
        </w:rPr>
        <w:t>cije Upravljačkog odbora (odjeljak 1., članci od 13. do 17.), Izvršnog odbora (odjeljak 2. članak 18.) i izvršnog direktora (odjeljak 3. članak 19.). Ono uključuje i odredbe o sastavu i ulozi Stalne interesne skupine (odjeljak 4. članak 20.). I naposljetku</w:t>
      </w:r>
      <w:r>
        <w:rPr>
          <w:noProof/>
        </w:rPr>
        <w:t xml:space="preserve">, u odjeljku 5. tog poglavlja navedena su operativna pravila Agencije, među ostalim u pogledu programiranja njezinih operacija, sukoba interesa, transparentnosti, povjerljivosti i pristupa dokumentima (članci od 21. do 25.). </w:t>
      </w:r>
    </w:p>
    <w:p w:rsidR="00A761A4" w:rsidRDefault="0064189B">
      <w:pPr>
        <w:spacing w:line="270" w:lineRule="atLeast"/>
        <w:rPr>
          <w:noProof/>
          <w:szCs w:val="24"/>
        </w:rPr>
      </w:pPr>
      <w:r>
        <w:rPr>
          <w:noProof/>
        </w:rPr>
        <w:t>Poglavlje III. odnosi se na us</w:t>
      </w:r>
      <w:r>
        <w:rPr>
          <w:noProof/>
        </w:rPr>
        <w:t xml:space="preserve">postavu i strukturu proračuna Agencije (članci 26. i 27). te na pravila o njegovoj provedbi (članci 28. i 29.). Uključuje i odredbe kojima se olakšava borba protiv prijevara, korupcije i ostalih nezakonitih aktivnosti (članak 30.). </w:t>
      </w:r>
    </w:p>
    <w:p w:rsidR="00A761A4" w:rsidRDefault="0064189B">
      <w:pPr>
        <w:spacing w:line="270" w:lineRule="atLeast"/>
        <w:rPr>
          <w:noProof/>
          <w:szCs w:val="24"/>
        </w:rPr>
      </w:pPr>
      <w:r>
        <w:rPr>
          <w:noProof/>
        </w:rPr>
        <w:t>Poglavlje IV. odnosi se</w:t>
      </w:r>
      <w:r>
        <w:rPr>
          <w:noProof/>
        </w:rPr>
        <w:t xml:space="preserve"> na zaposlenike Agencije. Ono uključuje odredbe o Pravilniku o osoblju i uvjetima zaposlenja te pravila o povlasticama i imunitetima (članci 31. i 32.). U njemu su također detaljno opisana pravila mandata i imenovanja izvršnog direktora Agencije (članak 33</w:t>
      </w:r>
      <w:r>
        <w:rPr>
          <w:noProof/>
        </w:rPr>
        <w:t xml:space="preserve">.). I na kraju, ali ne najmanje važno, ono uključuje odredbe o angažmanu upućenih nacionalnih stručnjaka ili drugih zaposlenika koji nisu zaposleni u Agenciji (članak 34.).  </w:t>
      </w:r>
    </w:p>
    <w:p w:rsidR="00A761A4" w:rsidRDefault="0064189B">
      <w:pPr>
        <w:spacing w:line="270" w:lineRule="atLeast"/>
        <w:rPr>
          <w:noProof/>
          <w:szCs w:val="24"/>
        </w:rPr>
      </w:pPr>
      <w:r>
        <w:rPr>
          <w:noProof/>
        </w:rPr>
        <w:t>Naposljetku, poglavlje V. sadržava opće odredbe o Agenciji. U njemu je opisan pra</w:t>
      </w:r>
      <w:r>
        <w:rPr>
          <w:noProof/>
        </w:rPr>
        <w:t>vni položaj (članak 35.) i uključuje odredbe kojima se uređuju pitanja odgovornosti, jezika, zaštite osobnih podataka (članci od 36. do 38.) te sigurnosna pravila o zaštiti klasificiranih i osjetljivih neklasificiranih podataka (članak 40.). U njemu su opi</w:t>
      </w:r>
      <w:r>
        <w:rPr>
          <w:noProof/>
        </w:rPr>
        <w:t>sana pravila kojima se uređuje suradnja Agencije s trećim zemljama i međunarodnim organizacijama (članak 39.). I konačno, ali ne najmanje važno, ono sadržava odredbe o sjedištu Agencije i uvjetima rada te o administrativnom nadzoru koji provodi Europski om</w:t>
      </w:r>
      <w:r>
        <w:rPr>
          <w:noProof/>
        </w:rPr>
        <w:t>budsman (članci 41. i 42.).</w:t>
      </w:r>
    </w:p>
    <w:p w:rsidR="00A761A4" w:rsidRDefault="0064189B">
      <w:pPr>
        <w:spacing w:line="270" w:lineRule="atLeast"/>
        <w:rPr>
          <w:noProof/>
          <w:szCs w:val="24"/>
        </w:rPr>
      </w:pPr>
      <w:r>
        <w:rPr>
          <w:noProof/>
        </w:rPr>
        <w:t>Glavom III. Uredbe uspostavlja se europski okvir za kibersigurnosnu certifikaciju („</w:t>
      </w:r>
      <w:r>
        <w:rPr>
          <w:b/>
          <w:noProof/>
        </w:rPr>
        <w:t>Okvir</w:t>
      </w:r>
      <w:r>
        <w:rPr>
          <w:noProof/>
        </w:rPr>
        <w:t xml:space="preserve">”) za IKT proizvode i usluge kao </w:t>
      </w:r>
      <w:r>
        <w:rPr>
          <w:i/>
          <w:noProof/>
        </w:rPr>
        <w:t>lex generalis</w:t>
      </w:r>
      <w:r>
        <w:rPr>
          <w:noProof/>
        </w:rPr>
        <w:t xml:space="preserve"> (članak 1.). Definira se opća svrha europskih programa kibersigurnosne certifikacije, tj. os</w:t>
      </w:r>
      <w:r>
        <w:rPr>
          <w:noProof/>
        </w:rPr>
        <w:t>iguranje usklađenosti IKT proizvoda i usluga s određenim kibersigurnosnim zahtjevima u pogledu njihove sposobnosti, na određenoj razini jamstva, da se odupru djelovanju kojim se ugrožava dostupnost, izvornost, cjelovitost ili povjerljivost pohranjenih, pos</w:t>
      </w:r>
      <w:r>
        <w:rPr>
          <w:noProof/>
        </w:rPr>
        <w:t>lanih ili obrađenih podataka ili povezanih funkcija ili usluga (članak 43.). Nadalje, navode se sigurnosni ciljevi koji se nastoje ostvariti europskim programima kibersigurnosne certifikacije (članak 45.), na primjer sposobnost zaštite podataka od slučajno</w:t>
      </w:r>
      <w:r>
        <w:rPr>
          <w:noProof/>
        </w:rPr>
        <w:t>g ili neovlaštenog pristupa ili otkrivanja, uništavanja ili mijenjanja i sadržaj (tj. elementi) europskih programa kibersigurnosne certifikacije, na primjer detaljni opis njihova područja primjene, sigurnosnih ciljeva, kriterija za ocjenjivanje itd. (člana</w:t>
      </w:r>
      <w:r>
        <w:rPr>
          <w:noProof/>
        </w:rPr>
        <w:t xml:space="preserve">k 47.). </w:t>
      </w:r>
    </w:p>
    <w:p w:rsidR="00A761A4" w:rsidRDefault="0064189B">
      <w:pPr>
        <w:spacing w:line="270" w:lineRule="atLeast"/>
        <w:rPr>
          <w:noProof/>
          <w:szCs w:val="24"/>
        </w:rPr>
      </w:pPr>
      <w:r>
        <w:rPr>
          <w:noProof/>
        </w:rPr>
        <w:t>Glavom III. utvrđuju se i glavni pravni učinci europskih programa kibersigurnosne certifikacije, odnosno i. obveza provođenja programa na nacionalnoj razini i dobrovoljna priroda certificiranja; ii. učinak poništavanja koji europski programi kiber</w:t>
      </w:r>
      <w:r>
        <w:rPr>
          <w:noProof/>
        </w:rPr>
        <w:t xml:space="preserve">sigurnosne certifikacije imaju u odnosu na nacionalne programe koji se odnose na isti proizvod ili usluge (članci 48. i 49.). </w:t>
      </w:r>
    </w:p>
    <w:p w:rsidR="00A761A4" w:rsidRDefault="0064189B">
      <w:pPr>
        <w:spacing w:line="270" w:lineRule="atLeast"/>
        <w:rPr>
          <w:noProof/>
          <w:szCs w:val="24"/>
        </w:rPr>
      </w:pPr>
      <w:r>
        <w:rPr>
          <w:noProof/>
        </w:rPr>
        <w:t xml:space="preserve">Tom glavom dodatno se propisuje postupak za donošenje europskih programa kibersigurnosne certifikacije i uloge Komisije, ENISA-e </w:t>
      </w:r>
      <w:r>
        <w:rPr>
          <w:noProof/>
        </w:rPr>
        <w:t>i  Europske skupine za kibersigurnosnu certifikaciju – „Skupina” – (članak 44.). Naposljetku, u toj glavi utvrđuju se odredbe o tijelima za ocjenjivanje sukladnosti, među ostalim o njihovim zahtjevima, ovlastima i zadaćama, nacionalnim tijelima za nadzor c</w:t>
      </w:r>
      <w:r>
        <w:rPr>
          <w:noProof/>
        </w:rPr>
        <w:t>ertifikacije i o kaznama.</w:t>
      </w:r>
    </w:p>
    <w:p w:rsidR="00A761A4" w:rsidRDefault="0064189B">
      <w:pPr>
        <w:rPr>
          <w:noProof/>
          <w:szCs w:val="24"/>
        </w:rPr>
      </w:pPr>
      <w:r>
        <w:rPr>
          <w:noProof/>
        </w:rPr>
        <w:t>U toj glavi „Skupina” se uspostavlja i kao osnovno tijelo koje se sastoji od predstavnika nacionalnih tijela za nadzor certifikacije čija je glavna funkcija surađivati s ENISA-om na izradi europskih programa kibersigurnosne certif</w:t>
      </w:r>
      <w:r>
        <w:rPr>
          <w:noProof/>
        </w:rPr>
        <w:t xml:space="preserve">ikacije i savjetovati Komisiju o općim i posebnim pitanjima povezanima s politikom kibersigurnosne certifikacije. </w:t>
      </w:r>
    </w:p>
    <w:p w:rsidR="00A761A4" w:rsidRDefault="0064189B">
      <w:pPr>
        <w:spacing w:line="270" w:lineRule="atLeast"/>
        <w:rPr>
          <w:noProof/>
          <w:szCs w:val="24"/>
        </w:rPr>
      </w:pPr>
      <w:r>
        <w:rPr>
          <w:noProof/>
        </w:rPr>
        <w:t xml:space="preserve">Glava IV. Uredbe uključuje završne odredbe u kojima se opisuje delegiranje, zahtjevi za ocjenjivanje, stavljanje izvan snage i nasljeđivanje </w:t>
      </w:r>
      <w:r>
        <w:rPr>
          <w:noProof/>
        </w:rPr>
        <w:t xml:space="preserve">te stupanje na snagu. </w:t>
      </w:r>
    </w:p>
    <w:p w:rsidR="00A761A4" w:rsidRDefault="0064189B">
      <w:pPr>
        <w:spacing w:before="0" w:after="200" w:line="276" w:lineRule="auto"/>
        <w:jc w:val="left"/>
        <w:rPr>
          <w:noProof/>
        </w:rPr>
      </w:pPr>
      <w:r>
        <w:rPr>
          <w:noProof/>
        </w:rPr>
        <w:br w:type="page"/>
      </w:r>
    </w:p>
    <w:p w:rsidR="00A761A4" w:rsidRDefault="0064189B" w:rsidP="0064189B">
      <w:pPr>
        <w:pStyle w:val="Rfrenceinterinstitutionnelle"/>
        <w:rPr>
          <w:noProof/>
        </w:rPr>
      </w:pPr>
      <w:r w:rsidRPr="0064189B">
        <w:t>2017/0225 (COD)</w:t>
      </w:r>
    </w:p>
    <w:p w:rsidR="00A761A4" w:rsidRDefault="0064189B" w:rsidP="0064189B">
      <w:pPr>
        <w:pStyle w:val="Statut"/>
        <w:rPr>
          <w:noProof/>
        </w:rPr>
      </w:pPr>
      <w:r w:rsidRPr="0064189B">
        <w:t>Prijedlog</w:t>
      </w:r>
    </w:p>
    <w:p w:rsidR="00A761A4" w:rsidRDefault="0064189B" w:rsidP="0064189B">
      <w:pPr>
        <w:pStyle w:val="Typedudocument"/>
        <w:rPr>
          <w:noProof/>
        </w:rPr>
      </w:pPr>
      <w:r w:rsidRPr="0064189B">
        <w:t>UREDBE EUROPSKOG PARLAMENTA I VIJEĆA</w:t>
      </w:r>
    </w:p>
    <w:p w:rsidR="00A761A4" w:rsidRDefault="0064189B" w:rsidP="0064189B">
      <w:pPr>
        <w:pStyle w:val="Titreobjet"/>
        <w:rPr>
          <w:noProof/>
        </w:rPr>
      </w:pPr>
      <w:r w:rsidRPr="0064189B">
        <w:t>o ENISA-i (agenciji EU-a za kibersigurnost) i stavljanju izvan snage Uredbe</w:t>
      </w:r>
      <w:r>
        <w:t> </w:t>
      </w:r>
      <w:r w:rsidRPr="0064189B">
        <w:t>(EU)</w:t>
      </w:r>
      <w:r>
        <w:t> </w:t>
      </w:r>
      <w:r w:rsidRPr="0064189B">
        <w:t>526/2013 te o kibersigurnosnoj certifikaciji u području informacijske i komunikacijske tehnologije („Akt o kibersigurnosti”)</w:t>
      </w:r>
    </w:p>
    <w:p w:rsidR="00A761A4" w:rsidRDefault="0064189B" w:rsidP="0064189B">
      <w:pPr>
        <w:pStyle w:val="IntrtEEE"/>
        <w:rPr>
          <w:noProof/>
        </w:rPr>
      </w:pPr>
      <w:r w:rsidRPr="0064189B">
        <w:t>(Tekst značajan za EGP)</w:t>
      </w:r>
    </w:p>
    <w:p w:rsidR="00A761A4" w:rsidRDefault="0064189B">
      <w:pPr>
        <w:pStyle w:val="Institutionquiagit"/>
        <w:rPr>
          <w:noProof/>
        </w:rPr>
      </w:pPr>
      <w:r>
        <w:rPr>
          <w:noProof/>
        </w:rPr>
        <w:t>EUROPSKI PARLAMENT I VIJEĆE EUROPSKE UNIJE,</w:t>
      </w:r>
    </w:p>
    <w:p w:rsidR="00A761A4" w:rsidRDefault="0064189B">
      <w:pPr>
        <w:rPr>
          <w:noProof/>
        </w:rPr>
      </w:pPr>
      <w:r>
        <w:rPr>
          <w:noProof/>
        </w:rPr>
        <w:t>uzimajući u obzir Ugovor o funkcioniranju Europske unije, a posebno njegov članak 114.,</w:t>
      </w:r>
    </w:p>
    <w:p w:rsidR="00A761A4" w:rsidRDefault="0064189B">
      <w:pPr>
        <w:rPr>
          <w:noProof/>
        </w:rPr>
      </w:pPr>
      <w:r>
        <w:rPr>
          <w:noProof/>
        </w:rPr>
        <w:t>uzimajući u obzir prijedlog Europske komisije,</w:t>
      </w:r>
    </w:p>
    <w:p w:rsidR="00A761A4" w:rsidRDefault="0064189B">
      <w:pPr>
        <w:rPr>
          <w:noProof/>
        </w:rPr>
      </w:pPr>
      <w:r>
        <w:rPr>
          <w:noProof/>
        </w:rPr>
        <w:t>nakon prosljeđi</w:t>
      </w:r>
      <w:r>
        <w:rPr>
          <w:noProof/>
        </w:rPr>
        <w:t>vanja nacrta zakonodavnog akta nacionalnim parlamentima,</w:t>
      </w:r>
    </w:p>
    <w:p w:rsidR="00A761A4" w:rsidRDefault="0064189B">
      <w:pPr>
        <w:rPr>
          <w:noProof/>
        </w:rPr>
      </w:pPr>
      <w:r>
        <w:rPr>
          <w:noProof/>
        </w:rPr>
        <w:t>uzimajući u obzir mišljenje Europskoga gospodarskog i socijalnog odbora</w:t>
      </w:r>
      <w:r>
        <w:rPr>
          <w:rStyle w:val="FootnoteReference"/>
          <w:noProof/>
        </w:rPr>
        <w:footnoteReference w:id="29"/>
      </w:r>
      <w:r>
        <w:rPr>
          <w:noProof/>
        </w:rPr>
        <w:t>,</w:t>
      </w:r>
    </w:p>
    <w:p w:rsidR="00A761A4" w:rsidRDefault="0064189B">
      <w:pPr>
        <w:rPr>
          <w:noProof/>
        </w:rPr>
      </w:pPr>
      <w:r>
        <w:rPr>
          <w:noProof/>
        </w:rPr>
        <w:t>uzimajući u obzir mišljenje Odbora regija</w:t>
      </w:r>
      <w:r>
        <w:rPr>
          <w:rStyle w:val="FootnoteReference"/>
          <w:noProof/>
        </w:rPr>
        <w:footnoteReference w:id="30"/>
      </w:r>
      <w:r>
        <w:rPr>
          <w:noProof/>
        </w:rPr>
        <w:t xml:space="preserve">, </w:t>
      </w:r>
    </w:p>
    <w:p w:rsidR="00A761A4" w:rsidRDefault="0064189B">
      <w:pPr>
        <w:rPr>
          <w:noProof/>
        </w:rPr>
      </w:pPr>
      <w:r>
        <w:rPr>
          <w:noProof/>
        </w:rPr>
        <w:t>u skladu s redovnim zakonodavnim postupkom,</w:t>
      </w:r>
    </w:p>
    <w:p w:rsidR="00A761A4" w:rsidRDefault="0064189B">
      <w:pPr>
        <w:rPr>
          <w:noProof/>
        </w:rPr>
      </w:pPr>
      <w:r>
        <w:rPr>
          <w:noProof/>
        </w:rPr>
        <w:t>budući da:</w:t>
      </w:r>
    </w:p>
    <w:p w:rsidR="00A761A4" w:rsidRDefault="0064189B">
      <w:pPr>
        <w:pStyle w:val="ManualConsidrant"/>
        <w:rPr>
          <w:noProof/>
        </w:rPr>
      </w:pPr>
      <w:r>
        <w:t>(1)</w:t>
      </w:r>
      <w:r>
        <w:tab/>
      </w:r>
      <w:r>
        <w:rPr>
          <w:noProof/>
        </w:rPr>
        <w:t>Mrežni i informacijsk</w:t>
      </w:r>
      <w:r>
        <w:rPr>
          <w:noProof/>
        </w:rPr>
        <w:t>i sustavi i telekomunikacijske mreže i usluge imaju ključnu ulogu u društvu i postali su okosnica gospodarskog rasta. Informacijska i komunikacijska tehnologija podupire složene sustave kojima se podupiru društvene aktivnosti, osigurava neprekinuto funkcio</w:t>
      </w:r>
      <w:r>
        <w:rPr>
          <w:noProof/>
        </w:rPr>
        <w:t xml:space="preserve">niranje naših gospodarstava u ključnim sektorima poput zdravstva, energetike, financija i prometa te se posebno podupire funkcioniranje unutarnjeg tržišta. </w:t>
      </w:r>
    </w:p>
    <w:p w:rsidR="00A761A4" w:rsidRDefault="0064189B">
      <w:pPr>
        <w:pStyle w:val="ManualConsidrant"/>
        <w:rPr>
          <w:noProof/>
          <w:szCs w:val="24"/>
        </w:rPr>
      </w:pPr>
      <w:r>
        <w:t>(2)</w:t>
      </w:r>
      <w:r>
        <w:tab/>
      </w:r>
      <w:r>
        <w:rPr>
          <w:noProof/>
        </w:rPr>
        <w:t>Građani, poduzeća i javna tijela u cijeloj Uniji sada se koriste mrežnim i informacijskim susta</w:t>
      </w:r>
      <w:r>
        <w:rPr>
          <w:noProof/>
        </w:rPr>
        <w:t>vima. Digitalizacija i povezivost postaju ključne značajke sve većeg broja proizvoda i usluga, a uvođenjem interneta stvari očekuje se da će se u EU-u tijekom sljedećeg desetljeća upotrebljavati milijuni, ako ne i milijarde, povezanih digitalnih uređaja. I</w:t>
      </w:r>
      <w:r>
        <w:rPr>
          <w:noProof/>
        </w:rPr>
        <w:t>ako se na internet povezuje sve veći broj uređaja, sigurnost i otpornost nisu dostatno ugrađeni u dizajn, što dovodi do nedostatne kibersigurnosti. U tom kontekstu, zbog ograničene uporabe certifikacije, organizacije i pojedinačni korisnici nemaju dovoljno</w:t>
      </w:r>
      <w:r>
        <w:rPr>
          <w:noProof/>
        </w:rPr>
        <w:t xml:space="preserve"> informacija o kibersigurnosnim značajkama IKT proizvoda i usluga, što smanjuje povjerenje u digitalna rješenja.</w:t>
      </w:r>
    </w:p>
    <w:p w:rsidR="00A761A4" w:rsidRDefault="0064189B">
      <w:pPr>
        <w:pStyle w:val="ManualConsidrant"/>
        <w:rPr>
          <w:rFonts w:eastAsia="Times New Roman"/>
          <w:noProof/>
        </w:rPr>
      </w:pPr>
      <w:r>
        <w:t>(3)</w:t>
      </w:r>
      <w:r>
        <w:tab/>
      </w:r>
      <w:r>
        <w:rPr>
          <w:noProof/>
        </w:rPr>
        <w:t>Rast digitalizacije i povezivosti donose veće kibersigurnosne rizike zbog čega je društvo u cjelini osjetljivije na prijetnje kibersigurnos</w:t>
      </w:r>
      <w:r>
        <w:rPr>
          <w:noProof/>
        </w:rPr>
        <w:t>ti, a građani se suočavaju sa sve većim opasnostima, uključujući ranjive osobe kao što su djeca. Kako bi se ublažio taj rizik za društvo, treba poduzeti sve nužne mjere za poboljšanje kibersigurnosti u EU-u u cilju bolje zaštite mrežnih i informacijskih su</w:t>
      </w:r>
      <w:r>
        <w:rPr>
          <w:noProof/>
        </w:rPr>
        <w:t xml:space="preserve">stava, telekomunikacijskih mreža, digitalnih proizvoda, usluga i uređaja kojima se koriste građani, vlade i poduzeća, od MSP-ova do operatora ključnih infrastruktura, od kiberprijetnji. </w:t>
      </w:r>
    </w:p>
    <w:p w:rsidR="00A761A4" w:rsidRDefault="0064189B">
      <w:pPr>
        <w:pStyle w:val="ManualConsidrant"/>
        <w:rPr>
          <w:noProof/>
        </w:rPr>
      </w:pPr>
      <w:r>
        <w:t>(4)</w:t>
      </w:r>
      <w:r>
        <w:tab/>
      </w:r>
      <w:r>
        <w:rPr>
          <w:noProof/>
        </w:rPr>
        <w:t>Kibernapadi su sve češći te je potrebna snažnija obrana povezanog gospodarstva i društva koje je osjetljivije na kiberprijetnje i napade.  Međutim, iako su kibernapadi često prekogranični, politički odgovori nadležnih tijela za kibersigurnost i nadležnosti</w:t>
      </w:r>
      <w:r>
        <w:rPr>
          <w:noProof/>
        </w:rPr>
        <w:t xml:space="preserve"> u području izvršavanja zakonodavstva uglavnom su nacionalne. Veliki kiberincidenti mogli bi uzrokovati prekid u opskrbi ključnim uslugama u cijelom EU-u. Zbog toga su potrebni učinkovit odgovor i upravljanje krizama na razini EU-a, koji se temelje na cilj</w:t>
      </w:r>
      <w:r>
        <w:rPr>
          <w:noProof/>
        </w:rPr>
        <w:t xml:space="preserve">anim politikama i opsežnijim instrumentima za europsku solidarnost i uzajamnu pomoć. Nadalje, za kreatore politike, industriju i korisnike stoga je važno redovito ocjenjivanje stanja kibersigurnosti i otpornosti u Uniji na temelju pouzdanih podataka Unije </w:t>
      </w:r>
      <w:r>
        <w:rPr>
          <w:noProof/>
        </w:rPr>
        <w:t xml:space="preserve">i sustavno predviđanje budućeg razvoja, izazova i opasnosti na razini Unije i na globalnoj razni. </w:t>
      </w:r>
    </w:p>
    <w:p w:rsidR="00A761A4" w:rsidRDefault="0064189B">
      <w:pPr>
        <w:pStyle w:val="ManualConsidrant"/>
        <w:rPr>
          <w:noProof/>
        </w:rPr>
      </w:pPr>
      <w:r>
        <w:t>(5)</w:t>
      </w:r>
      <w:r>
        <w:tab/>
      </w:r>
      <w:r>
        <w:rPr>
          <w:noProof/>
        </w:rPr>
        <w:t>Zbog sve većih kibersigurnosnih izazova s kojima se Unija suočava potrebno je donijeti sveobuhvatan skup mjera koje bi se temeljile na prethodnom djelova</w:t>
      </w:r>
      <w:r>
        <w:rPr>
          <w:noProof/>
        </w:rPr>
        <w:t>nju Unije i kojima bi se poticali ciljevi koji se uzajamno podupiru. One uključuju potrebu za daljnjim povećanjem sposobnosti i spremnosti država članica i poduzeća te za poboljšanjem suradnje i koordinacija u državama članicama i institucijama, agencijama</w:t>
      </w:r>
      <w:r>
        <w:rPr>
          <w:noProof/>
        </w:rPr>
        <w:t xml:space="preserve"> i tijelima EU-a. Nadalje, s obzirom na to da kiberprijetnje ne poznaju granica, trebalo bi povećati sposobnosti na razini Unije kojima bi se mogla dopuniti djelovanja država članica, posebno u slučaju velikih prekograničnih kiberprijetnji i kriza. Potrebn</w:t>
      </w:r>
      <w:r>
        <w:rPr>
          <w:noProof/>
        </w:rPr>
        <w:t>o je uložiti dodatne napore u podizanje razine osviještenosti građana i poduzeća u području kibersigurnosti. Nadalje, povjerenje u jedinstveno digitalno tržište trebalo bi dodatno poboljšati ponudom transparentnih informacija o razini sigurnosti IKT proizv</w:t>
      </w:r>
      <w:r>
        <w:rPr>
          <w:noProof/>
        </w:rPr>
        <w:t>oda i usluga. To se može olakšati certificiranjem na razini EU-a kojim će se osigurati zajednički kibersigurnosni zahtjevi i kriteriji za ocjenjivanje na svim nacionalnim tržištima i u svim sektorima.</w:t>
      </w:r>
    </w:p>
    <w:p w:rsidR="00A761A4" w:rsidRDefault="0064189B">
      <w:pPr>
        <w:pStyle w:val="ManualConsidrant"/>
        <w:rPr>
          <w:noProof/>
        </w:rPr>
      </w:pPr>
      <w:r>
        <w:t>(6)</w:t>
      </w:r>
      <w:r>
        <w:tab/>
      </w:r>
      <w:r>
        <w:rPr>
          <w:noProof/>
        </w:rPr>
        <w:t>Europski parlament i Vijeće donijeli su 2004. Uredb</w:t>
      </w:r>
      <w:r>
        <w:rPr>
          <w:noProof/>
        </w:rPr>
        <w:t>u (EZ) br. 460/2004</w:t>
      </w:r>
      <w:r>
        <w:rPr>
          <w:rStyle w:val="FootnoteReference"/>
          <w:noProof/>
        </w:rPr>
        <w:footnoteReference w:id="31"/>
      </w:r>
      <w:r>
        <w:rPr>
          <w:noProof/>
        </w:rPr>
        <w:t xml:space="preserve"> o osnivanju Europske agencije za mrežnu i informacijsku sigurnost kako bi pridonijeli ciljevima osiguravanja visoke razine mrežne i informacijske sigurnosti u Uniji i razvoja kulture mrežne i informacijske sigurnosti u korist građana, </w:t>
      </w:r>
      <w:r>
        <w:rPr>
          <w:noProof/>
        </w:rPr>
        <w:t>potrošača, poduzeća i javnih uprava. Europski parlament i Vijeće donijeli su 2008. Uredbu (EZ) br. 1007/2008</w:t>
      </w:r>
      <w:r>
        <w:rPr>
          <w:rStyle w:val="FootnoteReference"/>
          <w:noProof/>
        </w:rPr>
        <w:footnoteReference w:id="32"/>
      </w:r>
      <w:r>
        <w:rPr>
          <w:noProof/>
        </w:rPr>
        <w:t xml:space="preserve"> o produljenju mandata Agencije do ožujka 2012. Uredbom (EZ) br. 580/2011</w:t>
      </w:r>
      <w:r>
        <w:rPr>
          <w:rStyle w:val="FootnoteReference"/>
          <w:noProof/>
        </w:rPr>
        <w:footnoteReference w:id="33"/>
      </w:r>
      <w:r>
        <w:rPr>
          <w:noProof/>
        </w:rPr>
        <w:t xml:space="preserve"> produljen je mandat Agencije do 13. rujna 2013. Europski parlament i Vij</w:t>
      </w:r>
      <w:r>
        <w:rPr>
          <w:noProof/>
        </w:rPr>
        <w:t>eće donijeli su 2013. Uredbu (EU) br. 526/2013</w:t>
      </w:r>
      <w:r>
        <w:rPr>
          <w:rStyle w:val="FootnoteReference"/>
          <w:noProof/>
        </w:rPr>
        <w:footnoteReference w:id="34"/>
      </w:r>
      <w:r>
        <w:rPr>
          <w:noProof/>
          <w:vertAlign w:val="superscript"/>
        </w:rPr>
        <w:t xml:space="preserve"> </w:t>
      </w:r>
      <w:r>
        <w:rPr>
          <w:noProof/>
        </w:rPr>
        <w:t xml:space="preserve">o ENISA-i i stavljanju izvan snage Uredbe (EZ) br. 460/2004, kojom je mandat Agencije proširen do lipnja 2020. </w:t>
      </w:r>
    </w:p>
    <w:p w:rsidR="00A761A4" w:rsidRDefault="0064189B">
      <w:pPr>
        <w:pStyle w:val="ManualConsidrant"/>
        <w:rPr>
          <w:noProof/>
        </w:rPr>
      </w:pPr>
      <w:r>
        <w:t>(7)</w:t>
      </w:r>
      <w:r>
        <w:tab/>
      </w:r>
      <w:r>
        <w:rPr>
          <w:noProof/>
        </w:rPr>
        <w:t xml:space="preserve">Unija je već poduzela važne korake kako bi osigurala kibersigurnost i povećala povjerenje u </w:t>
      </w:r>
      <w:r>
        <w:rPr>
          <w:noProof/>
        </w:rPr>
        <w:t>digitalne tehnologije. Tijekom 2013. donesena je Strategija EU-a za kibersigurnost kako bi se usmjerio politički odgovor Unije na kibersigurnosne prijetnje i rizike. U cilju bolje zaštite Europljana na internetu Unija je 2016. donijela prvi zakonodavni akt</w:t>
      </w:r>
      <w:r>
        <w:rPr>
          <w:noProof/>
        </w:rPr>
        <w:t xml:space="preserve"> u području kibersigurnosti, Direktivu (EU) 2016/1148 o mjerama za visoku zajedničku razinu sigurnosti mrežnih i informacijskih sustava širom Unije („Direktiva NIS”). Direktivom NIS utvrđuju se zahtjevi u pogledu nacionalnih sposobnosti u području kibersig</w:t>
      </w:r>
      <w:r>
        <w:rPr>
          <w:noProof/>
        </w:rPr>
        <w:t>urnosti, uspostavljeni su prvi mehanizmi za jačanje strateške i operativne suradnje među državama članicama i uvedene su obveze u pogledu sigurnosnih mjera i obavijesti o incidentima u sektorima koji su od ključne važnosti za gospodarstvo i društvo, kao št</w:t>
      </w:r>
      <w:r>
        <w:rPr>
          <w:noProof/>
        </w:rPr>
        <w:t>o su energetika, promet, vodoopskrba, bankarstvo, infrastruktura financijskog tržišta, zdravstvena skrb, digitalna infrastruktura i pružatelji ključnih digitalnih usluga (tražilice, usluge računalstva u oblaku i internetska tržišta). ENISA je dobila ključn</w:t>
      </w:r>
      <w:r>
        <w:rPr>
          <w:noProof/>
        </w:rPr>
        <w:t>u ulogu u podupiranju provedbe te Direktive. Nadalje, djelotvorna borba protiv kiberkriminaliteta važan je prioritet Europskog programa sigurnosti, čime se pridonosi općem cilju postizanja visoke razine kibersigurnosti.</w:t>
      </w:r>
    </w:p>
    <w:p w:rsidR="00A761A4" w:rsidRDefault="0064189B">
      <w:pPr>
        <w:pStyle w:val="ManualConsidrant"/>
        <w:rPr>
          <w:noProof/>
        </w:rPr>
      </w:pPr>
      <w:r>
        <w:t>(8)</w:t>
      </w:r>
      <w:r>
        <w:tab/>
      </w:r>
      <w:r>
        <w:rPr>
          <w:noProof/>
        </w:rPr>
        <w:t>Priznaje se da se od donošenja s</w:t>
      </w:r>
      <w:r>
        <w:rPr>
          <w:noProof/>
        </w:rPr>
        <w:t>trategije EU-a o kibersigurnosti iz 2013. i posljednje revizije mandata Agencije znatno promijenio opći kontekst politike, među ostalim u pogledu nesigurnijeg globalnog okruženja. U tom kontekstu i u okviru nove politike Unije u području kibersigurnosti nu</w:t>
      </w:r>
      <w:r>
        <w:rPr>
          <w:noProof/>
        </w:rPr>
        <w:t>žno je preispitati mandat ENISA-e kako bi se utvrdila njezina uloga u promijenjenom kibersigurnosnom ekosustavu i osiguralo da ona djelotvorno pridonosi odgovoru Unije na kiberizazove koji proizlaze iz bitno preobraženog okruženja prijetnji na koje Agencij</w:t>
      </w:r>
      <w:r>
        <w:rPr>
          <w:noProof/>
        </w:rPr>
        <w:t>a, u okviru svojeg trenutačnog mandata, ne može odgovoriti.</w:t>
      </w:r>
    </w:p>
    <w:p w:rsidR="00A761A4" w:rsidRDefault="0064189B">
      <w:pPr>
        <w:pStyle w:val="ManualConsidrant"/>
        <w:rPr>
          <w:noProof/>
        </w:rPr>
      </w:pPr>
      <w:r>
        <w:t>(9)</w:t>
      </w:r>
      <w:r>
        <w:tab/>
      </w:r>
      <w:r>
        <w:rPr>
          <w:noProof/>
        </w:rPr>
        <w:t>Agencija osnovana ovom Uredbom trebala bi naslijediti ENISA-u osnovanu Uredbom (EZ) br. 526/2013. Agencija bi trebala izvršavati zadaće koje su joj povjerene ovom Uredbom i pravnim aktima Unij</w:t>
      </w:r>
      <w:r>
        <w:rPr>
          <w:noProof/>
        </w:rPr>
        <w:t>e u području kibersigurnosti pružanjem, među ostalim, stručnih savjeta i djelujući kao centar za informacije i znanje u Uniji. Ona bi trebala promicati razmjenu najbolje prakse među državama članicama i privatnim dionicima, Europskoj komisiji i državama čl</w:t>
      </w:r>
      <w:r>
        <w:rPr>
          <w:noProof/>
        </w:rPr>
        <w:t>anicama trebala bi davati prijedloge o politici, djelujući kao referentna točka za sektorske inicijative politike Unije u području kibersigurnosti i potičući operativnu suradnju među državama članicama i između država članica i europskih institucija, agenc</w:t>
      </w:r>
      <w:r>
        <w:rPr>
          <w:noProof/>
        </w:rPr>
        <w:t>ija i tijela.</w:t>
      </w:r>
    </w:p>
    <w:p w:rsidR="00A761A4" w:rsidRDefault="0064189B">
      <w:pPr>
        <w:pStyle w:val="ManualConsidrant"/>
        <w:rPr>
          <w:noProof/>
        </w:rPr>
      </w:pPr>
      <w:r>
        <w:t>(10)</w:t>
      </w:r>
      <w:r>
        <w:tab/>
      </w:r>
      <w:r>
        <w:rPr>
          <w:noProof/>
        </w:rPr>
        <w:t>Odlukom 2004/97/EZ, Euratom, koja je donesena na sastanku Europskog vijeća od 13. prosinca 2003., predstavnici država članica odlučili su da će sjedište ENISA-e biti u Grčkoj u gradu koji odredi grčka vlada. Država članica domaćin Agenci</w:t>
      </w:r>
      <w:r>
        <w:rPr>
          <w:noProof/>
        </w:rPr>
        <w:t>je trebala bi osigurati najbolje moguće uvjete za njezin nesmetan i učinkovit rad. Za pravilno i učinkovito obavljanje zadaća, za odabir i zadržavanje osoblja te za jačanje učinkovitosti aktivnosti umrežavanja nužno je da se Agencija nalazi na odgovarajućo</w:t>
      </w:r>
      <w:r>
        <w:rPr>
          <w:noProof/>
        </w:rPr>
        <w:t>j lokaciji na kojoj su, među ostalim, osigurani odgovarajuća prometna povezanost te prostori za supružnike i djecu koji prate članove osoblja Agencije. Potrebne aranžmane trebalo bi utvrditi u sporazumu između Agencije i države članice domaćina koji se skl</w:t>
      </w:r>
      <w:r>
        <w:rPr>
          <w:noProof/>
        </w:rPr>
        <w:t>apa nakon dobivanja suglasnosti Upravljačkog odbora Agencije.</w:t>
      </w:r>
    </w:p>
    <w:p w:rsidR="00A761A4" w:rsidRDefault="0064189B">
      <w:pPr>
        <w:pStyle w:val="ManualConsidrant"/>
        <w:rPr>
          <w:noProof/>
        </w:rPr>
      </w:pPr>
      <w:r>
        <w:t>(11)</w:t>
      </w:r>
      <w:r>
        <w:tab/>
      </w:r>
      <w:r>
        <w:rPr>
          <w:noProof/>
        </w:rPr>
        <w:t>S obzirom na sve veće izazove kibersigurnosti s kojima se Unija suočava, trebalo bi povećati financijske i ljudske resurse dodijeljene Agenciji u skladu s njezinom pojačanom ulogom i zadaća</w:t>
      </w:r>
      <w:r>
        <w:rPr>
          <w:noProof/>
        </w:rPr>
        <w:t xml:space="preserve">ma i njezinom ključnom ulogom u ekosustavu organizacija koje brane europski digitalni ekosustav. </w:t>
      </w:r>
    </w:p>
    <w:p w:rsidR="00A761A4" w:rsidRDefault="0064189B">
      <w:pPr>
        <w:pStyle w:val="ManualConsidrant"/>
        <w:rPr>
          <w:noProof/>
        </w:rPr>
      </w:pPr>
      <w:r>
        <w:t>(12)</w:t>
      </w:r>
      <w:r>
        <w:tab/>
      </w:r>
      <w:r>
        <w:rPr>
          <w:noProof/>
        </w:rPr>
        <w:t>Agencija bi trebala razviti i održavati visoku razinu stručnosti i djelovati kao referentna točka te bi svojom neovisnošću, kvalitetom savjeta i informac</w:t>
      </w:r>
      <w:r>
        <w:rPr>
          <w:noProof/>
        </w:rPr>
        <w:t>ija koje pruža, transparentnošću postupaka i metoda rada te marljivošću u obavljanju svojih zadaća trebala uspostaviti povjerenje u jedinstveno tržište. Agencija bi pri obavljanju svojih zadaća trebala proaktivno pridonositi nacionalnim naporima i naporima</w:t>
      </w:r>
      <w:r>
        <w:rPr>
          <w:noProof/>
        </w:rPr>
        <w:t xml:space="preserve"> Unije u potpunoj suradnji s institucijama, tijelima, uredima i agencijama Unije i državama članicama. Nadalje, rad Agencije trebao bi se temeljiti na informacijama dobivenima od privatnog sektora i suradnji s njim i drugim relevantnim dionicima. Skupom za</w:t>
      </w:r>
      <w:r>
        <w:rPr>
          <w:noProof/>
        </w:rPr>
        <w:t xml:space="preserve">daća trebao bi se utvrditi način na koji će Agencija ostvariti svoje ciljeve, pri čemu joj se treba omogućiti fleksibilnost u radu. </w:t>
      </w:r>
    </w:p>
    <w:p w:rsidR="00A761A4" w:rsidRDefault="0064189B">
      <w:pPr>
        <w:pStyle w:val="ManualConsidrant"/>
        <w:rPr>
          <w:noProof/>
        </w:rPr>
      </w:pPr>
      <w:r>
        <w:t>(13)</w:t>
      </w:r>
      <w:r>
        <w:tab/>
      </w:r>
      <w:r>
        <w:rPr>
          <w:noProof/>
        </w:rPr>
        <w:t>Agencija bi trebala pomagati Komisiji davanjem savjeta, mišljenja i analiza u vezi sa svim pitanjima Unije koja se odn</w:t>
      </w:r>
      <w:r>
        <w:rPr>
          <w:noProof/>
        </w:rPr>
        <w:t>ose na razvoj, ažuriranje i reviziju politike i zakonodavstva u području kibersigurnosti, uključujući zaštitu kritične informacijske infrastrukture i kiberotpornost. Agencija bi trebala djelovati kao referentna točka za pružanje savjeta i stručnog znanja o</w:t>
      </w:r>
      <w:r>
        <w:rPr>
          <w:noProof/>
        </w:rPr>
        <w:t xml:space="preserve"> sektorskoj politici i zakonodavnim inicijativama Unije kada je riječ o pitanjima kibersigurnosti. </w:t>
      </w:r>
    </w:p>
    <w:p w:rsidR="00A761A4" w:rsidRDefault="0064189B">
      <w:pPr>
        <w:pStyle w:val="ManualConsidrant"/>
        <w:rPr>
          <w:noProof/>
        </w:rPr>
      </w:pPr>
      <w:r>
        <w:t>(14)</w:t>
      </w:r>
      <w:r>
        <w:tab/>
      </w:r>
      <w:r>
        <w:rPr>
          <w:noProof/>
        </w:rPr>
        <w:t>Osnovna je zadaća Agencije promicati dosljednu provedbu odgovarajućeg pravnog okvira, posebno učinkovitu provedbu Direktive NIS, što je od ključne važn</w:t>
      </w:r>
      <w:r>
        <w:rPr>
          <w:noProof/>
        </w:rPr>
        <w:t xml:space="preserve">osti za povećanje kiberotpornosti. S obzirom na okruženje prijetnji kibersigurnosti koje se brzo razvija, državama članicama treba pružiti potporu s pomoću sveobuhvatnijeg, horizontalnog pristupa izgradnji kiberotpornosti. </w:t>
      </w:r>
    </w:p>
    <w:p w:rsidR="00A761A4" w:rsidRDefault="0064189B">
      <w:pPr>
        <w:pStyle w:val="ManualConsidrant"/>
        <w:rPr>
          <w:noProof/>
          <w:sz w:val="20"/>
          <w:szCs w:val="20"/>
        </w:rPr>
      </w:pPr>
      <w:r>
        <w:t>(15)</w:t>
      </w:r>
      <w:r>
        <w:tab/>
      </w:r>
      <w:r>
        <w:rPr>
          <w:noProof/>
        </w:rPr>
        <w:t>Agencija bi trebala pomagati državama članicama i institucijama, tijelima, uredima i agencijama Unije u njihovim naporima usmjerenima na izgradnju i jačanje sposobnosti i pripravnosti u cilju sprječavanja i otkrivanja problema i incidenata u području kiber</w:t>
      </w:r>
      <w:r>
        <w:rPr>
          <w:noProof/>
        </w:rPr>
        <w:t>sigurnosti i odgovaranja na njih te u vezi sa sigurnošću mrežnih i informacijskih sustava. Agencija bi posebno trebala poduprijeti razvoj i jačanje nacionalnih CSIRT-ova u cilju postizanja visoke zajedničke razine njihove zrelosti u Uniji. Agencija bi treb</w:t>
      </w:r>
      <w:r>
        <w:rPr>
          <w:noProof/>
        </w:rPr>
        <w:t>ala pomagati i u razvoju i ažuriranju strategija Unije i država članica o sigurnosti mrežnih i informacijskih sustava, posebno o kibersigurnosti, promicati njihovo širenje i pratiti napredak u njihovoj provedbi. Agencija bi trebala nuditi i osposobljavanja</w:t>
      </w:r>
      <w:r>
        <w:rPr>
          <w:noProof/>
        </w:rPr>
        <w:t xml:space="preserve"> i obrazovne materijale javnim tijelima i, prema potrebi „osposobljavati voditelje osposobljavanja” kako bi pomogla državama članicama da razviju vlastite sposobnosti za osposobljavanje. </w:t>
      </w:r>
    </w:p>
    <w:p w:rsidR="00A761A4" w:rsidRDefault="0064189B">
      <w:pPr>
        <w:pStyle w:val="ManualConsidrant"/>
        <w:rPr>
          <w:noProof/>
          <w:sz w:val="20"/>
          <w:szCs w:val="20"/>
        </w:rPr>
      </w:pPr>
      <w:r>
        <w:t>(16)</w:t>
      </w:r>
      <w:r>
        <w:tab/>
      </w:r>
      <w:r>
        <w:rPr>
          <w:noProof/>
        </w:rPr>
        <w:t xml:space="preserve"> Agencija bi trebala pomagati Skupini za suradnju osnovanoj Dir</w:t>
      </w:r>
      <w:r>
        <w:rPr>
          <w:noProof/>
        </w:rPr>
        <w:t>ektivom NIS pri izvršavanju njezinih zadaća, posebno pružanjem stručnog znanja i savjeta te olakšavanjem razmjene najbolje prakse, posebno u pogledu utvrđivanja operatora ključnih usluga u državama članicama, među ostalim u pogledu prekograničnih ovisnosti</w:t>
      </w:r>
      <w:r>
        <w:rPr>
          <w:noProof/>
        </w:rPr>
        <w:t>, rizika i incidenata.</w:t>
      </w:r>
    </w:p>
    <w:p w:rsidR="00A761A4" w:rsidRDefault="0064189B">
      <w:pPr>
        <w:pStyle w:val="ManualConsidrant"/>
        <w:rPr>
          <w:noProof/>
          <w:sz w:val="20"/>
        </w:rPr>
      </w:pPr>
      <w:r>
        <w:t>(17)</w:t>
      </w:r>
      <w:r>
        <w:tab/>
      </w:r>
      <w:r>
        <w:rPr>
          <w:noProof/>
        </w:rPr>
        <w:t>U cilju poticanja suradnje između javnog i privatnog sektora i unutar privatnog sektora, posebno radi potpore zaštiti ključnih infrastruktura, Agencija bi trebala olakšati uspostavu sektorskih centara za razmjenu informacija i a</w:t>
      </w:r>
      <w:r>
        <w:rPr>
          <w:noProof/>
        </w:rPr>
        <w:t>nalizu (ISAC-ovi) pružanjem najbolje prakse i smjernica o dostupnim alatima i postupcima te davanjem smjernica o rješavanju regulatornih pitanja povezanih s razmjenom informacija.</w:t>
      </w:r>
    </w:p>
    <w:p w:rsidR="00A761A4" w:rsidRDefault="0064189B">
      <w:pPr>
        <w:pStyle w:val="ManualConsidrant"/>
        <w:rPr>
          <w:noProof/>
        </w:rPr>
      </w:pPr>
      <w:r>
        <w:t>(18)</w:t>
      </w:r>
      <w:r>
        <w:tab/>
      </w:r>
      <w:r>
        <w:rPr>
          <w:noProof/>
        </w:rPr>
        <w:t>Agencija bi trebala objedinjavati i analizirati nacionalna izvješća CSI</w:t>
      </w:r>
      <w:r>
        <w:rPr>
          <w:noProof/>
        </w:rPr>
        <w:t>RT-ova i CERT-EU-a utvrđivanjem zajedničkih pravila, jezika i terminologije za razmjenu informacija. Agencija bi trebala uključiti i privatni sektor, u okviru Direktive NIS kojom je utvrđena osnova za dobrovoljnu razmjenu tehničkih informacija na operativn</w:t>
      </w:r>
      <w:r>
        <w:rPr>
          <w:noProof/>
        </w:rPr>
        <w:t xml:space="preserve">oj razini stvaranjem mreže CSIRT-ova. </w:t>
      </w:r>
    </w:p>
    <w:p w:rsidR="00A761A4" w:rsidRDefault="0064189B">
      <w:pPr>
        <w:pStyle w:val="ManualConsidrant"/>
        <w:rPr>
          <w:noProof/>
        </w:rPr>
      </w:pPr>
      <w:r>
        <w:t>(19)</w:t>
      </w:r>
      <w:r>
        <w:tab/>
      </w:r>
      <w:r>
        <w:rPr>
          <w:noProof/>
        </w:rPr>
        <w:t>Agencija bi trebala pridonijeti odgovoru na razini EU-a u slučaju prekograničnih kiberincidenata i kiberkriza velikih razmjera. Ta funkcija trebala bi uključivati prikupljanje relevantnih informacija i posredovan</w:t>
      </w:r>
      <w:r>
        <w:rPr>
          <w:noProof/>
        </w:rPr>
        <w:t>je između mreže CSIRT-ova i tehničke zajednice te donositelja odluka koji su odgovorni za upravljanje krizom. Nadalje, Agencija bi mogla pružati tehničku pomoć u slučaju incidenata olakšavanjem odgovarajuće tehničke razmjene rješenja među državama članicam</w:t>
      </w:r>
      <w:r>
        <w:rPr>
          <w:noProof/>
        </w:rPr>
        <w:t xml:space="preserve">a i obavješćivanjem javnosti. Agencija bi trebala poduprijeti postupak ispitivanjem načina takve suradnje s pomoću godišnjih vježbi u području kibersigurnosti.  </w:t>
      </w:r>
    </w:p>
    <w:p w:rsidR="00A761A4" w:rsidRDefault="0064189B">
      <w:pPr>
        <w:pStyle w:val="ManualConsidrant"/>
        <w:rPr>
          <w:noProof/>
        </w:rPr>
      </w:pPr>
      <w:r>
        <w:t>(20)</w:t>
      </w:r>
      <w:r>
        <w:tab/>
      </w:r>
      <w:r>
        <w:rPr>
          <w:noProof/>
        </w:rPr>
        <w:t>Agencija bi pri izvršavanju svojih operativnih zadaća trebala iskoristiti dostupnu stručn</w:t>
      </w:r>
      <w:r>
        <w:rPr>
          <w:noProof/>
        </w:rPr>
        <w:t>ost CERT-EU-a u okviru strukturirane suradnje, u velikoj fizičkoj blizini. Strukturiranom suradnjom olakšat će se nužne sinergije i prikupljanje stručnog znanja ENISA-e. Prema potrebi trebalo bi definirati odgovarajuće posebne mehanizme između dvije organi</w:t>
      </w:r>
      <w:r>
        <w:rPr>
          <w:noProof/>
        </w:rPr>
        <w:t>zacije kojima će se utvrditi praktična provedba takve suradnje.</w:t>
      </w:r>
    </w:p>
    <w:p w:rsidR="00A761A4" w:rsidRDefault="0064189B">
      <w:pPr>
        <w:pStyle w:val="ManualConsidrant"/>
        <w:rPr>
          <w:noProof/>
        </w:rPr>
      </w:pPr>
      <w:r>
        <w:t>(21)</w:t>
      </w:r>
      <w:r>
        <w:tab/>
      </w:r>
      <w:r>
        <w:rPr>
          <w:noProof/>
        </w:rPr>
        <w:t xml:space="preserve">U skladu sa svojim operativnim zadaćama Agencija bi trebala moći pružiti potporu državama članicama, na primjer pružanjem savjeta ili tehničke pomoći, ili osiguravanjem analiza prijetnji </w:t>
      </w:r>
      <w:r>
        <w:rPr>
          <w:noProof/>
        </w:rPr>
        <w:t>i incidenata. U Preporuci Komisije o koordiniranom odgovoru na velike kiberincidente i kiberprijetnje preporučuje se da države članice surađuju u dobroj vjeri te da uzajamno i s ENISA-om promptno razmjenjuju informacije o velikim incidentima i krizama u po</w:t>
      </w:r>
      <w:r>
        <w:rPr>
          <w:noProof/>
        </w:rPr>
        <w:t>dručju kibersigurnosti. Takvim informacijama trebalo bi se dodatno pomoći ENISA-i pri izvršavanju operativnih zadaća.</w:t>
      </w:r>
    </w:p>
    <w:p w:rsidR="00A761A4" w:rsidRDefault="0064189B">
      <w:pPr>
        <w:pStyle w:val="ManualConsidrant"/>
        <w:rPr>
          <w:noProof/>
        </w:rPr>
      </w:pPr>
      <w:r>
        <w:t>(22)</w:t>
      </w:r>
      <w:r>
        <w:tab/>
      </w:r>
      <w:r>
        <w:rPr>
          <w:noProof/>
        </w:rPr>
        <w:t>U okviru redovne suradnje na tehničkoj razini u cilju podupiranja informiranosti o stanju u Uniji, Agencija bi trebala redovito izrađ</w:t>
      </w:r>
      <w:r>
        <w:rPr>
          <w:noProof/>
        </w:rPr>
        <w:t>ivati tehničko izvješće o stanju kibersigurnosti EU-a u pogledu incidenata i prijetnji, na temelju javno dostupnih informacija, vlastite analize i izvješća koje s njom dijele CSIRT-ovi država članica (dobrovoljno) ili jedinstvene kontaktne točke iz Direkti</w:t>
      </w:r>
      <w:r>
        <w:rPr>
          <w:noProof/>
        </w:rPr>
        <w:t>ve NIS, Europski centar za kiberkriminal (EC3) pri Europolu, CERT-EU i, prema potrebi, Centar EU-a za analizu obavještajnih podataka (INTCEN) pri Europskoj službi za vanjsko djelovanje (ESVD). Izvješće bi trebalo stavljati na raspolaganje relevantnim insta</w:t>
      </w:r>
      <w:r>
        <w:rPr>
          <w:noProof/>
        </w:rPr>
        <w:t xml:space="preserve">ncama pri Vijeću, Komisiji, Visokom predstavniku Unije za vanjske poslove i sigurnosnu politiku i mreži CSIRT-ova. </w:t>
      </w:r>
    </w:p>
    <w:p w:rsidR="00A761A4" w:rsidRDefault="0064189B">
      <w:pPr>
        <w:pStyle w:val="ManualConsidrant"/>
        <w:rPr>
          <w:noProof/>
        </w:rPr>
      </w:pPr>
      <w:r>
        <w:t>(23)</w:t>
      </w:r>
      <w:r>
        <w:tab/>
      </w:r>
      <w:r>
        <w:rPr>
          <w:i/>
          <w:noProof/>
        </w:rPr>
        <w:t>Ex-post</w:t>
      </w:r>
      <w:r>
        <w:rPr>
          <w:noProof/>
        </w:rPr>
        <w:t xml:space="preserve"> tehničke istrage incidenata sa značajnim učinkom u više država članica koje Agencija podupire ili provodi na zahtjev, ili uz su</w:t>
      </w:r>
      <w:r>
        <w:rPr>
          <w:noProof/>
        </w:rPr>
        <w:t xml:space="preserve">glasnost, pogođenih država članica trebale bi biti usmjerene na sprječavanje budućih incidenata i provoditi se ne dovodeći u pitanje sudske ili upravne postupke za utvrđivanje krivnje ili odgovornosti.  </w:t>
      </w:r>
    </w:p>
    <w:p w:rsidR="00A761A4" w:rsidRDefault="0064189B">
      <w:pPr>
        <w:pStyle w:val="ManualConsidrant"/>
        <w:rPr>
          <w:noProof/>
        </w:rPr>
      </w:pPr>
      <w:r>
        <w:t>(24)</w:t>
      </w:r>
      <w:r>
        <w:tab/>
      </w:r>
      <w:r>
        <w:rPr>
          <w:noProof/>
        </w:rPr>
        <w:t>Pogođene države članice trebale bi Agenciji pru</w:t>
      </w:r>
      <w:r>
        <w:rPr>
          <w:noProof/>
        </w:rPr>
        <w:t xml:space="preserve">žiti nužne informacije i pomoć za potrebe istrage ne dovodeći u pitanje članak 346. Ugovora o funkcioniranju Europske unije ili druge razloge javne politike. </w:t>
      </w:r>
    </w:p>
    <w:p w:rsidR="00A761A4" w:rsidRDefault="0064189B">
      <w:pPr>
        <w:pStyle w:val="ManualConsidrant"/>
        <w:rPr>
          <w:noProof/>
        </w:rPr>
      </w:pPr>
      <w:r>
        <w:t>(25)</w:t>
      </w:r>
      <w:r>
        <w:tab/>
      </w:r>
      <w:r>
        <w:rPr>
          <w:noProof/>
        </w:rPr>
        <w:t>Države članice mogu pozvati poduzeća pogođena incidentom da surađuju pružanjem potrebnih inf</w:t>
      </w:r>
      <w:r>
        <w:rPr>
          <w:noProof/>
        </w:rPr>
        <w:t>ormacija i pomoći Agenciji ne dovodeći u pitanje njihovo pravo na zaštitu poslovno osjetljivih informacija. </w:t>
      </w:r>
    </w:p>
    <w:p w:rsidR="00A761A4" w:rsidRDefault="0064189B">
      <w:pPr>
        <w:pStyle w:val="ManualConsidrant"/>
        <w:rPr>
          <w:noProof/>
        </w:rPr>
      </w:pPr>
      <w:r>
        <w:t>(26)</w:t>
      </w:r>
      <w:r>
        <w:tab/>
      </w:r>
      <w:r>
        <w:rPr>
          <w:noProof/>
        </w:rPr>
        <w:t>Kako bi bolje razumjela izazove u području kibersigurnosti i u cilju pružanja strateških dugoročnih savjeta državama članicama i institucijama</w:t>
      </w:r>
      <w:r>
        <w:rPr>
          <w:noProof/>
        </w:rPr>
        <w:t xml:space="preserve"> Unije, Agencija mora analizirati postojeće i nove rizike. U tu svrhu ona bi trebala, u suradnji s državama članicama i, prema potrebi, s tijelima za statistiku i drugim tijelima, prikupljati relevantne informacije i provoditi analize novih tehnologija te </w:t>
      </w:r>
      <w:r>
        <w:rPr>
          <w:noProof/>
        </w:rPr>
        <w:t>davati posebne tematske procjene očekivanih društvenih, pravnih, gospodarskih i regulatornih učinaka tehničkih inovacija na mrežnu i informacijsku sigurnost, posebno na kibersigurnost. Nadalje, Agencija bi, analizom prijetnji i incidenata, trebala pomoći d</w:t>
      </w:r>
      <w:r>
        <w:rPr>
          <w:noProof/>
        </w:rPr>
        <w:t xml:space="preserve">ržavama članicama i institucijama, agencijama i tijelima Unije da prepoznaju nove prijetnje i spriječe probleme povezane s kibersigurnošću.  </w:t>
      </w:r>
    </w:p>
    <w:p w:rsidR="00A761A4" w:rsidRDefault="0064189B">
      <w:pPr>
        <w:pStyle w:val="ManualConsidrant"/>
        <w:rPr>
          <w:noProof/>
        </w:rPr>
      </w:pPr>
      <w:r>
        <w:t>(27)</w:t>
      </w:r>
      <w:r>
        <w:tab/>
      </w:r>
      <w:r>
        <w:rPr>
          <w:noProof/>
        </w:rPr>
        <w:t xml:space="preserve">U cilju povećanja otpornosti Unije Agencija bi trebala razvijati izvrsnost u području sigurnosti internetske </w:t>
      </w:r>
      <w:r>
        <w:rPr>
          <w:noProof/>
        </w:rPr>
        <w:t>infrastrukture i ključnih infrastruktura pružanjem savjeta, smjernica i najbolje prakse. Kako bi osigurala lakši pristup bolje strukturiranim informacijama o kibersigurnosnim rizicima i mogućim lijekovima, Agencija bi trebala razviti i održavati „informati</w:t>
      </w:r>
      <w:r>
        <w:rPr>
          <w:noProof/>
        </w:rPr>
        <w:t>vni centar” Unije, središnji portal na kojem će javnost moći na jednom mjestu dobiti informacije o kibersigurnosti koje potječu od institucija, agencija i tijela na razini EU-a i nacionalnoj razini.</w:t>
      </w:r>
    </w:p>
    <w:p w:rsidR="00A761A4" w:rsidRDefault="0064189B">
      <w:pPr>
        <w:pStyle w:val="ManualConsidrant"/>
        <w:rPr>
          <w:rFonts w:eastAsia="Times New Roman"/>
          <w:noProof/>
        </w:rPr>
      </w:pPr>
      <w:r>
        <w:t>(28)</w:t>
      </w:r>
      <w:r>
        <w:tab/>
      </w:r>
      <w:r>
        <w:rPr>
          <w:noProof/>
        </w:rPr>
        <w:t xml:space="preserve">Agencija bi trebala pridonijeti podizanju razine </w:t>
      </w:r>
      <w:r>
        <w:rPr>
          <w:noProof/>
        </w:rPr>
        <w:t>osviještenosti javnosti o rizicima povezanima s kibersigurnošću i davati smjernice o dobroj praksi za pojedinačne korisnike koje su usmjerene na građane i organizacije. Agencija bi trebala pridonositi i promicanju najbolje prakse i rješenja na razini građa</w:t>
      </w:r>
      <w:r>
        <w:rPr>
          <w:noProof/>
        </w:rPr>
        <w:t xml:space="preserve">na i organizacija prikupljanjem i analizom javno dostupnih informacija o znatnim incidentima i sastavljanjem izvješća u cilju pružanja smjernica poduzećima i građanima i poboljšanja opće razine pripravnosti i otpornosti. Agencija bi, nadalje, u suradnji s </w:t>
      </w:r>
      <w:r>
        <w:rPr>
          <w:noProof/>
        </w:rPr>
        <w:t>državama članicama i institucijama, tijelima, uredima i agencijama Unije trebala organizirati redovite kampanje informiranja i obrazovanja krajnjih korisnika s ciljem poticanja sigurnijeg ponašanja pojedinaca na internetu, podizanja razine osviještenosti o</w:t>
      </w:r>
      <w:r>
        <w:rPr>
          <w:noProof/>
        </w:rPr>
        <w:t xml:space="preserve"> potencijalnim opasnostima u kiberprostoru, uključujući kiberkriminalitet kao što su phishing napadi, mreže zaraženih računala (botnet) te financijske i bankovne prijevare, i poticanja osnovnog savjetovanja o autentikaciji i zaštiti podataka. Agencija bi t</w:t>
      </w:r>
      <w:r>
        <w:rPr>
          <w:noProof/>
        </w:rPr>
        <w:t>rebala imati glavnu ulogu u bržem osvješćivanju korisnika o sigurnosti uređaja.</w:t>
      </w:r>
    </w:p>
    <w:p w:rsidR="00A761A4" w:rsidRDefault="0064189B">
      <w:pPr>
        <w:pStyle w:val="ManualConsidrant"/>
        <w:rPr>
          <w:noProof/>
        </w:rPr>
      </w:pPr>
      <w:r>
        <w:t>(29)</w:t>
      </w:r>
      <w:r>
        <w:tab/>
      </w:r>
      <w:r>
        <w:rPr>
          <w:noProof/>
        </w:rPr>
        <w:t>Kako bi pružala potporu poduzećima koja djeluju u sektoru kibersigurnosti i korisnicima kibersigurnosnih rješenja, Agencija bi trebala razviti i održavati „opservatorij tr</w:t>
      </w:r>
      <w:r>
        <w:rPr>
          <w:noProof/>
        </w:rPr>
        <w:t>žišta” provođenjem redovitih analiza i širenjem glavnih kretanja na kibersigurnosnom tržištu na strani ponude i potražnje.</w:t>
      </w:r>
    </w:p>
    <w:p w:rsidR="00A761A4" w:rsidRDefault="0064189B">
      <w:pPr>
        <w:pStyle w:val="ManualConsidrant"/>
        <w:rPr>
          <w:noProof/>
        </w:rPr>
      </w:pPr>
      <w:r>
        <w:t>(30)</w:t>
      </w:r>
      <w:r>
        <w:tab/>
      </w:r>
      <w:r>
        <w:rPr>
          <w:noProof/>
        </w:rPr>
        <w:t>Kako bi se osiguralo da Agencija potpuno ostvari svoje ciljeve, ona bi se trebala povezati s relevantnim institucijama, agencija</w:t>
      </w:r>
      <w:r>
        <w:rPr>
          <w:noProof/>
        </w:rPr>
        <w:t>ma i tijelima, među ostalim s CERT-EU-om, Europskim centrom za kiberkriminal (EC3) pri Europolu, Europskom obrambenom agencijom (EDA), Europskom agencijom za operativno upravljanje opsežnim informacijskim sustavima u području slobode, sigurnosti i pravde (</w:t>
      </w:r>
      <w:r>
        <w:rPr>
          <w:noProof/>
        </w:rPr>
        <w:t xml:space="preserve">eu-LISA), Europskom agencijom za sigurnost zračnog prometa (EASA) i s drugim agencijama EU-a koje djeluju u području kibersigurnosti. Ona bi se trebala povezati i s nadležnim tijelima za zaštitu podataka u cilju razmjene znanja i najbolje prakse i u cilju </w:t>
      </w:r>
      <w:r>
        <w:rPr>
          <w:noProof/>
        </w:rPr>
        <w:t xml:space="preserve">davanja savjeta o aspektima kibersigurnosti koji bi mogli utjecati na njihov rad. Predstavnici nacionalnih tijela kaznenog progona i tijela kaznenog progona na razini Unije te nacionalnih tijela i tijela Unije za zaštitu privatnosti trebali bi imati pravo </w:t>
      </w:r>
      <w:r>
        <w:rPr>
          <w:noProof/>
        </w:rPr>
        <w:t>da budu zastupljeni u Stalnoj interesnoj skupini Agencije. Pri povezivanju s tijelima kaznenog progona u vezi s aspektima mrežne i informacijske sigurnosti koji mogu utjecati na njihov rad, Agencija bi trebala poštovati postojeće informacijske kanale i usp</w:t>
      </w:r>
      <w:r>
        <w:rPr>
          <w:noProof/>
        </w:rPr>
        <w:t xml:space="preserve">ostavljene mreže. </w:t>
      </w:r>
    </w:p>
    <w:p w:rsidR="00A761A4" w:rsidRDefault="0064189B">
      <w:pPr>
        <w:pStyle w:val="ManualConsidrant"/>
        <w:rPr>
          <w:noProof/>
        </w:rPr>
      </w:pPr>
      <w:r>
        <w:t>(31)</w:t>
      </w:r>
      <w:r>
        <w:tab/>
      </w:r>
      <w:r>
        <w:rPr>
          <w:noProof/>
        </w:rPr>
        <w:t>Agencija, kao članica koja osigurava i tajništvo mreže CSIRT-ova, trebala bi podupirati CSIRT-ove u državama članicama i CERT-EU u operativnoj suradnji u skladu sa svim relevantnim zadaćama mreže CSIRT-ova, kako su definirane u Dire</w:t>
      </w:r>
      <w:r>
        <w:rPr>
          <w:noProof/>
        </w:rPr>
        <w:t>ktivi NIS. Nadalje, Agencija bi trebala poticati i podržavati suradnju između relevantnih CSIRT-ova u slučaju incidenata, napada ili poremećaja mreža ili infrastrukture kojima upravljaju ili koje oni štite i koje uključuju ili mogu uključivati najmanje dva</w:t>
      </w:r>
      <w:r>
        <w:rPr>
          <w:noProof/>
        </w:rPr>
        <w:t xml:space="preserve"> CERT-a uzimajući u obzir standardne operativne postupke mreže CSIRT-ova.</w:t>
      </w:r>
    </w:p>
    <w:p w:rsidR="00A761A4" w:rsidRDefault="0064189B">
      <w:pPr>
        <w:pStyle w:val="ManualConsidrant"/>
        <w:rPr>
          <w:noProof/>
        </w:rPr>
      </w:pPr>
      <w:r>
        <w:t>(32)</w:t>
      </w:r>
      <w:r>
        <w:tab/>
      </w:r>
      <w:r>
        <w:rPr>
          <w:noProof/>
        </w:rPr>
        <w:t>U cilju povećanja pripravnosti Unije za odgovor na kiberincidente, Agencija bi trebala organizirati godišnje vježbe u području kibersigurnosti na razini Unije i državama članica</w:t>
      </w:r>
      <w:r>
        <w:rPr>
          <w:noProof/>
        </w:rPr>
        <w:t xml:space="preserve">ma, institucijama, agencijama i tijelima EU-a, na njihov zahtjev, pomagati pri organizaciji vježbi. </w:t>
      </w:r>
    </w:p>
    <w:p w:rsidR="00A761A4" w:rsidRDefault="0064189B">
      <w:pPr>
        <w:pStyle w:val="ManualConsidrant"/>
        <w:rPr>
          <w:noProof/>
        </w:rPr>
      </w:pPr>
      <w:r>
        <w:t>(33)</w:t>
      </w:r>
      <w:r>
        <w:tab/>
      </w:r>
      <w:r>
        <w:rPr>
          <w:noProof/>
        </w:rPr>
        <w:t>Agencija bi trebala dalje razvijati i održavati svoje stručno znanje u području kibersigurnosne certifikacije radi potpore politici Unije u tom područ</w:t>
      </w:r>
      <w:r>
        <w:rPr>
          <w:noProof/>
        </w:rPr>
        <w:t>ju. Agencija bi trebala promicati prihvaćanje kibersigurnosne certifikacije u Uniji, među ostalim pridonošenjem uspostavi okvira za kibersigurnosnu certifikaciju na razini Unije i njegovu održavanju, u cilju povećanja transparentnosti kibersigurnosnog jams</w:t>
      </w:r>
      <w:r>
        <w:rPr>
          <w:noProof/>
        </w:rPr>
        <w:t>tva za IKT proizvode i usluge i jačanja povjerenja u jedinstveno digitalno tržište.</w:t>
      </w:r>
    </w:p>
    <w:p w:rsidR="00A761A4" w:rsidRDefault="0064189B">
      <w:pPr>
        <w:pStyle w:val="ManualConsidrant"/>
        <w:rPr>
          <w:noProof/>
        </w:rPr>
      </w:pPr>
      <w:r>
        <w:t>(34)</w:t>
      </w:r>
      <w:r>
        <w:tab/>
      </w:r>
      <w:r>
        <w:rPr>
          <w:noProof/>
        </w:rPr>
        <w:t>Učinkovitu kibersigurnosnu politiku trebalo bi temeljiti na dobro razrađenim metodama procjene rizika, kako u javnom tako i u privatnom sektoru. Metode za procjenu riz</w:t>
      </w:r>
      <w:r>
        <w:rPr>
          <w:noProof/>
        </w:rPr>
        <w:t>ika upotrebljavaju se na različitim razinama, međutim ne postoji zajednička praksa u pogledu njihove učinkovite primjene. Poticanjem i razvojem najboljih praksa za procjenu rizika i za interoperabilna rješenja za upravljanje rizicima u organizacijama javno</w:t>
      </w:r>
      <w:r>
        <w:rPr>
          <w:noProof/>
        </w:rPr>
        <w:t xml:space="preserve">g i privatnog sektora povećat će se razina kibersigurnosti u Uniji. U tu svrhu Agencija bi trebala podupirati suradnju između dionika na razini Unije i time olakšati njihova nastojanja u vezi s utvrđivanjem i preuzimanjem europskih i međunarodnih norma za </w:t>
      </w:r>
      <w:r>
        <w:rPr>
          <w:noProof/>
        </w:rPr>
        <w:t xml:space="preserve">upravljanje rizicima i za mjerljivu sigurnost elektroničkih proizvoda, sustava, mreža i usluga koji zajedno sa softverom čine mrežne i informacijske sustave. </w:t>
      </w:r>
    </w:p>
    <w:p w:rsidR="00A761A4" w:rsidRDefault="0064189B">
      <w:pPr>
        <w:pStyle w:val="ManualConsidrant"/>
        <w:rPr>
          <w:noProof/>
        </w:rPr>
      </w:pPr>
      <w:r>
        <w:t>(35)</w:t>
      </w:r>
      <w:r>
        <w:tab/>
      </w:r>
      <w:r>
        <w:rPr>
          <w:noProof/>
        </w:rPr>
        <w:t>Agencija bi trebala poticati države članice i pružatelje usluga da povećaju svoje opće sigur</w:t>
      </w:r>
      <w:r>
        <w:rPr>
          <w:noProof/>
        </w:rPr>
        <w:t>nosne standarde kako bi svi korisnici interneta mogli poduzeti potrebne korake za osiguranje svoje osobne kibersigurnosti. Konkretno, pružatelji usluga i proizvođači proizvoda trebali bi povući ili reciklirati proizvode i usluge koji ne zadovoljavaju stand</w:t>
      </w:r>
      <w:r>
        <w:rPr>
          <w:noProof/>
        </w:rPr>
        <w:t>arde kibersigurnosti. ENISA, u suradnji s nadležnim tijelima, može širiti informacije o razini kibersigurnosti proizvoda i usluga koje se nude na unutarnjem tržištu te pružateljima i proizvođačima izdavati upozorenja u kojima od njih traži da poboljšaju si</w:t>
      </w:r>
      <w:r>
        <w:rPr>
          <w:noProof/>
        </w:rPr>
        <w:t xml:space="preserve">gurnost, uključujući kibersigurnost, svojih proizvoda i usluga. </w:t>
      </w:r>
    </w:p>
    <w:p w:rsidR="00A761A4" w:rsidRDefault="0064189B">
      <w:pPr>
        <w:pStyle w:val="ManualConsidrant"/>
        <w:rPr>
          <w:noProof/>
        </w:rPr>
      </w:pPr>
      <w:r>
        <w:t>(36)</w:t>
      </w:r>
      <w:r>
        <w:tab/>
      </w:r>
      <w:r>
        <w:rPr>
          <w:noProof/>
        </w:rPr>
        <w:t xml:space="preserve">Agencija bi trebala u potpunosti uzeti u obzir tekuće aktivnosti istraživanja, razvoja i tehnološkog ocjenjivanja, posebno one aktivnosti koje provode različite istraživačke inicijative </w:t>
      </w:r>
      <w:r>
        <w:rPr>
          <w:noProof/>
        </w:rPr>
        <w:t xml:space="preserve">Unije kako bi institucije tijela, urede i agencije Unije i, prema potrebi, države članice, na njihov zahtjev savjetovala o potrebama za istraživanjem u području mrežne i informacijske sigurnosti, posebno kibersigurnosti. </w:t>
      </w:r>
    </w:p>
    <w:p w:rsidR="00A761A4" w:rsidRDefault="0064189B">
      <w:pPr>
        <w:pStyle w:val="ManualConsidrant"/>
        <w:rPr>
          <w:noProof/>
        </w:rPr>
      </w:pPr>
      <w:r>
        <w:t>(37)</w:t>
      </w:r>
      <w:r>
        <w:tab/>
      </w:r>
      <w:r>
        <w:rPr>
          <w:noProof/>
        </w:rPr>
        <w:t>Problemi kibersigurnosti glob</w:t>
      </w:r>
      <w:r>
        <w:rPr>
          <w:noProof/>
        </w:rPr>
        <w:t>alni su problemi. Potrebna je i bliža međunarodna suradnja radi unaprjeđenja sigurnosnih standarda, uključujući definiciju zajedničkih normi ponašanja i kodeksa ponašanja, razmjenu informacija, poticanje brže međunarodne suradnje kao odgovor na pitanja mre</w:t>
      </w:r>
      <w:r>
        <w:rPr>
          <w:noProof/>
        </w:rPr>
        <w:t>žne i informacijske sigurnosti, kao i zajednički globalni pristup tim pitanjima. U tu svrhu Agencija bi trebala, pružanjem, prema potrebi, potrebnog stručnog znanja i analize relevantnim institucijama, tijelima, uredima i agencijama Unije, podupirati daljn</w:t>
      </w:r>
      <w:r>
        <w:rPr>
          <w:noProof/>
        </w:rPr>
        <w:t xml:space="preserve">je uključivanje Unije i njezinu suradnju s trećim zemljama i međunarodnim organizacijama. </w:t>
      </w:r>
    </w:p>
    <w:p w:rsidR="00A761A4" w:rsidRDefault="0064189B">
      <w:pPr>
        <w:pStyle w:val="ManualConsidrant"/>
        <w:rPr>
          <w:noProof/>
        </w:rPr>
      </w:pPr>
      <w:r>
        <w:t>(38)</w:t>
      </w:r>
      <w:r>
        <w:tab/>
      </w:r>
      <w:r>
        <w:rPr>
          <w:noProof/>
        </w:rPr>
        <w:t xml:space="preserve">Agencija bi trebala moći odgovoriti na </w:t>
      </w:r>
      <w:r>
        <w:rPr>
          <w:i/>
          <w:noProof/>
        </w:rPr>
        <w:t>ad hoc</w:t>
      </w:r>
      <w:r>
        <w:rPr>
          <w:noProof/>
        </w:rPr>
        <w:t xml:space="preserve"> zahtjeve za savjete i pomoć država članica i institucija, agencija i tijela EU-a ako su u okviru njezinih ciljeva.</w:t>
      </w:r>
      <w:r>
        <w:rPr>
          <w:strike/>
          <w:noProof/>
        </w:rPr>
        <w:t xml:space="preserve"> </w:t>
      </w:r>
    </w:p>
    <w:p w:rsidR="00A761A4" w:rsidRDefault="0064189B">
      <w:pPr>
        <w:pStyle w:val="ManualConsidrant"/>
        <w:rPr>
          <w:noProof/>
        </w:rPr>
      </w:pPr>
      <w:r>
        <w:t>(39)</w:t>
      </w:r>
      <w:r>
        <w:tab/>
      </w:r>
      <w:r>
        <w:rPr>
          <w:noProof/>
        </w:rPr>
        <w:t>Potrebno je provesti određena načela povezana s upravljanjem Agencijom radi usklađivanja sa zajedničkom izjavom i zajedničkim pristupom koje je u srpnju 2012. dogovorila Međuinstitucionalna radna skupina za decentralizirane agencije EU-a, pri čemu j</w:t>
      </w:r>
      <w:r>
        <w:rPr>
          <w:noProof/>
        </w:rPr>
        <w:t>e svrha izjave i pristupa usuglašavanje aktivnosti agencija i poboljšanje njihova djelovanja. Zajednička izjava i zajednički pristup trebali bi se, prema potrebi, odražavati i u programima rada Agencije, ocjenama Agencije te praksi Agencije u vezi s izvješ</w:t>
      </w:r>
      <w:r>
        <w:rPr>
          <w:noProof/>
        </w:rPr>
        <w:t xml:space="preserve">ćivanjem i upravljanjem. </w:t>
      </w:r>
    </w:p>
    <w:p w:rsidR="00A761A4" w:rsidRDefault="0064189B">
      <w:pPr>
        <w:pStyle w:val="ManualConsidrant"/>
        <w:rPr>
          <w:noProof/>
        </w:rPr>
      </w:pPr>
      <w:r>
        <w:t>(40)</w:t>
      </w:r>
      <w:r>
        <w:tab/>
      </w:r>
      <w:r>
        <w:rPr>
          <w:noProof/>
        </w:rPr>
        <w:t>Upravljački odbor sastavljen od država članica i Komisije trebao bi definirati opće usmjerenje rada Agencije i osigurati da ona obavlja svoje zadaće u skladu s ovom Uredbom. Upravljačkom odboru trebalo bi povjeriti ovlasti po</w:t>
      </w:r>
      <w:r>
        <w:rPr>
          <w:noProof/>
        </w:rPr>
        <w:t>trebne za izradu proračuna, provjeru njegova izvršenja, donošenje odgovarajućih financijskih pravila, uspostavu transparentnih radnih postupaka za donošenje odluka Agencije, donošenje jedinstvenog programskog dokumenta, donošenje svog poslovnika, imenovanj</w:t>
      </w:r>
      <w:r>
        <w:rPr>
          <w:noProof/>
        </w:rPr>
        <w:t>e izvršnog direktora i odlučivanje o produljenju ili prestanku mandata izvršnog direktora.</w:t>
      </w:r>
    </w:p>
    <w:p w:rsidR="00A761A4" w:rsidRDefault="0064189B">
      <w:pPr>
        <w:pStyle w:val="ManualConsidrant"/>
        <w:rPr>
          <w:noProof/>
        </w:rPr>
      </w:pPr>
      <w:r>
        <w:t>(41)</w:t>
      </w:r>
      <w:r>
        <w:tab/>
      </w:r>
      <w:r>
        <w:rPr>
          <w:noProof/>
        </w:rPr>
        <w:t>U cilju pravilnog i djelotvornog funkcioniranja Agencije Komisija i države članice trebale bi osigurati da osobe koje će imenovati u Upravljački odbor imaju odg</w:t>
      </w:r>
      <w:r>
        <w:rPr>
          <w:noProof/>
        </w:rPr>
        <w:t xml:space="preserve">ovarajuća stručna znanja i iskustvo u područjima njezina djelovanja. Komisija i države članice također bi trebale ograničiti učestalost izmjena njihovih predstavnika u Upravljačkom odboru kako bi se osigurao kontinuitet njihova rada. </w:t>
      </w:r>
    </w:p>
    <w:p w:rsidR="00A761A4" w:rsidRDefault="0064189B">
      <w:pPr>
        <w:pStyle w:val="ManualConsidrant"/>
        <w:rPr>
          <w:noProof/>
        </w:rPr>
      </w:pPr>
      <w:r>
        <w:t>(42)</w:t>
      </w:r>
      <w:r>
        <w:tab/>
      </w:r>
      <w:r>
        <w:rPr>
          <w:noProof/>
        </w:rPr>
        <w:t>Kako bi se osigu</w:t>
      </w:r>
      <w:r>
        <w:rPr>
          <w:noProof/>
        </w:rPr>
        <w:t>ralo nesmetano funkcioniranje Agencije, njezin izvršni direktor imenuje se na temelju zasluga i dokazanih administrativnih i rukovoditeljskih sposobnosti, kao i sposobnosti i iskustava relevantnih za kibersigurnost, a svoje dužnosti obavlja potpuno neovisn</w:t>
      </w:r>
      <w:r>
        <w:rPr>
          <w:noProof/>
        </w:rPr>
        <w:t xml:space="preserve">o. Izvršni direktor trebao bi, nakon prethodnog savjetovanja s Komisijom, pripremiti prijedlog programa rada Agencije i poduzeti sve potrebne korake kako bi osigurao njegovo pravilno izvršenje. Izvršni direktor trebao bi izraditi godišnje izvješće koje se </w:t>
      </w:r>
      <w:r>
        <w:rPr>
          <w:noProof/>
        </w:rPr>
        <w:t xml:space="preserve">dostavlja Upravljačkom odboru, sastaviti nacrt izvješća o procjenama prihoda i rashoda Agencije te izvršavati proračun. Nadalje, izvršni direktor trebao bi imati mogućnost osnivanja </w:t>
      </w:r>
      <w:r>
        <w:rPr>
          <w:i/>
          <w:noProof/>
        </w:rPr>
        <w:t>ad hoc</w:t>
      </w:r>
      <w:r>
        <w:rPr>
          <w:noProof/>
        </w:rPr>
        <w:t xml:space="preserve"> radnih skupina za rješavanje određenih pitanja, a posebno pitanja z</w:t>
      </w:r>
      <w:r>
        <w:rPr>
          <w:noProof/>
        </w:rPr>
        <w:t xml:space="preserve">nanstvene, tehničke, pravne ili socioekonomske prirode. Izvršni direktor trebao bi osigurati odabir članova </w:t>
      </w:r>
      <w:r>
        <w:rPr>
          <w:i/>
          <w:noProof/>
        </w:rPr>
        <w:t>ad hoc</w:t>
      </w:r>
      <w:r>
        <w:rPr>
          <w:noProof/>
        </w:rPr>
        <w:t xml:space="preserve"> radnih skupina u skladu s najvišim standardima struke, uzimajući pritom u obzir ravnotežu među predstavnicima kada je to potrebno s obzirom n</w:t>
      </w:r>
      <w:r>
        <w:rPr>
          <w:noProof/>
        </w:rPr>
        <w:t xml:space="preserve">a predmetna specifična pitanja, između javnih uprava država članica, institucija Unije i privatnog sektora, uključujući industriju, korisnike i akademske stručnjake iz područja mrežne i informacijske sigurnosti. </w:t>
      </w:r>
    </w:p>
    <w:p w:rsidR="00A761A4" w:rsidRDefault="0064189B">
      <w:pPr>
        <w:pStyle w:val="ManualConsidrant"/>
        <w:rPr>
          <w:noProof/>
        </w:rPr>
      </w:pPr>
      <w:r>
        <w:t>(43)</w:t>
      </w:r>
      <w:r>
        <w:tab/>
      </w:r>
      <w:r>
        <w:rPr>
          <w:noProof/>
        </w:rPr>
        <w:t>Izvršni odbor trebao bi pridonositi uč</w:t>
      </w:r>
      <w:r>
        <w:rPr>
          <w:noProof/>
        </w:rPr>
        <w:t>inkovitosti Upravljačkog odbora. U okviru priprema povezanih s donošenjem odluka Upravljačkog odbora trebao bi detaljno ispitivati relevantne informacije i istraživati dostupne mogućnosti i nuditi savjete i rješenja za pripremu relevantnih odluka Upravljač</w:t>
      </w:r>
      <w:r>
        <w:rPr>
          <w:noProof/>
        </w:rPr>
        <w:t xml:space="preserve">kog odbora. </w:t>
      </w:r>
    </w:p>
    <w:p w:rsidR="00A761A4" w:rsidRDefault="0064189B">
      <w:pPr>
        <w:pStyle w:val="ManualConsidrant"/>
        <w:rPr>
          <w:noProof/>
        </w:rPr>
      </w:pPr>
      <w:r>
        <w:t>(44)</w:t>
      </w:r>
      <w:r>
        <w:tab/>
      </w:r>
      <w:r>
        <w:rPr>
          <w:noProof/>
        </w:rPr>
        <w:t>Agencija bi trebala imati Stalnu interesnu skupinu kao savjetodavno tijelo kako bi se osigurao redoviti dijalog s privatnim sektorom, organizacijama potrošača i drugim interesnim skupinama. Stalna interesna skupina, koju na prijedlog izvršnog direktora osn</w:t>
      </w:r>
      <w:r>
        <w:rPr>
          <w:noProof/>
        </w:rPr>
        <w:t xml:space="preserve">iva Upravljački odbor, trebala bi se usredotočiti na pitanja relevantna za dionike te bi trebala Agenciji skrenuti pozornost na njih. Sastav Stalne interesne skupine, s kojom se posebno treba savjetovati u pogledu nacrta programa rada, i njezinim zadaćama </w:t>
      </w:r>
      <w:r>
        <w:rPr>
          <w:noProof/>
        </w:rPr>
        <w:t xml:space="preserve">trebao bi osigurati dostatnu zastupljenost dionika u radu Agencije. </w:t>
      </w:r>
    </w:p>
    <w:p w:rsidR="00A761A4" w:rsidRDefault="0064189B">
      <w:pPr>
        <w:pStyle w:val="ManualConsidrant"/>
        <w:rPr>
          <w:noProof/>
        </w:rPr>
      </w:pPr>
      <w:r>
        <w:t>(45)</w:t>
      </w:r>
      <w:r>
        <w:tab/>
      </w:r>
      <w:r>
        <w:rPr>
          <w:noProof/>
        </w:rPr>
        <w:t>Agencija bi trebala uspostaviti pravila o sprječavanja sukoba interesa i upravljanju njime. Agencija bi trebala primjenjivati relevantne odredbe Unije o javnom pristupu dokumentima u</w:t>
      </w:r>
      <w:r>
        <w:rPr>
          <w:noProof/>
        </w:rPr>
        <w:t xml:space="preserve"> skladu s Uredbom (EZ) br. 1049/2001 Europskog parlamenta i Vijeća</w:t>
      </w:r>
      <w:r>
        <w:rPr>
          <w:rStyle w:val="FootnoteReference"/>
          <w:noProof/>
        </w:rPr>
        <w:footnoteReference w:id="35"/>
      </w:r>
      <w:r>
        <w:rPr>
          <w:noProof/>
        </w:rPr>
        <w:t>. Agencija bi trebala obrađivati osobne podatke u skladu s Uredbom (EZ) br. 45/2001 Europskog parlamenta i Vijeća od 18. prosinca 2000. o zaštiti pojedinaca u vezi s obradom osobnih podatak</w:t>
      </w:r>
      <w:r>
        <w:rPr>
          <w:noProof/>
        </w:rPr>
        <w:t>a u institucijama i tijelima Zajednice i o slobodnom kretanju takvih podataka</w:t>
      </w:r>
      <w:r>
        <w:rPr>
          <w:rStyle w:val="FootnoteReference"/>
          <w:noProof/>
        </w:rPr>
        <w:footnoteReference w:id="36"/>
      </w:r>
      <w:r>
        <w:rPr>
          <w:noProof/>
        </w:rPr>
        <w:t>. Agencija bi se trebala pridržavati odredaba primjenljivih na institucije Unije i nacionalnog zakonodavstva u vezi s postupanjem s osjetljivim dokumentima, posebno s osjetljivim</w:t>
      </w:r>
      <w:r>
        <w:rPr>
          <w:noProof/>
        </w:rPr>
        <w:t xml:space="preserve"> neklasificiranim podacima i klasificiranim podacima EU-a. </w:t>
      </w:r>
    </w:p>
    <w:p w:rsidR="00A761A4" w:rsidRDefault="0064189B">
      <w:pPr>
        <w:pStyle w:val="ManualConsidrant"/>
        <w:rPr>
          <w:noProof/>
        </w:rPr>
      </w:pPr>
      <w:r>
        <w:t>(46)</w:t>
      </w:r>
      <w:r>
        <w:tab/>
      </w:r>
      <w:r>
        <w:rPr>
          <w:noProof/>
        </w:rPr>
        <w:t>Kako bi se zajamčila potpuna autonomija i neovisnost Agencije i kako bi joj se omogućilo obavljanje dodatnih i novih zadaća, uključujući nepredviđene hitne zadaće, Agenciji bi trebalo osigura</w:t>
      </w:r>
      <w:r>
        <w:rPr>
          <w:noProof/>
        </w:rPr>
        <w:t xml:space="preserve">ti dostatni i autonomni proračun s prihodima prvenstveno iz doprinosa Unije i doprinosa trećih zemalja koje sudjeluju u radu Agencije. Veći dio osoblja Agencija trebao bi izravno sudjelovati u operativnoj provedbi mandata Agencije. Državi članici domaćinu </w:t>
      </w:r>
      <w:r>
        <w:rPr>
          <w:noProof/>
        </w:rPr>
        <w:t>ili bilo kojoj drugoj državi članici trebalo bi omogućiti davanje dobrovoljnih doprinosa prihodima Agencije. Na subvencije koje se financiraju iz općeg proračuna Unije trebao bi se i dalje primjenjivati proračunski postupak Unije. Štoviše, Revizorski sud t</w:t>
      </w:r>
      <w:r>
        <w:rPr>
          <w:noProof/>
        </w:rPr>
        <w:t xml:space="preserve">rebao bi provesti reviziju računa Agencije radi osiguranja transparentnosti i odgovornosti. </w:t>
      </w:r>
    </w:p>
    <w:p w:rsidR="00A761A4" w:rsidRDefault="0064189B">
      <w:pPr>
        <w:pStyle w:val="ManualConsidrant"/>
        <w:rPr>
          <w:noProof/>
        </w:rPr>
      </w:pPr>
      <w:r>
        <w:t>(47)</w:t>
      </w:r>
      <w:r>
        <w:tab/>
      </w:r>
      <w:r>
        <w:rPr>
          <w:noProof/>
        </w:rPr>
        <w:t>Ocjenjivanje sukladnosti postupak je kojim se dokazuje da su ispunjeni određeni zahtjevi koji se odnose na proizvod, postupak, uslugu, sustav, osobu ili tijel</w:t>
      </w:r>
      <w:r>
        <w:rPr>
          <w:noProof/>
        </w:rPr>
        <w:t>o. Za potrebe ove Uredbe certifikacija bi se trebala smatrati vrstom ocjenjivanja sukladnosti u pogledu kibersigurnosnih značajki proizvoda, postupka, usluge, sustava ili njihove kombinacije („IKT proizvodi i usluge”) koju obavlja neovisna treća strana koj</w:t>
      </w:r>
      <w:r>
        <w:rPr>
          <w:noProof/>
        </w:rPr>
        <w:t xml:space="preserve">a nije proizvođač proizvoda ili pružatelj usluge. Samom certifikacijom ne može se jamčiti kibersigurnost certificiranih IKT proizvoda i usluga. Riječ je o postupku i tehničkoj metodologiji kojima se potvrđuje da su IKT proizvodi i usluge testirani i da su </w:t>
      </w:r>
      <w:r>
        <w:rPr>
          <w:noProof/>
        </w:rPr>
        <w:t>u skladu s određenim kibersigurnosnim zahtjevima koji su propisani drugdje, na primjer u tehničkim normama.</w:t>
      </w:r>
    </w:p>
    <w:p w:rsidR="00A761A4" w:rsidRDefault="0064189B">
      <w:pPr>
        <w:pStyle w:val="ManualConsidrant"/>
        <w:rPr>
          <w:noProof/>
        </w:rPr>
      </w:pPr>
      <w:r>
        <w:t>(48)</w:t>
      </w:r>
      <w:r>
        <w:tab/>
      </w:r>
      <w:r>
        <w:rPr>
          <w:noProof/>
        </w:rPr>
        <w:t>Kibersigurnosna certifikacija ima važnu ulogu u jačanju povjerenja u IKT proizvode i usluge i njihovu sigurnost. Jedinstveno digitalno tržište,</w:t>
      </w:r>
      <w:r>
        <w:rPr>
          <w:noProof/>
        </w:rPr>
        <w:t xml:space="preserve"> posebno podatkovno gospodarstvo i internet stvari, mogu se razvijati samo ako postoji opće povjerenje javnosti da se takvim proizvodima i uslugama osigurava određena razina kibersigurnosnog jamstva. Povezani i automatizirani automobili, elektronički medic</w:t>
      </w:r>
      <w:r>
        <w:rPr>
          <w:noProof/>
        </w:rPr>
        <w:t>inski proizvodi, industrijski automatizirani kontrolni sustavi ili pametne mreže samo su primjeri sektora u kojima se certificiranje već u velikoj mjeri primjenjuje ili će se vjerojatno primjenjivati u skoroj budućnosti. Kibersigurnosna certifikacija od kl</w:t>
      </w:r>
      <w:r>
        <w:rPr>
          <w:noProof/>
        </w:rPr>
        <w:t xml:space="preserve">jučne je važnosti u sektorima uređenima Direktivom NIS. </w:t>
      </w:r>
    </w:p>
    <w:p w:rsidR="00A761A4" w:rsidRDefault="0064189B">
      <w:pPr>
        <w:pStyle w:val="ManualConsidrant"/>
        <w:rPr>
          <w:noProof/>
        </w:rPr>
      </w:pPr>
      <w:r>
        <w:t>(49)</w:t>
      </w:r>
      <w:r>
        <w:tab/>
      </w:r>
      <w:r>
        <w:rPr>
          <w:noProof/>
        </w:rPr>
        <w:t>U Komunikaciji iz 2016. „Jačanje europskog sustava kibernetičke sigurnosti i poticanje konkurentne i inovativne industrije kibernetičke sigurnosti” Komisija je istaknula potrebu za visokokvalite</w:t>
      </w:r>
      <w:r>
        <w:rPr>
          <w:noProof/>
        </w:rPr>
        <w:t>tnim, povoljnim i interoperabilnim proizvodima i rješenjima za kibersigurnost. Ponuda IKT proizvoda i usluga na jedinstvenom tržištu vrlo je zemljopisno rascjepkana. To je zato što se industrija kibersigurnosti u Europi u velikoj mjeri razvila na temelju p</w:t>
      </w:r>
      <w:r>
        <w:rPr>
          <w:noProof/>
        </w:rPr>
        <w:t>otražnje nacionalnih vlada. Nadalje, nepostojanje interoperabilnih rješenja (tehničke norme), praksi i postupaka certificiranja na razini EU-a neki su od nedostataka koji utječu na jedinstveno tržište kibersigurnosti. S jedne strane, time je europskim podu</w:t>
      </w:r>
      <w:r>
        <w:rPr>
          <w:noProof/>
        </w:rPr>
        <w:t>zećima otežano tržišno natjecanje na nacionalnoj, europskoj i svjetskoj razini. S druge strane, ograničen je izbor održivih i iskoristivih kibersigurnosnih tehnologija koje su dostupne građanima i poduzećima. Slično tomu, u preispitivanju provedbe Strategi</w:t>
      </w:r>
      <w:r>
        <w:rPr>
          <w:noProof/>
        </w:rPr>
        <w:t>je jedinstvenog digitalnog tržišta na sredini provedbenog razdoblja Komisija je istaknula da su potrebni sigurni povezani proizvodi i sustavi i navela je da bi se stvaranjem europskog okvira za sigurnost IKT-a kojim se utvrđuju pravila o organizaciji sigur</w:t>
      </w:r>
      <w:r>
        <w:rPr>
          <w:noProof/>
        </w:rPr>
        <w:t>nosnog certificiranja u području IKT-a moglo očuvati povjerenje u internet i riješiti trenutačni problem rascjepkanosti kibersigurnosnog tržišta.</w:t>
      </w:r>
    </w:p>
    <w:p w:rsidR="00A761A4" w:rsidRDefault="0064189B">
      <w:pPr>
        <w:pStyle w:val="ManualConsidrant"/>
        <w:rPr>
          <w:rFonts w:eastAsia="Times New Roman"/>
          <w:noProof/>
        </w:rPr>
      </w:pPr>
      <w:r>
        <w:t>(50)</w:t>
      </w:r>
      <w:r>
        <w:tab/>
      </w:r>
      <w:r>
        <w:rPr>
          <w:noProof/>
        </w:rPr>
        <w:t xml:space="preserve">Trenutačno se kibersigurnosna certifikacija IKT proizvoda i usluga provodi samo u ograničenoj mjeri. Ako </w:t>
      </w:r>
      <w:r>
        <w:rPr>
          <w:noProof/>
        </w:rPr>
        <w:t xml:space="preserve">postoji, ona se većinom provodi na razini države članice ili u okviru programa industrijskih sektora. U tom kontekstu druge države članice u načelu ne priznaju certifikat koji je izdalo jedno nacionalno tijelo za kibersigurnost. Trgovačka društva stoga će </w:t>
      </w:r>
      <w:r>
        <w:rPr>
          <w:noProof/>
        </w:rPr>
        <w:t>možda morati certificirati svoje proizvode i usluge u nekoliko država članica u kojima djeluju, na primjer radi sudjelovanja u nacionalnim postupcima javne nabave. Nadalje, iako se javljaju novi programi, čini se da ne postoji usklađen i holistički pristup</w:t>
      </w:r>
      <w:r>
        <w:rPr>
          <w:noProof/>
        </w:rPr>
        <w:t xml:space="preserve"> pitanjima horizontalne kibersigurnosti, na primjer u području interneta stvari. U postojećim programima postoje znatni nedostaci i razlike u pogledu opsega proizvoda, razine jamstva, materijalnih kriterija i stvarne upotrebe. </w:t>
      </w:r>
    </w:p>
    <w:p w:rsidR="00A761A4" w:rsidRDefault="0064189B">
      <w:pPr>
        <w:pStyle w:val="ManualConsidrant"/>
        <w:rPr>
          <w:rFonts w:eastAsia="Times New Roman"/>
          <w:noProof/>
        </w:rPr>
      </w:pPr>
      <w:r>
        <w:t>(51)</w:t>
      </w:r>
      <w:r>
        <w:tab/>
      </w:r>
      <w:r>
        <w:rPr>
          <w:noProof/>
        </w:rPr>
        <w:t>U prošlosti je bilo pok</w:t>
      </w:r>
      <w:r>
        <w:rPr>
          <w:noProof/>
        </w:rPr>
        <w:t>ušaja postizanja uzajamnog priznavanja certifikata u Europi. Međutim, oni su bili samo djelomično uspješni. Najvažniji primjer u tome pogledu jest sporazum o uzajamnom priznavanju (MRA) Skupine viših dužnosnika za sigurnost informacijskih sustava (SOG-IS).</w:t>
      </w:r>
      <w:r>
        <w:rPr>
          <w:noProof/>
        </w:rPr>
        <w:t xml:space="preserve"> Iako je sporazum o uzajamnom priznavanju SOG-IS-a najvažniji model suradnje i uzajamnog priznavanja u području sigurnosnog certificiranja, s njim su povezani znatni nedostaci koji se odnose na visoke troškove i ograničeno područje primjene. Dosad je razvi</w:t>
      </w:r>
      <w:r>
        <w:rPr>
          <w:noProof/>
        </w:rPr>
        <w:t>jeno samo nekoliko profila zaštite digitalnih proizvoda, na primjer digitalni potpis, digitalni tahograf i pametne kartice. Najvažnije je napomenuti da SOG-IS uključuje samo dio država članica Unije. Zbog toga je ograničena djelotvornost sporazuma o uzajam</w:t>
      </w:r>
      <w:r>
        <w:rPr>
          <w:noProof/>
        </w:rPr>
        <w:t xml:space="preserve">nom priznavanju SOG-IS-a sa stajališta unutarnjeg tržišta. </w:t>
      </w:r>
    </w:p>
    <w:p w:rsidR="00A761A4" w:rsidRDefault="0064189B">
      <w:pPr>
        <w:pStyle w:val="ManualConsidrant"/>
        <w:rPr>
          <w:noProof/>
        </w:rPr>
      </w:pPr>
      <w:r>
        <w:t>(52)</w:t>
      </w:r>
      <w:r>
        <w:tab/>
      </w:r>
      <w:r>
        <w:rPr>
          <w:noProof/>
        </w:rPr>
        <w:t>S obzirom na navedeno nužno je uspostaviti europski okvir za kibersigurnosnu certifikaciju kojim se utvrđuju glavni horizontalni zahtjevi za buduće europske programe kibersigurnosne certifika</w:t>
      </w:r>
      <w:r>
        <w:rPr>
          <w:noProof/>
        </w:rPr>
        <w:t>cije koji omogućuju priznavanje i uporabu certifikata IKT proizvoda i usluga u svim državama članicama. Europski okvir trebao bi imati dvostruku svrhu: s jedne strane njime bi se trebalo pridonijeti povećanju povjerenja u IKT proizvode i usluge koji su cer</w:t>
      </w:r>
      <w:r>
        <w:rPr>
          <w:noProof/>
        </w:rPr>
        <w:t>tificirani u skladu s tim programima. S druge strane, njime bi se trebalo izbjeći umnožavanje proturječnih ili preklapajućih nacionalnih kibersigurnosnih certifikacija i tako smanjiti troškovi poduzećima koja djeluju na jedinstvenom digitalnom tržištu. Pro</w:t>
      </w:r>
      <w:r>
        <w:rPr>
          <w:noProof/>
        </w:rPr>
        <w:t>grami certificiranja trebali bi biti nediskriminirajući i temeljiti se na međunarodnim normama ili normama Unije, osim ako su te norme neučinkovite ili neprimjerene za ispunjavanje zakonitih ciljeva EU-a u tom pogledu.</w:t>
      </w:r>
    </w:p>
    <w:p w:rsidR="00A761A4" w:rsidRDefault="0064189B">
      <w:pPr>
        <w:pStyle w:val="ManualConsidrant"/>
        <w:rPr>
          <w:noProof/>
        </w:rPr>
      </w:pPr>
      <w:r>
        <w:t>(53)</w:t>
      </w:r>
      <w:r>
        <w:tab/>
      </w:r>
      <w:r>
        <w:rPr>
          <w:noProof/>
        </w:rPr>
        <w:t xml:space="preserve">Komisija bi trebala imati </w:t>
      </w:r>
      <w:r>
        <w:rPr>
          <w:noProof/>
        </w:rPr>
        <w:t>ovlasti donositi europske programe kibersigurnosne certifikacije za određene skupine IKT proizvoda i usluga. Programe bi trebala provoditi i nadzirati nacionalna tijela za nadzor certifikacije, a certifikati izdani na temelju tih programa trebali bi biti v</w:t>
      </w:r>
      <w:r>
        <w:rPr>
          <w:noProof/>
        </w:rPr>
        <w:t>aljani i priznati u cijeloj Uniji. Programi certificiranja kojima upravlja industrija ili privatne organizacije trebali bi biti izvan područja primjene Uredbe. Međutim, tijela koja provode takve programe mogu Komisiji predložiti da razmotri odobravanje tih</w:t>
      </w:r>
      <w:r>
        <w:rPr>
          <w:noProof/>
        </w:rPr>
        <w:t xml:space="preserve"> programa kao europskih programa.</w:t>
      </w:r>
    </w:p>
    <w:p w:rsidR="00A761A4" w:rsidRDefault="0064189B">
      <w:pPr>
        <w:pStyle w:val="ManualConsidrant"/>
        <w:rPr>
          <w:noProof/>
        </w:rPr>
      </w:pPr>
      <w:r>
        <w:t>(54)</w:t>
      </w:r>
      <w:r>
        <w:tab/>
      </w:r>
      <w:r>
        <w:rPr>
          <w:noProof/>
        </w:rPr>
        <w:t>Odredbama ove Uredbe ne bi se trebalo dovoditi u pitanje zakonodavstvo Unije kojim se propisuju posebna pravila o certifikaciji IKT proizvoda i usluga. U Uredbi (EU) 2016/679 (Opća uredba o zaštiti podataka) propisane</w:t>
      </w:r>
      <w:r>
        <w:rPr>
          <w:noProof/>
        </w:rPr>
        <w:t xml:space="preserve"> su odredbe o uspostavi programa certificiranja te pečata i oznaka za zaštitu podataka za potrebe dokazivanja usklađenosti s Uredbom postupaka obrade koje obavljaju voditelji ili izvršitelji obrade. Tim postupcima certificiranja i pečatima i oznakama za za</w:t>
      </w:r>
      <w:r>
        <w:rPr>
          <w:noProof/>
        </w:rPr>
        <w:t>štitu podataka trebalo bi se osobama čiji se podaci obrađuju omogućiti da brzo ocijene razinu zaštite podataka relevantnih proizvoda i usluga. Ovom Uredbom ne dovodi se u pitanje certificiranje postupaka obrade podataka, uključujući kada su ti postupci ugr</w:t>
      </w:r>
      <w:r>
        <w:rPr>
          <w:noProof/>
        </w:rPr>
        <w:t>ađeni u proizvode i usluge, u skladu s Općom uredbom o zaštiti podataka.</w:t>
      </w:r>
    </w:p>
    <w:p w:rsidR="00A761A4" w:rsidRDefault="0064189B">
      <w:pPr>
        <w:pStyle w:val="ManualConsidrant"/>
        <w:rPr>
          <w:noProof/>
        </w:rPr>
      </w:pPr>
      <w:r>
        <w:t>(55)</w:t>
      </w:r>
      <w:r>
        <w:tab/>
      </w:r>
      <w:r>
        <w:rPr>
          <w:noProof/>
        </w:rPr>
        <w:t>Europskim programima kibersigurnosne certifikacije trebalo bi se osigurati da proizvodi i usluge koji su certificirani u skladu s takvim programom zadovoljavaju određene zahtjeve</w:t>
      </w:r>
      <w:r>
        <w:rPr>
          <w:noProof/>
        </w:rPr>
        <w:t xml:space="preserve">. Ti zahtjevi odnose se na mogućnost odupiranja, na određenoj razini jamstva, djelovanjima kojima bi se mogla ugroziti dostupnost, izvornost, cjelovitost ili povjerljivost pohranjenih, poslanih ili obrađenih podataka ili povezanih funkcija ili usluge koje </w:t>
      </w:r>
      <w:r>
        <w:rPr>
          <w:noProof/>
        </w:rPr>
        <w:t>se nude s pomoću tih proizvoda, postupaka, usluga i sustava ili kojima se s pomoću njih može pristupiti u smislu ove Uredbe. U ovoj Uredbi ne mogu se podrobno utvrditi kibersigurnosni zahtjevi povezani sa svim IKT proizvodima i uslugama. IKT proizvodi i us</w:t>
      </w:r>
      <w:r>
        <w:rPr>
          <w:noProof/>
        </w:rPr>
        <w:t>luge i povezane kibersigurnosne potrebe toliko su različiti da je teško osmisliti opće kibersigurnosne zahtjeve koji se mogu svuda primjenjivati. Stoga je za potrebe certifikacije potrebno prihvatiti širok i općenit pojam kibersigurnosti dopunjen skupom ki</w:t>
      </w:r>
      <w:r>
        <w:rPr>
          <w:noProof/>
        </w:rPr>
        <w:t>bersigurnosnih ciljeva koje treba uzeti u obzir pri izradi europskih programa kibersigurnosne certifikacije. Načina postizanja tih ciljeva u određenim IKT proizvodima i uslugama trebalo bi potom podrobnije opisati na razini pojedinačnog programa certificir</w:t>
      </w:r>
      <w:r>
        <w:rPr>
          <w:noProof/>
        </w:rPr>
        <w:t xml:space="preserve">anja kojeg je donijela Komisija, na primjer upućivanjem na norme ili tehničke specifikacije. </w:t>
      </w:r>
    </w:p>
    <w:p w:rsidR="00A761A4" w:rsidRDefault="0064189B">
      <w:pPr>
        <w:pStyle w:val="ManualConsidrant"/>
        <w:rPr>
          <w:noProof/>
        </w:rPr>
      </w:pPr>
      <w:r>
        <w:t>(56)</w:t>
      </w:r>
      <w:r>
        <w:tab/>
      </w:r>
      <w:r>
        <w:rPr>
          <w:noProof/>
        </w:rPr>
        <w:t xml:space="preserve">Komisija bi trebala imati ovlasti zatražiti od ENISA-e da izradi prijedloge programa za određene IKT proizvode ili usluge. Komisija bi na temelju prijedloga </w:t>
      </w:r>
      <w:r>
        <w:rPr>
          <w:noProof/>
        </w:rPr>
        <w:t>programa koji je predložila ENISA trebala imati ovlasti donijeti europski program kibersigurnosne certifikacije s pomoću provedbenih akata. Uzimajući u obzir opću svrhu i sigurnosne ciljeve utvrđene u ovoj Uredbi, u europskim programima kibersigurnosne cer</w:t>
      </w:r>
      <w:r>
        <w:rPr>
          <w:noProof/>
        </w:rPr>
        <w:t>tifikacije koje donosi Komisija trebalo bi odrediti minimalni skup elemenata koji se odnose na predmet, područje primjene i funkcioniranje pojedinačnog programa. Oni bi trebali uključivati, među ostalim, područje primjene i cilj kibersigurnosne certifikaci</w:t>
      </w:r>
      <w:r>
        <w:rPr>
          <w:noProof/>
        </w:rPr>
        <w:t>je, uključujući kategorije obuhvaćenih IKT proizvoda i usluga, detaljnu specifikaciju kibersigurnosnih zahtjeva, na primjer upućivanjem na norme ili tehničke specifikacije, posebne kriterije i metode ocjenjivanja i predviđenu razinu jamstva: osnovna, znatn</w:t>
      </w:r>
      <w:r>
        <w:rPr>
          <w:noProof/>
        </w:rPr>
        <w:t xml:space="preserve">a i/ili visoka. </w:t>
      </w:r>
    </w:p>
    <w:p w:rsidR="00A761A4" w:rsidRDefault="0064189B">
      <w:pPr>
        <w:pStyle w:val="ManualConsidrant"/>
        <w:rPr>
          <w:noProof/>
        </w:rPr>
      </w:pPr>
      <w:r>
        <w:t>(57)</w:t>
      </w:r>
      <w:r>
        <w:tab/>
      </w:r>
      <w:r>
        <w:rPr>
          <w:noProof/>
        </w:rPr>
        <w:t>Primjena europske kibersigurnosne certifikacije trebala bi biti dobrovoljna, osim ako je u zakonodavstvu Unije ili nacionalnom zakonodavstvu predviđeno drugačije. Međutim, kako bi se ostvarili ciljevi ove Uredbe i izbjegla rascjepkano</w:t>
      </w:r>
      <w:r>
        <w:rPr>
          <w:noProof/>
        </w:rPr>
        <w:t>st unutarnjeg tržišta, nacionalni programi kibersigurnosne certifikacije ili postupci za IKT proizvode i usluge obuhvaćene europskim programom kibersigurnosne certifikacije trebali bi prestati proizvoditi učinke od datuma koji Komisija odredi provedbenim a</w:t>
      </w:r>
      <w:r>
        <w:rPr>
          <w:noProof/>
        </w:rPr>
        <w:t xml:space="preserve">ktom. Štoviše, države članice ne bi trebale uvoditi nove nacionalne programe kibersigurnosne certifikacije IKT proizvoda i usluga koji su već obuhvaćeni postojećim europskim programom kibersigurnosne certifikacije. </w:t>
      </w:r>
    </w:p>
    <w:p w:rsidR="00A761A4" w:rsidRDefault="0064189B">
      <w:pPr>
        <w:pStyle w:val="ManualConsidrant"/>
        <w:rPr>
          <w:noProof/>
        </w:rPr>
      </w:pPr>
      <w:r>
        <w:t>(58)</w:t>
      </w:r>
      <w:r>
        <w:tab/>
      </w:r>
      <w:r>
        <w:rPr>
          <w:noProof/>
        </w:rPr>
        <w:t xml:space="preserve">Nakon donošenja europskog programa </w:t>
      </w:r>
      <w:r>
        <w:rPr>
          <w:noProof/>
        </w:rPr>
        <w:t>kibersigurnosne certifikacije, proizvođači IKT proizvoda ili pružatelji IKT usluga moći će podnijeti zahtjev za certifikaciju svojih proizvoda i usluga tijelu za ocjenjivanje sukladnosti po svojem izboru. Tijela za ocjenjivanje sukladnosti trebalo bi akred</w:t>
      </w:r>
      <w:r>
        <w:rPr>
          <w:noProof/>
        </w:rPr>
        <w:t>itirati akreditacijsko tijelo ako ispunjavaju određene zahtjeve propisane ovom Uredbom. Akreditacija bi se trebala izdavati na najviše pet godina i može se obnoviti pod istim uvjetima ako tijelo za ocjenjivanje sukladnosti ispunjava zahtjeve. Akreditacijsk</w:t>
      </w:r>
      <w:r>
        <w:rPr>
          <w:noProof/>
        </w:rPr>
        <w:t>a tijela trebala bi ukinuti akreditaciju tijela za ocjenjivanje sukladnosti ako ono ne ispunjava uvjete za akreditaciju, ili ih je prestalo ispunjavati, ili ako se mjerama koje je poduzelo tijelo za ocjenjivanje sukladnosti krši ova Uredba.</w:t>
      </w:r>
    </w:p>
    <w:p w:rsidR="00A761A4" w:rsidRDefault="0064189B">
      <w:pPr>
        <w:pStyle w:val="ManualConsidrant"/>
        <w:rPr>
          <w:noProof/>
        </w:rPr>
      </w:pPr>
      <w:r>
        <w:t>(59)</w:t>
      </w:r>
      <w:r>
        <w:tab/>
      </w:r>
      <w:r>
        <w:rPr>
          <w:noProof/>
        </w:rPr>
        <w:t>Od svih dr</w:t>
      </w:r>
      <w:r>
        <w:rPr>
          <w:noProof/>
        </w:rPr>
        <w:t>žava članica treba tražiti da imenuju jedno tijelo za nadzor kibersigurnosne certifikacije koje će nadzirati usklađenost tijela za ocjenjivanje sukladnosti i certifikata koje su izdala tijela za ocjenjivanje sukladnosti s poslovnim nastanom na njihovom drž</w:t>
      </w:r>
      <w:r>
        <w:rPr>
          <w:noProof/>
        </w:rPr>
        <w:t>avnom području sa zahtjevima iz ove Uredbe i s relevantnim programima kibersigurnosne certifikacije. Nacionalna tijela za nadzor certifikacije trebala bi rješavati pritužbe fizičkih ili pravnih osoba u pogledu certifikata koje su izdala tijela za ocjenjiva</w:t>
      </w:r>
      <w:r>
        <w:rPr>
          <w:noProof/>
        </w:rPr>
        <w:t>nje sukladnosti s poslovnim nastanom na njihovu državnom području, u prikladnoj mjeri istražiti predmet pritužbe i u razumnom roku obavijestiti podnositelja pritužbe o napretku i rezultatu istrage. Nadalje, ona bi trebala surađivati s drugim nacionalnim ti</w:t>
      </w:r>
      <w:r>
        <w:rPr>
          <w:noProof/>
        </w:rPr>
        <w:t>jelima za nadzor certifikacije ili s drugim javnim tijelima, među ostalim razmjenom informacija o mogućoj neusklađenosti IKT proizvoda i usluga sa zahtjevima iz ove Uredbe ili s posebnim programima kibersigurnosne certifikacije.</w:t>
      </w:r>
    </w:p>
    <w:p w:rsidR="00A761A4" w:rsidRDefault="0064189B">
      <w:pPr>
        <w:pStyle w:val="ManualConsidrant"/>
        <w:rPr>
          <w:noProof/>
        </w:rPr>
      </w:pPr>
      <w:r>
        <w:t>(60)</w:t>
      </w:r>
      <w:r>
        <w:tab/>
      </w:r>
      <w:r>
        <w:rPr>
          <w:noProof/>
        </w:rPr>
        <w:t>Radi osiguranja doslje</w:t>
      </w:r>
      <w:r>
        <w:rPr>
          <w:noProof/>
        </w:rPr>
        <w:t xml:space="preserve">dne primjene europskog okvira kibersigurnosne certifikacije trebalo bi osnovati Europsku skupinu za kibersigurnosnu certifikaciju („skupina”) koja se sastoji od nacionalnih tijela za nadzor certifikacije. Glavne bi zadaće skupine trebale biti savjetovanje </w:t>
      </w:r>
      <w:r>
        <w:rPr>
          <w:noProof/>
        </w:rPr>
        <w:t>Komisije i pomoć Komisiji u radu kako bi se osigurala dosljedna provedba i primjena europskog okvira za kibersigurnosnu certifikaciju; pomoć Agenciji i suradnju s njome u izradi prijedloga programa kibersigurnosne certifikacije; preporuka Komisiji da od Ag</w:t>
      </w:r>
      <w:r>
        <w:rPr>
          <w:noProof/>
        </w:rPr>
        <w:t>encije zatraži izradu prijedloga europskog programa kibersigurnosne certifikacije i donošenje mišljenja upućenih Komisiji o održavanju i preispitivanju postojećih europskih programa kibersigurnosne certifikacije.</w:t>
      </w:r>
    </w:p>
    <w:p w:rsidR="00A761A4" w:rsidRDefault="0064189B">
      <w:pPr>
        <w:pStyle w:val="ManualConsidrant"/>
        <w:rPr>
          <w:noProof/>
        </w:rPr>
      </w:pPr>
      <w:r>
        <w:t>(61)</w:t>
      </w:r>
      <w:r>
        <w:tab/>
      </w:r>
      <w:r>
        <w:rPr>
          <w:noProof/>
        </w:rPr>
        <w:t>U cilju podizanja razine osviještenost</w:t>
      </w:r>
      <w:r>
        <w:rPr>
          <w:noProof/>
        </w:rPr>
        <w:t>i i radi lakšeg prihvaćanja budućih programa kibersigurnosti EU-a Europska komisija može izdati opće ili sektorske smjernice u području kibersigurnosti, na primjer o dobroj praksi u području kibersigurnosti ili odgovornom ponašanju povezanom s kibersigurno</w:t>
      </w:r>
      <w:r>
        <w:rPr>
          <w:noProof/>
        </w:rPr>
        <w:t>šću, ističući pozitivan učinak uporabe certificiranih IKT proizvoda i usluga.</w:t>
      </w:r>
    </w:p>
    <w:p w:rsidR="00A761A4" w:rsidRDefault="0064189B">
      <w:pPr>
        <w:pStyle w:val="ManualConsidrant"/>
        <w:rPr>
          <w:noProof/>
          <w:szCs w:val="24"/>
        </w:rPr>
      </w:pPr>
      <w:r>
        <w:t>(62)</w:t>
      </w:r>
      <w:r>
        <w:tab/>
      </w:r>
      <w:r>
        <w:rPr>
          <w:noProof/>
        </w:rPr>
        <w:t>Potpora Agencije kibersigurnosnoj certifikaciji trebala bi uključivati i povezivanje s Odborom Vijeća za sigurnost i odgovarajućim nacionalnim tijelom u pogledu kriptografsk</w:t>
      </w:r>
      <w:r>
        <w:rPr>
          <w:noProof/>
        </w:rPr>
        <w:t>og odobravanja proizvoda koji će se upotrebljavati u zaštićenim mrežama.</w:t>
      </w:r>
    </w:p>
    <w:p w:rsidR="00A761A4" w:rsidRDefault="0064189B">
      <w:pPr>
        <w:pStyle w:val="ManualConsidrant"/>
        <w:rPr>
          <w:noProof/>
        </w:rPr>
      </w:pPr>
      <w:r>
        <w:t>(63)</w:t>
      </w:r>
      <w:r>
        <w:tab/>
      </w:r>
      <w:r>
        <w:rPr>
          <w:noProof/>
        </w:rPr>
        <w:t>Kako bi se dodatno utvrdili kriteriji za akreditaciju tijela za ocjenjivanje sukladnosti, ovlast donošenja akata u skladu s člankom 290. Ugovora o funkcioniranju Europske unije t</w:t>
      </w:r>
      <w:r>
        <w:rPr>
          <w:noProof/>
        </w:rPr>
        <w:t>reba prenijeti na Komisiju. Komisija bi tijekom svojeg pripremnog rada trebala provoditi odgovarajuća savjetovanja, uključujući i savjetovanje sa stručnjacima. Savjetovanja bi trebalo provoditi u skladu s načelima propisanima u Međuinstitucijskom sporazumu</w:t>
      </w:r>
      <w:r>
        <w:rPr>
          <w:noProof/>
        </w:rPr>
        <w:t xml:space="preserve"> o boljoj izradi zakonodavstva od 13. travnja 2016. Kako bi se osiguralo ravnopravno sudjelovanje u izradi delegiranih akata, Europski parlament i Komisija trebali bi sve dokumente zaprimiti istodobno kada i stručnjaci država članica, a njihovi stručnjaci </w:t>
      </w:r>
      <w:r>
        <w:rPr>
          <w:noProof/>
        </w:rPr>
        <w:t>trebali bi sustavno imati pristup sastancima skupina stručnjaka Komisije koje se bave izradom delegiranih akata.</w:t>
      </w:r>
    </w:p>
    <w:p w:rsidR="00A761A4" w:rsidRDefault="0064189B">
      <w:pPr>
        <w:pStyle w:val="ManualConsidrant"/>
        <w:rPr>
          <w:noProof/>
        </w:rPr>
      </w:pPr>
      <w:r>
        <w:t>(64)</w:t>
      </w:r>
      <w:r>
        <w:tab/>
      </w:r>
      <w:r>
        <w:rPr>
          <w:noProof/>
        </w:rPr>
        <w:t>Kako bi se osigurali ujednačeni uvjeti za provedbu ove Uredbe, provedbene ovlasti trebalo bi dodijeliti Komisiji u slučajevima predviđenim</w:t>
      </w:r>
      <w:r>
        <w:rPr>
          <w:noProof/>
        </w:rPr>
        <w:t>a ovom Uredbom. Te bi ovlasti trebalo izvršavati u skladu s Uredbom (EU) br. 182/2011.</w:t>
      </w:r>
    </w:p>
    <w:p w:rsidR="00A761A4" w:rsidRDefault="0064189B">
      <w:pPr>
        <w:pStyle w:val="ManualConsidrant"/>
        <w:rPr>
          <w:noProof/>
        </w:rPr>
      </w:pPr>
      <w:r>
        <w:t>(65)</w:t>
      </w:r>
      <w:r>
        <w:tab/>
      </w:r>
      <w:r>
        <w:rPr>
          <w:noProof/>
        </w:rPr>
        <w:t>Postupak ispitivanja trebao bi se koristiti za donošenje provedbenih akata o europskim programima kibersigurnosne certifikacije za IKT proizvode i usluge; o načinim</w:t>
      </w:r>
      <w:r>
        <w:rPr>
          <w:noProof/>
        </w:rPr>
        <w:t xml:space="preserve">a provođenja istraga Agencije te o okolnostima, formatima i postupcima u skladu s kojima nacionalna tijela za nadzor certifikacije Komisiji dostavljaju obavijesti o akreditiranim tijelima za ocjenjivanje sukladnosti. </w:t>
      </w:r>
    </w:p>
    <w:p w:rsidR="00A761A4" w:rsidRDefault="0064189B">
      <w:pPr>
        <w:pStyle w:val="ManualConsidrant"/>
        <w:rPr>
          <w:noProof/>
        </w:rPr>
      </w:pPr>
      <w:r>
        <w:t>(66)</w:t>
      </w:r>
      <w:r>
        <w:tab/>
      </w:r>
      <w:r>
        <w:rPr>
          <w:noProof/>
        </w:rPr>
        <w:t>Rad Agencije trebao bi se ocjenji</w:t>
      </w:r>
      <w:r>
        <w:rPr>
          <w:noProof/>
        </w:rPr>
        <w:t>vati neovisno. Ocjenjivanjem bi trebalo uzeti u obzir ostvaruje li Agencija svoje ciljeve, njezin način rada i relevantnost njezinih zadaća. Ocjenjivanjem bi trebalo procijeniti i učinak, djelotvornost i učinkovitost europskog okvira za kibersigurnosno cer</w:t>
      </w:r>
      <w:r>
        <w:rPr>
          <w:noProof/>
        </w:rPr>
        <w:t xml:space="preserve">tificiranje. </w:t>
      </w:r>
    </w:p>
    <w:p w:rsidR="00A761A4" w:rsidRDefault="0064189B">
      <w:pPr>
        <w:pStyle w:val="ManualConsidrant"/>
        <w:rPr>
          <w:noProof/>
        </w:rPr>
      </w:pPr>
      <w:r>
        <w:t>(67)</w:t>
      </w:r>
      <w:r>
        <w:tab/>
      </w:r>
      <w:r>
        <w:rPr>
          <w:noProof/>
        </w:rPr>
        <w:t xml:space="preserve">Uredbu (EU) br. 526/2013 trebalo bi staviti izvan snage. </w:t>
      </w:r>
    </w:p>
    <w:p w:rsidR="00A761A4" w:rsidRDefault="0064189B">
      <w:pPr>
        <w:pStyle w:val="ManualConsidrant"/>
        <w:rPr>
          <w:noProof/>
        </w:rPr>
      </w:pPr>
      <w:r>
        <w:t>(68)</w:t>
      </w:r>
      <w:r>
        <w:tab/>
      </w:r>
      <w:r>
        <w:rPr>
          <w:noProof/>
        </w:rPr>
        <w:t>Budući da države članice ne mogu dostatno ostvariti ciljeve ove Uredbe, nego se oni na bolji način mogu ostvariti na razini Unije, Unija može donijeti mjere u skladu s načelo</w:t>
      </w:r>
      <w:r>
        <w:rPr>
          <w:noProof/>
        </w:rPr>
        <w:t>m supsidijarnosti utvrđenim u članku 5. Ugovora o Europskoj uniji. U skladu s načelom proporcionalnosti, kako je utvrđeno u navedenom članku, ovom Uredbom ne prelaze se okviri onoga što je potrebno za ostvarivanje tog cilja.</w:t>
      </w:r>
    </w:p>
    <w:p w:rsidR="00A761A4" w:rsidRDefault="00A761A4">
      <w:pPr>
        <w:rPr>
          <w:noProof/>
        </w:rPr>
      </w:pPr>
    </w:p>
    <w:p w:rsidR="00A761A4" w:rsidRDefault="0064189B">
      <w:pPr>
        <w:pStyle w:val="Formuledadoption"/>
        <w:rPr>
          <w:noProof/>
        </w:rPr>
      </w:pPr>
      <w:r>
        <w:rPr>
          <w:noProof/>
        </w:rPr>
        <w:t>DONIJELI SU OVU UREDBU:</w:t>
      </w:r>
    </w:p>
    <w:p w:rsidR="00A761A4" w:rsidRDefault="0064189B">
      <w:pPr>
        <w:pStyle w:val="PartTitle"/>
        <w:rPr>
          <w:noProof/>
        </w:rPr>
      </w:pPr>
      <w:bookmarkStart w:id="21" w:name="_Toc492216466"/>
      <w:r>
        <w:rPr>
          <w:noProof/>
        </w:rPr>
        <w:t>NASLOV</w:t>
      </w:r>
      <w:r>
        <w:rPr>
          <w:noProof/>
        </w:rPr>
        <w:t> I.</w:t>
      </w:r>
      <w:r>
        <w:rPr>
          <w:noProof/>
        </w:rPr>
        <w:br/>
        <w:t>OPĆE ODREDBE</w:t>
      </w:r>
      <w:bookmarkEnd w:id="21"/>
    </w:p>
    <w:p w:rsidR="00A761A4" w:rsidRDefault="0064189B">
      <w:pPr>
        <w:pStyle w:val="Titrearticle"/>
        <w:spacing w:before="0" w:after="0"/>
        <w:rPr>
          <w:rFonts w:eastAsia="Times New Roman"/>
          <w:b/>
          <w:noProof/>
        </w:rPr>
      </w:pPr>
      <w:r>
        <w:rPr>
          <w:noProof/>
        </w:rPr>
        <w:t>Članak 1.</w:t>
      </w:r>
      <w:r>
        <w:rPr>
          <w:noProof/>
        </w:rPr>
        <w:br/>
      </w:r>
      <w:r>
        <w:rPr>
          <w:b/>
          <w:noProof/>
        </w:rPr>
        <w:t xml:space="preserve">Predmet i područje primjene </w:t>
      </w:r>
    </w:p>
    <w:p w:rsidR="00A761A4" w:rsidRDefault="0064189B">
      <w:pPr>
        <w:rPr>
          <w:noProof/>
        </w:rPr>
      </w:pPr>
      <w:r>
        <w:rPr>
          <w:noProof/>
        </w:rPr>
        <w:t>U cilju osiguravanja pravilnog funkcioniranja unutarnjeg tržišta uz istodobno postizanje visoke razine kibersigurnosti, kiberotpornosti i povjerenja u Uniji, ovom Uredbom:</w:t>
      </w:r>
    </w:p>
    <w:p w:rsidR="00A761A4" w:rsidRDefault="0064189B">
      <w:pPr>
        <w:pStyle w:val="Point0letter"/>
        <w:numPr>
          <w:ilvl w:val="1"/>
          <w:numId w:val="81"/>
        </w:numPr>
        <w:rPr>
          <w:noProof/>
        </w:rPr>
      </w:pPr>
      <w:r>
        <w:rPr>
          <w:noProof/>
        </w:rPr>
        <w:t xml:space="preserve">utvrđuju se ciljevi, zadaće </w:t>
      </w:r>
      <w:r>
        <w:rPr>
          <w:noProof/>
        </w:rPr>
        <w:t>i ustrojstveni aspekti ENISA-e (agencije EU-a za kibersigurnost), dalje u tekstu „Agencija”; i</w:t>
      </w:r>
    </w:p>
    <w:p w:rsidR="00A761A4" w:rsidRDefault="0064189B">
      <w:pPr>
        <w:pStyle w:val="Point0letter"/>
        <w:numPr>
          <w:ilvl w:val="1"/>
          <w:numId w:val="81"/>
        </w:numPr>
        <w:rPr>
          <w:noProof/>
        </w:rPr>
      </w:pPr>
      <w:r>
        <w:rPr>
          <w:noProof/>
        </w:rPr>
        <w:t>utvrđuje se okvir za uspostavu europskih programa kibersigurnosne certifikacije za potrebe osiguranja prikladne razine kibersigurnosti IKT proizvoda i usluga u U</w:t>
      </w:r>
      <w:r>
        <w:rPr>
          <w:noProof/>
        </w:rPr>
        <w:t>niji. Taj okvir primjenjuje se ne dovodeći u pitanje posebne odredbe o dobrovoljnoj ili obveznoj certifikaciji u drugim aktima Unije.</w:t>
      </w:r>
    </w:p>
    <w:p w:rsidR="00A761A4" w:rsidRDefault="00A761A4">
      <w:pPr>
        <w:rPr>
          <w:i/>
          <w:noProof/>
          <w:szCs w:val="24"/>
        </w:rPr>
      </w:pPr>
    </w:p>
    <w:p w:rsidR="00A761A4" w:rsidRDefault="0064189B">
      <w:pPr>
        <w:pStyle w:val="Titrearticle"/>
        <w:spacing w:before="0" w:after="0"/>
        <w:rPr>
          <w:rFonts w:eastAsia="Times New Roman"/>
          <w:b/>
          <w:i w:val="0"/>
          <w:noProof/>
        </w:rPr>
      </w:pPr>
      <w:r>
        <w:rPr>
          <w:noProof/>
        </w:rPr>
        <w:t xml:space="preserve">Članak </w:t>
      </w:r>
      <w:r>
        <w:rPr>
          <w:i w:val="0"/>
          <w:noProof/>
        </w:rPr>
        <w:t>2.</w:t>
      </w:r>
      <w:r>
        <w:rPr>
          <w:noProof/>
        </w:rPr>
        <w:br/>
      </w:r>
      <w:r>
        <w:rPr>
          <w:b/>
          <w:noProof/>
        </w:rPr>
        <w:t>Definicije</w:t>
      </w:r>
    </w:p>
    <w:p w:rsidR="00A761A4" w:rsidRDefault="0064189B">
      <w:pPr>
        <w:rPr>
          <w:noProof/>
          <w:szCs w:val="24"/>
        </w:rPr>
      </w:pPr>
      <w:r>
        <w:rPr>
          <w:noProof/>
        </w:rPr>
        <w:t xml:space="preserve">Za potrebe ove Uredbe primjenjuju se sljedeće definicije: </w:t>
      </w:r>
    </w:p>
    <w:p w:rsidR="00A761A4" w:rsidRDefault="0064189B">
      <w:pPr>
        <w:pStyle w:val="Point0number"/>
        <w:numPr>
          <w:ilvl w:val="0"/>
          <w:numId w:val="20"/>
        </w:numPr>
        <w:rPr>
          <w:noProof/>
        </w:rPr>
      </w:pPr>
      <w:r>
        <w:rPr>
          <w:noProof/>
        </w:rPr>
        <w:t xml:space="preserve">„kibersigurnost” obuhvaća sve aktivnosti </w:t>
      </w:r>
      <w:r>
        <w:rPr>
          <w:noProof/>
        </w:rPr>
        <w:t>koje su nužne za zaštitu od kiberprijetnji mrežnih i informacijskih sustava, njihovih korisnika i osoba na koje utječu;</w:t>
      </w:r>
    </w:p>
    <w:p w:rsidR="00A761A4" w:rsidRDefault="0064189B">
      <w:pPr>
        <w:pStyle w:val="Point0number"/>
        <w:numPr>
          <w:ilvl w:val="0"/>
          <w:numId w:val="20"/>
        </w:numPr>
        <w:rPr>
          <w:noProof/>
        </w:rPr>
      </w:pPr>
      <w:r>
        <w:rPr>
          <w:noProof/>
        </w:rPr>
        <w:t xml:space="preserve">„mrežni i informacijski sustav” znači sustav u smislu članka 4. točke 1. Direktive (EU) 2016/1148; </w:t>
      </w:r>
    </w:p>
    <w:p w:rsidR="00A761A4" w:rsidRDefault="0064189B">
      <w:pPr>
        <w:pStyle w:val="Point0number"/>
        <w:numPr>
          <w:ilvl w:val="0"/>
          <w:numId w:val="20"/>
        </w:numPr>
        <w:rPr>
          <w:noProof/>
        </w:rPr>
      </w:pPr>
      <w:r>
        <w:rPr>
          <w:noProof/>
        </w:rPr>
        <w:t xml:space="preserve"> „nacionalna strategija za sigurnost mrežnih i informacijskih sustava” znači okvir u smislu članka 4. točke 3. Direktive (EU) 2016/1148; </w:t>
      </w:r>
    </w:p>
    <w:p w:rsidR="00A761A4" w:rsidRDefault="0064189B">
      <w:pPr>
        <w:pStyle w:val="Point0number"/>
        <w:numPr>
          <w:ilvl w:val="0"/>
          <w:numId w:val="20"/>
        </w:numPr>
        <w:rPr>
          <w:noProof/>
        </w:rPr>
      </w:pPr>
      <w:r>
        <w:rPr>
          <w:noProof/>
        </w:rPr>
        <w:t xml:space="preserve">„operator ključne usluge” znači javni ili privatni subjekt definiran u članku 4. točki 4. Direktive (EU) 2016/1148; </w:t>
      </w:r>
    </w:p>
    <w:p w:rsidR="00A761A4" w:rsidRDefault="0064189B">
      <w:pPr>
        <w:pStyle w:val="Point0number"/>
        <w:numPr>
          <w:ilvl w:val="0"/>
          <w:numId w:val="20"/>
        </w:numPr>
        <w:rPr>
          <w:noProof/>
        </w:rPr>
      </w:pPr>
      <w:r>
        <w:rPr>
          <w:noProof/>
        </w:rPr>
        <w:t>„</w:t>
      </w:r>
      <w:r>
        <w:rPr>
          <w:noProof/>
        </w:rPr>
        <w:t>pružatelj digitalnih usluga” znači svaka pravna osoba koja pruža digitalnu uslugu kako je definirano člankom 4. točkom 6. Direktive (EU) 2016/1148;</w:t>
      </w:r>
    </w:p>
    <w:p w:rsidR="00A761A4" w:rsidRDefault="0064189B">
      <w:pPr>
        <w:pStyle w:val="Point0number"/>
        <w:numPr>
          <w:ilvl w:val="0"/>
          <w:numId w:val="20"/>
        </w:numPr>
        <w:rPr>
          <w:noProof/>
        </w:rPr>
      </w:pPr>
      <w:r>
        <w:rPr>
          <w:noProof/>
        </w:rPr>
        <w:t>„incident” znači bilo koji događaj kako je definiran u članku 4. točki 7. Direktive (EU) 2016/1148;</w:t>
      </w:r>
    </w:p>
    <w:p w:rsidR="00A761A4" w:rsidRDefault="0064189B">
      <w:pPr>
        <w:pStyle w:val="Point0number"/>
        <w:numPr>
          <w:ilvl w:val="0"/>
          <w:numId w:val="20"/>
        </w:numPr>
        <w:rPr>
          <w:noProof/>
        </w:rPr>
      </w:pPr>
      <w:r>
        <w:rPr>
          <w:noProof/>
        </w:rPr>
        <w:t>„rješava</w:t>
      </w:r>
      <w:r>
        <w:rPr>
          <w:noProof/>
        </w:rPr>
        <w:t>nje incidenta” znači svi postupci kako su definirani u članku 4. točki 8. Direktive (EU) 2016/1148;</w:t>
      </w:r>
    </w:p>
    <w:p w:rsidR="00A761A4" w:rsidRDefault="0064189B">
      <w:pPr>
        <w:pStyle w:val="Point0number"/>
        <w:numPr>
          <w:ilvl w:val="0"/>
          <w:numId w:val="20"/>
        </w:numPr>
        <w:rPr>
          <w:noProof/>
        </w:rPr>
      </w:pPr>
      <w:r>
        <w:rPr>
          <w:noProof/>
        </w:rPr>
        <w:t>„kiberprijetnja” znači svaka moguća okolnost ili događaj koji bi mogli negativno utjecati na mrežne i informacijske sustave, njihove korisnike i uključene o</w:t>
      </w:r>
      <w:r>
        <w:rPr>
          <w:noProof/>
        </w:rPr>
        <w:t>sobe.</w:t>
      </w:r>
    </w:p>
    <w:p w:rsidR="00A761A4" w:rsidRDefault="0064189B">
      <w:pPr>
        <w:pStyle w:val="Point0number"/>
        <w:numPr>
          <w:ilvl w:val="0"/>
          <w:numId w:val="20"/>
        </w:numPr>
        <w:rPr>
          <w:noProof/>
        </w:rPr>
      </w:pPr>
      <w:r>
        <w:rPr>
          <w:noProof/>
        </w:rPr>
        <w:t>„europski program kibersigurnosne certifikacije” znači sveobuhvatni skup pravila, tehničkih zahtjeva, normi i postupaka definiranih na razini Unije koji se primjenjuju na certificiranje proizvoda i usluga informacijske i komunikacijske tehnologije (I</w:t>
      </w:r>
      <w:r>
        <w:rPr>
          <w:noProof/>
        </w:rPr>
        <w:t xml:space="preserve">KT) obuhvaćenih područjem primjene tog programa; </w:t>
      </w:r>
    </w:p>
    <w:p w:rsidR="00A761A4" w:rsidRDefault="0064189B">
      <w:pPr>
        <w:pStyle w:val="Point0number"/>
        <w:numPr>
          <w:ilvl w:val="0"/>
          <w:numId w:val="20"/>
        </w:numPr>
        <w:rPr>
          <w:noProof/>
        </w:rPr>
      </w:pPr>
      <w:r>
        <w:rPr>
          <w:noProof/>
        </w:rPr>
        <w:t xml:space="preserve">„europski kibersigurnosni certifikat” znači dokument koji izdaje tijelo za ocjenjivanje sukladnosti kojim se potvrđuje da IKT proizvod ili usluga ispunjavaju određene zahtjeve utvrđene u europskom programu </w:t>
      </w:r>
      <w:r>
        <w:rPr>
          <w:noProof/>
        </w:rPr>
        <w:t>kibersigurnosne certifikacije;</w:t>
      </w:r>
    </w:p>
    <w:p w:rsidR="00A761A4" w:rsidRDefault="0064189B">
      <w:pPr>
        <w:pStyle w:val="Point0number"/>
        <w:numPr>
          <w:ilvl w:val="0"/>
          <w:numId w:val="20"/>
        </w:numPr>
        <w:rPr>
          <w:noProof/>
        </w:rPr>
      </w:pPr>
      <w:r>
        <w:rPr>
          <w:noProof/>
        </w:rPr>
        <w:t xml:space="preserve"> „IKT proizvod ili usluga” znači bilo koji element ili skupina elemenata mrežnih i informacijskih sustava;</w:t>
      </w:r>
    </w:p>
    <w:p w:rsidR="00A761A4" w:rsidRDefault="0064189B">
      <w:pPr>
        <w:pStyle w:val="Point0number"/>
        <w:numPr>
          <w:ilvl w:val="0"/>
          <w:numId w:val="20"/>
        </w:numPr>
        <w:rPr>
          <w:noProof/>
        </w:rPr>
      </w:pPr>
      <w:r>
        <w:rPr>
          <w:noProof/>
        </w:rPr>
        <w:t>„akreditacija” znači akreditacija kako je definirana u članku 2. točki 10. Uredbe (EZ) br. 765/2008;</w:t>
      </w:r>
    </w:p>
    <w:p w:rsidR="00A761A4" w:rsidRDefault="0064189B">
      <w:pPr>
        <w:pStyle w:val="Point0number"/>
        <w:numPr>
          <w:ilvl w:val="0"/>
          <w:numId w:val="20"/>
        </w:numPr>
        <w:rPr>
          <w:noProof/>
        </w:rPr>
      </w:pPr>
      <w:r>
        <w:rPr>
          <w:noProof/>
        </w:rPr>
        <w:t>„nacionalno akred</w:t>
      </w:r>
      <w:r>
        <w:rPr>
          <w:noProof/>
        </w:rPr>
        <w:t>itacijsko tijelo” znači nacionalno akreditacijsko tijelo kako je definirano u članku 2. točki 11. Uredbe (EZ) br. 765/2008;</w:t>
      </w:r>
    </w:p>
    <w:p w:rsidR="00A761A4" w:rsidRDefault="0064189B">
      <w:pPr>
        <w:pStyle w:val="Point0number"/>
        <w:numPr>
          <w:ilvl w:val="0"/>
          <w:numId w:val="20"/>
        </w:numPr>
        <w:rPr>
          <w:noProof/>
        </w:rPr>
      </w:pPr>
      <w:r>
        <w:rPr>
          <w:noProof/>
        </w:rPr>
        <w:t>„ocjenjivanje sukladnosti” znači ocjenjivanje sukladnosti kako je definirano u članku 2. točki 12. Uredbe (EZ) br. 765/2008;</w:t>
      </w:r>
    </w:p>
    <w:p w:rsidR="00A761A4" w:rsidRDefault="0064189B">
      <w:pPr>
        <w:pStyle w:val="Point0number"/>
        <w:numPr>
          <w:ilvl w:val="0"/>
          <w:numId w:val="20"/>
        </w:numPr>
        <w:rPr>
          <w:noProof/>
        </w:rPr>
      </w:pPr>
      <w:r>
        <w:rPr>
          <w:noProof/>
        </w:rPr>
        <w:t>„tijelo</w:t>
      </w:r>
      <w:r>
        <w:rPr>
          <w:noProof/>
        </w:rPr>
        <w:t xml:space="preserve"> za ocjenjivanje sukladnosti” znači tijelo koje obavlja poslove ocjenjivanja sukladnosti kako je definirano u članku 2. točki 13. Uredbe (EZ) br. 765/2008;</w:t>
      </w:r>
    </w:p>
    <w:p w:rsidR="00A761A4" w:rsidRDefault="0064189B">
      <w:pPr>
        <w:pStyle w:val="Point0number"/>
        <w:numPr>
          <w:ilvl w:val="0"/>
          <w:numId w:val="20"/>
        </w:numPr>
        <w:rPr>
          <w:noProof/>
        </w:rPr>
      </w:pPr>
      <w:r>
        <w:rPr>
          <w:noProof/>
        </w:rPr>
        <w:t>„norma” znači norma kako je definirana u članku 2. točki 1. Uredbe (EU) br. 1025/2012.</w:t>
      </w:r>
    </w:p>
    <w:p w:rsidR="00A761A4" w:rsidRDefault="00A761A4">
      <w:pPr>
        <w:rPr>
          <w:noProof/>
        </w:rPr>
      </w:pPr>
    </w:p>
    <w:p w:rsidR="00A761A4" w:rsidRDefault="00A761A4">
      <w:pPr>
        <w:rPr>
          <w:noProof/>
        </w:rPr>
      </w:pPr>
    </w:p>
    <w:p w:rsidR="00A761A4" w:rsidRDefault="00A761A4">
      <w:pPr>
        <w:rPr>
          <w:noProof/>
        </w:rPr>
      </w:pPr>
    </w:p>
    <w:p w:rsidR="00A761A4" w:rsidRDefault="0064189B">
      <w:pPr>
        <w:pStyle w:val="PartTitle"/>
        <w:rPr>
          <w:noProof/>
        </w:rPr>
      </w:pPr>
      <w:bookmarkStart w:id="22" w:name="_Toc492216467"/>
      <w:r>
        <w:rPr>
          <w:rStyle w:val="TitleChar"/>
          <w:rFonts w:ascii="Times New Roman" w:hAnsi="Times New Roman"/>
          <w:noProof/>
          <w:color w:val="auto"/>
        </w:rPr>
        <w:t>GLAVA II.</w:t>
      </w:r>
      <w:r>
        <w:rPr>
          <w:rStyle w:val="TitleChar"/>
          <w:noProof/>
          <w:color w:val="auto"/>
        </w:rPr>
        <w:br/>
      </w:r>
      <w:r>
        <w:rPr>
          <w:noProof/>
        </w:rPr>
        <w:t>ENISA – „Agencija EU-a za kibersigurnost”</w:t>
      </w:r>
      <w:bookmarkEnd w:id="22"/>
    </w:p>
    <w:p w:rsidR="00A761A4" w:rsidRDefault="0064189B">
      <w:pPr>
        <w:pStyle w:val="ChapterTitle"/>
        <w:rPr>
          <w:noProof/>
        </w:rPr>
      </w:pPr>
      <w:bookmarkStart w:id="23" w:name="_Toc492216468"/>
      <w:r>
        <w:rPr>
          <w:noProof/>
        </w:rPr>
        <w:t>POGLAVLJE I.</w:t>
      </w:r>
      <w:r>
        <w:rPr>
          <w:noProof/>
        </w:rPr>
        <w:br/>
        <w:t>MANDAT, CILJEVI I ZADAĆE</w:t>
      </w:r>
      <w:bookmarkEnd w:id="23"/>
    </w:p>
    <w:p w:rsidR="00A761A4" w:rsidRDefault="0064189B">
      <w:pPr>
        <w:pStyle w:val="Titrearticle"/>
        <w:spacing w:before="0" w:after="0"/>
        <w:rPr>
          <w:rFonts w:eastAsia="Times New Roman"/>
          <w:b/>
          <w:i w:val="0"/>
          <w:noProof/>
        </w:rPr>
      </w:pPr>
      <w:r>
        <w:rPr>
          <w:noProof/>
        </w:rPr>
        <w:t>Članak 3.</w:t>
      </w:r>
      <w:r>
        <w:rPr>
          <w:noProof/>
        </w:rPr>
        <w:br/>
      </w:r>
      <w:r>
        <w:rPr>
          <w:b/>
          <w:noProof/>
        </w:rPr>
        <w:t>Mandat</w:t>
      </w:r>
    </w:p>
    <w:p w:rsidR="00A761A4" w:rsidRDefault="0064189B">
      <w:pPr>
        <w:pStyle w:val="ManualNumPar1"/>
        <w:rPr>
          <w:noProof/>
        </w:rPr>
      </w:pPr>
      <w:r>
        <w:t>1.</w:t>
      </w:r>
      <w:r>
        <w:tab/>
      </w:r>
      <w:r>
        <w:rPr>
          <w:noProof/>
        </w:rPr>
        <w:t>Agencija obavlja zadaće koje su joj dodijeljene ovom Uredbom kako bi pridonijela ostvarivanju visoke razine kibersigurnosti u Uniji.</w:t>
      </w:r>
      <w:r>
        <w:rPr>
          <w:rStyle w:val="CommentReference"/>
          <w:rFonts w:asciiTheme="minorHAnsi" w:hAnsiTheme="minorHAnsi" w:cstheme="minorBidi"/>
          <w:noProof/>
        </w:rPr>
        <w:t xml:space="preserve"> </w:t>
      </w:r>
    </w:p>
    <w:p w:rsidR="00A761A4" w:rsidRDefault="0064189B">
      <w:pPr>
        <w:pStyle w:val="ManualNumPar1"/>
        <w:rPr>
          <w:noProof/>
        </w:rPr>
      </w:pPr>
      <w:r>
        <w:t>2.</w:t>
      </w:r>
      <w:r>
        <w:tab/>
      </w:r>
      <w:r>
        <w:rPr>
          <w:noProof/>
        </w:rPr>
        <w:t xml:space="preserve">Agencija obavlja zadaće koje su joj dodijeljene aktima Unije kojima su utvrđene mjere za usklađivanje zakona i drugih propisa država članica koji se odnose na kibersigurnost. </w:t>
      </w:r>
    </w:p>
    <w:p w:rsidR="00A761A4" w:rsidRDefault="0064189B">
      <w:pPr>
        <w:pStyle w:val="ManualNumPar1"/>
        <w:rPr>
          <w:noProof/>
        </w:rPr>
      </w:pPr>
      <w:r>
        <w:t>3.</w:t>
      </w:r>
      <w:r>
        <w:tab/>
      </w:r>
      <w:r>
        <w:rPr>
          <w:noProof/>
        </w:rPr>
        <w:t>Ciljevima i zadaćama Agencije ne dovode se u pitanje nadležnosti država člani</w:t>
      </w:r>
      <w:r>
        <w:rPr>
          <w:noProof/>
        </w:rPr>
        <w:t>ca u pogledu kibersigurnosti ni aktivnosti koje se odnose na javnu sigurnost, obranu, nacionalnu sigurnost i aktivnosti države u područjima kaznenog prava.</w:t>
      </w:r>
    </w:p>
    <w:p w:rsidR="00A761A4" w:rsidRDefault="00A761A4">
      <w:pPr>
        <w:rPr>
          <w:noProof/>
        </w:rPr>
      </w:pPr>
    </w:p>
    <w:p w:rsidR="00A761A4" w:rsidRDefault="0064189B">
      <w:pPr>
        <w:pStyle w:val="Titrearticle"/>
        <w:spacing w:before="0" w:after="0"/>
        <w:rPr>
          <w:rFonts w:eastAsia="Times New Roman"/>
          <w:b/>
          <w:i w:val="0"/>
          <w:noProof/>
        </w:rPr>
      </w:pPr>
      <w:r>
        <w:rPr>
          <w:noProof/>
        </w:rPr>
        <w:t>Članak 4.</w:t>
      </w:r>
      <w:r>
        <w:rPr>
          <w:noProof/>
        </w:rPr>
        <w:br/>
      </w:r>
      <w:r>
        <w:rPr>
          <w:b/>
          <w:noProof/>
        </w:rPr>
        <w:t>Ciljevi</w:t>
      </w:r>
    </w:p>
    <w:p w:rsidR="00A761A4" w:rsidRDefault="0064189B">
      <w:pPr>
        <w:pStyle w:val="ManualNumPar1"/>
        <w:rPr>
          <w:noProof/>
        </w:rPr>
      </w:pPr>
      <w:r>
        <w:t>1.</w:t>
      </w:r>
      <w:r>
        <w:tab/>
      </w:r>
      <w:r>
        <w:rPr>
          <w:noProof/>
        </w:rPr>
        <w:t>Agencija djeluje kao stručni centar za kibersigurnost</w:t>
      </w:r>
      <w:r>
        <w:rPr>
          <w:rStyle w:val="CommentReference"/>
          <w:rFonts w:asciiTheme="minorHAnsi" w:hAnsiTheme="minorHAnsi"/>
          <w:noProof/>
        </w:rPr>
        <w:t xml:space="preserve"> </w:t>
      </w:r>
      <w:r>
        <w:rPr>
          <w:noProof/>
        </w:rPr>
        <w:t xml:space="preserve"> zahvaljujući svojoj neo</w:t>
      </w:r>
      <w:r>
        <w:rPr>
          <w:noProof/>
        </w:rPr>
        <w:t xml:space="preserve">visnosti, znanstvenoj i tehničkoj kvaliteti savjeta i pomoći koje pruža i informacija koje stavlja na raspolaganje, transparentnosti svojih operativnih postupaka i načina rada te revnosti u obavljanju zadaća. </w:t>
      </w:r>
    </w:p>
    <w:p w:rsidR="00A761A4" w:rsidRDefault="0064189B">
      <w:pPr>
        <w:pStyle w:val="ManualNumPar1"/>
        <w:rPr>
          <w:noProof/>
        </w:rPr>
      </w:pPr>
      <w:r>
        <w:t>2.</w:t>
      </w:r>
      <w:r>
        <w:tab/>
      </w:r>
      <w:r>
        <w:rPr>
          <w:noProof/>
        </w:rPr>
        <w:t>Agencija pomaže institucijama, agencijama i</w:t>
      </w:r>
      <w:r>
        <w:rPr>
          <w:noProof/>
        </w:rPr>
        <w:t xml:space="preserve"> tijelima Unije te državama članicama u razvoju i provedbi politika povezanih s kibersigurnošću.</w:t>
      </w:r>
    </w:p>
    <w:p w:rsidR="00A761A4" w:rsidRDefault="0064189B">
      <w:pPr>
        <w:pStyle w:val="ManualNumPar1"/>
        <w:rPr>
          <w:noProof/>
        </w:rPr>
      </w:pPr>
      <w:r>
        <w:t>3.</w:t>
      </w:r>
      <w:r>
        <w:tab/>
      </w:r>
      <w:r>
        <w:rPr>
          <w:noProof/>
        </w:rPr>
        <w:t xml:space="preserve">Agencija podupire jačanje kapaciteta i pripravnosti u cijeloj Uniji na način da Uniji, državama članicama i javnim i privatnim dionicima pomaže da povećaju </w:t>
      </w:r>
      <w:r>
        <w:rPr>
          <w:noProof/>
        </w:rPr>
        <w:t xml:space="preserve">zaštitu svojih mrežnih i informacijskih sustava, razviju vještine i sposobnosti u području kibersigurnosti i postanu kiberotporne. </w:t>
      </w:r>
    </w:p>
    <w:p w:rsidR="00A761A4" w:rsidRDefault="0064189B">
      <w:pPr>
        <w:pStyle w:val="ManualNumPar1"/>
        <w:rPr>
          <w:noProof/>
        </w:rPr>
      </w:pPr>
      <w:r>
        <w:t>4.</w:t>
      </w:r>
      <w:r>
        <w:tab/>
      </w:r>
      <w:r>
        <w:rPr>
          <w:noProof/>
        </w:rPr>
        <w:t>Agencija promiče suradnju i koordinaciju na razini Unije među državama članicama, institucijama, agencijama i tijelima Un</w:t>
      </w:r>
      <w:r>
        <w:rPr>
          <w:noProof/>
        </w:rPr>
        <w:t xml:space="preserve">ije i relevantnim dionicima, uključujući privatni sektor, u pitanjima povezanima s kibersigurnošću. </w:t>
      </w:r>
    </w:p>
    <w:p w:rsidR="00A761A4" w:rsidRDefault="0064189B">
      <w:pPr>
        <w:pStyle w:val="ManualNumPar1"/>
        <w:rPr>
          <w:noProof/>
        </w:rPr>
      </w:pPr>
      <w:r>
        <w:t>5.</w:t>
      </w:r>
      <w:r>
        <w:tab/>
      </w:r>
      <w:r>
        <w:rPr>
          <w:noProof/>
        </w:rPr>
        <w:t>Agencija povećava kibersigurnosne sposobnosti na razini Unije kako bi dopunila djelovanja država članica usmjerena na sprječavanje kiberprijetnji i odgo</w:t>
      </w:r>
      <w:r>
        <w:rPr>
          <w:noProof/>
        </w:rPr>
        <w:t>varanje na kiberprijetnje, posebno u slučaju prekograničnih incidenata.</w:t>
      </w:r>
    </w:p>
    <w:p w:rsidR="00A761A4" w:rsidRDefault="0064189B">
      <w:pPr>
        <w:pStyle w:val="ManualNumPar1"/>
        <w:rPr>
          <w:noProof/>
        </w:rPr>
      </w:pPr>
      <w:r>
        <w:t>6.</w:t>
      </w:r>
      <w:r>
        <w:tab/>
      </w:r>
      <w:r>
        <w:rPr>
          <w:noProof/>
        </w:rPr>
        <w:t>Agencija promiče uporabu certifikacije, među ostalim i pridonošenjem uspostavi i održavanju okvira za kibersigurnosnu certifikaciju na razini Unije u skladu s glavom III. ove Uredbe</w:t>
      </w:r>
      <w:r>
        <w:rPr>
          <w:noProof/>
        </w:rPr>
        <w:t xml:space="preserve"> u cilju povećanja transparentnosti kibersigurnosnog jamstva IKT proizvoda i usluga i jačanja povjerenja u jedinstveno digitalno tržište. </w:t>
      </w:r>
    </w:p>
    <w:p w:rsidR="00A761A4" w:rsidRDefault="0064189B">
      <w:pPr>
        <w:pStyle w:val="ManualNumPar1"/>
        <w:rPr>
          <w:noProof/>
        </w:rPr>
      </w:pPr>
      <w:r>
        <w:t>7.</w:t>
      </w:r>
      <w:r>
        <w:tab/>
      </w:r>
      <w:r>
        <w:rPr>
          <w:noProof/>
        </w:rPr>
        <w:t xml:space="preserve">Agencija promiče visoku razinu osviještenosti građana i poduzeća o pitanjima povezanima s kibersigurnošću. </w:t>
      </w:r>
    </w:p>
    <w:p w:rsidR="00A761A4" w:rsidRDefault="00A761A4">
      <w:pPr>
        <w:jc w:val="center"/>
        <w:rPr>
          <w:rFonts w:eastAsia="Times New Roman"/>
          <w:i/>
          <w:iCs/>
          <w:noProof/>
          <w:szCs w:val="24"/>
        </w:rPr>
      </w:pPr>
    </w:p>
    <w:p w:rsidR="00A761A4" w:rsidRDefault="0064189B">
      <w:pPr>
        <w:pStyle w:val="Titrearticle"/>
        <w:rPr>
          <w:rFonts w:eastAsia="Times New Roman"/>
          <w:b/>
          <w:noProof/>
        </w:rPr>
      </w:pPr>
      <w:r>
        <w:rPr>
          <w:noProof/>
        </w:rPr>
        <w:t>Članak</w:t>
      </w:r>
      <w:bookmarkStart w:id="24" w:name="bookmark10"/>
      <w:r>
        <w:rPr>
          <w:noProof/>
        </w:rPr>
        <w:t xml:space="preserve"> 5. </w:t>
      </w:r>
      <w:r>
        <w:rPr>
          <w:noProof/>
        </w:rPr>
        <w:br/>
      </w:r>
      <w:r>
        <w:rPr>
          <w:b/>
          <w:noProof/>
        </w:rPr>
        <w:t xml:space="preserve">Zadaće koje se odnose na </w:t>
      </w:r>
      <w:bookmarkEnd w:id="24"/>
      <w:r>
        <w:rPr>
          <w:b/>
          <w:noProof/>
        </w:rPr>
        <w:t>razvoj i provedbu politika i prava Unije</w:t>
      </w:r>
    </w:p>
    <w:p w:rsidR="00A761A4" w:rsidRDefault="0064189B">
      <w:pPr>
        <w:pStyle w:val="Titrearticle"/>
        <w:jc w:val="both"/>
        <w:rPr>
          <w:i w:val="0"/>
          <w:noProof/>
        </w:rPr>
      </w:pPr>
      <w:r>
        <w:rPr>
          <w:i w:val="0"/>
          <w:noProof/>
        </w:rPr>
        <w:t>Agencija pridonosi razvoju i provedbi politika i prava Unije na sljedeći način:</w:t>
      </w:r>
    </w:p>
    <w:p w:rsidR="00A761A4" w:rsidRDefault="0064189B">
      <w:pPr>
        <w:pStyle w:val="ManualNumPar1"/>
        <w:rPr>
          <w:noProof/>
        </w:rPr>
      </w:pPr>
      <w:r>
        <w:t>1.</w:t>
      </w:r>
      <w:r>
        <w:tab/>
      </w:r>
      <w:r>
        <w:rPr>
          <w:noProof/>
        </w:rPr>
        <w:t>pružanjem pomoći i savjeta, osobito svojeg neovisnog mišljenja, i obavljanjem pripremih radnji z</w:t>
      </w:r>
      <w:r>
        <w:rPr>
          <w:noProof/>
        </w:rPr>
        <w:t xml:space="preserve">a razvoj i preispitivanje politike i prava Unije u području kibersigurnosti te sektorskih inicijativa politike i sektorskih zakonodavnih inicijativa koje uključuju pitanja povezana s kibersigurnošću; </w:t>
      </w:r>
    </w:p>
    <w:p w:rsidR="00A761A4" w:rsidRDefault="0064189B">
      <w:pPr>
        <w:pStyle w:val="ManualNumPar1"/>
        <w:rPr>
          <w:noProof/>
        </w:rPr>
      </w:pPr>
      <w:r>
        <w:t>2.</w:t>
      </w:r>
      <w:r>
        <w:tab/>
      </w:r>
      <w:r>
        <w:rPr>
          <w:noProof/>
        </w:rPr>
        <w:t>pružanjem pomoći državama članicama u dosljednoj pro</w:t>
      </w:r>
      <w:r>
        <w:rPr>
          <w:noProof/>
        </w:rPr>
        <w:t>vedbi politike i prava Unije u području kibersigurnosti, posebno u vezi s Direktivom (EU) 2016/1148, među ostalim i s pomoću mišljenja, smjernica, savjeta i najbolje prakse o temama kao što su upravljanje rizikom, izvješćivanje o incidentima i razmjena inf</w:t>
      </w:r>
      <w:r>
        <w:rPr>
          <w:noProof/>
        </w:rPr>
        <w:t xml:space="preserve">ormacija, te olakšavanjem razmjene najbolje prakse među nadležnim tijelima u tom pogledu; </w:t>
      </w:r>
    </w:p>
    <w:p w:rsidR="00A761A4" w:rsidRDefault="0064189B">
      <w:pPr>
        <w:pStyle w:val="ManualNumPar1"/>
        <w:rPr>
          <w:noProof/>
        </w:rPr>
      </w:pPr>
      <w:r>
        <w:t>3.</w:t>
      </w:r>
      <w:r>
        <w:tab/>
      </w:r>
      <w:r>
        <w:rPr>
          <w:noProof/>
        </w:rPr>
        <w:t>pridonošenjem radu Skupine za suradnju u skladu s člankom 11. Direktive (EU) 2016/1148 pružanjem stručnih savjeta i pomoći;</w:t>
      </w:r>
    </w:p>
    <w:p w:rsidR="00A761A4" w:rsidRDefault="0064189B">
      <w:pPr>
        <w:pStyle w:val="ManualNumPar1"/>
        <w:rPr>
          <w:noProof/>
        </w:rPr>
      </w:pPr>
      <w:r>
        <w:t>4.</w:t>
      </w:r>
      <w:r>
        <w:tab/>
      </w:r>
      <w:r>
        <w:rPr>
          <w:noProof/>
        </w:rPr>
        <w:t>podupiranjem:</w:t>
      </w:r>
    </w:p>
    <w:p w:rsidR="00A761A4" w:rsidRDefault="0064189B">
      <w:pPr>
        <w:pStyle w:val="Point2number"/>
        <w:numPr>
          <w:ilvl w:val="4"/>
          <w:numId w:val="85"/>
        </w:numPr>
        <w:rPr>
          <w:noProof/>
        </w:rPr>
      </w:pPr>
      <w:r>
        <w:rPr>
          <w:noProof/>
        </w:rPr>
        <w:t>razvoja i provedbe po</w:t>
      </w:r>
      <w:r>
        <w:rPr>
          <w:noProof/>
        </w:rPr>
        <w:t xml:space="preserve">litike Unije u području elektroničke identifikacije i usluga povjerenja, posebno pružanjem savjeta i tehničkih smjernica te olakšavanjem razmjene najbolje prakse među nadležnim tijelima; </w:t>
      </w:r>
    </w:p>
    <w:p w:rsidR="00A761A4" w:rsidRDefault="0064189B">
      <w:pPr>
        <w:pStyle w:val="Point2number"/>
        <w:numPr>
          <w:ilvl w:val="4"/>
          <w:numId w:val="85"/>
        </w:numPr>
        <w:rPr>
          <w:noProof/>
        </w:rPr>
      </w:pPr>
      <w:r>
        <w:rPr>
          <w:noProof/>
        </w:rPr>
        <w:t>promicanja pojačane razine sigurnosti elektroničkih komunikacija, me</w:t>
      </w:r>
      <w:r>
        <w:rPr>
          <w:noProof/>
        </w:rPr>
        <w:t>đu ostalim pružanjem stručnog znanja i savjeta te olakšavanjem razmjene najbolje prakse među nadležnim tijelima;</w:t>
      </w:r>
    </w:p>
    <w:p w:rsidR="00A761A4" w:rsidRDefault="0064189B">
      <w:pPr>
        <w:pStyle w:val="ManualNumPar1"/>
        <w:rPr>
          <w:noProof/>
        </w:rPr>
      </w:pPr>
      <w:r>
        <w:t>5.</w:t>
      </w:r>
      <w:r>
        <w:tab/>
      </w:r>
      <w:r>
        <w:rPr>
          <w:noProof/>
        </w:rPr>
        <w:t>podupiranjem redovitog preispitivanja aktivnosti u okviru politika Unije izradom godišnjeg izvješća o stanju provedbe pravnog okvira u pogle</w:t>
      </w:r>
      <w:r>
        <w:rPr>
          <w:noProof/>
        </w:rPr>
        <w:t>du sljedećeg:</w:t>
      </w:r>
    </w:p>
    <w:p w:rsidR="00A761A4" w:rsidRDefault="0064189B">
      <w:pPr>
        <w:pStyle w:val="Point1letter"/>
        <w:numPr>
          <w:ilvl w:val="3"/>
          <w:numId w:val="89"/>
        </w:numPr>
        <w:rPr>
          <w:noProof/>
        </w:rPr>
      </w:pPr>
      <w:r>
        <w:rPr>
          <w:noProof/>
        </w:rPr>
        <w:t>obavijesti država članica o incidentima koje jedinstvene kontaktne točke dostavljaju Skupini za suradnju u skladu s člankom 10. stavkom 3. Direktive (EU) 2016/1148;</w:t>
      </w:r>
    </w:p>
    <w:p w:rsidR="00A761A4" w:rsidRDefault="0064189B">
      <w:pPr>
        <w:pStyle w:val="Point1letter"/>
        <w:rPr>
          <w:noProof/>
        </w:rPr>
      </w:pPr>
      <w:r>
        <w:rPr>
          <w:noProof/>
        </w:rPr>
        <w:t xml:space="preserve">obavijesti o povredi sigurnosti i gubitku cjelovitosti u pogledu pružatelja </w:t>
      </w:r>
      <w:r>
        <w:rPr>
          <w:noProof/>
        </w:rPr>
        <w:t>usluga povjerenja koje nadzorna tijela dostavljaju Agenciji u skladu s člankom 19. stavkom 3. Uredbe (EU) 910/2014;</w:t>
      </w:r>
    </w:p>
    <w:p w:rsidR="00A761A4" w:rsidRDefault="0064189B">
      <w:pPr>
        <w:pStyle w:val="Point1letter"/>
        <w:rPr>
          <w:noProof/>
        </w:rPr>
      </w:pPr>
      <w:r>
        <w:rPr>
          <w:noProof/>
        </w:rPr>
        <w:t>obavijesti o povredama sigurnosti koje dostavljaju poduzeća koja pružaju usluge javnih komunikacijskih mreža ili javno dostupne elektroničke</w:t>
      </w:r>
      <w:r>
        <w:rPr>
          <w:noProof/>
        </w:rPr>
        <w:t xml:space="preserve"> komunikacijske usluge, a koje nadležna tijela dostavljaju Agenciji, u skladu s člankom 40. [Direktive o Europskom zakoniku elektroničkih komunikacija].</w:t>
      </w:r>
    </w:p>
    <w:p w:rsidR="00A761A4" w:rsidRDefault="00A761A4">
      <w:pPr>
        <w:rPr>
          <w:noProof/>
        </w:rPr>
      </w:pPr>
    </w:p>
    <w:p w:rsidR="00A761A4" w:rsidRDefault="00A761A4">
      <w:pPr>
        <w:rPr>
          <w:noProof/>
          <w:szCs w:val="24"/>
        </w:rPr>
      </w:pPr>
    </w:p>
    <w:p w:rsidR="00A761A4" w:rsidRDefault="0064189B">
      <w:pPr>
        <w:pStyle w:val="Titrearticle"/>
        <w:rPr>
          <w:rFonts w:eastAsia="Times New Roman"/>
          <w:b/>
          <w:noProof/>
        </w:rPr>
      </w:pPr>
      <w:r>
        <w:rPr>
          <w:noProof/>
        </w:rPr>
        <w:t xml:space="preserve">Članak </w:t>
      </w:r>
      <w:bookmarkStart w:id="25" w:name="bookmark11"/>
      <w:r>
        <w:rPr>
          <w:noProof/>
        </w:rPr>
        <w:t xml:space="preserve">6. </w:t>
      </w:r>
      <w:r>
        <w:rPr>
          <w:noProof/>
        </w:rPr>
        <w:br/>
      </w:r>
      <w:r>
        <w:rPr>
          <w:b/>
          <w:i w:val="0"/>
          <w:noProof/>
        </w:rPr>
        <w:t xml:space="preserve">Zadaće povezane s </w:t>
      </w:r>
      <w:bookmarkEnd w:id="25"/>
      <w:r>
        <w:rPr>
          <w:b/>
          <w:i w:val="0"/>
          <w:noProof/>
        </w:rPr>
        <w:t>jačanjem kapaciteta</w:t>
      </w:r>
    </w:p>
    <w:p w:rsidR="00A761A4" w:rsidRDefault="0064189B">
      <w:pPr>
        <w:pStyle w:val="ManualNumPar1"/>
        <w:rPr>
          <w:noProof/>
        </w:rPr>
      </w:pPr>
      <w:r>
        <w:t>1.</w:t>
      </w:r>
      <w:r>
        <w:tab/>
      </w:r>
      <w:r>
        <w:rPr>
          <w:noProof/>
        </w:rPr>
        <w:t>Agencija pomaže:</w:t>
      </w:r>
    </w:p>
    <w:p w:rsidR="00A761A4" w:rsidRDefault="0064189B">
      <w:pPr>
        <w:pStyle w:val="Point0letter"/>
        <w:numPr>
          <w:ilvl w:val="1"/>
          <w:numId w:val="22"/>
        </w:numPr>
        <w:rPr>
          <w:noProof/>
        </w:rPr>
      </w:pPr>
      <w:r>
        <w:rPr>
          <w:noProof/>
        </w:rPr>
        <w:t>državama članicama u nastojanjim</w:t>
      </w:r>
      <w:r>
        <w:rPr>
          <w:noProof/>
        </w:rPr>
        <w:t xml:space="preserve">a da poboljšaju sprječavanje, otkrivanje i analizu kibersigurnosnih problema i kiberincidenata te kapacitet za odgovor na njih osiguravanjem potrebnih znanja i stručnjaka; </w:t>
      </w:r>
    </w:p>
    <w:p w:rsidR="00A761A4" w:rsidRDefault="0064189B">
      <w:pPr>
        <w:pStyle w:val="Point0letter"/>
        <w:numPr>
          <w:ilvl w:val="1"/>
          <w:numId w:val="22"/>
        </w:numPr>
        <w:rPr>
          <w:noProof/>
        </w:rPr>
      </w:pPr>
      <w:r>
        <w:rPr>
          <w:noProof/>
        </w:rPr>
        <w:t>institucijama, tijelima, uredima i agencijama Unije u njihovim nastojanjima da pobo</w:t>
      </w:r>
      <w:r>
        <w:rPr>
          <w:noProof/>
        </w:rPr>
        <w:t>ljšaju sprječavanje, otkrivanje i analizu kibersigurnosnih problema i kiberincidenata te kapacitet za odgovor na njih pružanjem odgovarajuće potpore CERT-u za institucije, agencije i tijela Unije (CERT-EU);</w:t>
      </w:r>
    </w:p>
    <w:p w:rsidR="00A761A4" w:rsidRDefault="0064189B">
      <w:pPr>
        <w:pStyle w:val="Point0letter"/>
        <w:numPr>
          <w:ilvl w:val="1"/>
          <w:numId w:val="22"/>
        </w:numPr>
        <w:rPr>
          <w:noProof/>
        </w:rPr>
      </w:pPr>
      <w:r>
        <w:rPr>
          <w:noProof/>
        </w:rPr>
        <w:t xml:space="preserve">državama članicama, na njihov zahtjev, u razvoju </w:t>
      </w:r>
      <w:r>
        <w:rPr>
          <w:noProof/>
        </w:rPr>
        <w:t>nacionalnih timova za odgovor na računalne sigurnosne incidente (CSIRT-ova) u skladu s člankom 9. stavkom 5. Direktive (EU) 2016/1148;</w:t>
      </w:r>
    </w:p>
    <w:p w:rsidR="00A761A4" w:rsidRDefault="0064189B">
      <w:pPr>
        <w:pStyle w:val="Point0letter"/>
        <w:numPr>
          <w:ilvl w:val="1"/>
          <w:numId w:val="22"/>
        </w:numPr>
        <w:rPr>
          <w:noProof/>
        </w:rPr>
      </w:pPr>
      <w:r>
        <w:rPr>
          <w:noProof/>
        </w:rPr>
        <w:t>državama članicama, na njihov zahtjev, u razvoju nacionalnih strategija za sigurnost mrežnih i informacijskih sustava u s</w:t>
      </w:r>
      <w:r>
        <w:rPr>
          <w:noProof/>
        </w:rPr>
        <w:t>kladu s člankom 7. stavkom 2. Direktive (EU) 2016/1148; Agencija promiče i širenje tih strategija i prati njihovu provedbu u cijeloj Uniji u cilju promicanja najbolje prakse;</w:t>
      </w:r>
    </w:p>
    <w:p w:rsidR="00A761A4" w:rsidRDefault="0064189B">
      <w:pPr>
        <w:pStyle w:val="Point0letter"/>
        <w:numPr>
          <w:ilvl w:val="1"/>
          <w:numId w:val="22"/>
        </w:numPr>
        <w:rPr>
          <w:noProof/>
        </w:rPr>
      </w:pPr>
      <w:r>
        <w:rPr>
          <w:noProof/>
        </w:rPr>
        <w:t>institucijama Unije u razvoju i preispitivanju strategija Unije u pogledu kibersi</w:t>
      </w:r>
      <w:r>
        <w:rPr>
          <w:noProof/>
        </w:rPr>
        <w:t xml:space="preserve">gurnosti promicanjem njihova širenja i praćenjem napretka u njihovoj provedbi; </w:t>
      </w:r>
    </w:p>
    <w:p w:rsidR="00A761A4" w:rsidRDefault="0064189B">
      <w:pPr>
        <w:pStyle w:val="Point0letter"/>
        <w:numPr>
          <w:ilvl w:val="1"/>
          <w:numId w:val="22"/>
        </w:numPr>
        <w:rPr>
          <w:noProof/>
        </w:rPr>
      </w:pPr>
      <w:r>
        <w:rPr>
          <w:noProof/>
        </w:rPr>
        <w:t>nacionalnim CSIRT-ovima i CSIRT-ovima Unije u podizanju svoje razine sposobnosti, među ostalim poticanjem dijaloga i razmjene informacija s ciljem osiguravanja da, s obzirom na</w:t>
      </w:r>
      <w:r>
        <w:rPr>
          <w:noProof/>
        </w:rPr>
        <w:t xml:space="preserve"> najnovija tehnička dostignuća, svaki CSIRT zadovoljava zajednički skup minimalnih sposobnosti i djeluje u skladu s najboljim praksama;</w:t>
      </w:r>
    </w:p>
    <w:p w:rsidR="00A761A4" w:rsidRDefault="0064189B">
      <w:pPr>
        <w:pStyle w:val="Point0letter"/>
        <w:numPr>
          <w:ilvl w:val="1"/>
          <w:numId w:val="22"/>
        </w:numPr>
        <w:rPr>
          <w:noProof/>
        </w:rPr>
      </w:pPr>
      <w:r>
        <w:rPr>
          <w:noProof/>
        </w:rPr>
        <w:t xml:space="preserve">državama članicama organiziranjem godišnjih opsežnih kibersigurnosnih vježbi velikih razmjera na razini Unije iz članka </w:t>
      </w:r>
      <w:r>
        <w:rPr>
          <w:noProof/>
        </w:rPr>
        <w:t xml:space="preserve">7. stavka 6. i pružanjem preporuka politike na temelju postupka ocjenjivanja vježbi i stečenog iskustva tijekom tih vježbi; </w:t>
      </w:r>
    </w:p>
    <w:p w:rsidR="00A761A4" w:rsidRDefault="0064189B">
      <w:pPr>
        <w:pStyle w:val="Point0letter"/>
        <w:numPr>
          <w:ilvl w:val="1"/>
          <w:numId w:val="22"/>
        </w:numPr>
        <w:rPr>
          <w:noProof/>
        </w:rPr>
      </w:pPr>
      <w:r>
        <w:rPr>
          <w:noProof/>
        </w:rPr>
        <w:t>relevantnim javnim tijelima pružanjem mogućnosti osposobljavanja u području kibersigurnosti, prema potrebi u suradnji s dionicima;</w:t>
      </w:r>
    </w:p>
    <w:p w:rsidR="00A761A4" w:rsidRDefault="0064189B">
      <w:pPr>
        <w:pStyle w:val="Point0letter"/>
        <w:numPr>
          <w:ilvl w:val="1"/>
          <w:numId w:val="22"/>
        </w:numPr>
        <w:rPr>
          <w:noProof/>
        </w:rPr>
      </w:pPr>
      <w:r>
        <w:rPr>
          <w:noProof/>
        </w:rPr>
        <w:t>Skupini za suradnju razmjenom najbolje prakse među državama članicama, posebno u pogledu identifikacije operatora ključnih usluga, među ostalim u vezi s prekograničnim ovisnostima u pogledu rizika i incidenata, u skladu s člankom 11. stavkom 3. točkom 1. D</w:t>
      </w:r>
      <w:r>
        <w:rPr>
          <w:noProof/>
        </w:rPr>
        <w:t>irektive (EU) 2016/1148.</w:t>
      </w:r>
    </w:p>
    <w:p w:rsidR="00A761A4" w:rsidRDefault="0064189B">
      <w:pPr>
        <w:pStyle w:val="ManualNumPar1"/>
        <w:rPr>
          <w:noProof/>
        </w:rPr>
      </w:pPr>
      <w:r>
        <w:t>2.</w:t>
      </w:r>
      <w:r>
        <w:tab/>
      </w:r>
      <w:r>
        <w:rPr>
          <w:noProof/>
        </w:rPr>
        <w:t xml:space="preserve">Agencija olakšava uspostavu centara za razmjenu i analizu informacija (ISAC) i stalno ih podupire, posebno u sektorima navedenima u Prilogu II. Direktivi (EU) 2016/1148 pružanjem najbolje prakse i smjernica o dostupnim alatima, </w:t>
      </w:r>
      <w:r>
        <w:rPr>
          <w:noProof/>
        </w:rPr>
        <w:t>postupku i o tome kako riješiti regulatorne probleme povezane s razmjenom informacija.</w:t>
      </w:r>
    </w:p>
    <w:p w:rsidR="00A761A4" w:rsidRDefault="00A761A4">
      <w:pPr>
        <w:rPr>
          <w:noProof/>
          <w:szCs w:val="24"/>
        </w:rPr>
      </w:pPr>
    </w:p>
    <w:p w:rsidR="00A761A4" w:rsidRDefault="00A761A4">
      <w:pPr>
        <w:rPr>
          <w:noProof/>
          <w:szCs w:val="24"/>
        </w:rPr>
      </w:pPr>
    </w:p>
    <w:p w:rsidR="00A761A4" w:rsidRDefault="00A761A4">
      <w:pPr>
        <w:rPr>
          <w:noProof/>
          <w:szCs w:val="24"/>
        </w:rPr>
      </w:pPr>
    </w:p>
    <w:p w:rsidR="00A761A4" w:rsidRDefault="0064189B">
      <w:pPr>
        <w:pStyle w:val="Titrearticle"/>
        <w:rPr>
          <w:rFonts w:eastAsia="Times New Roman"/>
          <w:b/>
          <w:noProof/>
        </w:rPr>
      </w:pPr>
      <w:r>
        <w:rPr>
          <w:noProof/>
        </w:rPr>
        <w:t>Članak 7.</w:t>
      </w:r>
      <w:r>
        <w:rPr>
          <w:noProof/>
        </w:rPr>
        <w:br/>
      </w:r>
      <w:r>
        <w:rPr>
          <w:b/>
          <w:i w:val="0"/>
          <w:noProof/>
        </w:rPr>
        <w:t>Zadaće povezane s operativnom suradnjom na razini Unije</w:t>
      </w:r>
    </w:p>
    <w:p w:rsidR="00A761A4" w:rsidRDefault="0064189B">
      <w:pPr>
        <w:pStyle w:val="ManualNumPar1"/>
        <w:rPr>
          <w:noProof/>
        </w:rPr>
      </w:pPr>
      <w:r>
        <w:t>1.</w:t>
      </w:r>
      <w:r>
        <w:tab/>
      </w:r>
      <w:r>
        <w:rPr>
          <w:noProof/>
        </w:rPr>
        <w:t>Agencija podupire operativnu suradnju nadležnih javnih tijela i dionika.</w:t>
      </w:r>
    </w:p>
    <w:p w:rsidR="00A761A4" w:rsidRDefault="0064189B">
      <w:pPr>
        <w:pStyle w:val="ManualNumPar1"/>
        <w:rPr>
          <w:noProof/>
        </w:rPr>
      </w:pPr>
      <w:r>
        <w:t>2.</w:t>
      </w:r>
      <w:r>
        <w:tab/>
      </w:r>
      <w:r>
        <w:rPr>
          <w:noProof/>
        </w:rPr>
        <w:t xml:space="preserve">Agencija surađuje na </w:t>
      </w:r>
      <w:r>
        <w:rPr>
          <w:noProof/>
        </w:rPr>
        <w:t>operativnoj razini i uspostavlja sinergije s institucijama, tijelima, uredima i agencijama Unije, uključujući CERT-EU, službama koje se bave kiberkriminalitetom i nadzornim tijelima koja se bave zaštitom privatnosti i osobnih podataka, u cilju rješavanja p</w:t>
      </w:r>
      <w:r>
        <w:rPr>
          <w:noProof/>
        </w:rPr>
        <w:t>itanja od zajedničkog interesa, među ostalim:</w:t>
      </w:r>
    </w:p>
    <w:p w:rsidR="00A761A4" w:rsidRDefault="0064189B">
      <w:pPr>
        <w:pStyle w:val="Point1letter"/>
        <w:numPr>
          <w:ilvl w:val="3"/>
          <w:numId w:val="61"/>
        </w:numPr>
        <w:rPr>
          <w:noProof/>
        </w:rPr>
      </w:pPr>
      <w:r>
        <w:rPr>
          <w:noProof/>
        </w:rPr>
        <w:t>razmjenom znanja i iskustava i najbolje prakse;</w:t>
      </w:r>
    </w:p>
    <w:p w:rsidR="00A761A4" w:rsidRDefault="0064189B">
      <w:pPr>
        <w:pStyle w:val="Point1letter"/>
        <w:rPr>
          <w:noProof/>
        </w:rPr>
      </w:pPr>
      <w:r>
        <w:rPr>
          <w:noProof/>
        </w:rPr>
        <w:t>pružanjem savjeta i smjernica o relevantnim pitanjima povezanima s kibersigurnošću;</w:t>
      </w:r>
    </w:p>
    <w:p w:rsidR="00A761A4" w:rsidRDefault="0064189B">
      <w:pPr>
        <w:pStyle w:val="Point1letter"/>
        <w:rPr>
          <w:noProof/>
        </w:rPr>
      </w:pPr>
      <w:r>
        <w:rPr>
          <w:noProof/>
        </w:rPr>
        <w:t>uspostavom, nakon savjetovanja s Komisijom, praktičnih mehanizama za izvršenje</w:t>
      </w:r>
      <w:r>
        <w:rPr>
          <w:noProof/>
        </w:rPr>
        <w:t xml:space="preserve"> određenih zadaća.</w:t>
      </w:r>
    </w:p>
    <w:p w:rsidR="00A761A4" w:rsidRDefault="0064189B">
      <w:pPr>
        <w:pStyle w:val="ManualNumPar1"/>
        <w:rPr>
          <w:noProof/>
        </w:rPr>
      </w:pPr>
      <w:r>
        <w:t>3.</w:t>
      </w:r>
      <w:r>
        <w:tab/>
      </w:r>
      <w:r>
        <w:rPr>
          <w:noProof/>
        </w:rPr>
        <w:t>Agencija osigurava tajništvo mreže CSIRT-ova u skladu s člankom 12. stavkom 2. Direktive (EU) 2016/1148 i aktivno olakšava razmjenu informacija i suradnju među njezinim članovima.</w:t>
      </w:r>
    </w:p>
    <w:p w:rsidR="00A761A4" w:rsidRDefault="0064189B">
      <w:pPr>
        <w:pStyle w:val="ManualNumPar1"/>
        <w:rPr>
          <w:noProof/>
        </w:rPr>
      </w:pPr>
      <w:r>
        <w:t>4.</w:t>
      </w:r>
      <w:r>
        <w:tab/>
      </w:r>
      <w:r>
        <w:rPr>
          <w:noProof/>
        </w:rPr>
        <w:t>Agencija pridonosi operativnoj suradnji u okviru mr</w:t>
      </w:r>
      <w:r>
        <w:rPr>
          <w:noProof/>
        </w:rPr>
        <w:t xml:space="preserve">eže CSIRT-ova pružanjem potpore državama članicama na sljedeći način: </w:t>
      </w:r>
    </w:p>
    <w:p w:rsidR="00A761A4" w:rsidRDefault="0064189B">
      <w:pPr>
        <w:pStyle w:val="Point1letter"/>
        <w:numPr>
          <w:ilvl w:val="3"/>
          <w:numId w:val="72"/>
        </w:numPr>
        <w:rPr>
          <w:noProof/>
        </w:rPr>
      </w:pPr>
      <w:r>
        <w:rPr>
          <w:noProof/>
        </w:rPr>
        <w:t>savjetovanjem o tome kako poboljšati sposobnosti za sprječavanje i otkrivanje incidenata te za odgovaranje na njih;</w:t>
      </w:r>
    </w:p>
    <w:p w:rsidR="00A761A4" w:rsidRDefault="0064189B">
      <w:pPr>
        <w:pStyle w:val="Point1letter"/>
        <w:numPr>
          <w:ilvl w:val="3"/>
          <w:numId w:val="72"/>
        </w:numPr>
        <w:rPr>
          <w:noProof/>
        </w:rPr>
      </w:pPr>
      <w:r>
        <w:rPr>
          <w:noProof/>
        </w:rPr>
        <w:t>pružanjem, na njihov zahtjev, tehničke pomoći u slučaju incidenata sa</w:t>
      </w:r>
      <w:r>
        <w:rPr>
          <w:noProof/>
        </w:rPr>
        <w:t xml:space="preserve"> značajnim ili znatnim učinkom;</w:t>
      </w:r>
    </w:p>
    <w:p w:rsidR="00A761A4" w:rsidRDefault="0064189B">
      <w:pPr>
        <w:pStyle w:val="Point1letter"/>
        <w:numPr>
          <w:ilvl w:val="3"/>
          <w:numId w:val="72"/>
        </w:numPr>
        <w:rPr>
          <w:noProof/>
        </w:rPr>
      </w:pPr>
      <w:r>
        <w:rPr>
          <w:noProof/>
        </w:rPr>
        <w:t>analiziranjem ranjivosti, tragova i incidenata.</w:t>
      </w:r>
    </w:p>
    <w:p w:rsidR="00A761A4" w:rsidRDefault="0064189B">
      <w:pPr>
        <w:rPr>
          <w:noProof/>
        </w:rPr>
      </w:pPr>
      <w:r>
        <w:rPr>
          <w:noProof/>
        </w:rPr>
        <w:t>Pri obavljaju tih zadaća Agencija i CERT-EU uspostavljaju strukturiranu suradnju kako bi ostvarili koristi od sinergija, posebno u pogledu operativnih aspekata.</w:t>
      </w:r>
    </w:p>
    <w:p w:rsidR="00A761A4" w:rsidRDefault="0064189B">
      <w:pPr>
        <w:pStyle w:val="ManualNumPar1"/>
        <w:rPr>
          <w:noProof/>
        </w:rPr>
      </w:pPr>
      <w:r>
        <w:t>5.</w:t>
      </w:r>
      <w:r>
        <w:tab/>
      </w:r>
      <w:r>
        <w:rPr>
          <w:noProof/>
        </w:rPr>
        <w:t>Na zahtjev n</w:t>
      </w:r>
      <w:r>
        <w:rPr>
          <w:noProof/>
        </w:rPr>
        <w:t xml:space="preserve">ajmanje dviju pogođenih država članica i u isključivu svrhu pružanja savjeta za sprječavanje budućih incidenata, Agencija pruža potporu ili provodi </w:t>
      </w:r>
      <w:r>
        <w:rPr>
          <w:i/>
          <w:noProof/>
        </w:rPr>
        <w:t>ex-post</w:t>
      </w:r>
      <w:r>
        <w:rPr>
          <w:noProof/>
        </w:rPr>
        <w:t xml:space="preserve"> tehničku istragu nakon obavijesti pogođenih poduzeća o incidentima koji imaju znatan učinak u skladu</w:t>
      </w:r>
      <w:r>
        <w:rPr>
          <w:noProof/>
        </w:rPr>
        <w:t xml:space="preserve"> s Direktivom (EU) 2016/1148. Agencija provodi takvu istragu i na temelju obrazloženog zahtjeva Komisije u dogovoru s pogođenim državama članicama u slučaju incidenata koji utječu na najmanje dvije države članice.</w:t>
      </w:r>
    </w:p>
    <w:p w:rsidR="00A761A4" w:rsidRDefault="0064189B">
      <w:pPr>
        <w:pStyle w:val="Text1"/>
        <w:rPr>
          <w:noProof/>
        </w:rPr>
      </w:pPr>
      <w:r>
        <w:rPr>
          <w:noProof/>
        </w:rPr>
        <w:t>Opseg istrage i postupak koji treba slijed</w:t>
      </w:r>
      <w:r>
        <w:rPr>
          <w:noProof/>
        </w:rPr>
        <w:t xml:space="preserve">iti pri provedbi takve istrage dogovaraju pogođene države članice i Agencija, čime se ne dovode u pitanje tekuće kaznene istrage istog incidenta. Istraga se zaključuje završnim tehničkim izvješćem koje sastavlja Agencija prije svega na temelju informacija </w:t>
      </w:r>
      <w:r>
        <w:rPr>
          <w:noProof/>
        </w:rPr>
        <w:t>i primjedbi koje su dostavile pogođene države članice i poduzeća i koje se dogovara s pogođenim državama članicama. Sažetak izvješća u kojem se naglasak stavlja preporuke za sprječavanje budućih incidenata dostavlja se mreži CSIRT-ova.</w:t>
      </w:r>
    </w:p>
    <w:p w:rsidR="00A761A4" w:rsidRDefault="0064189B">
      <w:pPr>
        <w:pStyle w:val="ManualNumPar1"/>
        <w:rPr>
          <w:noProof/>
        </w:rPr>
      </w:pPr>
      <w:r>
        <w:t>6.</w:t>
      </w:r>
      <w:r>
        <w:tab/>
      </w:r>
      <w:r>
        <w:rPr>
          <w:noProof/>
        </w:rPr>
        <w:t>Agencija organizi</w:t>
      </w:r>
      <w:r>
        <w:rPr>
          <w:noProof/>
        </w:rPr>
        <w:t>ra godišnje vježbe u području kibersigurnosti na razini Unije i, na zahtjev, podupire države članice i institucije, agencije i tijela EU-a pri organizaciji takvih vježbi. Godišnje vježbe na razini Unije uključuju tehničke, operativne i strateške elemente i</w:t>
      </w:r>
      <w:r>
        <w:rPr>
          <w:noProof/>
        </w:rPr>
        <w:t xml:space="preserve"> pomoć u pripremi usklađenog odgovora na razini Unije na prekogranične kiberincidente velikih razmjera. Agencija pridonosi i sektorskim vježbama u području kibersigurnosti i, prema potrebi, u suradnji s relevantnim ISAC-ovima pomaže u njihovoj organizaciji</w:t>
      </w:r>
      <w:r>
        <w:rPr>
          <w:noProof/>
        </w:rPr>
        <w:t xml:space="preserve"> te dopušta ISAC-ovima da sudjeluju i u kibersigurnosnim vježbama na razini Unije.</w:t>
      </w:r>
    </w:p>
    <w:p w:rsidR="00A761A4" w:rsidRDefault="0064189B">
      <w:pPr>
        <w:pStyle w:val="ManualNumPar1"/>
        <w:rPr>
          <w:noProof/>
        </w:rPr>
      </w:pPr>
      <w:r>
        <w:t>7.</w:t>
      </w:r>
      <w:r>
        <w:tab/>
      </w:r>
      <w:r>
        <w:rPr>
          <w:noProof/>
        </w:rPr>
        <w:t>Agencija sastavlja redovito tehničko izvješće o stanju kibersigurnosti u EU-u u pogledu incidenata i prijetnji na temelju informacija iz otvorenih izvora, vlastite analiz</w:t>
      </w:r>
      <w:r>
        <w:rPr>
          <w:noProof/>
        </w:rPr>
        <w:t xml:space="preserve">e i izvješća koje dostavljaju, među ostalim: CSIRT-ovi država članica (dobrovoljno) ili jedinstvene kontaktne točke iz Direktive NIS (u skladu s člankom 14. stavkom 5. Direktive NIS); Europski centar za kiberkriminal (EC3) pri Europolu, CERT-EU.  </w:t>
      </w:r>
    </w:p>
    <w:p w:rsidR="00A761A4" w:rsidRDefault="0064189B">
      <w:pPr>
        <w:pStyle w:val="ManualNumPar1"/>
        <w:rPr>
          <w:noProof/>
        </w:rPr>
      </w:pPr>
      <w:r>
        <w:t>8.</w:t>
      </w:r>
      <w:r>
        <w:tab/>
      </w:r>
      <w:r>
        <w:rPr>
          <w:noProof/>
        </w:rPr>
        <w:t>Agenc</w:t>
      </w:r>
      <w:r>
        <w:rPr>
          <w:noProof/>
        </w:rPr>
        <w:t xml:space="preserve">ija pridonosi razvoju zajedničkog odgovora na razini Unije i država članica na prekogranične incidente ili krize velikih razmjera povezane s kibersigurnošću, posebno na sljedeće načine: </w:t>
      </w:r>
    </w:p>
    <w:p w:rsidR="00A761A4" w:rsidRDefault="0064189B">
      <w:pPr>
        <w:pStyle w:val="Point1letter"/>
        <w:numPr>
          <w:ilvl w:val="3"/>
          <w:numId w:val="64"/>
        </w:numPr>
        <w:rPr>
          <w:noProof/>
        </w:rPr>
      </w:pPr>
      <w:r>
        <w:rPr>
          <w:noProof/>
        </w:rPr>
        <w:t>objedinjavanjem izvješća iz nacionalnih izvora kako bi se pridonijelo</w:t>
      </w:r>
      <w:r>
        <w:rPr>
          <w:noProof/>
        </w:rPr>
        <w:t xml:space="preserve"> zajedničkoj informiranosti o stanju; </w:t>
      </w:r>
    </w:p>
    <w:p w:rsidR="00A761A4" w:rsidRDefault="0064189B">
      <w:pPr>
        <w:pStyle w:val="Point1letter"/>
        <w:numPr>
          <w:ilvl w:val="3"/>
          <w:numId w:val="64"/>
        </w:numPr>
        <w:rPr>
          <w:noProof/>
        </w:rPr>
      </w:pPr>
      <w:r>
        <w:rPr>
          <w:noProof/>
        </w:rPr>
        <w:t>osiguravanjem učinkovitog protoka informacija i osiguravanjem mehanizama eskalacije između mreže CSIRT-ova i donositelja tehničkih i političkih odluka na razini Unije;</w:t>
      </w:r>
    </w:p>
    <w:p w:rsidR="00A761A4" w:rsidRDefault="0064189B">
      <w:pPr>
        <w:pStyle w:val="Point1letter"/>
        <w:numPr>
          <w:ilvl w:val="3"/>
          <w:numId w:val="64"/>
        </w:numPr>
        <w:rPr>
          <w:noProof/>
        </w:rPr>
      </w:pPr>
      <w:r>
        <w:rPr>
          <w:noProof/>
        </w:rPr>
        <w:t>podupiranjem tehničkog rješavanja incidenta ili k</w:t>
      </w:r>
      <w:r>
        <w:rPr>
          <w:noProof/>
        </w:rPr>
        <w:t>rize, među ostalim olakšavanjem razmjene tehničkih rješenja među državama članicama;</w:t>
      </w:r>
    </w:p>
    <w:p w:rsidR="00A761A4" w:rsidRDefault="0064189B">
      <w:pPr>
        <w:pStyle w:val="Point1letter"/>
        <w:numPr>
          <w:ilvl w:val="3"/>
          <w:numId w:val="64"/>
        </w:numPr>
        <w:rPr>
          <w:noProof/>
        </w:rPr>
      </w:pPr>
      <w:r>
        <w:rPr>
          <w:noProof/>
        </w:rPr>
        <w:t>podupiranjem izvješćivanja javnosti o incidentu ili krizi;</w:t>
      </w:r>
    </w:p>
    <w:p w:rsidR="00A761A4" w:rsidRDefault="0064189B">
      <w:pPr>
        <w:pStyle w:val="Point1letter"/>
        <w:numPr>
          <w:ilvl w:val="3"/>
          <w:numId w:val="64"/>
        </w:numPr>
        <w:rPr>
          <w:noProof/>
        </w:rPr>
      </w:pPr>
      <w:r>
        <w:rPr>
          <w:noProof/>
        </w:rPr>
        <w:t xml:space="preserve">ispitivanjem planova za suradnje pri odgovorima na takve incidente ili krize. </w:t>
      </w:r>
    </w:p>
    <w:p w:rsidR="00A761A4" w:rsidRDefault="0064189B">
      <w:pPr>
        <w:pStyle w:val="Titrearticle"/>
        <w:rPr>
          <w:rFonts w:eastAsia="Times New Roman"/>
          <w:b/>
          <w:i w:val="0"/>
          <w:noProof/>
        </w:rPr>
      </w:pPr>
      <w:r>
        <w:rPr>
          <w:noProof/>
        </w:rPr>
        <w:t>Članak 8.</w:t>
      </w:r>
      <w:r>
        <w:rPr>
          <w:rFonts w:eastAsia="Times New Roman"/>
          <w:i w:val="0"/>
          <w:noProof/>
        </w:rPr>
        <w:br/>
      </w:r>
      <w:r>
        <w:rPr>
          <w:b/>
          <w:i w:val="0"/>
          <w:noProof/>
        </w:rPr>
        <w:t>Zadaće povezane s tržiš</w:t>
      </w:r>
      <w:r>
        <w:rPr>
          <w:b/>
          <w:i w:val="0"/>
          <w:noProof/>
        </w:rPr>
        <w:t>tem, kibersigurnosnom certifikacijom i normizacijom</w:t>
      </w:r>
      <w:r>
        <w:rPr>
          <w:noProof/>
        </w:rPr>
        <w:t xml:space="preserve">  </w:t>
      </w:r>
    </w:p>
    <w:p w:rsidR="00A761A4" w:rsidRDefault="0064189B">
      <w:pPr>
        <w:tabs>
          <w:tab w:val="left" w:pos="7320"/>
        </w:tabs>
        <w:rPr>
          <w:noProof/>
          <w:szCs w:val="24"/>
        </w:rPr>
      </w:pPr>
      <w:r>
        <w:rPr>
          <w:noProof/>
        </w:rPr>
        <w:t>Agencija:</w:t>
      </w:r>
      <w:r>
        <w:rPr>
          <w:noProof/>
        </w:rPr>
        <w:tab/>
      </w:r>
    </w:p>
    <w:p w:rsidR="00A761A4" w:rsidRDefault="0064189B">
      <w:pPr>
        <w:pStyle w:val="Point0letter"/>
        <w:numPr>
          <w:ilvl w:val="1"/>
          <w:numId w:val="58"/>
        </w:numPr>
        <w:rPr>
          <w:noProof/>
        </w:rPr>
      </w:pPr>
      <w:r>
        <w:rPr>
          <w:noProof/>
        </w:rPr>
        <w:t>podupire i promiče razvoj i provedbu politike Unije o kibersigurnosnoj certifikaciji IKT proizvoda i usluga, kako je utvrđeno u glavi III. ove Uredbe na sljedeće načine:</w:t>
      </w:r>
    </w:p>
    <w:p w:rsidR="00A761A4" w:rsidRDefault="0064189B">
      <w:pPr>
        <w:pStyle w:val="Point2number"/>
        <w:numPr>
          <w:ilvl w:val="4"/>
          <w:numId w:val="86"/>
        </w:numPr>
        <w:rPr>
          <w:noProof/>
        </w:rPr>
      </w:pPr>
      <w:r>
        <w:rPr>
          <w:noProof/>
        </w:rPr>
        <w:t>izradom prijedloga eu</w:t>
      </w:r>
      <w:r>
        <w:rPr>
          <w:noProof/>
        </w:rPr>
        <w:t>ropskih programa kibersigurnosne certifikacije za IKT proizvode i usluge u skladu s člankom 44. ove Uredbe;</w:t>
      </w:r>
    </w:p>
    <w:p w:rsidR="00A761A4" w:rsidRDefault="0064189B">
      <w:pPr>
        <w:pStyle w:val="Point2number"/>
        <w:numPr>
          <w:ilvl w:val="4"/>
          <w:numId w:val="86"/>
        </w:numPr>
        <w:rPr>
          <w:noProof/>
        </w:rPr>
      </w:pPr>
      <w:r>
        <w:rPr>
          <w:noProof/>
        </w:rPr>
        <w:t xml:space="preserve">pomaganjem Komisiji u osiguravanju tajništva Europske skupine za kibersigurnosno certificiranje u skladu s člankom 53. ove Uredbe; </w:t>
      </w:r>
    </w:p>
    <w:p w:rsidR="00A761A4" w:rsidRDefault="0064189B">
      <w:pPr>
        <w:pStyle w:val="Point2number"/>
        <w:numPr>
          <w:ilvl w:val="4"/>
          <w:numId w:val="86"/>
        </w:numPr>
        <w:rPr>
          <w:noProof/>
        </w:rPr>
      </w:pPr>
      <w:r>
        <w:rPr>
          <w:noProof/>
        </w:rPr>
        <w:t xml:space="preserve">sastavljanjem i </w:t>
      </w:r>
      <w:r>
        <w:rPr>
          <w:noProof/>
        </w:rPr>
        <w:t>objavljivanjem smjernica i razvojem dobre prakse u pogledu kibersigurnosnih zahtjeva za IKT proizvode i usluge, u suradnji s nacionalnim tijelima za nadzor certifikacije i industrijom;</w:t>
      </w:r>
    </w:p>
    <w:p w:rsidR="00A761A4" w:rsidRDefault="0064189B">
      <w:pPr>
        <w:pStyle w:val="Point0letter"/>
        <w:numPr>
          <w:ilvl w:val="1"/>
          <w:numId w:val="58"/>
        </w:numPr>
        <w:rPr>
          <w:noProof/>
        </w:rPr>
      </w:pPr>
      <w:r>
        <w:rPr>
          <w:noProof/>
        </w:rPr>
        <w:t xml:space="preserve">olakšavanjem uspostave i prihvaćanja europskih i međunarodnih normi za </w:t>
      </w:r>
      <w:r>
        <w:rPr>
          <w:noProof/>
        </w:rPr>
        <w:t>upravljanje rizikom i za sigurnost IKT proizvoda i usluga te izradom, u suradnji s državama članicama, savjeta i smjernica o tehničkim područjima povezanima sa sigurnosnim zahtjevima za operatore ključnih usluga i pružatelje digitalnih usluga, te u pogledu</w:t>
      </w:r>
      <w:r>
        <w:rPr>
          <w:noProof/>
        </w:rPr>
        <w:t xml:space="preserve"> već postojećih normi, uključujući nacionalne norme država članica, u skladu s člankom 19. stavkom 2. Direktive (EU) 2016/1148. </w:t>
      </w:r>
    </w:p>
    <w:p w:rsidR="00A761A4" w:rsidRDefault="0064189B">
      <w:pPr>
        <w:pStyle w:val="Point0letter"/>
        <w:numPr>
          <w:ilvl w:val="1"/>
          <w:numId w:val="58"/>
        </w:numPr>
        <w:rPr>
          <w:noProof/>
          <w:szCs w:val="24"/>
        </w:rPr>
      </w:pPr>
      <w:r>
        <w:rPr>
          <w:noProof/>
        </w:rPr>
        <w:t>provedbom i distribucijom redovitih analiza glavnih trendova na kibersigurnosnom tržištu i na strani ponude i potražnje u cilju</w:t>
      </w:r>
      <w:r>
        <w:rPr>
          <w:noProof/>
        </w:rPr>
        <w:t xml:space="preserve"> poticanja kibersigurnosnog tržišta u Uniji.  </w:t>
      </w:r>
    </w:p>
    <w:p w:rsidR="00A761A4" w:rsidRDefault="00A761A4">
      <w:pPr>
        <w:rPr>
          <w:noProof/>
        </w:rPr>
      </w:pPr>
    </w:p>
    <w:p w:rsidR="00A761A4" w:rsidRDefault="0064189B">
      <w:pPr>
        <w:pStyle w:val="Titrearticle"/>
        <w:rPr>
          <w:rFonts w:eastAsia="Times New Roman"/>
          <w:b/>
          <w:i w:val="0"/>
          <w:noProof/>
        </w:rPr>
      </w:pPr>
      <w:r>
        <w:rPr>
          <w:noProof/>
        </w:rPr>
        <w:t>Članak 9.</w:t>
      </w:r>
      <w:r>
        <w:rPr>
          <w:noProof/>
        </w:rPr>
        <w:br/>
      </w:r>
      <w:r>
        <w:rPr>
          <w:b/>
          <w:i w:val="0"/>
          <w:noProof/>
        </w:rPr>
        <w:t>Zadaće povezane sa znanjem, informiranjem i podizanjem razine osviještenosti</w:t>
      </w:r>
    </w:p>
    <w:p w:rsidR="00A761A4" w:rsidRDefault="0064189B">
      <w:pPr>
        <w:rPr>
          <w:noProof/>
          <w:szCs w:val="24"/>
        </w:rPr>
      </w:pPr>
      <w:r>
        <w:rPr>
          <w:noProof/>
        </w:rPr>
        <w:t>Agencija:</w:t>
      </w:r>
    </w:p>
    <w:p w:rsidR="00A761A4" w:rsidRDefault="0064189B">
      <w:pPr>
        <w:pStyle w:val="Point0letter"/>
        <w:numPr>
          <w:ilvl w:val="1"/>
          <w:numId w:val="90"/>
        </w:numPr>
        <w:rPr>
          <w:noProof/>
        </w:rPr>
      </w:pPr>
      <w:r>
        <w:rPr>
          <w:noProof/>
        </w:rPr>
        <w:t xml:space="preserve">provodi analize novih tehnologija i daje tematske procjene očekivanih društvenih, pravnih, gospodarskih i regulatornih učinaka tehnoloških inovacija na kibersigurnost; </w:t>
      </w:r>
    </w:p>
    <w:p w:rsidR="00A761A4" w:rsidRDefault="0064189B">
      <w:pPr>
        <w:pStyle w:val="Point0letter"/>
        <w:rPr>
          <w:noProof/>
        </w:rPr>
      </w:pPr>
      <w:r>
        <w:rPr>
          <w:noProof/>
        </w:rPr>
        <w:t>provodi dugoročne strateške analize kiberprijetnji i kiberincidenata kako bi utvrdila n</w:t>
      </w:r>
      <w:r>
        <w:rPr>
          <w:noProof/>
        </w:rPr>
        <w:t>ove trendove i pomogla spriječiti probleme povezane s kibersigurnošću;</w:t>
      </w:r>
    </w:p>
    <w:p w:rsidR="00A761A4" w:rsidRDefault="0064189B">
      <w:pPr>
        <w:pStyle w:val="Point0letter"/>
        <w:rPr>
          <w:noProof/>
        </w:rPr>
      </w:pPr>
      <w:r>
        <w:rPr>
          <w:noProof/>
        </w:rPr>
        <w:t>pruža, u suradnji sa stručnjacima iz tijela država članica, savjete, smjernice i najbolju praksu za sigurnost mrežnih i informacijskih sustava, posebno za sigurnost internetske infrastr</w:t>
      </w:r>
      <w:r>
        <w:rPr>
          <w:noProof/>
        </w:rPr>
        <w:t>ukture i infrastruktura kojima se podupiru sektori navedeni u Prilogu II. Direktivi (EU) 2016/1148;</w:t>
      </w:r>
    </w:p>
    <w:p w:rsidR="00A761A4" w:rsidRDefault="0064189B">
      <w:pPr>
        <w:pStyle w:val="Point0letter"/>
        <w:rPr>
          <w:noProof/>
        </w:rPr>
      </w:pPr>
      <w:r>
        <w:rPr>
          <w:noProof/>
        </w:rPr>
        <w:t>na posebnom portalu objedinjuje, organizira i stavlja na raspolaganje javnosti informacije o kibersigurnosti koje su dostavile institucije, agencije i tijel</w:t>
      </w:r>
      <w:r>
        <w:rPr>
          <w:noProof/>
        </w:rPr>
        <w:t>a Unije;</w:t>
      </w:r>
    </w:p>
    <w:p w:rsidR="00A761A4" w:rsidRDefault="0064189B">
      <w:pPr>
        <w:pStyle w:val="Point0letter"/>
        <w:rPr>
          <w:noProof/>
        </w:rPr>
      </w:pPr>
      <w:r>
        <w:rPr>
          <w:noProof/>
        </w:rPr>
        <w:t xml:space="preserve">podiže razinu osviještenosti javnosti o rizicima povezanima s kibersigurnošću i daje smjernice o dobroj praksi za pojedinačne korisnike usmjerene na građane i organizacije; </w:t>
      </w:r>
    </w:p>
    <w:p w:rsidR="00A761A4" w:rsidRDefault="0064189B">
      <w:pPr>
        <w:pStyle w:val="Point0letter"/>
        <w:rPr>
          <w:noProof/>
        </w:rPr>
      </w:pPr>
      <w:r>
        <w:rPr>
          <w:noProof/>
        </w:rPr>
        <w:t xml:space="preserve">prikuplja i analizira javno dostupne informacije o značajnim incidentima </w:t>
      </w:r>
      <w:r>
        <w:rPr>
          <w:noProof/>
        </w:rPr>
        <w:t>i sastavlja izvješća u cilju pružanja smjernica poduzećima i građanima u cijeloj Uniji;</w:t>
      </w:r>
    </w:p>
    <w:p w:rsidR="00A761A4" w:rsidRDefault="0064189B">
      <w:pPr>
        <w:pStyle w:val="Point0letter"/>
        <w:rPr>
          <w:noProof/>
        </w:rPr>
      </w:pPr>
      <w:r>
        <w:rPr>
          <w:noProof/>
        </w:rPr>
        <w:t>organizira, u suradnji s državama članicama i institucijama, tijelima, uredima i agencijama Unije, redovite informativne kampanje u cilju povećanja kibersigurnosti i sv</w:t>
      </w:r>
      <w:r>
        <w:rPr>
          <w:noProof/>
        </w:rPr>
        <w:t>oje vidljivosti u Uniji.</w:t>
      </w:r>
    </w:p>
    <w:p w:rsidR="00A761A4" w:rsidRDefault="00A761A4">
      <w:pPr>
        <w:jc w:val="center"/>
        <w:rPr>
          <w:i/>
          <w:noProof/>
          <w:szCs w:val="24"/>
        </w:rPr>
      </w:pPr>
    </w:p>
    <w:p w:rsidR="00A761A4" w:rsidRDefault="0064189B">
      <w:pPr>
        <w:pStyle w:val="Titrearticle"/>
        <w:rPr>
          <w:noProof/>
        </w:rPr>
      </w:pPr>
      <w:r>
        <w:rPr>
          <w:noProof/>
        </w:rPr>
        <w:t>Članak 10.</w:t>
      </w:r>
      <w:r>
        <w:rPr>
          <w:noProof/>
        </w:rPr>
        <w:br/>
      </w:r>
      <w:r>
        <w:rPr>
          <w:b/>
          <w:i w:val="0"/>
          <w:noProof/>
        </w:rPr>
        <w:t>Zadaće povezane s istraživanjem i inovacijama</w:t>
      </w:r>
    </w:p>
    <w:p w:rsidR="00A761A4" w:rsidRDefault="0064189B">
      <w:pPr>
        <w:rPr>
          <w:noProof/>
          <w:szCs w:val="24"/>
        </w:rPr>
      </w:pPr>
      <w:r>
        <w:rPr>
          <w:noProof/>
        </w:rPr>
        <w:t>U pogledu istraživanja i inovacija Agencija obavlja sljedeće zadaće:</w:t>
      </w:r>
    </w:p>
    <w:p w:rsidR="00A761A4" w:rsidRDefault="0064189B">
      <w:pPr>
        <w:pStyle w:val="Point0letter"/>
        <w:numPr>
          <w:ilvl w:val="1"/>
          <w:numId w:val="59"/>
        </w:numPr>
        <w:rPr>
          <w:noProof/>
        </w:rPr>
      </w:pPr>
      <w:r>
        <w:rPr>
          <w:noProof/>
        </w:rPr>
        <w:t>savjetuje Uniju i države članice o istraživačkim potrebama i prioritetima u području kibersigurnosti kak</w:t>
      </w:r>
      <w:r>
        <w:rPr>
          <w:noProof/>
        </w:rPr>
        <w:t xml:space="preserve">o bi se omogućili učinkoviti odgovori na postojeće i nove rizike i prijetnje, među ostalim i u pogledu novih informacijskih i komunikacijskih tehnologija te onih u nastajanju, te kako bi se učinkovito upotrebljavale tehnologije za sprečavanje rizika; </w:t>
      </w:r>
    </w:p>
    <w:p w:rsidR="00A761A4" w:rsidRDefault="0064189B">
      <w:pPr>
        <w:pStyle w:val="Point0letter"/>
        <w:numPr>
          <w:ilvl w:val="1"/>
          <w:numId w:val="59"/>
        </w:numPr>
        <w:rPr>
          <w:noProof/>
        </w:rPr>
      </w:pPr>
      <w:r>
        <w:rPr>
          <w:noProof/>
        </w:rPr>
        <w:t>sudj</w:t>
      </w:r>
      <w:r>
        <w:rPr>
          <w:noProof/>
        </w:rPr>
        <w:t>eluje, ako joj je Komisija delegirala relevantne ovlasti, u fazi provedbe programa za financiranje istraživanja i inovacija ili kao korisnik.</w:t>
      </w:r>
    </w:p>
    <w:p w:rsidR="00A761A4" w:rsidRDefault="00A761A4">
      <w:pPr>
        <w:ind w:left="720" w:hanging="720"/>
        <w:rPr>
          <w:noProof/>
          <w:szCs w:val="24"/>
        </w:rPr>
      </w:pPr>
    </w:p>
    <w:p w:rsidR="00A761A4" w:rsidRDefault="0064189B">
      <w:pPr>
        <w:pStyle w:val="Titrearticle"/>
        <w:rPr>
          <w:noProof/>
        </w:rPr>
      </w:pPr>
      <w:r>
        <w:rPr>
          <w:noProof/>
        </w:rPr>
        <w:t>Članak 11.</w:t>
      </w:r>
      <w:r>
        <w:rPr>
          <w:noProof/>
        </w:rPr>
        <w:br/>
      </w:r>
      <w:r>
        <w:rPr>
          <w:b/>
          <w:noProof/>
        </w:rPr>
        <w:t>Zadaće povezane s međunarodnom suradnjom</w:t>
      </w:r>
    </w:p>
    <w:p w:rsidR="00A761A4" w:rsidRDefault="0064189B">
      <w:pPr>
        <w:autoSpaceDE w:val="0"/>
        <w:autoSpaceDN w:val="0"/>
        <w:adjustRightInd w:val="0"/>
        <w:spacing w:before="60" w:after="60"/>
        <w:rPr>
          <w:noProof/>
          <w:szCs w:val="24"/>
        </w:rPr>
      </w:pPr>
      <w:r>
        <w:rPr>
          <w:noProof/>
        </w:rPr>
        <w:t>Agencija pridonosi nastojanjima Unije da uspostavi suradnju s</w:t>
      </w:r>
      <w:r>
        <w:rPr>
          <w:noProof/>
        </w:rPr>
        <w:t xml:space="preserve"> trećim zemljama i međunarodnim organizacijama u cilju promicanja međunarodne suradnje u području kibersigurnosti, među ostalim:</w:t>
      </w:r>
    </w:p>
    <w:p w:rsidR="00A761A4" w:rsidRDefault="0064189B">
      <w:pPr>
        <w:pStyle w:val="Point0letter"/>
        <w:numPr>
          <w:ilvl w:val="1"/>
          <w:numId w:val="55"/>
        </w:numPr>
        <w:rPr>
          <w:noProof/>
        </w:rPr>
      </w:pPr>
      <w:r>
        <w:rPr>
          <w:noProof/>
        </w:rPr>
        <w:t>sudjelovanjem, prema potrebi, u ulozi promatrača u organizaciji međunarodnih vježbi, analiziranjem ishoda takvih vježbi i izvje</w:t>
      </w:r>
      <w:r>
        <w:rPr>
          <w:noProof/>
        </w:rPr>
        <w:t xml:space="preserve">šćivanjem Upravljačkog odbora o njihovu ishodu; </w:t>
      </w:r>
    </w:p>
    <w:p w:rsidR="00A761A4" w:rsidRDefault="0064189B">
      <w:pPr>
        <w:pStyle w:val="Point0letter"/>
        <w:numPr>
          <w:ilvl w:val="1"/>
          <w:numId w:val="20"/>
        </w:numPr>
        <w:rPr>
          <w:noProof/>
        </w:rPr>
      </w:pPr>
      <w:r>
        <w:rPr>
          <w:noProof/>
        </w:rPr>
        <w:t>olakšavanjem, na zahtjev Komisije, razmjene najbolje prakse među relevantnim međunarodnim organizacijama;</w:t>
      </w:r>
    </w:p>
    <w:p w:rsidR="00A761A4" w:rsidRDefault="0064189B">
      <w:pPr>
        <w:pStyle w:val="Point0letter"/>
        <w:numPr>
          <w:ilvl w:val="1"/>
          <w:numId w:val="20"/>
        </w:numPr>
        <w:rPr>
          <w:noProof/>
        </w:rPr>
      </w:pPr>
      <w:r>
        <w:rPr>
          <w:noProof/>
        </w:rPr>
        <w:t>pružanjem stručnih savjeta Komisiji na njezin zahtjev.</w:t>
      </w:r>
    </w:p>
    <w:p w:rsidR="00A761A4" w:rsidRDefault="00A761A4">
      <w:pPr>
        <w:rPr>
          <w:noProof/>
          <w:szCs w:val="24"/>
        </w:rPr>
      </w:pPr>
    </w:p>
    <w:p w:rsidR="00A761A4" w:rsidRDefault="00A761A4">
      <w:pPr>
        <w:spacing w:after="0"/>
        <w:rPr>
          <w:rFonts w:ascii="Calibri" w:eastAsia="Times New Roman" w:hAnsi="Calibri"/>
          <w:noProof/>
        </w:rPr>
      </w:pPr>
    </w:p>
    <w:p w:rsidR="00A761A4" w:rsidRDefault="0064189B">
      <w:pPr>
        <w:pStyle w:val="ChapterTitle"/>
        <w:rPr>
          <w:noProof/>
        </w:rPr>
      </w:pPr>
      <w:bookmarkStart w:id="26" w:name="_Toc492216469"/>
      <w:r>
        <w:rPr>
          <w:noProof/>
        </w:rPr>
        <w:t>POGLAVLJE II.</w:t>
      </w:r>
      <w:r>
        <w:rPr>
          <w:noProof/>
        </w:rPr>
        <w:br/>
        <w:t>USTROJSTVO AGENCIJE</w:t>
      </w:r>
      <w:bookmarkEnd w:id="26"/>
    </w:p>
    <w:p w:rsidR="00A761A4" w:rsidRDefault="0064189B">
      <w:pPr>
        <w:pStyle w:val="Titrearticle"/>
        <w:spacing w:before="0" w:after="0"/>
        <w:rPr>
          <w:b/>
          <w:noProof/>
        </w:rPr>
      </w:pPr>
      <w:r>
        <w:rPr>
          <w:noProof/>
        </w:rPr>
        <w:t>Članak 12.</w:t>
      </w:r>
      <w:r>
        <w:rPr>
          <w:noProof/>
        </w:rPr>
        <w:br/>
      </w:r>
      <w:r>
        <w:rPr>
          <w:b/>
          <w:noProof/>
        </w:rPr>
        <w:t>Struktura</w:t>
      </w:r>
    </w:p>
    <w:p w:rsidR="00A761A4" w:rsidRDefault="0064189B">
      <w:pPr>
        <w:spacing w:after="0"/>
        <w:rPr>
          <w:rFonts w:eastAsia="Times New Roman"/>
          <w:noProof/>
          <w:szCs w:val="24"/>
        </w:rPr>
      </w:pPr>
      <w:r>
        <w:rPr>
          <w:noProof/>
        </w:rPr>
        <w:t>Administrativna i upravljačka struktura Agencije sastoji se od sljedećeg:</w:t>
      </w:r>
    </w:p>
    <w:p w:rsidR="00A761A4" w:rsidRDefault="0064189B">
      <w:pPr>
        <w:pStyle w:val="Point0letter"/>
        <w:numPr>
          <w:ilvl w:val="1"/>
          <w:numId w:val="56"/>
        </w:numPr>
        <w:rPr>
          <w:rFonts w:eastAsia="Times New Roman"/>
          <w:noProof/>
        </w:rPr>
      </w:pPr>
      <w:r>
        <w:rPr>
          <w:noProof/>
        </w:rPr>
        <w:t>Upravljačkog odbora koji obavlja funkcije iz članka 14.;</w:t>
      </w:r>
    </w:p>
    <w:p w:rsidR="00A761A4" w:rsidRDefault="0064189B">
      <w:pPr>
        <w:pStyle w:val="Point0letter"/>
        <w:numPr>
          <w:ilvl w:val="1"/>
          <w:numId w:val="20"/>
        </w:numPr>
        <w:rPr>
          <w:noProof/>
        </w:rPr>
      </w:pPr>
      <w:r>
        <w:rPr>
          <w:noProof/>
        </w:rPr>
        <w:t>Izvršnog odbora koji obavlja funkcije iz članka 18.;</w:t>
      </w:r>
    </w:p>
    <w:p w:rsidR="00A761A4" w:rsidRDefault="0064189B">
      <w:pPr>
        <w:pStyle w:val="Point0letter"/>
        <w:numPr>
          <w:ilvl w:val="1"/>
          <w:numId w:val="20"/>
        </w:numPr>
        <w:rPr>
          <w:noProof/>
        </w:rPr>
      </w:pPr>
      <w:r>
        <w:rPr>
          <w:noProof/>
        </w:rPr>
        <w:t>izvršnog direktora koji obavlja funkcije iz članka 19.; i</w:t>
      </w:r>
    </w:p>
    <w:p w:rsidR="00A761A4" w:rsidRDefault="0064189B">
      <w:pPr>
        <w:pStyle w:val="Point0letter"/>
        <w:numPr>
          <w:ilvl w:val="1"/>
          <w:numId w:val="20"/>
        </w:numPr>
        <w:rPr>
          <w:noProof/>
        </w:rPr>
      </w:pPr>
      <w:r>
        <w:rPr>
          <w:noProof/>
        </w:rPr>
        <w:t>Stalne interesne skupine koja obavlja funkcije iz članka 20.</w:t>
      </w:r>
    </w:p>
    <w:p w:rsidR="00A761A4" w:rsidRDefault="00A761A4">
      <w:pPr>
        <w:spacing w:after="0"/>
        <w:rPr>
          <w:noProof/>
        </w:rPr>
      </w:pPr>
    </w:p>
    <w:p w:rsidR="00A761A4" w:rsidRDefault="0064189B">
      <w:pPr>
        <w:pStyle w:val="SectionTitle"/>
        <w:rPr>
          <w:noProof/>
        </w:rPr>
      </w:pPr>
      <w:bookmarkStart w:id="27" w:name="_Toc492216470"/>
      <w:r>
        <w:rPr>
          <w:noProof/>
        </w:rPr>
        <w:t>ODJELJAK 1.</w:t>
      </w:r>
      <w:r>
        <w:rPr>
          <w:noProof/>
        </w:rPr>
        <w:br/>
        <w:t>UPRAVLJAČKI ODBOR</w:t>
      </w:r>
      <w:bookmarkEnd w:id="27"/>
    </w:p>
    <w:p w:rsidR="00A761A4" w:rsidRDefault="0064189B">
      <w:pPr>
        <w:pStyle w:val="Titrearticle"/>
        <w:spacing w:before="0" w:after="0"/>
        <w:rPr>
          <w:rFonts w:eastAsia="Times New Roman"/>
          <w:b/>
          <w:i w:val="0"/>
          <w:noProof/>
        </w:rPr>
      </w:pPr>
      <w:r>
        <w:rPr>
          <w:noProof/>
        </w:rPr>
        <w:t>Članak 13.</w:t>
      </w:r>
      <w:r>
        <w:rPr>
          <w:noProof/>
        </w:rPr>
        <w:br/>
      </w:r>
      <w:r>
        <w:rPr>
          <w:b/>
          <w:noProof/>
        </w:rPr>
        <w:t>Sastav Upravljačkog odbora</w:t>
      </w:r>
    </w:p>
    <w:p w:rsidR="00A761A4" w:rsidRDefault="0064189B">
      <w:pPr>
        <w:pStyle w:val="ManualNumPar1"/>
        <w:rPr>
          <w:noProof/>
        </w:rPr>
      </w:pPr>
      <w:r>
        <w:t>1.</w:t>
      </w:r>
      <w:r>
        <w:tab/>
      </w:r>
      <w:r>
        <w:rPr>
          <w:noProof/>
        </w:rPr>
        <w:t>Upravljački odbor sastoji se od jednog predstavnika svake države članice i dva predstavnika koje imenuje Komisija. Svi pred</w:t>
      </w:r>
      <w:r>
        <w:rPr>
          <w:noProof/>
        </w:rPr>
        <w:t xml:space="preserve">stavnici imaju pravo glasa. </w:t>
      </w:r>
    </w:p>
    <w:p w:rsidR="00A761A4" w:rsidRDefault="0064189B">
      <w:pPr>
        <w:pStyle w:val="ManualNumPar1"/>
        <w:rPr>
          <w:noProof/>
        </w:rPr>
      </w:pPr>
      <w:r>
        <w:t>2.</w:t>
      </w:r>
      <w:r>
        <w:tab/>
      </w:r>
      <w:r>
        <w:rPr>
          <w:noProof/>
        </w:rPr>
        <w:t>Svaki član Upravljačkog odbora ima zamjenika koji ga predstavlja u slučaju njegove odsutnosti.</w:t>
      </w:r>
    </w:p>
    <w:p w:rsidR="00A761A4" w:rsidRDefault="0064189B">
      <w:pPr>
        <w:pStyle w:val="ManualNumPar1"/>
        <w:rPr>
          <w:noProof/>
        </w:rPr>
      </w:pPr>
      <w:r>
        <w:t>3.</w:t>
      </w:r>
      <w:r>
        <w:tab/>
      </w:r>
      <w:r>
        <w:rPr>
          <w:noProof/>
        </w:rPr>
        <w:t>Članovi Upravljačkog odbora i njihovi zamjenici imenuju se uzimajući u obzir njihovo znanje u području kibersigurnosti i relev</w:t>
      </w:r>
      <w:r>
        <w:rPr>
          <w:noProof/>
        </w:rPr>
        <w:t>antne upravljačke i administrativne vještine i vještine upravljanja proračunom. Komisija i države članice nastoje ograničiti fluktuaciju svojih predstavnika u Upravljačkom odboru kako bi se osigurao kontinuitet njegova rada. Komisija i države članice nasto</w:t>
      </w:r>
      <w:r>
        <w:rPr>
          <w:noProof/>
        </w:rPr>
        <w:t>je postići uravnoteženu zastupljenost muškaraca i žena u Upravljačkom odboru.</w:t>
      </w:r>
    </w:p>
    <w:p w:rsidR="00A761A4" w:rsidRDefault="0064189B">
      <w:pPr>
        <w:pStyle w:val="ManualNumPar1"/>
        <w:rPr>
          <w:noProof/>
        </w:rPr>
      </w:pPr>
      <w:r>
        <w:t>4.</w:t>
      </w:r>
      <w:r>
        <w:tab/>
      </w:r>
      <w:r>
        <w:rPr>
          <w:noProof/>
        </w:rPr>
        <w:t>Mandat članova Upravljačkog odbora i njihovih zamjenika traje četiri godine. Taj se mandat može produljiti.</w:t>
      </w:r>
    </w:p>
    <w:p w:rsidR="00A761A4" w:rsidRDefault="00A761A4">
      <w:pPr>
        <w:rPr>
          <w:noProof/>
        </w:rPr>
      </w:pPr>
    </w:p>
    <w:p w:rsidR="00A761A4" w:rsidRDefault="0064189B">
      <w:pPr>
        <w:pStyle w:val="Titrearticle"/>
        <w:spacing w:before="0" w:after="0"/>
        <w:rPr>
          <w:b/>
          <w:noProof/>
        </w:rPr>
      </w:pPr>
      <w:r>
        <w:rPr>
          <w:noProof/>
        </w:rPr>
        <w:t>Članak 14.</w:t>
      </w:r>
      <w:r>
        <w:rPr>
          <w:noProof/>
        </w:rPr>
        <w:br/>
      </w:r>
      <w:r>
        <w:rPr>
          <w:b/>
          <w:noProof/>
        </w:rPr>
        <w:t>Funkcije Upravljačkog odbora</w:t>
      </w:r>
    </w:p>
    <w:p w:rsidR="00A761A4" w:rsidRDefault="0064189B">
      <w:pPr>
        <w:pStyle w:val="ManualNumPar1"/>
        <w:rPr>
          <w:rFonts w:eastAsia="Times New Roman"/>
          <w:noProof/>
        </w:rPr>
      </w:pPr>
      <w:r>
        <w:t>1.</w:t>
      </w:r>
      <w:r>
        <w:tab/>
      </w:r>
      <w:r>
        <w:rPr>
          <w:noProof/>
        </w:rPr>
        <w:t xml:space="preserve">Upravljački odbor </w:t>
      </w:r>
      <w:r>
        <w:rPr>
          <w:noProof/>
        </w:rPr>
        <w:t>obavlja sljedeće:</w:t>
      </w:r>
    </w:p>
    <w:p w:rsidR="00A761A4" w:rsidRDefault="0064189B">
      <w:pPr>
        <w:pStyle w:val="Point2letter"/>
        <w:rPr>
          <w:noProof/>
        </w:rPr>
      </w:pPr>
      <w:r>
        <w:rPr>
          <w:noProof/>
        </w:rPr>
        <w:t>definira opći smjer djelovanja Agencije i osigurava da Agencija djeluje u skladu s pravilima i načelima iz ove Uredbe. Osigurava i usklađenost rada Agencije s aktivnostima koje provode države članice i s onima koje se provode na razini Un</w:t>
      </w:r>
      <w:r>
        <w:rPr>
          <w:noProof/>
        </w:rPr>
        <w:t>ije;</w:t>
      </w:r>
    </w:p>
    <w:p w:rsidR="00A761A4" w:rsidRDefault="0064189B">
      <w:pPr>
        <w:pStyle w:val="Point2letter"/>
        <w:rPr>
          <w:noProof/>
        </w:rPr>
      </w:pPr>
      <w:r>
        <w:rPr>
          <w:noProof/>
        </w:rPr>
        <w:t>donosi nacrt jedinstvenog programskog dokumenta Agencije iz članka 21. prije nego što ga podnese Komisiji na mišljenje;</w:t>
      </w:r>
    </w:p>
    <w:p w:rsidR="00A761A4" w:rsidRDefault="0064189B">
      <w:pPr>
        <w:pStyle w:val="Point2letter"/>
        <w:rPr>
          <w:noProof/>
        </w:rPr>
      </w:pPr>
      <w:r>
        <w:rPr>
          <w:noProof/>
        </w:rPr>
        <w:t xml:space="preserve">dvotrećinskom većinom glasova svojih članova i u skladu s člankom 17. donosi jedinstveni programski dokument Agencije, uzimajući u </w:t>
      </w:r>
      <w:r>
        <w:rPr>
          <w:noProof/>
        </w:rPr>
        <w:t>obzir mišljenje Komisije;</w:t>
      </w:r>
    </w:p>
    <w:p w:rsidR="00A761A4" w:rsidRDefault="0064189B">
      <w:pPr>
        <w:pStyle w:val="Point2letter"/>
        <w:rPr>
          <w:noProof/>
        </w:rPr>
      </w:pPr>
      <w:r>
        <w:rPr>
          <w:noProof/>
        </w:rPr>
        <w:t>dvotrećinskom većinom glasova svojih članova donosi godišnji proračun Agencije i izvršava ostale funkcije povezane s proračunom Agencije u skladu s poglavljem III.;</w:t>
      </w:r>
    </w:p>
    <w:p w:rsidR="00A761A4" w:rsidRDefault="0064189B">
      <w:pPr>
        <w:pStyle w:val="Point2letter"/>
        <w:rPr>
          <w:noProof/>
        </w:rPr>
      </w:pPr>
      <w:r>
        <w:rPr>
          <w:noProof/>
        </w:rPr>
        <w:t>ocjenjuje i donosi konsolidirano godišnje izvješće o aktivnostima</w:t>
      </w:r>
      <w:r>
        <w:rPr>
          <w:noProof/>
        </w:rPr>
        <w:t xml:space="preserve"> Agencije i do 1. srpnja sljedeće godine dostavlja izvješće i njegovu ocjenu Europskom parlamentu, Vijeću, Komisiji i Revizorskom sudu. Godišnje izvješće uključuje financijske izvještaje i u njemu se opisuje kako je Agencija ostvarila svoje pokazatelje usp</w:t>
      </w:r>
      <w:r>
        <w:rPr>
          <w:noProof/>
        </w:rPr>
        <w:t>ješnosti. Godišnje se izvješće objavljuje;</w:t>
      </w:r>
    </w:p>
    <w:p w:rsidR="00A761A4" w:rsidRDefault="0064189B">
      <w:pPr>
        <w:pStyle w:val="Point2letter"/>
        <w:rPr>
          <w:noProof/>
        </w:rPr>
      </w:pPr>
      <w:r>
        <w:rPr>
          <w:noProof/>
        </w:rPr>
        <w:t>donosi financijska pravila koja se primjenjuju na Agenciju u skladu s člankom 29.;</w:t>
      </w:r>
    </w:p>
    <w:p w:rsidR="00A761A4" w:rsidRDefault="0064189B">
      <w:pPr>
        <w:pStyle w:val="Point2letter"/>
        <w:rPr>
          <w:noProof/>
        </w:rPr>
      </w:pPr>
      <w:r>
        <w:rPr>
          <w:noProof/>
        </w:rPr>
        <w:t>donosi strategiju za suzbijanje prijevara koja je razmjerna rizicima od prijevare, uzimajući u obzir analizu troškova i koristi mj</w:t>
      </w:r>
      <w:r>
        <w:rPr>
          <w:noProof/>
        </w:rPr>
        <w:t>era koje će se provoditi;</w:t>
      </w:r>
    </w:p>
    <w:p w:rsidR="00A761A4" w:rsidRDefault="0064189B">
      <w:pPr>
        <w:pStyle w:val="Point2letter"/>
        <w:rPr>
          <w:noProof/>
        </w:rPr>
      </w:pPr>
      <w:r>
        <w:rPr>
          <w:noProof/>
        </w:rPr>
        <w:t>donosi pravila o sprečavanju sukoba interesa u pogledu svojih članova i o postupanju u slučaju sukoba interesa ;</w:t>
      </w:r>
    </w:p>
    <w:p w:rsidR="00A761A4" w:rsidRDefault="0064189B">
      <w:pPr>
        <w:pStyle w:val="Point2letter"/>
        <w:rPr>
          <w:noProof/>
        </w:rPr>
      </w:pPr>
      <w:r>
        <w:rPr>
          <w:noProof/>
        </w:rPr>
        <w:t>osigurava odgovarajuće praćenje nalaza i preporuka proizišlih iz istraga Europskog ureda za borbu protiv prijevara (O</w:t>
      </w:r>
      <w:r>
        <w:rPr>
          <w:noProof/>
        </w:rPr>
        <w:t>LAF) i različitih unutarnjih ili vanjskih izvješća o reviziji i ocjenjivanja;</w:t>
      </w:r>
    </w:p>
    <w:p w:rsidR="00A761A4" w:rsidRDefault="0064189B">
      <w:pPr>
        <w:pStyle w:val="Point2letter"/>
        <w:rPr>
          <w:noProof/>
        </w:rPr>
      </w:pPr>
      <w:r>
        <w:rPr>
          <w:noProof/>
        </w:rPr>
        <w:t>donosi svoj poslovnik;</w:t>
      </w:r>
    </w:p>
    <w:p w:rsidR="00A761A4" w:rsidRDefault="0064189B">
      <w:pPr>
        <w:pStyle w:val="Point2letter"/>
        <w:rPr>
          <w:noProof/>
        </w:rPr>
      </w:pPr>
      <w:r>
        <w:rPr>
          <w:noProof/>
        </w:rPr>
        <w:t>u skladu sa stavkom 2., u odnosu na osoblje Agencije izvršava ovlasti koje su Pravilnikom o osoblju za dužnosnike dodijeljene tijelu nadležnom za imenovanj</w:t>
      </w:r>
      <w:r>
        <w:rPr>
          <w:noProof/>
        </w:rPr>
        <w:t xml:space="preserve">a i ovlasti koje su Uvjetima zaposlenja ostalih službenika Unije dodijeljene tijelu ovlaštenom za sklapanje ugovora o radu („ovlasti tijela nadležnog za imenovanja”). </w:t>
      </w:r>
    </w:p>
    <w:p w:rsidR="00A761A4" w:rsidRDefault="0064189B">
      <w:pPr>
        <w:pStyle w:val="Point2letter"/>
        <w:rPr>
          <w:noProof/>
        </w:rPr>
      </w:pPr>
      <w:r>
        <w:rPr>
          <w:noProof/>
        </w:rPr>
        <w:t>donosi pravila za provedbu Pravilnika o osoblju i Uvjeta zaposlenja ostalih službenika u</w:t>
      </w:r>
      <w:r>
        <w:rPr>
          <w:noProof/>
        </w:rPr>
        <w:t xml:space="preserve"> skladu s postupkom iz članka 110. Pravilnika o osoblju;</w:t>
      </w:r>
    </w:p>
    <w:p w:rsidR="00A761A4" w:rsidRDefault="0064189B">
      <w:pPr>
        <w:pStyle w:val="Point2letter"/>
        <w:rPr>
          <w:noProof/>
        </w:rPr>
      </w:pPr>
      <w:r>
        <w:rPr>
          <w:noProof/>
        </w:rPr>
        <w:t xml:space="preserve"> imenuje izvršnog direktora i, po potrebi, produžuje njegov mandat ili ga razrješava dužnosti u skladu s člankom 33. ove Uredbe;</w:t>
      </w:r>
    </w:p>
    <w:p w:rsidR="00A761A4" w:rsidRDefault="0064189B">
      <w:pPr>
        <w:pStyle w:val="Point2letter"/>
        <w:rPr>
          <w:noProof/>
        </w:rPr>
      </w:pPr>
      <w:r>
        <w:rPr>
          <w:noProof/>
        </w:rPr>
        <w:t>imenuje računovodstvenog službenika, koji može biti računovodstveni sl</w:t>
      </w:r>
      <w:r>
        <w:rPr>
          <w:noProof/>
        </w:rPr>
        <w:t>užbenik Komisije, koji svoje dužnosti obavlja potpuno neovisno;</w:t>
      </w:r>
    </w:p>
    <w:p w:rsidR="00A761A4" w:rsidRDefault="0064189B">
      <w:pPr>
        <w:pStyle w:val="Point2letter"/>
        <w:rPr>
          <w:noProof/>
        </w:rPr>
      </w:pPr>
      <w:r>
        <w:rPr>
          <w:noProof/>
        </w:rPr>
        <w:t>donosi sve odluke o unutarnjem ustrojstvu Agencije te, prema potrebi, o njegovim izmjenama, uzimajući u obzir potrebe Agencije u pogledu aktivnosti te razumno financijsko upravljanje;</w:t>
      </w:r>
    </w:p>
    <w:p w:rsidR="00A761A4" w:rsidRDefault="0064189B">
      <w:pPr>
        <w:pStyle w:val="Point2letter"/>
        <w:rPr>
          <w:noProof/>
        </w:rPr>
      </w:pPr>
      <w:r>
        <w:rPr>
          <w:noProof/>
        </w:rPr>
        <w:t>odobrava</w:t>
      </w:r>
      <w:r>
        <w:rPr>
          <w:noProof/>
        </w:rPr>
        <w:t xml:space="preserve"> sklapanje radnih aranžmana u skladu s člancima 7. i 39.</w:t>
      </w:r>
    </w:p>
    <w:p w:rsidR="00A761A4" w:rsidRDefault="0064189B">
      <w:pPr>
        <w:pStyle w:val="ManualNumPar1"/>
        <w:rPr>
          <w:noProof/>
        </w:rPr>
      </w:pPr>
      <w:r>
        <w:t>2.</w:t>
      </w:r>
      <w:r>
        <w:tab/>
      </w:r>
      <w:r>
        <w:rPr>
          <w:noProof/>
        </w:rPr>
        <w:t>Upravljački odbor donosi, u skladu s člankom 110. Pravilnika o osoblju, odluku na temelju članka 2. stavka 1. Pravilnika o osoblju i članka 6. Uvjeta zaposlenja ostalih službenika kojom se relevan</w:t>
      </w:r>
      <w:r>
        <w:rPr>
          <w:noProof/>
        </w:rPr>
        <w:t xml:space="preserve">tne ovlasti tijela nadležnog za imenovanja delegiraju izvršnom direktoru i utvrđuju uvjeti pod kojima se to delegiranje ovlasti može obustaviti. Izvršni direktor ovlašten je dalje delegirati te ovlasti. </w:t>
      </w:r>
    </w:p>
    <w:p w:rsidR="00A761A4" w:rsidRDefault="0064189B">
      <w:pPr>
        <w:pStyle w:val="ManualNumPar1"/>
        <w:rPr>
          <w:noProof/>
        </w:rPr>
      </w:pPr>
      <w:r>
        <w:t>3.</w:t>
      </w:r>
      <w:r>
        <w:tab/>
      </w:r>
      <w:r>
        <w:rPr>
          <w:noProof/>
        </w:rPr>
        <w:t>U iznimnim okolnostima Upravljački odbor može don</w:t>
      </w:r>
      <w:r>
        <w:rPr>
          <w:noProof/>
        </w:rPr>
        <w:t>ijeti odluku o privremenoj obustavi delegiranja ovlasti tijela nadležnog za imenovanja na izvršnog direktora i ovlasti koje je izvršni direktor dalje delegirao te ih izvršavati sam ili ih delegirati jednom od svojih članova ili zaposlenika koji nije izvršn</w:t>
      </w:r>
      <w:r>
        <w:rPr>
          <w:noProof/>
        </w:rPr>
        <w:t>i direktor.  </w:t>
      </w:r>
    </w:p>
    <w:p w:rsidR="00A761A4" w:rsidRDefault="00A761A4">
      <w:pPr>
        <w:rPr>
          <w:noProof/>
        </w:rPr>
      </w:pPr>
    </w:p>
    <w:p w:rsidR="00A761A4" w:rsidRDefault="0064189B">
      <w:pPr>
        <w:pStyle w:val="Titrearticle"/>
        <w:spacing w:before="0" w:after="0"/>
        <w:rPr>
          <w:rFonts w:eastAsia="Times New Roman"/>
          <w:b/>
          <w:i w:val="0"/>
          <w:noProof/>
        </w:rPr>
      </w:pPr>
      <w:r>
        <w:rPr>
          <w:noProof/>
        </w:rPr>
        <w:t>Članak 15.</w:t>
      </w:r>
      <w:r>
        <w:rPr>
          <w:noProof/>
        </w:rPr>
        <w:br/>
      </w:r>
      <w:r>
        <w:rPr>
          <w:b/>
          <w:noProof/>
        </w:rPr>
        <w:t>Predsjednik Upravljačkog odbora</w:t>
      </w:r>
    </w:p>
    <w:p w:rsidR="00A761A4" w:rsidRDefault="0064189B">
      <w:pPr>
        <w:spacing w:after="0"/>
        <w:rPr>
          <w:rFonts w:eastAsia="Times New Roman"/>
          <w:noProof/>
          <w:szCs w:val="24"/>
        </w:rPr>
      </w:pPr>
      <w:r>
        <w:rPr>
          <w:noProof/>
        </w:rPr>
        <w:t>Upravljački odbor dvotrećinskom većinom glasova bira predsjednika i zamjenika predsjednika iz redova svojih članova na razdoblje od četiri godine s mogućnošću ponovnog imenovanja. Međutim, ako njiho</w:t>
      </w:r>
      <w:r>
        <w:rPr>
          <w:noProof/>
        </w:rPr>
        <w:t>vo članstvo u Upravljačkom odboru prestane u bilo kojem trenutku trajanja njihovoga mandata, toga datuma automatski prestaje i njihov mandat. Zamjenik predsjednika po službenoj dužnosti zamjenjuje predsjednika ako predsjednik nije u mogućnosti obavljati sv</w:t>
      </w:r>
      <w:r>
        <w:rPr>
          <w:noProof/>
        </w:rPr>
        <w:t>oje zadaće.</w:t>
      </w:r>
    </w:p>
    <w:p w:rsidR="00A761A4" w:rsidRDefault="00A761A4">
      <w:pPr>
        <w:spacing w:after="0"/>
        <w:rPr>
          <w:rFonts w:eastAsia="Times New Roman"/>
          <w:noProof/>
          <w:szCs w:val="24"/>
        </w:rPr>
      </w:pPr>
    </w:p>
    <w:p w:rsidR="00A761A4" w:rsidRDefault="0064189B">
      <w:pPr>
        <w:pStyle w:val="Titrearticle"/>
        <w:spacing w:before="0" w:after="0"/>
        <w:rPr>
          <w:b/>
          <w:i w:val="0"/>
          <w:noProof/>
        </w:rPr>
      </w:pPr>
      <w:r>
        <w:rPr>
          <w:noProof/>
        </w:rPr>
        <w:t>Članak 16.</w:t>
      </w:r>
      <w:r>
        <w:rPr>
          <w:noProof/>
        </w:rPr>
        <w:br/>
      </w:r>
      <w:r>
        <w:rPr>
          <w:b/>
          <w:noProof/>
        </w:rPr>
        <w:t>Sastanci Upravljačkog odbora</w:t>
      </w:r>
    </w:p>
    <w:p w:rsidR="00A761A4" w:rsidRDefault="0064189B">
      <w:pPr>
        <w:pStyle w:val="ManualNumPar1"/>
        <w:rPr>
          <w:noProof/>
        </w:rPr>
      </w:pPr>
      <w:r>
        <w:t>1.</w:t>
      </w:r>
      <w:r>
        <w:tab/>
      </w:r>
      <w:r>
        <w:rPr>
          <w:noProof/>
        </w:rPr>
        <w:t>Sastanke Upravljačkog odbora saziva njegov predsjednik.</w:t>
      </w:r>
    </w:p>
    <w:p w:rsidR="00A761A4" w:rsidRDefault="0064189B">
      <w:pPr>
        <w:pStyle w:val="ManualNumPar1"/>
        <w:rPr>
          <w:noProof/>
        </w:rPr>
      </w:pPr>
      <w:r>
        <w:t>2.</w:t>
      </w:r>
      <w:r>
        <w:tab/>
      </w:r>
      <w:r>
        <w:rPr>
          <w:noProof/>
        </w:rPr>
        <w:t>Upravljački odbor održava najmanje dva redovna sastanka godišnje. Održava i izvanredne sastanke na zahtjev predsjednika, Komisije ili najmanj</w:t>
      </w:r>
      <w:r>
        <w:rPr>
          <w:noProof/>
        </w:rPr>
        <w:t>e jedne trećine svojih članova.</w:t>
      </w:r>
    </w:p>
    <w:p w:rsidR="00A761A4" w:rsidRDefault="0064189B">
      <w:pPr>
        <w:pStyle w:val="ManualNumPar1"/>
        <w:rPr>
          <w:noProof/>
        </w:rPr>
      </w:pPr>
      <w:r>
        <w:t>3.</w:t>
      </w:r>
      <w:r>
        <w:tab/>
      </w:r>
      <w:r>
        <w:rPr>
          <w:noProof/>
        </w:rPr>
        <w:t>Izvršni direktor sudjeluje na sastancima Upravljačkog odbora bez prava glasa.</w:t>
      </w:r>
    </w:p>
    <w:p w:rsidR="00A761A4" w:rsidRDefault="0064189B">
      <w:pPr>
        <w:pStyle w:val="ManualNumPar1"/>
        <w:rPr>
          <w:noProof/>
        </w:rPr>
      </w:pPr>
      <w:r>
        <w:t>4.</w:t>
      </w:r>
      <w:r>
        <w:tab/>
      </w:r>
      <w:r>
        <w:rPr>
          <w:noProof/>
        </w:rPr>
        <w:t>Članovi Stalne interesne skupine mogu na poziv predsjednika sudjelovati na sastancima Upravljačkog odbora, bez prava glasa.</w:t>
      </w:r>
    </w:p>
    <w:p w:rsidR="00A761A4" w:rsidRDefault="0064189B">
      <w:pPr>
        <w:pStyle w:val="ManualNumPar1"/>
        <w:rPr>
          <w:noProof/>
        </w:rPr>
      </w:pPr>
      <w:r>
        <w:t>5.</w:t>
      </w:r>
      <w:r>
        <w:tab/>
      </w:r>
      <w:r>
        <w:rPr>
          <w:noProof/>
        </w:rPr>
        <w:t xml:space="preserve">Članovima </w:t>
      </w:r>
      <w:r>
        <w:rPr>
          <w:noProof/>
        </w:rPr>
        <w:t>Upravljačkog odbora i njihovim zamjenicima na sastancima mogu, u skladu s njegovim Poslovnikom, pomagati savjetnici ili stručnjaci.</w:t>
      </w:r>
    </w:p>
    <w:p w:rsidR="00A761A4" w:rsidRDefault="0064189B">
      <w:pPr>
        <w:pStyle w:val="ManualNumPar1"/>
        <w:rPr>
          <w:noProof/>
        </w:rPr>
      </w:pPr>
      <w:r>
        <w:t>6.</w:t>
      </w:r>
      <w:r>
        <w:tab/>
      </w:r>
      <w:r>
        <w:rPr>
          <w:noProof/>
        </w:rPr>
        <w:t xml:space="preserve">Agencija Upravljačkom odboru osigurava tajništvo. </w:t>
      </w:r>
    </w:p>
    <w:p w:rsidR="00A761A4" w:rsidRDefault="00A761A4">
      <w:pPr>
        <w:spacing w:after="0"/>
        <w:rPr>
          <w:rFonts w:eastAsia="Times New Roman"/>
          <w:noProof/>
          <w:szCs w:val="24"/>
        </w:rPr>
      </w:pPr>
    </w:p>
    <w:p w:rsidR="00A761A4" w:rsidRDefault="0064189B">
      <w:pPr>
        <w:pStyle w:val="Titrearticle"/>
        <w:spacing w:before="0" w:after="0"/>
        <w:rPr>
          <w:rFonts w:eastAsia="Times New Roman"/>
          <w:b/>
          <w:i w:val="0"/>
          <w:noProof/>
        </w:rPr>
      </w:pPr>
      <w:r>
        <w:rPr>
          <w:noProof/>
        </w:rPr>
        <w:t>Članak 17.</w:t>
      </w:r>
      <w:r>
        <w:rPr>
          <w:noProof/>
        </w:rPr>
        <w:br/>
      </w:r>
      <w:r>
        <w:rPr>
          <w:b/>
          <w:noProof/>
        </w:rPr>
        <w:t>Pravila Upravljačkog odbora o glasovanju</w:t>
      </w:r>
    </w:p>
    <w:p w:rsidR="00A761A4" w:rsidRDefault="0064189B">
      <w:pPr>
        <w:pStyle w:val="ManualNumPar1"/>
        <w:rPr>
          <w:noProof/>
        </w:rPr>
      </w:pPr>
      <w:r>
        <w:t>1.</w:t>
      </w:r>
      <w:r>
        <w:tab/>
      </w:r>
      <w:r>
        <w:rPr>
          <w:noProof/>
        </w:rPr>
        <w:t>Upravljački od</w:t>
      </w:r>
      <w:r>
        <w:rPr>
          <w:noProof/>
        </w:rPr>
        <w:t>bor donosi svoje odluke većinom glasova svojih članova.</w:t>
      </w:r>
    </w:p>
    <w:p w:rsidR="00A761A4" w:rsidRDefault="0064189B">
      <w:pPr>
        <w:pStyle w:val="ManualNumPar1"/>
        <w:rPr>
          <w:noProof/>
        </w:rPr>
      </w:pPr>
      <w:r>
        <w:t>2.</w:t>
      </w:r>
      <w:r>
        <w:tab/>
      </w:r>
      <w:r>
        <w:rPr>
          <w:noProof/>
        </w:rPr>
        <w:t>Dvotrećinska većina glasova svih članova Upravljačkog odbora potrebna je za jedinstveni programski dokument, godišnji proračun, imenovanje izvršnog direktora te za produljenje njegova mandata ili n</w:t>
      </w:r>
      <w:r>
        <w:rPr>
          <w:noProof/>
        </w:rPr>
        <w:t>jegovo razrješenje dužnosti.</w:t>
      </w:r>
    </w:p>
    <w:p w:rsidR="00A761A4" w:rsidRDefault="0064189B">
      <w:pPr>
        <w:pStyle w:val="ManualNumPar1"/>
        <w:rPr>
          <w:noProof/>
        </w:rPr>
      </w:pPr>
      <w:r>
        <w:t>3.</w:t>
      </w:r>
      <w:r>
        <w:tab/>
      </w:r>
      <w:r>
        <w:rPr>
          <w:noProof/>
        </w:rPr>
        <w:t xml:space="preserve">Svaki član ima jedan glas. U odsutnosti člana ima pravo glasovati njegov zamjenik. </w:t>
      </w:r>
    </w:p>
    <w:p w:rsidR="00A761A4" w:rsidRDefault="0064189B">
      <w:pPr>
        <w:pStyle w:val="ManualNumPar1"/>
        <w:rPr>
          <w:noProof/>
        </w:rPr>
      </w:pPr>
      <w:r>
        <w:t>4.</w:t>
      </w:r>
      <w:r>
        <w:tab/>
      </w:r>
      <w:r>
        <w:rPr>
          <w:noProof/>
        </w:rPr>
        <w:t xml:space="preserve">Predsjednik sudjeluje u glasovanju. </w:t>
      </w:r>
    </w:p>
    <w:p w:rsidR="00A761A4" w:rsidRDefault="0064189B">
      <w:pPr>
        <w:pStyle w:val="ManualNumPar1"/>
        <w:rPr>
          <w:noProof/>
        </w:rPr>
      </w:pPr>
      <w:r>
        <w:t>5.</w:t>
      </w:r>
      <w:r>
        <w:tab/>
      </w:r>
      <w:r>
        <w:rPr>
          <w:noProof/>
        </w:rPr>
        <w:t>Izvršni direktor ne sudjeluje u glasovanju.</w:t>
      </w:r>
    </w:p>
    <w:p w:rsidR="00A761A4" w:rsidRDefault="0064189B">
      <w:pPr>
        <w:pStyle w:val="ManualNumPar1"/>
        <w:rPr>
          <w:noProof/>
        </w:rPr>
      </w:pPr>
      <w:r>
        <w:t>6.</w:t>
      </w:r>
      <w:r>
        <w:tab/>
      </w:r>
      <w:r>
        <w:rPr>
          <w:noProof/>
        </w:rPr>
        <w:t>Poslovnikom Upravljačkog odbora utvrđuju se detalj</w:t>
      </w:r>
      <w:r>
        <w:rPr>
          <w:noProof/>
        </w:rPr>
        <w:t xml:space="preserve">nija pravila glasovanja, osobito okolnosti u kojima jedan član može djelovati u ime drugog člana. </w:t>
      </w:r>
    </w:p>
    <w:p w:rsidR="00A761A4" w:rsidRDefault="00A761A4">
      <w:pPr>
        <w:spacing w:after="0"/>
        <w:rPr>
          <w:rFonts w:eastAsia="Times New Roman"/>
          <w:noProof/>
          <w:szCs w:val="24"/>
        </w:rPr>
      </w:pPr>
    </w:p>
    <w:p w:rsidR="00A761A4" w:rsidRDefault="0064189B">
      <w:pPr>
        <w:pStyle w:val="SectionTitle"/>
        <w:rPr>
          <w:rFonts w:eastAsia="Times New Roman"/>
          <w:noProof/>
        </w:rPr>
      </w:pPr>
      <w:bookmarkStart w:id="28" w:name="_Toc492216471"/>
      <w:r>
        <w:rPr>
          <w:noProof/>
        </w:rPr>
        <w:t>ODJELJAK 2.</w:t>
      </w:r>
      <w:r>
        <w:rPr>
          <w:noProof/>
        </w:rPr>
        <w:br/>
        <w:t>IZVRŠNI ODBOR</w:t>
      </w:r>
      <w:bookmarkEnd w:id="28"/>
    </w:p>
    <w:p w:rsidR="00A761A4" w:rsidRDefault="0064189B">
      <w:pPr>
        <w:pStyle w:val="Titrearticle"/>
        <w:spacing w:before="0" w:after="0"/>
        <w:rPr>
          <w:rFonts w:eastAsia="Times New Roman"/>
          <w:b/>
          <w:i w:val="0"/>
          <w:noProof/>
        </w:rPr>
      </w:pPr>
      <w:r>
        <w:rPr>
          <w:noProof/>
        </w:rPr>
        <w:t>Članak 18.</w:t>
      </w:r>
      <w:r>
        <w:rPr>
          <w:noProof/>
        </w:rPr>
        <w:br/>
      </w:r>
      <w:r>
        <w:rPr>
          <w:b/>
          <w:noProof/>
        </w:rPr>
        <w:t>Izvršni odbor</w:t>
      </w:r>
    </w:p>
    <w:p w:rsidR="00A761A4" w:rsidRDefault="0064189B">
      <w:pPr>
        <w:pStyle w:val="ManualNumPar1"/>
        <w:rPr>
          <w:noProof/>
        </w:rPr>
      </w:pPr>
      <w:r>
        <w:t>1.</w:t>
      </w:r>
      <w:r>
        <w:tab/>
      </w:r>
      <w:r>
        <w:rPr>
          <w:noProof/>
        </w:rPr>
        <w:t>Izvršni odbor pomaže Upravljačkom odboru.</w:t>
      </w:r>
    </w:p>
    <w:p w:rsidR="00A761A4" w:rsidRDefault="0064189B">
      <w:pPr>
        <w:pStyle w:val="ManualNumPar1"/>
        <w:rPr>
          <w:noProof/>
        </w:rPr>
      </w:pPr>
      <w:r>
        <w:t>2.</w:t>
      </w:r>
      <w:r>
        <w:tab/>
      </w:r>
      <w:r>
        <w:rPr>
          <w:noProof/>
        </w:rPr>
        <w:t>Izvršni odbor obavlja sljedeće:</w:t>
      </w:r>
    </w:p>
    <w:p w:rsidR="00A761A4" w:rsidRDefault="0064189B">
      <w:pPr>
        <w:pStyle w:val="Point1letter"/>
        <w:numPr>
          <w:ilvl w:val="3"/>
          <w:numId w:val="65"/>
        </w:numPr>
        <w:rPr>
          <w:noProof/>
        </w:rPr>
      </w:pPr>
      <w:r>
        <w:rPr>
          <w:noProof/>
        </w:rPr>
        <w:t xml:space="preserve">priprema odluke koje donosi Upravljački odbor; </w:t>
      </w:r>
    </w:p>
    <w:p w:rsidR="00A761A4" w:rsidRDefault="0064189B">
      <w:pPr>
        <w:pStyle w:val="Point1letter"/>
        <w:numPr>
          <w:ilvl w:val="3"/>
          <w:numId w:val="65"/>
        </w:numPr>
        <w:rPr>
          <w:noProof/>
        </w:rPr>
      </w:pPr>
      <w:r>
        <w:rPr>
          <w:noProof/>
        </w:rPr>
        <w:t>osigurava, zajedno s Upravljačkim odborom, prikladno praćenje nalaza i preporuka proizišlih iz istraga OLAF-a i različitih unutarnjih ili vanjskih izvješća o reviziji i ocjenjivanja;</w:t>
      </w:r>
    </w:p>
    <w:p w:rsidR="00A761A4" w:rsidRDefault="0064189B">
      <w:pPr>
        <w:pStyle w:val="Point1letter"/>
        <w:numPr>
          <w:ilvl w:val="3"/>
          <w:numId w:val="65"/>
        </w:numPr>
        <w:rPr>
          <w:noProof/>
        </w:rPr>
      </w:pPr>
      <w:r>
        <w:rPr>
          <w:noProof/>
        </w:rPr>
        <w:t>ne dovodeći u pitanje odg</w:t>
      </w:r>
      <w:r>
        <w:rPr>
          <w:noProof/>
        </w:rPr>
        <w:t>ovornosti izvršnog direktora koje su utvrđene u članku 19., pruža pomoć i savjete izvršnom direktoru u provedbi odluka Upravljačkog odbora o upravnim i proračunskim pitanjima, u skladu s člankom 19.</w:t>
      </w:r>
    </w:p>
    <w:p w:rsidR="00A761A4" w:rsidRDefault="0064189B">
      <w:pPr>
        <w:pStyle w:val="ManualNumPar1"/>
        <w:rPr>
          <w:noProof/>
        </w:rPr>
      </w:pPr>
      <w:r>
        <w:t>3.</w:t>
      </w:r>
      <w:r>
        <w:tab/>
      </w:r>
      <w:r>
        <w:rPr>
          <w:noProof/>
        </w:rPr>
        <w:t xml:space="preserve">Izvršni odbor sastavljen je od pet članova imenovanih </w:t>
      </w:r>
      <w:r>
        <w:rPr>
          <w:noProof/>
        </w:rPr>
        <w:t>iz redova članova Upravljačkog odbora, uključujući predsjednika Upravljačkog odbora koji može i predsjedati Izvršnim odborom, a jedan od članova predstavnik je Komisije. Izvršni direktor sudjeluje na sastancima Izvršnog odbora, ali nema pravo glasa.</w:t>
      </w:r>
    </w:p>
    <w:p w:rsidR="00A761A4" w:rsidRDefault="0064189B">
      <w:pPr>
        <w:pStyle w:val="ManualNumPar1"/>
        <w:rPr>
          <w:noProof/>
        </w:rPr>
      </w:pPr>
      <w:r>
        <w:t>4.</w:t>
      </w:r>
      <w:r>
        <w:tab/>
      </w:r>
      <w:r>
        <w:rPr>
          <w:noProof/>
        </w:rPr>
        <w:t>Man</w:t>
      </w:r>
      <w:r>
        <w:rPr>
          <w:noProof/>
        </w:rPr>
        <w:t>dat članova Izvršnog odbora traje četiri godine.  Taj se mandat može produljiti.</w:t>
      </w:r>
    </w:p>
    <w:p w:rsidR="00A761A4" w:rsidRDefault="0064189B">
      <w:pPr>
        <w:pStyle w:val="ManualNumPar1"/>
        <w:rPr>
          <w:noProof/>
        </w:rPr>
      </w:pPr>
      <w:r>
        <w:t>5.</w:t>
      </w:r>
      <w:r>
        <w:tab/>
      </w:r>
      <w:r>
        <w:rPr>
          <w:noProof/>
        </w:rPr>
        <w:t>Izvršni se odbor sastaje najmanje jednom u tri mjeseca. Predsjednik Izvršnog odbora saziva dodatne sastanke na zahtjev članova Izvršnog odbora.</w:t>
      </w:r>
    </w:p>
    <w:p w:rsidR="00A761A4" w:rsidRDefault="0064189B">
      <w:pPr>
        <w:pStyle w:val="ManualNumPar1"/>
        <w:rPr>
          <w:noProof/>
        </w:rPr>
      </w:pPr>
      <w:r>
        <w:t>6.</w:t>
      </w:r>
      <w:r>
        <w:tab/>
      </w:r>
      <w:r>
        <w:rPr>
          <w:noProof/>
        </w:rPr>
        <w:t xml:space="preserve">Upravljački odbor donosi </w:t>
      </w:r>
      <w:r>
        <w:rPr>
          <w:noProof/>
        </w:rPr>
        <w:t>poslovnik Izvršnog odbora.</w:t>
      </w:r>
    </w:p>
    <w:p w:rsidR="00A761A4" w:rsidRDefault="0064189B">
      <w:pPr>
        <w:pStyle w:val="ManualNumPar1"/>
        <w:rPr>
          <w:noProof/>
        </w:rPr>
      </w:pPr>
      <w:r>
        <w:t>7.</w:t>
      </w:r>
      <w:r>
        <w:tab/>
      </w:r>
      <w:r>
        <w:rPr>
          <w:noProof/>
        </w:rPr>
        <w:t>Prema potrebi, Izvršni odbor može u slučaju hitnosti donijeti određene privremene odluke u ime Upravljačkog odbora, osobito o pitanjima povezanima s administrativnim upravljanjem, uključujući obustavu delegiranja ovlasti tijel</w:t>
      </w:r>
      <w:r>
        <w:rPr>
          <w:noProof/>
        </w:rPr>
        <w:t>a nadležnog za imenovanja, i o proračunskim pitanjima.</w:t>
      </w:r>
    </w:p>
    <w:p w:rsidR="00A761A4" w:rsidRDefault="00A761A4">
      <w:pPr>
        <w:rPr>
          <w:noProof/>
        </w:rPr>
      </w:pPr>
    </w:p>
    <w:p w:rsidR="00A761A4" w:rsidRDefault="0064189B">
      <w:pPr>
        <w:pStyle w:val="SectionTitle"/>
        <w:rPr>
          <w:noProof/>
        </w:rPr>
      </w:pPr>
      <w:bookmarkStart w:id="29" w:name="_Toc492216472"/>
      <w:r>
        <w:rPr>
          <w:noProof/>
        </w:rPr>
        <w:t>ODJELJAK 3.</w:t>
      </w:r>
      <w:r>
        <w:rPr>
          <w:noProof/>
        </w:rPr>
        <w:br/>
        <w:t>IZVRŠNI DIREKTOR</w:t>
      </w:r>
      <w:bookmarkEnd w:id="29"/>
    </w:p>
    <w:p w:rsidR="00A761A4" w:rsidRDefault="0064189B">
      <w:pPr>
        <w:pStyle w:val="Titrearticle"/>
        <w:spacing w:before="0" w:after="0"/>
        <w:rPr>
          <w:rFonts w:eastAsia="Times New Roman"/>
          <w:b/>
          <w:i w:val="0"/>
          <w:noProof/>
        </w:rPr>
      </w:pPr>
      <w:r>
        <w:rPr>
          <w:noProof/>
        </w:rPr>
        <w:t>Članak 19.</w:t>
      </w:r>
      <w:r>
        <w:rPr>
          <w:noProof/>
        </w:rPr>
        <w:br/>
      </w:r>
      <w:r>
        <w:rPr>
          <w:b/>
          <w:noProof/>
        </w:rPr>
        <w:t>Odgovornosti izvršnog direktora</w:t>
      </w:r>
    </w:p>
    <w:p w:rsidR="00A761A4" w:rsidRDefault="0064189B">
      <w:pPr>
        <w:pStyle w:val="ManualNumPar1"/>
        <w:rPr>
          <w:noProof/>
        </w:rPr>
      </w:pPr>
      <w:r>
        <w:t>1.</w:t>
      </w:r>
      <w:r>
        <w:tab/>
      </w:r>
      <w:r>
        <w:rPr>
          <w:noProof/>
        </w:rPr>
        <w:t>Agencijom upravlja izvršni direktor koji je neovisan u obavljanju svojih dužnosti. Izvršni direktor odgovara Upravljačkom odb</w:t>
      </w:r>
      <w:r>
        <w:rPr>
          <w:noProof/>
        </w:rPr>
        <w:t>oru.</w:t>
      </w:r>
    </w:p>
    <w:p w:rsidR="00A761A4" w:rsidRDefault="0064189B">
      <w:pPr>
        <w:pStyle w:val="ManualNumPar1"/>
        <w:rPr>
          <w:noProof/>
        </w:rPr>
      </w:pPr>
      <w:r>
        <w:t>2.</w:t>
      </w:r>
      <w:r>
        <w:tab/>
      </w:r>
      <w:r>
        <w:rPr>
          <w:noProof/>
        </w:rPr>
        <w:t>Izvršni direktor izvješćuje Europski parlament o izvršavanju svojih dužnosti kada ga se pozove da to učini. Vijeće može pozvati izvršnog direktora da ga izvijesti o izvršavanju svojih dužnosti.</w:t>
      </w:r>
    </w:p>
    <w:p w:rsidR="00A761A4" w:rsidRDefault="0064189B">
      <w:pPr>
        <w:pStyle w:val="ManualNumPar1"/>
        <w:rPr>
          <w:noProof/>
        </w:rPr>
      </w:pPr>
      <w:r>
        <w:t>3.</w:t>
      </w:r>
      <w:r>
        <w:tab/>
      </w:r>
      <w:r>
        <w:rPr>
          <w:noProof/>
        </w:rPr>
        <w:t>Izvršni direktor odgovoran je za sljedeće:</w:t>
      </w:r>
    </w:p>
    <w:p w:rsidR="00A761A4" w:rsidRDefault="0064189B">
      <w:pPr>
        <w:pStyle w:val="Point3letter"/>
        <w:rPr>
          <w:noProof/>
        </w:rPr>
      </w:pPr>
      <w:r>
        <w:rPr>
          <w:noProof/>
        </w:rPr>
        <w:t>svakodne</w:t>
      </w:r>
      <w:r>
        <w:rPr>
          <w:noProof/>
        </w:rPr>
        <w:t>vno upravljanje Agencijom;</w:t>
      </w:r>
    </w:p>
    <w:p w:rsidR="00A761A4" w:rsidRDefault="0064189B">
      <w:pPr>
        <w:pStyle w:val="Point3letter"/>
        <w:rPr>
          <w:noProof/>
        </w:rPr>
      </w:pPr>
      <w:r>
        <w:rPr>
          <w:noProof/>
        </w:rPr>
        <w:t>provedbu odluka koje je donio Upravljački odbor;</w:t>
      </w:r>
    </w:p>
    <w:p w:rsidR="00A761A4" w:rsidRDefault="0064189B">
      <w:pPr>
        <w:pStyle w:val="Point3letter"/>
        <w:rPr>
          <w:noProof/>
        </w:rPr>
      </w:pPr>
      <w:r>
        <w:rPr>
          <w:noProof/>
        </w:rPr>
        <w:t>izradu nacrta jedinstvenog programskog dokumenta i njegovo podnošenje Upravljačkom odboru na odobrenje prije podnošenja Komisiji;</w:t>
      </w:r>
    </w:p>
    <w:p w:rsidR="00A761A4" w:rsidRDefault="0064189B">
      <w:pPr>
        <w:pStyle w:val="Point3letter"/>
        <w:rPr>
          <w:noProof/>
        </w:rPr>
      </w:pPr>
      <w:r>
        <w:rPr>
          <w:noProof/>
        </w:rPr>
        <w:t xml:space="preserve">provedbu jedinstvenog programskog dokumenta i </w:t>
      </w:r>
      <w:r>
        <w:rPr>
          <w:noProof/>
        </w:rPr>
        <w:t>izvješćivanje Upravljačkog odbora o njegovoj provedbi;</w:t>
      </w:r>
    </w:p>
    <w:p w:rsidR="00A761A4" w:rsidRDefault="0064189B">
      <w:pPr>
        <w:pStyle w:val="Point3letter"/>
        <w:rPr>
          <w:noProof/>
        </w:rPr>
      </w:pPr>
      <w:r>
        <w:rPr>
          <w:noProof/>
        </w:rPr>
        <w:t>izradu konsolidiranog godišnjeg izvješća o aktivnostima Agencije i njegovo dostavljanje Upravljačkom odboru na ocjenu i donošenje;</w:t>
      </w:r>
    </w:p>
    <w:p w:rsidR="00A761A4" w:rsidRDefault="0064189B">
      <w:pPr>
        <w:pStyle w:val="Point3letter"/>
        <w:rPr>
          <w:noProof/>
        </w:rPr>
      </w:pPr>
      <w:r>
        <w:rPr>
          <w:noProof/>
        </w:rPr>
        <w:t xml:space="preserve">izradu akcijskog plana na temelju zaključaka naknadnog ocjenjivanja i </w:t>
      </w:r>
      <w:r>
        <w:rPr>
          <w:noProof/>
        </w:rPr>
        <w:t>izvješćivanje Komisije o napretku svake dvije godine;</w:t>
      </w:r>
    </w:p>
    <w:p w:rsidR="00A761A4" w:rsidRDefault="0064189B">
      <w:pPr>
        <w:pStyle w:val="Point3letter"/>
        <w:rPr>
          <w:noProof/>
        </w:rPr>
      </w:pPr>
      <w:r>
        <w:rPr>
          <w:noProof/>
        </w:rPr>
        <w:t>izradu akcijskog plana na temelju zaključaka iz izvješća o unutarnjoj ili vanjskoj reviziji i istraga Europskog ureda za borbu protiv prijevara (OLAF) i izvješćivanje Komisije o napretku dva puta godišn</w:t>
      </w:r>
      <w:r>
        <w:rPr>
          <w:noProof/>
        </w:rPr>
        <w:t>je te redovito izvješćivanje Upravljačkog odbora;</w:t>
      </w:r>
    </w:p>
    <w:p w:rsidR="00A761A4" w:rsidRDefault="0064189B">
      <w:pPr>
        <w:pStyle w:val="Point3letter"/>
        <w:rPr>
          <w:noProof/>
        </w:rPr>
      </w:pPr>
      <w:r>
        <w:rPr>
          <w:noProof/>
        </w:rPr>
        <w:t>izradu nacrta financijskih pravila koja se primjenjuju na Agenciju;</w:t>
      </w:r>
    </w:p>
    <w:p w:rsidR="00A761A4" w:rsidRDefault="0064189B">
      <w:pPr>
        <w:pStyle w:val="Point3letter"/>
        <w:rPr>
          <w:noProof/>
        </w:rPr>
      </w:pPr>
      <w:r>
        <w:rPr>
          <w:noProof/>
        </w:rPr>
        <w:t>izradu nacrta izvješća Agencije o procjeni prihoda i rashoda i izvršenje njezina proračuna;</w:t>
      </w:r>
    </w:p>
    <w:p w:rsidR="00A761A4" w:rsidRDefault="0064189B">
      <w:pPr>
        <w:pStyle w:val="Point3letter"/>
        <w:rPr>
          <w:noProof/>
        </w:rPr>
      </w:pPr>
      <w:r>
        <w:rPr>
          <w:noProof/>
        </w:rPr>
        <w:t xml:space="preserve">zaštitu financijskih interesa Unije primjenom </w:t>
      </w:r>
      <w:r>
        <w:rPr>
          <w:noProof/>
        </w:rPr>
        <w:t>preventivnih mjera za borbu protiv prijevara, korupcije i drugih nezakonitih aktivnosti, izvršavanjem djelotvornih provjera i, ako se otkriju nepravilnosti, povratom nepropisno isplaćenih iznosa i, prema potrebi, izricanjem djelotvornih, razmjernih i odvra</w:t>
      </w:r>
      <w:r>
        <w:rPr>
          <w:noProof/>
        </w:rPr>
        <w:t>ćajućih administrativnih i novčanih kazni;</w:t>
      </w:r>
    </w:p>
    <w:p w:rsidR="00A761A4" w:rsidRDefault="0064189B">
      <w:pPr>
        <w:pStyle w:val="Point3letter"/>
        <w:rPr>
          <w:noProof/>
        </w:rPr>
      </w:pPr>
      <w:r>
        <w:rPr>
          <w:noProof/>
        </w:rPr>
        <w:t>izradu strategije Agencije za borbu protiv prijevara i njezino podnošenje Upravljačkom odboru na odobrenje;</w:t>
      </w:r>
    </w:p>
    <w:p w:rsidR="00A761A4" w:rsidRDefault="0064189B">
      <w:pPr>
        <w:pStyle w:val="Point3letter"/>
        <w:rPr>
          <w:noProof/>
        </w:rPr>
      </w:pPr>
      <w:r>
        <w:rPr>
          <w:noProof/>
        </w:rPr>
        <w:t xml:space="preserve">uspostavljanje i održavanje kontakta s poslovnom zajednicom i organizacijama potrošača radi osiguravanja </w:t>
      </w:r>
      <w:r>
        <w:rPr>
          <w:noProof/>
        </w:rPr>
        <w:t>redovitog dijaloga s relevantnim dionicima;</w:t>
      </w:r>
    </w:p>
    <w:p w:rsidR="00A761A4" w:rsidRDefault="0064189B">
      <w:pPr>
        <w:pStyle w:val="Point3letter"/>
        <w:rPr>
          <w:noProof/>
        </w:rPr>
      </w:pPr>
      <w:r>
        <w:rPr>
          <w:noProof/>
        </w:rPr>
        <w:t xml:space="preserve"> druge zadaće dodijeljene izvršnom direktoru ovom Uredbom.</w:t>
      </w:r>
    </w:p>
    <w:p w:rsidR="00A761A4" w:rsidRDefault="0064189B">
      <w:pPr>
        <w:pStyle w:val="ManualNumPar1"/>
        <w:rPr>
          <w:noProof/>
        </w:rPr>
      </w:pPr>
      <w:r>
        <w:t>4.</w:t>
      </w:r>
      <w:r>
        <w:tab/>
      </w:r>
      <w:r>
        <w:rPr>
          <w:noProof/>
        </w:rPr>
        <w:t xml:space="preserve">Prema potrebi i u okviru mandata Agencije te u skladu s ciljevima i zadaćama Agencije, izvršni direktor može osnovati </w:t>
      </w:r>
      <w:r>
        <w:rPr>
          <w:i/>
          <w:noProof/>
        </w:rPr>
        <w:t>ad hoc</w:t>
      </w:r>
      <w:r>
        <w:rPr>
          <w:noProof/>
        </w:rPr>
        <w:t xml:space="preserve"> radne skupine sastavljene</w:t>
      </w:r>
      <w:r>
        <w:rPr>
          <w:noProof/>
        </w:rPr>
        <w:t xml:space="preserve"> od stručnjaka, uključujući stručnjake iz nadležnih tijela država članica. Upravljački odbor mora biti unaprijed obaviješten. Postupci koji se odnose posebno na sastav radnih skupina, imenovanje stručnjaka u radne skupine koje obavlja izvršni direktor i ra</w:t>
      </w:r>
      <w:r>
        <w:rPr>
          <w:noProof/>
        </w:rPr>
        <w:t>d radnih skupina utvrđuju se unutarnjim pravilnikom o radu Agencije.</w:t>
      </w:r>
    </w:p>
    <w:p w:rsidR="00A761A4" w:rsidRDefault="0064189B">
      <w:pPr>
        <w:pStyle w:val="ManualNumPar1"/>
        <w:rPr>
          <w:noProof/>
        </w:rPr>
      </w:pPr>
      <w:r>
        <w:t>5.</w:t>
      </w:r>
      <w:r>
        <w:tab/>
      </w:r>
      <w:r>
        <w:rPr>
          <w:noProof/>
        </w:rPr>
        <w:t>Izvršni direktor odlučuje o tome je li, radi učinkovitog i djelotvornog obavljanja zadaća Agencije, potrebno postaviti osoblje u jednu državu članicu ili više njih. Prije nego što done</w:t>
      </w:r>
      <w:r>
        <w:rPr>
          <w:noProof/>
        </w:rPr>
        <w:t>se odluku o osnivanju lokalnog ureda izvršni direktor mora dobiti prethodnu suglasnost Komisije, Upravljačkog odbora i dotične države članice odnosno dotičnih država članica. U toj se odluci utvrđuje opseg aktivnosti koje će obavljati taj lokalni ured na n</w:t>
      </w:r>
      <w:r>
        <w:rPr>
          <w:noProof/>
        </w:rPr>
        <w:t>ačin da se izbjegnu nepotrebni troškovi i udvostručavanje administrativnih zadaća Agencije. Kada je to prikladno ili potrebno, postiže se dogovor s dotičnim državama članicama.</w:t>
      </w:r>
    </w:p>
    <w:p w:rsidR="00A761A4" w:rsidRDefault="00A761A4">
      <w:pPr>
        <w:rPr>
          <w:noProof/>
        </w:rPr>
      </w:pPr>
    </w:p>
    <w:p w:rsidR="00A761A4" w:rsidRDefault="0064189B">
      <w:pPr>
        <w:pStyle w:val="SectionTitle"/>
        <w:rPr>
          <w:noProof/>
        </w:rPr>
      </w:pPr>
      <w:bookmarkStart w:id="30" w:name="_Toc492216473"/>
      <w:r>
        <w:rPr>
          <w:noProof/>
        </w:rPr>
        <w:t>ODJELJAK 4.</w:t>
      </w:r>
      <w:r>
        <w:rPr>
          <w:noProof/>
        </w:rPr>
        <w:br/>
        <w:t>STALNA INTERESNA SKUPINA</w:t>
      </w:r>
      <w:bookmarkEnd w:id="30"/>
    </w:p>
    <w:p w:rsidR="00A761A4" w:rsidRDefault="0064189B">
      <w:pPr>
        <w:pStyle w:val="Titrearticle"/>
        <w:spacing w:before="0" w:after="0"/>
        <w:rPr>
          <w:rFonts w:eastAsia="Times New Roman"/>
          <w:b/>
          <w:i w:val="0"/>
          <w:noProof/>
        </w:rPr>
      </w:pPr>
      <w:r>
        <w:rPr>
          <w:noProof/>
        </w:rPr>
        <w:t>Članak 20.</w:t>
      </w:r>
      <w:r>
        <w:rPr>
          <w:noProof/>
        </w:rPr>
        <w:br/>
      </w:r>
      <w:r>
        <w:rPr>
          <w:b/>
          <w:noProof/>
        </w:rPr>
        <w:t>Stalna interesna skupina</w:t>
      </w:r>
    </w:p>
    <w:p w:rsidR="00A761A4" w:rsidRDefault="0064189B">
      <w:pPr>
        <w:pStyle w:val="ManualNumPar1"/>
        <w:rPr>
          <w:noProof/>
        </w:rPr>
      </w:pPr>
      <w:r>
        <w:t>1.</w:t>
      </w:r>
      <w:r>
        <w:tab/>
      </w:r>
      <w:r>
        <w:rPr>
          <w:noProof/>
        </w:rPr>
        <w:t>Up</w:t>
      </w:r>
      <w:r>
        <w:rPr>
          <w:noProof/>
        </w:rPr>
        <w:t>ravljački odbor, djelujući na prijedlog izvršnog direktora, osniva Stalnu interesnu skupinu sastavljenu od priznatih stručnjaka koji zastupaju relevantne interesne skupine, kao što su IKT industrija, pružatelji elektroničkih komunikacijskih mreža ili uslug</w:t>
      </w:r>
      <w:r>
        <w:rPr>
          <w:noProof/>
        </w:rPr>
        <w:t xml:space="preserve">a dostupnih javnosti, skupine potrošača, akademski stručnjaci za kibersigurnost i predstavnici nadležnih tijela prijavljenih u skladu s [Direktivom o Europskom zakoniku elektroničkih komunikacija] te od tijela za izvršenje zakonodavstva i tijela za nadzor </w:t>
      </w:r>
      <w:r>
        <w:rPr>
          <w:noProof/>
        </w:rPr>
        <w:t>zaštite podataka.</w:t>
      </w:r>
    </w:p>
    <w:p w:rsidR="00A761A4" w:rsidRDefault="0064189B">
      <w:pPr>
        <w:pStyle w:val="ManualNumPar1"/>
        <w:rPr>
          <w:noProof/>
        </w:rPr>
      </w:pPr>
      <w:r>
        <w:t>2.</w:t>
      </w:r>
      <w:r>
        <w:tab/>
      </w:r>
      <w:r>
        <w:rPr>
          <w:noProof/>
        </w:rPr>
        <w:t>Postupci koji se odnose na Stalnu interesnu skupinu, posebno u pogledu broja, sastava i imenovanja njezinih članova od strane Upravljačkog odbora, prijedlog izvršnog direktora i rad Skupine utvrđuju se u unutarnjem pravilniku o radu Ag</w:t>
      </w:r>
      <w:r>
        <w:rPr>
          <w:noProof/>
        </w:rPr>
        <w:t>encije te se objavljuju.</w:t>
      </w:r>
    </w:p>
    <w:p w:rsidR="00A761A4" w:rsidRDefault="0064189B">
      <w:pPr>
        <w:pStyle w:val="ManualNumPar1"/>
        <w:rPr>
          <w:noProof/>
        </w:rPr>
      </w:pPr>
      <w:r>
        <w:t>3.</w:t>
      </w:r>
      <w:r>
        <w:tab/>
      </w:r>
      <w:r>
        <w:rPr>
          <w:noProof/>
        </w:rPr>
        <w:t>Stalnom interesnom skupinom predsjeda izvršni direktor ili bilo koja osoba koju,zasebno za svaki slučaj, imenuje izvršni direktor.</w:t>
      </w:r>
    </w:p>
    <w:p w:rsidR="00A761A4" w:rsidRDefault="0064189B">
      <w:pPr>
        <w:pStyle w:val="ManualNumPar1"/>
        <w:rPr>
          <w:noProof/>
        </w:rPr>
      </w:pPr>
      <w:r>
        <w:t>4.</w:t>
      </w:r>
      <w:r>
        <w:tab/>
      </w:r>
      <w:r>
        <w:rPr>
          <w:noProof/>
        </w:rPr>
        <w:t xml:space="preserve">Mandat članova Stalne interesne skupine traje dvije i pol godine. Članovi Upravljačkog odbora </w:t>
      </w:r>
      <w:r>
        <w:rPr>
          <w:noProof/>
        </w:rPr>
        <w:t>ne mogu biti članovi Stalne interesne skupine. Stručnjaci Komisije i država članica imaju pravo nazočiti sjednicama Stalne interesne skupine i sudjelovati u njezinu radu. Na sastanke Stalne interesne skupine i sudjelovanje u njezinu radu mogu se pozvati pr</w:t>
      </w:r>
      <w:r>
        <w:rPr>
          <w:noProof/>
        </w:rPr>
        <w:t>edstavnici drugih tijela koja izvršni direktor smatra relevantnima koji nisu članovi Stalne interesne skupine.</w:t>
      </w:r>
    </w:p>
    <w:p w:rsidR="00A761A4" w:rsidRDefault="0064189B">
      <w:pPr>
        <w:pStyle w:val="ManualNumPar1"/>
        <w:rPr>
          <w:noProof/>
        </w:rPr>
      </w:pPr>
      <w:r>
        <w:t>5.</w:t>
      </w:r>
      <w:r>
        <w:tab/>
      </w:r>
      <w:r>
        <w:rPr>
          <w:noProof/>
        </w:rPr>
        <w:t>Stalna interesna skupina savjetuje Agenciju u vezi s obavljanjem njezinih aktivnosti. Ona posebno savjetuje izvršnog direktora u vezi s izrado</w:t>
      </w:r>
      <w:r>
        <w:rPr>
          <w:noProof/>
        </w:rPr>
        <w:t>m prijedloga programa rada Agencije i osiguravanjem komunikacije s relevantnim interesnim skupinama o svim pitanjima koja se odnose na program rada.</w:t>
      </w:r>
    </w:p>
    <w:p w:rsidR="00A761A4" w:rsidRDefault="00A761A4">
      <w:pPr>
        <w:rPr>
          <w:noProof/>
        </w:rPr>
      </w:pPr>
    </w:p>
    <w:p w:rsidR="00A761A4" w:rsidRDefault="0064189B">
      <w:pPr>
        <w:pStyle w:val="SectionTitle"/>
        <w:rPr>
          <w:rFonts w:eastAsia="Times New Roman"/>
          <w:noProof/>
        </w:rPr>
      </w:pPr>
      <w:bookmarkStart w:id="31" w:name="_Toc492216474"/>
      <w:r>
        <w:rPr>
          <w:noProof/>
        </w:rPr>
        <w:t>ODJELJAK 5.</w:t>
      </w:r>
      <w:r>
        <w:rPr>
          <w:noProof/>
        </w:rPr>
        <w:br/>
        <w:t>RAD</w:t>
      </w:r>
      <w:bookmarkEnd w:id="31"/>
    </w:p>
    <w:p w:rsidR="00A761A4" w:rsidRDefault="0064189B">
      <w:pPr>
        <w:pStyle w:val="Titrearticle"/>
        <w:spacing w:before="0" w:after="0"/>
        <w:rPr>
          <w:rFonts w:eastAsia="Times New Roman"/>
          <w:b/>
          <w:i w:val="0"/>
          <w:noProof/>
        </w:rPr>
      </w:pPr>
      <w:r>
        <w:rPr>
          <w:noProof/>
        </w:rPr>
        <w:t>Članak 21.</w:t>
      </w:r>
      <w:r>
        <w:rPr>
          <w:noProof/>
        </w:rPr>
        <w:br/>
      </w:r>
      <w:r>
        <w:rPr>
          <w:b/>
          <w:noProof/>
        </w:rPr>
        <w:t xml:space="preserve">Jedinstveni programski dokument </w:t>
      </w:r>
    </w:p>
    <w:p w:rsidR="00A761A4" w:rsidRDefault="0064189B">
      <w:pPr>
        <w:pStyle w:val="ManualNumPar1"/>
        <w:rPr>
          <w:noProof/>
        </w:rPr>
      </w:pPr>
      <w:r>
        <w:t>1.</w:t>
      </w:r>
      <w:r>
        <w:tab/>
      </w:r>
      <w:r>
        <w:rPr>
          <w:noProof/>
        </w:rPr>
        <w:t>Agencija obavlja poslove u skladu s jedinst</w:t>
      </w:r>
      <w:r>
        <w:rPr>
          <w:noProof/>
        </w:rPr>
        <w:t>venim programskim dokumentom koji sadržava njezine višegodišnje i godišnje programe koji uključuju sve njezine planirane aktivnosti.</w:t>
      </w:r>
    </w:p>
    <w:p w:rsidR="00A761A4" w:rsidRDefault="0064189B">
      <w:pPr>
        <w:pStyle w:val="ManualNumPar1"/>
        <w:rPr>
          <w:noProof/>
        </w:rPr>
      </w:pPr>
      <w:r>
        <w:t>2.</w:t>
      </w:r>
      <w:r>
        <w:tab/>
      </w:r>
      <w:r>
        <w:rPr>
          <w:noProof/>
        </w:rPr>
        <w:t>Izvršni direktor svake godine izrađuje nacrt jedinstvenog programskog dokumenta koji sadržava višegodišnje i godišnje pr</w:t>
      </w:r>
      <w:r>
        <w:rPr>
          <w:noProof/>
        </w:rPr>
        <w:t>ograme s odgovarajućim planovima u pogledu ljudskih i financijskih resursa u skladu s člankom 32. Delegirane uredbe Komisije (EU) br. 1271/2013</w:t>
      </w:r>
      <w:r>
        <w:rPr>
          <w:rStyle w:val="FootnoteReference"/>
          <w:noProof/>
        </w:rPr>
        <w:footnoteReference w:id="37"/>
      </w:r>
      <w:r>
        <w:rPr>
          <w:noProof/>
        </w:rPr>
        <w:t xml:space="preserve"> i uzimajući u obzir smjernice koje je utvrdila Komisija.</w:t>
      </w:r>
    </w:p>
    <w:p w:rsidR="00A761A4" w:rsidRDefault="0064189B">
      <w:pPr>
        <w:pStyle w:val="ManualNumPar1"/>
        <w:rPr>
          <w:noProof/>
        </w:rPr>
      </w:pPr>
      <w:r>
        <w:t>3.</w:t>
      </w:r>
      <w:r>
        <w:tab/>
      </w:r>
      <w:r>
        <w:rPr>
          <w:noProof/>
        </w:rPr>
        <w:t>Upravljački odbor donosi jedinstveni programski dok</w:t>
      </w:r>
      <w:r>
        <w:rPr>
          <w:noProof/>
        </w:rPr>
        <w:t>ument iz stavka 1. do 30. studenoga svake godine te ga do 31. siječnja sljedeće godine šalje Europskom parlamentu, Vijeću i Komisiji, kao i sve kasnije ažurirane verzije tog dokumenta.</w:t>
      </w:r>
    </w:p>
    <w:p w:rsidR="00A761A4" w:rsidRDefault="0064189B">
      <w:pPr>
        <w:pStyle w:val="ManualNumPar1"/>
        <w:rPr>
          <w:noProof/>
        </w:rPr>
      </w:pPr>
      <w:r>
        <w:t>4.</w:t>
      </w:r>
      <w:r>
        <w:tab/>
      </w:r>
      <w:r>
        <w:rPr>
          <w:noProof/>
        </w:rPr>
        <w:t>Jedinstveni programski dokument postaje konačan nakon konačnog donoš</w:t>
      </w:r>
      <w:r>
        <w:rPr>
          <w:noProof/>
        </w:rPr>
        <w:t>enja općeg proračuna Unije te se, prema potrebi, u skladu s time prilagođava.</w:t>
      </w:r>
    </w:p>
    <w:p w:rsidR="00A761A4" w:rsidRDefault="0064189B">
      <w:pPr>
        <w:pStyle w:val="ManualNumPar1"/>
        <w:rPr>
          <w:noProof/>
        </w:rPr>
      </w:pPr>
      <w:r>
        <w:t>5.</w:t>
      </w:r>
      <w:r>
        <w:tab/>
      </w:r>
      <w:r>
        <w:rPr>
          <w:noProof/>
        </w:rPr>
        <w:t>Godišnji program rada obuhvaća detaljne ciljeve i očekivane rezultate, uključujući pokazatelje uspješnosti. Sadržava i opis aktivnosti koje je potrebno financirati i podatke o</w:t>
      </w:r>
      <w:r>
        <w:rPr>
          <w:noProof/>
        </w:rPr>
        <w:t xml:space="preserve"> financijskim i ljudskim resursima dodijeljenima svakoj aktivnosti, u skladu s načelima pripreme proračuna i upravljanja na temelju aktivnosti. Godišnji program rada usklađen je s višegodišnjim programom rada iz stavka 7. U njemu su jasno navedene zadaće k</w:t>
      </w:r>
      <w:r>
        <w:rPr>
          <w:noProof/>
        </w:rPr>
        <w:t>oje su dodane, izmijenjene ili izbrisane u odnosu na prethodnu financijsku godinu.</w:t>
      </w:r>
    </w:p>
    <w:p w:rsidR="00A761A4" w:rsidRDefault="0064189B">
      <w:pPr>
        <w:pStyle w:val="ManualNumPar1"/>
        <w:rPr>
          <w:noProof/>
        </w:rPr>
      </w:pPr>
      <w:r>
        <w:t>6.</w:t>
      </w:r>
      <w:r>
        <w:tab/>
      </w:r>
      <w:r>
        <w:rPr>
          <w:noProof/>
        </w:rPr>
        <w:t>Upravljački odbor mijenja doneseni godišnji program rada ako Agencija dobije novi zadaću. Svaka znatna izmjena godišnjeg programa rada donosi se po istom postupku kao i p</w:t>
      </w:r>
      <w:r>
        <w:rPr>
          <w:noProof/>
        </w:rPr>
        <w:t xml:space="preserve">očetni godišnji program rada. Upravljački odbor može ovlast za donošenje manjih izmjena godišnjeg programa rada delegirati izvršnom direktoru. </w:t>
      </w:r>
    </w:p>
    <w:p w:rsidR="00A761A4" w:rsidRDefault="0064189B">
      <w:pPr>
        <w:pStyle w:val="ManualNumPar1"/>
        <w:rPr>
          <w:noProof/>
        </w:rPr>
      </w:pPr>
      <w:r>
        <w:t>7.</w:t>
      </w:r>
      <w:r>
        <w:tab/>
      </w:r>
      <w:r>
        <w:rPr>
          <w:noProof/>
        </w:rPr>
        <w:t>U višegodišnjem programu rada utvrđuje se opći strateški program, među ostalim i ciljevi, očekivani rezultati</w:t>
      </w:r>
      <w:r>
        <w:rPr>
          <w:noProof/>
        </w:rPr>
        <w:t xml:space="preserve"> i pokazatelji uspješnosti. Sadržava i programiranje resursa, uključujući višegodišnji proračun i osoblje. </w:t>
      </w:r>
    </w:p>
    <w:p w:rsidR="00A761A4" w:rsidRDefault="0064189B">
      <w:pPr>
        <w:pStyle w:val="ManualNumPar1"/>
        <w:rPr>
          <w:noProof/>
        </w:rPr>
      </w:pPr>
      <w:r>
        <w:t>8.</w:t>
      </w:r>
      <w:r>
        <w:tab/>
      </w:r>
      <w:r>
        <w:rPr>
          <w:noProof/>
        </w:rPr>
        <w:t>Programiranje resursa ažurira se svake godine. Strateški program ažurira se prema potrebi, a posebno kada je to nužno kako bi se uzeo u obzir ish</w:t>
      </w:r>
      <w:r>
        <w:rPr>
          <w:noProof/>
        </w:rPr>
        <w:t>od ocjenjivanja iz članka 56.</w:t>
      </w:r>
    </w:p>
    <w:p w:rsidR="00A761A4" w:rsidRDefault="00A761A4">
      <w:pPr>
        <w:spacing w:after="0"/>
        <w:rPr>
          <w:rFonts w:eastAsia="Times New Roman"/>
          <w:noProof/>
          <w:szCs w:val="24"/>
        </w:rPr>
      </w:pPr>
    </w:p>
    <w:p w:rsidR="00A761A4" w:rsidRDefault="0064189B">
      <w:pPr>
        <w:pStyle w:val="Titrearticle"/>
        <w:spacing w:before="0" w:after="0"/>
        <w:rPr>
          <w:b/>
          <w:noProof/>
        </w:rPr>
      </w:pPr>
      <w:r>
        <w:rPr>
          <w:noProof/>
        </w:rPr>
        <w:t>Članak 22.</w:t>
      </w:r>
      <w:r>
        <w:rPr>
          <w:noProof/>
        </w:rPr>
        <w:br/>
      </w:r>
      <w:r>
        <w:rPr>
          <w:b/>
          <w:noProof/>
        </w:rPr>
        <w:t>Izjava o interesima</w:t>
      </w:r>
    </w:p>
    <w:p w:rsidR="00A761A4" w:rsidRDefault="0064189B">
      <w:pPr>
        <w:pStyle w:val="ManualNumPar1"/>
        <w:rPr>
          <w:noProof/>
        </w:rPr>
      </w:pPr>
      <w:r>
        <w:t>1.</w:t>
      </w:r>
      <w:r>
        <w:tab/>
      </w:r>
      <w:r>
        <w:rPr>
          <w:noProof/>
        </w:rPr>
        <w:t xml:space="preserve">Članovi Upravljačkog odbora, izvršni direktor i službenici koje su države članice privremeno uputile daju izjavu o obvezama i izjavu o nepostojanju ili postojanju bilo kakvog izravnog ili </w:t>
      </w:r>
      <w:r>
        <w:rPr>
          <w:noProof/>
        </w:rPr>
        <w:t>neizravnog interesa za koji bi se moglo smatrati da dovodi u pitanje njihovu neovisnost. Izjave moraju biti točne i potpune, daju se svake godine u pisanom obliku i ažuriraju se prema potrebi.</w:t>
      </w:r>
    </w:p>
    <w:p w:rsidR="00A761A4" w:rsidRDefault="0064189B">
      <w:pPr>
        <w:pStyle w:val="ManualNumPar1"/>
        <w:rPr>
          <w:noProof/>
        </w:rPr>
      </w:pPr>
      <w:r>
        <w:t>2.</w:t>
      </w:r>
      <w:r>
        <w:tab/>
      </w:r>
      <w:r>
        <w:rPr>
          <w:noProof/>
        </w:rPr>
        <w:t>Članovi Upravljačkog odbora, izvršni direktor i vanjski stru</w:t>
      </w:r>
      <w:r>
        <w:rPr>
          <w:noProof/>
        </w:rPr>
        <w:t xml:space="preserve">čnjaci koji sudjeluju u </w:t>
      </w:r>
      <w:r>
        <w:rPr>
          <w:i/>
          <w:noProof/>
        </w:rPr>
        <w:t>ad hoc</w:t>
      </w:r>
      <w:r>
        <w:rPr>
          <w:noProof/>
        </w:rPr>
        <w:t xml:space="preserve"> radnim skupinama daju, najkasnije na početku svakog sastanka, točnu i potpunu izjavu o svim interesima za koje bi se moglo smatrati da dovode u pitanje njihovu neovisnost u pogledu točaka dnevnog reda i suzdržavaju se od sudj</w:t>
      </w:r>
      <w:r>
        <w:rPr>
          <w:noProof/>
        </w:rPr>
        <w:t>elovanja u raspravi i glasovanja o takvim točkama.</w:t>
      </w:r>
    </w:p>
    <w:p w:rsidR="00A761A4" w:rsidRDefault="0064189B">
      <w:pPr>
        <w:pStyle w:val="ManualNumPar1"/>
        <w:rPr>
          <w:noProof/>
        </w:rPr>
      </w:pPr>
      <w:r>
        <w:t>3.</w:t>
      </w:r>
      <w:r>
        <w:tab/>
      </w:r>
      <w:r>
        <w:rPr>
          <w:noProof/>
        </w:rPr>
        <w:t>Agencija u svojem unutarnjem pravilniku o radu utvrđuje praktična rješenja za pravila o izjavama o interesima iz stavaka 1. i 2.</w:t>
      </w:r>
    </w:p>
    <w:p w:rsidR="00A761A4" w:rsidRDefault="00A761A4">
      <w:pPr>
        <w:rPr>
          <w:noProof/>
        </w:rPr>
      </w:pPr>
    </w:p>
    <w:p w:rsidR="00A761A4" w:rsidRDefault="0064189B">
      <w:pPr>
        <w:pStyle w:val="Titrearticle"/>
        <w:spacing w:before="0" w:after="0"/>
        <w:rPr>
          <w:rFonts w:eastAsia="Times New Roman"/>
          <w:b/>
          <w:i w:val="0"/>
          <w:noProof/>
        </w:rPr>
      </w:pPr>
      <w:r>
        <w:rPr>
          <w:noProof/>
        </w:rPr>
        <w:t>Članak 23.</w:t>
      </w:r>
      <w:r>
        <w:rPr>
          <w:noProof/>
        </w:rPr>
        <w:br/>
      </w:r>
      <w:r>
        <w:rPr>
          <w:b/>
          <w:noProof/>
        </w:rPr>
        <w:t>Transparentnost</w:t>
      </w:r>
    </w:p>
    <w:p w:rsidR="00A761A4" w:rsidRDefault="0064189B">
      <w:pPr>
        <w:pStyle w:val="ManualNumPar1"/>
        <w:rPr>
          <w:noProof/>
        </w:rPr>
      </w:pPr>
      <w:r>
        <w:t>1.</w:t>
      </w:r>
      <w:r>
        <w:tab/>
      </w:r>
      <w:r>
        <w:rPr>
          <w:noProof/>
        </w:rPr>
        <w:t>Agencija obavlja svoje aktivnosti uz visok</w:t>
      </w:r>
      <w:r>
        <w:rPr>
          <w:noProof/>
        </w:rPr>
        <w:t xml:space="preserve"> stupanj transparentnosti i u skladu s člankom 25.</w:t>
      </w:r>
    </w:p>
    <w:p w:rsidR="00A761A4" w:rsidRDefault="0064189B">
      <w:pPr>
        <w:pStyle w:val="ManualNumPar1"/>
        <w:rPr>
          <w:noProof/>
        </w:rPr>
      </w:pPr>
      <w:r>
        <w:t>2.</w:t>
      </w:r>
      <w:r>
        <w:tab/>
      </w:r>
      <w:r>
        <w:rPr>
          <w:noProof/>
        </w:rPr>
        <w:t xml:space="preserve">Agencija osigurava da javnost i sve zainteresirane strane dobiju odgovarajuće, objektivne, pouzdane i lako dostupne informacije, posebno u pogledu rezultata njezina rada. Agencija objavljuje i izjave o </w:t>
      </w:r>
      <w:r>
        <w:rPr>
          <w:noProof/>
        </w:rPr>
        <w:t>interesima dane u skladu s člankom 22.</w:t>
      </w:r>
    </w:p>
    <w:p w:rsidR="00A761A4" w:rsidRDefault="0064189B">
      <w:pPr>
        <w:pStyle w:val="ManualNumPar1"/>
        <w:rPr>
          <w:noProof/>
        </w:rPr>
      </w:pPr>
      <w:r>
        <w:t>3.</w:t>
      </w:r>
      <w:r>
        <w:tab/>
      </w:r>
      <w:r>
        <w:rPr>
          <w:noProof/>
        </w:rPr>
        <w:t>Upravljački odbor na prijedlog izvršnog direktora može zainteresiranim stranama odobriti da u svojstvu promatrača sudjeluju u  određenim aktivnostima Agencije.</w:t>
      </w:r>
    </w:p>
    <w:p w:rsidR="00A761A4" w:rsidRDefault="0064189B">
      <w:pPr>
        <w:pStyle w:val="ManualNumPar1"/>
        <w:rPr>
          <w:noProof/>
        </w:rPr>
      </w:pPr>
      <w:r>
        <w:t>4.</w:t>
      </w:r>
      <w:r>
        <w:tab/>
      </w:r>
      <w:r>
        <w:rPr>
          <w:noProof/>
        </w:rPr>
        <w:t>Agencija u svojem unutarnjem pravilniku o radu utvr</w:t>
      </w:r>
      <w:r>
        <w:rPr>
          <w:noProof/>
        </w:rPr>
        <w:t>đuje praktična rješenja za provedbu pravila o transparentnosti iz stavaka 1. i 2.</w:t>
      </w:r>
    </w:p>
    <w:p w:rsidR="00A761A4" w:rsidRDefault="00A761A4">
      <w:pPr>
        <w:rPr>
          <w:noProof/>
        </w:rPr>
      </w:pPr>
    </w:p>
    <w:p w:rsidR="00A761A4" w:rsidRDefault="0064189B">
      <w:pPr>
        <w:pStyle w:val="Titrearticle"/>
        <w:spacing w:before="0" w:after="0"/>
        <w:rPr>
          <w:rFonts w:eastAsia="Times New Roman"/>
          <w:b/>
          <w:i w:val="0"/>
          <w:noProof/>
        </w:rPr>
      </w:pPr>
      <w:r>
        <w:rPr>
          <w:noProof/>
        </w:rPr>
        <w:t>Članak 24.</w:t>
      </w:r>
      <w:r>
        <w:rPr>
          <w:noProof/>
        </w:rPr>
        <w:br/>
      </w:r>
      <w:r>
        <w:rPr>
          <w:b/>
          <w:noProof/>
        </w:rPr>
        <w:t>Povjerljivost</w:t>
      </w:r>
    </w:p>
    <w:p w:rsidR="00A761A4" w:rsidRDefault="0064189B">
      <w:pPr>
        <w:pStyle w:val="ManualNumPar1"/>
        <w:rPr>
          <w:noProof/>
        </w:rPr>
      </w:pPr>
      <w:r>
        <w:t>1.</w:t>
      </w:r>
      <w:r>
        <w:tab/>
      </w:r>
      <w:r>
        <w:rPr>
          <w:noProof/>
        </w:rPr>
        <w:t>Ne dovodeći u pitanje članak 25., Agencija trećim stranama ne otkriva informacije koje obrađuje ili prima, a za koje je podnesen opravdan zahtjev</w:t>
      </w:r>
      <w:r>
        <w:rPr>
          <w:noProof/>
        </w:rPr>
        <w:t xml:space="preserve"> da s njima djelomično ili u cijelosti postupa kao s povjerljivim informacijama.</w:t>
      </w:r>
    </w:p>
    <w:p w:rsidR="00A761A4" w:rsidRDefault="0064189B">
      <w:pPr>
        <w:pStyle w:val="ManualNumPar1"/>
        <w:rPr>
          <w:noProof/>
        </w:rPr>
      </w:pPr>
      <w:r>
        <w:t>2.</w:t>
      </w:r>
      <w:r>
        <w:tab/>
      </w:r>
      <w:r>
        <w:rPr>
          <w:noProof/>
        </w:rPr>
        <w:t xml:space="preserve">Članovi Upravljačkog odbora, izvršni direktor, članovi Stalne interesne skupine, vanjski stručnjaci koji sudjeluju u radu </w:t>
      </w:r>
      <w:r>
        <w:rPr>
          <w:i/>
          <w:noProof/>
        </w:rPr>
        <w:t>ad hoc</w:t>
      </w:r>
      <w:r>
        <w:rPr>
          <w:noProof/>
        </w:rPr>
        <w:t xml:space="preserve"> radnih skupina i članovi osoblja Agencije, </w:t>
      </w:r>
      <w:r>
        <w:rPr>
          <w:noProof/>
        </w:rPr>
        <w:t>uključujući službenike koje privremeno upućuju države članice, poštuju zahtjeve u pogledu povjerljivosti iz članka 339. Ugovora o funkcioniranju Europske unije (UFEU) čak i nakon prestanka njihovih dužnosti.</w:t>
      </w:r>
    </w:p>
    <w:p w:rsidR="00A761A4" w:rsidRDefault="0064189B">
      <w:pPr>
        <w:pStyle w:val="ManualNumPar1"/>
        <w:rPr>
          <w:noProof/>
        </w:rPr>
      </w:pPr>
      <w:r>
        <w:t>3.</w:t>
      </w:r>
      <w:r>
        <w:tab/>
      </w:r>
      <w:r>
        <w:rPr>
          <w:noProof/>
        </w:rPr>
        <w:t>Agencija u svojem unutarnjem pravilniku o rad</w:t>
      </w:r>
      <w:r>
        <w:rPr>
          <w:noProof/>
        </w:rPr>
        <w:t>u utvrđuje praktična rješenja za provedbu pravila o povjerljivosti iz stavaka 1. i 2.</w:t>
      </w:r>
    </w:p>
    <w:p w:rsidR="00A761A4" w:rsidRDefault="0064189B">
      <w:pPr>
        <w:pStyle w:val="ManualNumPar1"/>
        <w:rPr>
          <w:noProof/>
        </w:rPr>
      </w:pPr>
      <w:r>
        <w:t>4.</w:t>
      </w:r>
      <w:r>
        <w:tab/>
      </w:r>
      <w:r>
        <w:rPr>
          <w:noProof/>
        </w:rPr>
        <w:t>Ako je to potrebno za obavljanje zadaća Agencije, Upravljački odbor donosi odluku kojom Agenciji dopušta obradu klasificiranih podataka. U tom slučaju Upravljački odbo</w:t>
      </w:r>
      <w:r>
        <w:rPr>
          <w:noProof/>
        </w:rPr>
        <w:t>r, u dogovoru sa službama Komisije, donosi unutarnji pravilnik o radu primjenjujući načela sigurnosti utvrđena odlukama Komisije (EU, Euratom) 2015/443</w:t>
      </w:r>
      <w:r>
        <w:rPr>
          <w:rStyle w:val="FootnoteReference"/>
          <w:noProof/>
        </w:rPr>
        <w:footnoteReference w:id="38"/>
      </w:r>
      <w:r>
        <w:rPr>
          <w:noProof/>
        </w:rPr>
        <w:t xml:space="preserve"> i 2015/444</w:t>
      </w:r>
      <w:r>
        <w:rPr>
          <w:rStyle w:val="FootnoteReference"/>
          <w:noProof/>
        </w:rPr>
        <w:footnoteReference w:id="39"/>
      </w:r>
      <w:r>
        <w:rPr>
          <w:noProof/>
        </w:rPr>
        <w:t>. Ta pravila uključuju odredbe o razmjeni, obradi i pohrani klasificiranih podataka.</w:t>
      </w:r>
    </w:p>
    <w:p w:rsidR="00A761A4" w:rsidRDefault="00A761A4">
      <w:pPr>
        <w:rPr>
          <w:noProof/>
        </w:rPr>
      </w:pPr>
    </w:p>
    <w:p w:rsidR="00A761A4" w:rsidRDefault="0064189B">
      <w:pPr>
        <w:pStyle w:val="Titrearticle"/>
        <w:spacing w:before="0" w:after="0"/>
        <w:rPr>
          <w:rFonts w:eastAsia="Times New Roman"/>
          <w:b/>
          <w:i w:val="0"/>
          <w:noProof/>
        </w:rPr>
      </w:pPr>
      <w:r>
        <w:rPr>
          <w:noProof/>
        </w:rPr>
        <w:t>Članak</w:t>
      </w:r>
      <w:r>
        <w:rPr>
          <w:noProof/>
        </w:rPr>
        <w:t> 25.</w:t>
      </w:r>
      <w:r>
        <w:rPr>
          <w:noProof/>
        </w:rPr>
        <w:br/>
      </w:r>
      <w:r>
        <w:rPr>
          <w:b/>
          <w:noProof/>
        </w:rPr>
        <w:t>Pristup dokumentima</w:t>
      </w:r>
    </w:p>
    <w:p w:rsidR="00A761A4" w:rsidRDefault="0064189B">
      <w:pPr>
        <w:pStyle w:val="ManualNumPar1"/>
        <w:rPr>
          <w:noProof/>
        </w:rPr>
      </w:pPr>
      <w:r>
        <w:t>1.</w:t>
      </w:r>
      <w:r>
        <w:tab/>
      </w:r>
      <w:r>
        <w:rPr>
          <w:noProof/>
        </w:rPr>
        <w:t>Uredba (EZ) br. 1049/2001 primjenjuje se na dokumente u posjedu Agencije.</w:t>
      </w:r>
    </w:p>
    <w:p w:rsidR="00A761A4" w:rsidRDefault="0064189B">
      <w:pPr>
        <w:pStyle w:val="ManualNumPar1"/>
        <w:rPr>
          <w:noProof/>
        </w:rPr>
      </w:pPr>
      <w:r>
        <w:t>2.</w:t>
      </w:r>
      <w:r>
        <w:tab/>
      </w:r>
      <w:r>
        <w:rPr>
          <w:noProof/>
        </w:rPr>
        <w:t>Upravljački odbor donosi pravila za provedbu Uredbe (EZ) br. 1049/2001 u roku od šest mjeseci od osnivanja Agencije.</w:t>
      </w:r>
    </w:p>
    <w:p w:rsidR="00A761A4" w:rsidRDefault="0064189B">
      <w:pPr>
        <w:pStyle w:val="ManualNumPar1"/>
        <w:rPr>
          <w:noProof/>
        </w:rPr>
      </w:pPr>
      <w:r>
        <w:t>3.</w:t>
      </w:r>
      <w:r>
        <w:tab/>
      </w:r>
      <w:r>
        <w:rPr>
          <w:noProof/>
        </w:rPr>
        <w:t>Odluke koje Agencija donosi u s</w:t>
      </w:r>
      <w:r>
        <w:rPr>
          <w:noProof/>
        </w:rPr>
        <w:t>kladu s člankom 8. Uredbe (EZ) br. 1049/2001 mogu biti predmetom pritužbe Europskom ombudsmanu u skladu s člankom 228. UFEU-a ili tužbe pred Sudom Europske unije u skladu s člankom 263. UFEU-a.</w:t>
      </w:r>
    </w:p>
    <w:p w:rsidR="00A761A4" w:rsidRDefault="00A761A4">
      <w:pPr>
        <w:spacing w:before="480" w:after="0"/>
        <w:jc w:val="center"/>
        <w:rPr>
          <w:rFonts w:eastAsia="Times New Roman"/>
          <w:b/>
          <w:bCs/>
          <w:noProof/>
          <w:szCs w:val="24"/>
        </w:rPr>
      </w:pPr>
    </w:p>
    <w:p w:rsidR="00A761A4" w:rsidRDefault="0064189B">
      <w:pPr>
        <w:pStyle w:val="ChapterTitle"/>
        <w:rPr>
          <w:noProof/>
        </w:rPr>
      </w:pPr>
      <w:bookmarkStart w:id="33" w:name="_Toc492216475"/>
      <w:r>
        <w:rPr>
          <w:noProof/>
        </w:rPr>
        <w:t>POGLAVLJE III.</w:t>
      </w:r>
      <w:r>
        <w:rPr>
          <w:noProof/>
        </w:rPr>
        <w:br/>
        <w:t>DONOŠENJE PRORAČUNA I NJEGOVA STRUKTURA</w:t>
      </w:r>
      <w:bookmarkEnd w:id="33"/>
    </w:p>
    <w:p w:rsidR="00A761A4" w:rsidRDefault="0064189B">
      <w:pPr>
        <w:pStyle w:val="Titrearticle"/>
        <w:spacing w:before="0" w:after="0"/>
        <w:rPr>
          <w:rFonts w:eastAsia="Times New Roman"/>
          <w:b/>
          <w:i w:val="0"/>
          <w:noProof/>
        </w:rPr>
      </w:pPr>
      <w:r>
        <w:rPr>
          <w:noProof/>
        </w:rPr>
        <w:t>Članak 26.</w:t>
      </w:r>
      <w:r>
        <w:rPr>
          <w:noProof/>
        </w:rPr>
        <w:br/>
      </w:r>
      <w:r>
        <w:rPr>
          <w:b/>
          <w:noProof/>
        </w:rPr>
        <w:t>Donošenje proračuna</w:t>
      </w:r>
    </w:p>
    <w:p w:rsidR="00A761A4" w:rsidRDefault="0064189B">
      <w:pPr>
        <w:pStyle w:val="ManualNumPar1"/>
        <w:rPr>
          <w:noProof/>
        </w:rPr>
      </w:pPr>
      <w:r>
        <w:t>1.</w:t>
      </w:r>
      <w:r>
        <w:tab/>
      </w:r>
      <w:r>
        <w:rPr>
          <w:noProof/>
        </w:rPr>
        <w:t>Izvršni direktor svake godine izrađuje nacrt izvješća o procjenama prihoda i rashoda Agencije za sljedeću financijsku godinu te ga prosljeđuje Upravljačkom odboru zajedno s nacrtom plana radnih mjesta. Prihodi i rashodi mo</w:t>
      </w:r>
      <w:r>
        <w:rPr>
          <w:noProof/>
        </w:rPr>
        <w:t>raju biti u ravnoteži.</w:t>
      </w:r>
    </w:p>
    <w:p w:rsidR="00A761A4" w:rsidRDefault="0064189B">
      <w:pPr>
        <w:pStyle w:val="ManualNumPar1"/>
        <w:rPr>
          <w:noProof/>
        </w:rPr>
      </w:pPr>
      <w:r>
        <w:t>2.</w:t>
      </w:r>
      <w:r>
        <w:tab/>
      </w:r>
      <w:r>
        <w:rPr>
          <w:noProof/>
        </w:rPr>
        <w:t>Upravljački odbor svake godine, na temelju nacrta izvješća o procjenama prihoda i rashoda iz stavka 1., sastavlja izvješće o procjenama prihoda i rashoda Agencije za sljedeću financijsku godinu.</w:t>
      </w:r>
    </w:p>
    <w:p w:rsidR="00A761A4" w:rsidRDefault="0064189B">
      <w:pPr>
        <w:pStyle w:val="ManualNumPar1"/>
        <w:rPr>
          <w:noProof/>
        </w:rPr>
      </w:pPr>
      <w:r>
        <w:t>3.</w:t>
      </w:r>
      <w:r>
        <w:tab/>
      </w:r>
      <w:r>
        <w:rPr>
          <w:noProof/>
        </w:rPr>
        <w:t>Upravljački odbor svake godine d</w:t>
      </w:r>
      <w:r>
        <w:rPr>
          <w:noProof/>
        </w:rPr>
        <w:t>o 31. siječnja Komisiji i trećim zemljama s kojima je Unija sklopila sporazume u skladu s člankom 39. šalje izvješće o procjenama iz stavka 2., koje je dio nacrta jedinstvenog programskog dokumenta.</w:t>
      </w:r>
    </w:p>
    <w:p w:rsidR="00A761A4" w:rsidRDefault="0064189B">
      <w:pPr>
        <w:pStyle w:val="ManualNumPar1"/>
        <w:rPr>
          <w:noProof/>
        </w:rPr>
      </w:pPr>
      <w:r>
        <w:t>4.</w:t>
      </w:r>
      <w:r>
        <w:tab/>
      </w:r>
      <w:r>
        <w:rPr>
          <w:noProof/>
        </w:rPr>
        <w:t>Na temelju navedenog izvješća o procjenama Komisija pr</w:t>
      </w:r>
      <w:r>
        <w:rPr>
          <w:noProof/>
        </w:rPr>
        <w:t>ocjene koje smatra potrebnima za plan radnih mjesta i iznos doprinosa na teret općeg proračuna unosi u nacrt proračuna Unije, koji podnosi Europskom parlamentu i Vijeću u skladu s člancima 313. i 314. UFEU-a</w:t>
      </w:r>
    </w:p>
    <w:p w:rsidR="00A761A4" w:rsidRDefault="0064189B">
      <w:pPr>
        <w:pStyle w:val="ManualNumPar1"/>
        <w:rPr>
          <w:noProof/>
        </w:rPr>
      </w:pPr>
      <w:r>
        <w:t>5.</w:t>
      </w:r>
      <w:r>
        <w:tab/>
      </w:r>
      <w:r>
        <w:rPr>
          <w:noProof/>
        </w:rPr>
        <w:t xml:space="preserve">Europski parlament i Vijeće odobravaju </w:t>
      </w:r>
      <w:r>
        <w:rPr>
          <w:noProof/>
        </w:rPr>
        <w:t>dodjelu sredstava za doprinos Agenciji.</w:t>
      </w:r>
    </w:p>
    <w:p w:rsidR="00A761A4" w:rsidRDefault="0064189B">
      <w:pPr>
        <w:pStyle w:val="ManualNumPar1"/>
        <w:rPr>
          <w:noProof/>
        </w:rPr>
      </w:pPr>
      <w:r>
        <w:t>6.</w:t>
      </w:r>
      <w:r>
        <w:tab/>
      </w:r>
      <w:r>
        <w:rPr>
          <w:noProof/>
        </w:rPr>
        <w:t>Europski parlament i Vijeće donose plan radnih mjesta Agencije.</w:t>
      </w:r>
    </w:p>
    <w:p w:rsidR="00A761A4" w:rsidRDefault="0064189B">
      <w:pPr>
        <w:pStyle w:val="ManualNumPar1"/>
        <w:rPr>
          <w:noProof/>
        </w:rPr>
      </w:pPr>
      <w:r>
        <w:t>7.</w:t>
      </w:r>
      <w:r>
        <w:tab/>
      </w:r>
      <w:r>
        <w:rPr>
          <w:noProof/>
        </w:rPr>
        <w:t>Upravljački odbor donosi proračun Agencije istovremeno s jedinstvenim programskim dokumentom. Proračun postaje konačan nakon konačnog donošenja op</w:t>
      </w:r>
      <w:r>
        <w:rPr>
          <w:noProof/>
        </w:rPr>
        <w:t>ćeg proračuna Unije. Upravljački odbor prema potrebi prilagođava proračun i jedinstveni programski dokument Agencije u skladu s općim proračunom Unije.</w:t>
      </w:r>
    </w:p>
    <w:p w:rsidR="00A761A4" w:rsidRDefault="00A761A4">
      <w:pPr>
        <w:spacing w:before="60"/>
        <w:rPr>
          <w:rFonts w:eastAsia="Times New Roman"/>
          <w:iCs/>
          <w:noProof/>
          <w:szCs w:val="24"/>
        </w:rPr>
      </w:pPr>
    </w:p>
    <w:p w:rsidR="00A761A4" w:rsidRDefault="0064189B">
      <w:pPr>
        <w:pStyle w:val="Titrearticle"/>
        <w:spacing w:before="0" w:after="0"/>
        <w:rPr>
          <w:rFonts w:eastAsia="Times New Roman"/>
          <w:b/>
          <w:i w:val="0"/>
          <w:noProof/>
        </w:rPr>
      </w:pPr>
      <w:r>
        <w:rPr>
          <w:noProof/>
        </w:rPr>
        <w:t>Članak 27.</w:t>
      </w:r>
      <w:r>
        <w:rPr>
          <w:noProof/>
        </w:rPr>
        <w:br/>
      </w:r>
      <w:r>
        <w:rPr>
          <w:b/>
          <w:noProof/>
        </w:rPr>
        <w:t>Struktura proračuna</w:t>
      </w:r>
    </w:p>
    <w:p w:rsidR="00A761A4" w:rsidRDefault="0064189B">
      <w:pPr>
        <w:pStyle w:val="ManualNumPar1"/>
        <w:rPr>
          <w:noProof/>
        </w:rPr>
      </w:pPr>
      <w:r>
        <w:t>1.</w:t>
      </w:r>
      <w:r>
        <w:tab/>
      </w:r>
      <w:r>
        <w:rPr>
          <w:noProof/>
        </w:rPr>
        <w:t>Ne dovodeći u pitanje druge izvore, prihodi Agencije uključuju sljede</w:t>
      </w:r>
      <w:r>
        <w:rPr>
          <w:noProof/>
        </w:rPr>
        <w:t>će:</w:t>
      </w:r>
    </w:p>
    <w:p w:rsidR="00A761A4" w:rsidRDefault="0064189B">
      <w:pPr>
        <w:pStyle w:val="Point2letter"/>
        <w:numPr>
          <w:ilvl w:val="5"/>
          <w:numId w:val="60"/>
        </w:numPr>
        <w:rPr>
          <w:noProof/>
        </w:rPr>
      </w:pPr>
      <w:r>
        <w:rPr>
          <w:noProof/>
        </w:rPr>
        <w:t>doprinos iz proračuna Unije;</w:t>
      </w:r>
    </w:p>
    <w:p w:rsidR="00A761A4" w:rsidRDefault="0064189B">
      <w:pPr>
        <w:pStyle w:val="Point2letter"/>
        <w:numPr>
          <w:ilvl w:val="5"/>
          <w:numId w:val="60"/>
        </w:numPr>
        <w:rPr>
          <w:noProof/>
        </w:rPr>
      </w:pPr>
      <w:r>
        <w:rPr>
          <w:noProof/>
        </w:rPr>
        <w:t>namjenske prihode za određene stavke rashoda u skladu s financijskim pravilima iz članka 29.;</w:t>
      </w:r>
    </w:p>
    <w:p w:rsidR="00A761A4" w:rsidRDefault="0064189B">
      <w:pPr>
        <w:pStyle w:val="Point2letter"/>
        <w:numPr>
          <w:ilvl w:val="5"/>
          <w:numId w:val="60"/>
        </w:numPr>
        <w:rPr>
          <w:noProof/>
        </w:rPr>
      </w:pPr>
      <w:r>
        <w:rPr>
          <w:noProof/>
        </w:rPr>
        <w:t xml:space="preserve">financijska sredstva Unije u obliku sporazuma o delegiranju ili </w:t>
      </w:r>
      <w:r>
        <w:rPr>
          <w:i/>
          <w:noProof/>
        </w:rPr>
        <w:t>ad hoc</w:t>
      </w:r>
      <w:r>
        <w:rPr>
          <w:noProof/>
        </w:rPr>
        <w:t xml:space="preserve"> bespovratnih sredstava u skladu s njezinim financijskim pr</w:t>
      </w:r>
      <w:r>
        <w:rPr>
          <w:noProof/>
        </w:rPr>
        <w:t>avilima iz članka 29. i u skladu s odredbama relevantnih instrumenata kojima se podupiru politike Unije;</w:t>
      </w:r>
    </w:p>
    <w:p w:rsidR="00A761A4" w:rsidRDefault="0064189B">
      <w:pPr>
        <w:pStyle w:val="Point2letter"/>
        <w:numPr>
          <w:ilvl w:val="5"/>
          <w:numId w:val="60"/>
        </w:numPr>
        <w:rPr>
          <w:noProof/>
        </w:rPr>
      </w:pPr>
      <w:r>
        <w:rPr>
          <w:noProof/>
        </w:rPr>
        <w:t>doprinose trećih zemalja koje sudjeluju u radu Agencije kako je predviđeno u članku 39.;</w:t>
      </w:r>
    </w:p>
    <w:p w:rsidR="00A761A4" w:rsidRDefault="0064189B">
      <w:pPr>
        <w:pStyle w:val="Point2letter"/>
        <w:numPr>
          <w:ilvl w:val="5"/>
          <w:numId w:val="60"/>
        </w:numPr>
        <w:rPr>
          <w:noProof/>
        </w:rPr>
      </w:pPr>
      <w:r>
        <w:rPr>
          <w:noProof/>
        </w:rPr>
        <w:t>sve dobrovoljne doprinose država članica u novcu ili naravi; D</w:t>
      </w:r>
      <w:r>
        <w:rPr>
          <w:noProof/>
        </w:rPr>
        <w:t>ržave članice koje daju dobrovoljne doprinose ne mogu na temelju toga zahtijevati nikakva posebna prava ili usluge.</w:t>
      </w:r>
    </w:p>
    <w:p w:rsidR="00A761A4" w:rsidRDefault="0064189B">
      <w:pPr>
        <w:pStyle w:val="ManualNumPar1"/>
        <w:rPr>
          <w:noProof/>
        </w:rPr>
      </w:pPr>
      <w:r>
        <w:t>2.</w:t>
      </w:r>
      <w:r>
        <w:tab/>
      </w:r>
      <w:r>
        <w:rPr>
          <w:noProof/>
        </w:rPr>
        <w:t>Rashodi Agencije uključuju troškove osoblja, troškove administrativne i tehničke podrške, infrastrukturne i operativne troškove te troško</w:t>
      </w:r>
      <w:r>
        <w:rPr>
          <w:noProof/>
        </w:rPr>
        <w:t>ve proizišle iz ugovora sklopljenih s trećim stranama.</w:t>
      </w:r>
    </w:p>
    <w:p w:rsidR="00A761A4" w:rsidRDefault="00A761A4">
      <w:pPr>
        <w:rPr>
          <w:noProof/>
        </w:rPr>
      </w:pPr>
    </w:p>
    <w:p w:rsidR="00A761A4" w:rsidRDefault="0064189B">
      <w:pPr>
        <w:pStyle w:val="Titrearticle"/>
        <w:spacing w:before="0" w:after="0"/>
        <w:rPr>
          <w:b/>
          <w:i w:val="0"/>
          <w:noProof/>
        </w:rPr>
      </w:pPr>
      <w:r>
        <w:rPr>
          <w:noProof/>
        </w:rPr>
        <w:t>Članak 28.</w:t>
      </w:r>
      <w:r>
        <w:rPr>
          <w:noProof/>
        </w:rPr>
        <w:br/>
      </w:r>
      <w:r>
        <w:rPr>
          <w:b/>
          <w:noProof/>
        </w:rPr>
        <w:t>Izvršenje proračuna</w:t>
      </w:r>
    </w:p>
    <w:p w:rsidR="00A761A4" w:rsidRDefault="0064189B">
      <w:pPr>
        <w:pStyle w:val="ManualNumPar1"/>
        <w:rPr>
          <w:noProof/>
        </w:rPr>
      </w:pPr>
      <w:r>
        <w:t>1.</w:t>
      </w:r>
      <w:r>
        <w:tab/>
      </w:r>
      <w:r>
        <w:rPr>
          <w:noProof/>
        </w:rPr>
        <w:t>Izvršni direktor odgovoran je za izvršenje proračuna Agencije.</w:t>
      </w:r>
    </w:p>
    <w:p w:rsidR="00A761A4" w:rsidRDefault="0064189B">
      <w:pPr>
        <w:pStyle w:val="ManualNumPar1"/>
        <w:rPr>
          <w:noProof/>
        </w:rPr>
      </w:pPr>
      <w:r>
        <w:t>2.</w:t>
      </w:r>
      <w:r>
        <w:tab/>
      </w:r>
      <w:r>
        <w:rPr>
          <w:noProof/>
        </w:rPr>
        <w:t>Unutarnji revizor Komisije ima iste ovlasti u odnosu na Agenciju, kao i u odnosu na službe Komisije.</w:t>
      </w:r>
    </w:p>
    <w:p w:rsidR="00A761A4" w:rsidRDefault="0064189B">
      <w:pPr>
        <w:pStyle w:val="ManualNumPar1"/>
        <w:rPr>
          <w:noProof/>
        </w:rPr>
      </w:pPr>
      <w:r>
        <w:t>3.</w:t>
      </w:r>
      <w:r>
        <w:tab/>
      </w:r>
      <w:r>
        <w:rPr>
          <w:noProof/>
        </w:rPr>
        <w:t>Računovodstveni službenik Agencije dostavlja privremeni financijski izvještaj računovodstvenom službeniku Komisije i Revizorskom sudu do 1. ožujka sljedeće financijske godine (1. ožujka godine N + 1).</w:t>
      </w:r>
    </w:p>
    <w:p w:rsidR="00A761A4" w:rsidRDefault="0064189B">
      <w:pPr>
        <w:pStyle w:val="ManualNumPar1"/>
        <w:rPr>
          <w:noProof/>
        </w:rPr>
      </w:pPr>
      <w:r>
        <w:t>4.</w:t>
      </w:r>
      <w:r>
        <w:tab/>
      </w:r>
      <w:r>
        <w:rPr>
          <w:noProof/>
        </w:rPr>
        <w:t>Računovodstveni službenik Agencije po primitku o</w:t>
      </w:r>
      <w:r>
        <w:rPr>
          <w:noProof/>
        </w:rPr>
        <w:t xml:space="preserve">pažanja Revizorskog suda o privremenom financijskom izvještaju Agencije izrađuje završni izvještaj Agencije pod vlastitom odgovornošću. </w:t>
      </w:r>
    </w:p>
    <w:p w:rsidR="00A761A4" w:rsidRDefault="0064189B">
      <w:pPr>
        <w:pStyle w:val="ManualNumPar1"/>
        <w:rPr>
          <w:noProof/>
        </w:rPr>
      </w:pPr>
      <w:r>
        <w:t>5.</w:t>
      </w:r>
      <w:r>
        <w:tab/>
      </w:r>
      <w:r>
        <w:rPr>
          <w:noProof/>
        </w:rPr>
        <w:t>Izvršni direktor podnosi završni financijski izvještaj Upravljačkom odboru na mišljenje.</w:t>
      </w:r>
    </w:p>
    <w:p w:rsidR="00A761A4" w:rsidRDefault="0064189B">
      <w:pPr>
        <w:pStyle w:val="ManualNumPar1"/>
        <w:rPr>
          <w:noProof/>
        </w:rPr>
      </w:pPr>
      <w:r>
        <w:t>6.</w:t>
      </w:r>
      <w:r>
        <w:tab/>
      </w:r>
      <w:r>
        <w:rPr>
          <w:noProof/>
        </w:rPr>
        <w:t xml:space="preserve">Izvršni direktor do 31. </w:t>
      </w:r>
      <w:r>
        <w:rPr>
          <w:noProof/>
        </w:rPr>
        <w:t>ožujka godine N + 1 podnosi izvješće o proračunskom i financijskom upravljanju Europskom parlamentu, Vijeću, Komisiji i Revizorskom sudu.</w:t>
      </w:r>
    </w:p>
    <w:p w:rsidR="00A761A4" w:rsidRDefault="0064189B">
      <w:pPr>
        <w:pStyle w:val="ManualNumPar1"/>
        <w:rPr>
          <w:noProof/>
        </w:rPr>
      </w:pPr>
      <w:r>
        <w:t>7.</w:t>
      </w:r>
      <w:r>
        <w:tab/>
      </w:r>
      <w:r>
        <w:rPr>
          <w:noProof/>
        </w:rPr>
        <w:t>Računovodstveni službenik podnosi završni financijski izvještaj, zajedno s mišljenjem Upravljačkog odbora, Europsko</w:t>
      </w:r>
      <w:r>
        <w:rPr>
          <w:noProof/>
        </w:rPr>
        <w:t>m parlamentu, Vijeću, računovodstvenom službeniku Komisije i Revizorskom sudu. do 1. srpnja godine N + 1.</w:t>
      </w:r>
    </w:p>
    <w:p w:rsidR="00A761A4" w:rsidRDefault="0064189B">
      <w:pPr>
        <w:pStyle w:val="ManualNumPar1"/>
        <w:rPr>
          <w:noProof/>
        </w:rPr>
      </w:pPr>
      <w:r>
        <w:t>8.</w:t>
      </w:r>
      <w:r>
        <w:tab/>
      </w:r>
      <w:r>
        <w:rPr>
          <w:noProof/>
        </w:rPr>
        <w:t>Na datum podnošenja završnog financijskog izvještaja računovodstveni službenik Revizorskom sudu šalje i izjavu povezanu s tim završnim financijskim</w:t>
      </w:r>
      <w:r>
        <w:rPr>
          <w:noProof/>
        </w:rPr>
        <w:t xml:space="preserve"> izvještajem, a presliku šalje i računovodstvenom službeniku Komisije.</w:t>
      </w:r>
    </w:p>
    <w:p w:rsidR="00A761A4" w:rsidRDefault="0064189B">
      <w:pPr>
        <w:pStyle w:val="ManualNumPar1"/>
        <w:rPr>
          <w:noProof/>
        </w:rPr>
      </w:pPr>
      <w:r>
        <w:t>9.</w:t>
      </w:r>
      <w:r>
        <w:tab/>
      </w:r>
      <w:r>
        <w:rPr>
          <w:noProof/>
        </w:rPr>
        <w:t>Izvršni direktor objavljuje završni financijski izvještaj do 15. studenoga sljedeće godine.</w:t>
      </w:r>
    </w:p>
    <w:p w:rsidR="00A761A4" w:rsidRDefault="0064189B">
      <w:pPr>
        <w:pStyle w:val="ManualNumPar1"/>
        <w:rPr>
          <w:noProof/>
        </w:rPr>
      </w:pPr>
      <w:r>
        <w:t>10.</w:t>
      </w:r>
      <w:r>
        <w:tab/>
      </w:r>
      <w:r>
        <w:rPr>
          <w:noProof/>
        </w:rPr>
        <w:t xml:space="preserve">Izvršni direktor do 30. rujna godine N + 1 šalje Revizorskom sudu odgovor na njegova </w:t>
      </w:r>
      <w:r>
        <w:rPr>
          <w:noProof/>
        </w:rPr>
        <w:t>očitovanja, a presliku tog odgovora šalje i Upravljačkom odboru i Komisiji.</w:t>
      </w:r>
    </w:p>
    <w:p w:rsidR="00A761A4" w:rsidRDefault="0064189B">
      <w:pPr>
        <w:pStyle w:val="ManualNumPar1"/>
        <w:rPr>
          <w:noProof/>
        </w:rPr>
      </w:pPr>
      <w:r>
        <w:t>11.</w:t>
      </w:r>
      <w:r>
        <w:tab/>
      </w:r>
      <w:r>
        <w:rPr>
          <w:noProof/>
        </w:rPr>
        <w:t>Izvršni direktor dostavlja Europskom parlamentu, na njegov zahtjev, sve informacije potrebne za nesmetanu provedbu postupka davanja razrješnice za predmetnu financijsku godinu,</w:t>
      </w:r>
      <w:r>
        <w:rPr>
          <w:noProof/>
        </w:rPr>
        <w:t xml:space="preserve"> kako je utvrđeno u članku 165. stavku 3. Financijske uredbe.</w:t>
      </w:r>
    </w:p>
    <w:p w:rsidR="00A761A4" w:rsidRDefault="0064189B">
      <w:pPr>
        <w:pStyle w:val="ManualNumPar1"/>
        <w:rPr>
          <w:noProof/>
        </w:rPr>
      </w:pPr>
      <w:r>
        <w:t>12.</w:t>
      </w:r>
      <w:r>
        <w:tab/>
      </w:r>
      <w:r>
        <w:rPr>
          <w:noProof/>
        </w:rPr>
        <w:t>Europski parlament na preporuku Vijeća prije 15. svibnja godine N + 2 daje razrješnicu izvršnom direktoru u vezi s izvršenjem proračuna za godinu N.</w:t>
      </w:r>
    </w:p>
    <w:p w:rsidR="00A761A4" w:rsidRDefault="00A761A4">
      <w:pPr>
        <w:ind w:left="360"/>
        <w:rPr>
          <w:noProof/>
          <w:szCs w:val="24"/>
        </w:rPr>
      </w:pPr>
    </w:p>
    <w:p w:rsidR="00A761A4" w:rsidRDefault="0064189B">
      <w:pPr>
        <w:pStyle w:val="Titrearticle"/>
        <w:spacing w:before="0" w:after="0"/>
        <w:rPr>
          <w:b/>
          <w:i w:val="0"/>
          <w:noProof/>
        </w:rPr>
      </w:pPr>
      <w:r>
        <w:rPr>
          <w:noProof/>
        </w:rPr>
        <w:t>Članak 29.</w:t>
      </w:r>
      <w:r>
        <w:rPr>
          <w:noProof/>
        </w:rPr>
        <w:br/>
      </w:r>
      <w:r>
        <w:rPr>
          <w:b/>
          <w:noProof/>
        </w:rPr>
        <w:t>Financijska pravila</w:t>
      </w:r>
    </w:p>
    <w:p w:rsidR="00A761A4" w:rsidRDefault="0064189B">
      <w:pPr>
        <w:rPr>
          <w:bCs/>
          <w:noProof/>
          <w:szCs w:val="24"/>
        </w:rPr>
      </w:pPr>
      <w:r>
        <w:rPr>
          <w:noProof/>
        </w:rPr>
        <w:t xml:space="preserve">Financijska pravila koja se primjenjuju na Agenciju donosi Upravljački odbor nakon savjetovanja s Komisijom. Ona ne odstupaju od Uredbe (EU) 1271/2013, osim ako je to odstupanje posebno potrebno za rad Agencije i ako je Komisija prethodno dala suglasnost. </w:t>
      </w:r>
    </w:p>
    <w:p w:rsidR="00A761A4" w:rsidRDefault="0064189B">
      <w:pPr>
        <w:pStyle w:val="Titrearticle"/>
        <w:spacing w:before="0" w:after="0"/>
        <w:rPr>
          <w:rFonts w:eastAsia="Times New Roman"/>
          <w:b/>
          <w:i w:val="0"/>
          <w:noProof/>
        </w:rPr>
      </w:pPr>
      <w:r>
        <w:rPr>
          <w:noProof/>
        </w:rPr>
        <w:t xml:space="preserve">Članak </w:t>
      </w:r>
      <w:r>
        <w:rPr>
          <w:i w:val="0"/>
          <w:noProof/>
        </w:rPr>
        <w:t>30.</w:t>
      </w:r>
      <w:r>
        <w:rPr>
          <w:noProof/>
        </w:rPr>
        <w:br/>
      </w:r>
      <w:r>
        <w:rPr>
          <w:b/>
          <w:noProof/>
        </w:rPr>
        <w:t>Borba protiv prijevara</w:t>
      </w:r>
    </w:p>
    <w:p w:rsidR="00A761A4" w:rsidRDefault="0064189B">
      <w:pPr>
        <w:pStyle w:val="ManualNumPar1"/>
        <w:rPr>
          <w:noProof/>
        </w:rPr>
      </w:pPr>
      <w:r>
        <w:t>1.</w:t>
      </w:r>
      <w:r>
        <w:tab/>
      </w:r>
      <w:r>
        <w:rPr>
          <w:noProof/>
        </w:rPr>
        <w:t>Kako bi se olakšalo suzbijanje prijevara, korupcije i drugih nezakonitih aktivnosti u skladu s Uredbom (EU, Euratom) br. 883/2013 Europskog parlamenta i Vijeća</w:t>
      </w:r>
      <w:r>
        <w:rPr>
          <w:rStyle w:val="FootnoteReference"/>
          <w:noProof/>
        </w:rPr>
        <w:footnoteReference w:id="40"/>
      </w:r>
      <w:r>
        <w:rPr>
          <w:noProof/>
        </w:rPr>
        <w:t>, Agencija u roku od šest mjeseci od početka svojeg rada p</w:t>
      </w:r>
      <w:r>
        <w:rPr>
          <w:noProof/>
        </w:rPr>
        <w:t>ristupa Međuinstitucionalnom sporazumu od 25. svibnja 1999. u vezi s internim istragama koje provodi Europski ured za borbu protiv prijevara (OLAF) i donosi odgovarajuće odredbe primjenljive na sve zaposlenike Agencije, koristeći se obrascem utvrđenim u pr</w:t>
      </w:r>
      <w:r>
        <w:rPr>
          <w:noProof/>
        </w:rPr>
        <w:t>ilogu tom Sporazumu.</w:t>
      </w:r>
    </w:p>
    <w:p w:rsidR="00A761A4" w:rsidRDefault="0064189B">
      <w:pPr>
        <w:pStyle w:val="ManualNumPar1"/>
        <w:rPr>
          <w:noProof/>
        </w:rPr>
      </w:pPr>
      <w:r>
        <w:t>2.</w:t>
      </w:r>
      <w:r>
        <w:tab/>
      </w:r>
      <w:r>
        <w:rPr>
          <w:noProof/>
        </w:rPr>
        <w:t>Revizorski sud ovlašten je za provedbu revizije, na temelju dokumenata i na terenu, svih korisnika bespovratnih sredstava, ugovaratelja i podugovaratelja koji su primili sredstva Unije od Agencije.</w:t>
      </w:r>
    </w:p>
    <w:p w:rsidR="00A761A4" w:rsidRDefault="0064189B">
      <w:pPr>
        <w:pStyle w:val="ManualNumPar1"/>
        <w:rPr>
          <w:noProof/>
        </w:rPr>
      </w:pPr>
      <w:r>
        <w:t>3.</w:t>
      </w:r>
      <w:r>
        <w:tab/>
      </w:r>
      <w:r>
        <w:rPr>
          <w:noProof/>
        </w:rPr>
        <w:t>OLAF može provoditi istrage, me</w:t>
      </w:r>
      <w:r>
        <w:rPr>
          <w:noProof/>
        </w:rPr>
        <w:t>đu ostalim provjere i inspekcije na terenu, u skladu s odredbama i postupcima propisanima Uredbom (EU, Euratom) br. 883/2013 Europskog parlamenta i Vijeća i Uredbom Vijeća (Euratom, EZ) br. 2185/96</w:t>
      </w:r>
      <w:r>
        <w:rPr>
          <w:rStyle w:val="FootnoteReference"/>
          <w:noProof/>
        </w:rPr>
        <w:footnoteReference w:id="41"/>
      </w:r>
      <w:r>
        <w:rPr>
          <w:noProof/>
        </w:rPr>
        <w:t xml:space="preserve"> od 11. studenoga 1996. o provjerama i inspekcijama na ter</w:t>
      </w:r>
      <w:r>
        <w:rPr>
          <w:noProof/>
        </w:rPr>
        <w:t>enu koje provodi Komisija s ciljem zaštite financijskih interesa Europskih zajednica od prijevara i ostalih nepravilnosti kako bi utvrdio je li došlo do prijevare, korupcije ili bilo koje druge nezakonite aktivnosti koja utječe na financijske interese Unij</w:t>
      </w:r>
      <w:r>
        <w:rPr>
          <w:noProof/>
        </w:rPr>
        <w:t>e u vezi s bespovratnim sredstvima ili ugovorom koji financira Agencija.</w:t>
      </w:r>
    </w:p>
    <w:p w:rsidR="00A761A4" w:rsidRDefault="0064189B">
      <w:pPr>
        <w:pStyle w:val="ManualNumPar1"/>
        <w:rPr>
          <w:noProof/>
        </w:rPr>
      </w:pPr>
      <w:r>
        <w:t>4.</w:t>
      </w:r>
      <w:r>
        <w:tab/>
      </w:r>
      <w:r>
        <w:rPr>
          <w:noProof/>
        </w:rPr>
        <w:t>Ne dovodeći u pitanje stavke 1., 2. i 3., sporazumi o suradnji s trećim zemljama i međunarodnim organizacijama, ugovori, sporazumi o bespovratnim sredstvima i odluke Agencije o bes</w:t>
      </w:r>
      <w:r>
        <w:rPr>
          <w:noProof/>
        </w:rPr>
        <w:t>povratnim sredstvima sadržavaju odredbe kojima se Revizorskom sudu i OLAF-u daje izričita ovlast za provođenje tih revizija i istraga u skladu s njihovim nadležnostima.</w:t>
      </w:r>
    </w:p>
    <w:p w:rsidR="00A761A4" w:rsidRDefault="00A761A4">
      <w:pPr>
        <w:spacing w:after="0"/>
        <w:rPr>
          <w:rFonts w:eastAsia="Times New Roman"/>
          <w:noProof/>
          <w:szCs w:val="24"/>
        </w:rPr>
      </w:pPr>
    </w:p>
    <w:p w:rsidR="00A761A4" w:rsidRDefault="0064189B">
      <w:pPr>
        <w:pStyle w:val="ChapterTitle"/>
        <w:rPr>
          <w:noProof/>
        </w:rPr>
      </w:pPr>
      <w:bookmarkStart w:id="34" w:name="_Toc492216476"/>
      <w:r>
        <w:rPr>
          <w:noProof/>
        </w:rPr>
        <w:t>POGLAVLJE IV.</w:t>
      </w:r>
      <w:r>
        <w:rPr>
          <w:noProof/>
        </w:rPr>
        <w:br/>
        <w:t>OSOBLJE AGENCIJE</w:t>
      </w:r>
      <w:bookmarkEnd w:id="34"/>
      <w:r>
        <w:rPr>
          <w:noProof/>
        </w:rPr>
        <w:t xml:space="preserve"> </w:t>
      </w:r>
    </w:p>
    <w:p w:rsidR="00A761A4" w:rsidRDefault="0064189B">
      <w:pPr>
        <w:pStyle w:val="Titrearticle"/>
        <w:spacing w:before="0" w:after="0"/>
        <w:rPr>
          <w:rFonts w:eastAsia="Times New Roman"/>
          <w:b/>
          <w:i w:val="0"/>
          <w:noProof/>
        </w:rPr>
      </w:pPr>
      <w:r>
        <w:rPr>
          <w:noProof/>
        </w:rPr>
        <w:t>Članak 31.</w:t>
      </w:r>
      <w:r>
        <w:rPr>
          <w:noProof/>
        </w:rPr>
        <w:br/>
      </w:r>
      <w:r>
        <w:rPr>
          <w:b/>
          <w:noProof/>
        </w:rPr>
        <w:t>Opće odredbe</w:t>
      </w:r>
    </w:p>
    <w:p w:rsidR="00A761A4" w:rsidRDefault="0064189B">
      <w:pPr>
        <w:spacing w:after="0"/>
        <w:rPr>
          <w:rFonts w:eastAsia="Times New Roman"/>
          <w:noProof/>
          <w:szCs w:val="24"/>
        </w:rPr>
      </w:pPr>
      <w:r>
        <w:rPr>
          <w:noProof/>
        </w:rPr>
        <w:t>Na osoblje Agencije primjenjuj</w:t>
      </w:r>
      <w:r>
        <w:rPr>
          <w:noProof/>
        </w:rPr>
        <w:t>u se Pravilnik o osoblju i Uvjeti zaposlenja ostalih službenika te pravila koja su radi primjene tog Pravilnika o osoblju institucije Unije donijele na temelju zajedničkog dogovora.</w:t>
      </w:r>
    </w:p>
    <w:p w:rsidR="00A761A4" w:rsidRDefault="00A761A4">
      <w:pPr>
        <w:spacing w:after="0"/>
        <w:rPr>
          <w:rFonts w:eastAsia="Times New Roman"/>
          <w:noProof/>
          <w:szCs w:val="24"/>
        </w:rPr>
      </w:pPr>
    </w:p>
    <w:p w:rsidR="00A761A4" w:rsidRDefault="0064189B">
      <w:pPr>
        <w:pStyle w:val="Titrearticle"/>
        <w:spacing w:before="0" w:after="0"/>
        <w:rPr>
          <w:rFonts w:eastAsia="Times New Roman"/>
          <w:b/>
          <w:i w:val="0"/>
          <w:noProof/>
        </w:rPr>
      </w:pPr>
      <w:r>
        <w:rPr>
          <w:noProof/>
        </w:rPr>
        <w:t>Članak 32.</w:t>
      </w:r>
      <w:r>
        <w:rPr>
          <w:noProof/>
        </w:rPr>
        <w:br/>
      </w:r>
      <w:r>
        <w:rPr>
          <w:b/>
          <w:noProof/>
        </w:rPr>
        <w:t>Povlastice i imunitet</w:t>
      </w:r>
    </w:p>
    <w:p w:rsidR="00A761A4" w:rsidRDefault="0064189B">
      <w:pPr>
        <w:spacing w:after="0"/>
        <w:rPr>
          <w:rFonts w:eastAsia="Times New Roman"/>
          <w:noProof/>
          <w:szCs w:val="24"/>
        </w:rPr>
      </w:pPr>
      <w:r>
        <w:rPr>
          <w:noProof/>
        </w:rPr>
        <w:t>Na Agenciju i njezino osoblje primjenjuj</w:t>
      </w:r>
      <w:r>
        <w:rPr>
          <w:noProof/>
        </w:rPr>
        <w:t>e se Protokol br. 7 o povlasticama i imunitetima Europske unije koji je priložen Ugovoru o Europskoj uniji i UFEU-u.</w:t>
      </w:r>
    </w:p>
    <w:p w:rsidR="00A761A4" w:rsidRDefault="00A761A4">
      <w:pPr>
        <w:spacing w:after="0"/>
        <w:rPr>
          <w:rFonts w:eastAsia="Times New Roman"/>
          <w:noProof/>
          <w:szCs w:val="24"/>
        </w:rPr>
      </w:pPr>
    </w:p>
    <w:p w:rsidR="00A761A4" w:rsidRDefault="0064189B">
      <w:pPr>
        <w:pStyle w:val="Titrearticle"/>
        <w:spacing w:before="0" w:after="0"/>
        <w:rPr>
          <w:rFonts w:eastAsia="Times New Roman"/>
          <w:b/>
          <w:i w:val="0"/>
          <w:noProof/>
        </w:rPr>
      </w:pPr>
      <w:r>
        <w:rPr>
          <w:noProof/>
        </w:rPr>
        <w:t>Članak 33.</w:t>
      </w:r>
      <w:r>
        <w:rPr>
          <w:noProof/>
        </w:rPr>
        <w:br/>
      </w:r>
      <w:r>
        <w:rPr>
          <w:b/>
          <w:noProof/>
        </w:rPr>
        <w:t>Izvršni direktor</w:t>
      </w:r>
    </w:p>
    <w:p w:rsidR="00A761A4" w:rsidRDefault="0064189B">
      <w:pPr>
        <w:pStyle w:val="ManualNumPar1"/>
        <w:rPr>
          <w:noProof/>
        </w:rPr>
      </w:pPr>
      <w:r>
        <w:t>1.</w:t>
      </w:r>
      <w:r>
        <w:tab/>
      </w:r>
      <w:r>
        <w:rPr>
          <w:noProof/>
        </w:rPr>
        <w:t>Izvršni direktor zapošljava se kao privremeni djelatnik Agencije u skladu s člankom 2. točkom (a) Uvjeta za</w:t>
      </w:r>
      <w:r>
        <w:rPr>
          <w:noProof/>
        </w:rPr>
        <w:t>poslenja ostalih službenika.</w:t>
      </w:r>
    </w:p>
    <w:p w:rsidR="00A761A4" w:rsidRDefault="0064189B">
      <w:pPr>
        <w:pStyle w:val="ManualNumPar1"/>
        <w:rPr>
          <w:noProof/>
        </w:rPr>
      </w:pPr>
      <w:r>
        <w:t>2.</w:t>
      </w:r>
      <w:r>
        <w:tab/>
      </w:r>
      <w:r>
        <w:rPr>
          <w:noProof/>
        </w:rPr>
        <w:t>Izvršnog direktora imenuje Upravljački odbor nakon otvorenog i transparentnog postupka odabira s popisa kandidata koje je predložila Komisija.</w:t>
      </w:r>
    </w:p>
    <w:p w:rsidR="00A761A4" w:rsidRDefault="0064189B">
      <w:pPr>
        <w:pStyle w:val="ManualNumPar1"/>
        <w:rPr>
          <w:noProof/>
        </w:rPr>
      </w:pPr>
      <w:r>
        <w:t>3.</w:t>
      </w:r>
      <w:r>
        <w:tab/>
      </w:r>
      <w:r>
        <w:rPr>
          <w:noProof/>
        </w:rPr>
        <w:t>Agenciju pri sklapanju ugovora s izvršnim direktorom zastupa predsjednik Uprav</w:t>
      </w:r>
      <w:r>
        <w:rPr>
          <w:noProof/>
        </w:rPr>
        <w:t>ljačkog odbora.</w:t>
      </w:r>
    </w:p>
    <w:p w:rsidR="00A761A4" w:rsidRDefault="0064189B">
      <w:pPr>
        <w:pStyle w:val="ManualNumPar1"/>
        <w:rPr>
          <w:noProof/>
        </w:rPr>
      </w:pPr>
      <w:r>
        <w:t>4.</w:t>
      </w:r>
      <w:r>
        <w:tab/>
      </w:r>
      <w:r>
        <w:rPr>
          <w:noProof/>
        </w:rPr>
        <w:t>Kandidat kojeg je odabrao Upravljački odbor poziva se prije imenovanja da pred nadležnim odborom Europskog parlamenta da izjavu i odgovori na pitanja njegovih članova.</w:t>
      </w:r>
    </w:p>
    <w:p w:rsidR="00A761A4" w:rsidRDefault="0064189B">
      <w:pPr>
        <w:pStyle w:val="ManualNumPar1"/>
        <w:rPr>
          <w:noProof/>
        </w:rPr>
      </w:pPr>
      <w:r>
        <w:t>5.</w:t>
      </w:r>
      <w:r>
        <w:tab/>
      </w:r>
      <w:r>
        <w:rPr>
          <w:noProof/>
        </w:rPr>
        <w:t xml:space="preserve">Mandat izvršnoga direktora traje pet godina. Do kraja tog </w:t>
      </w:r>
      <w:r>
        <w:rPr>
          <w:noProof/>
        </w:rPr>
        <w:t>razdoblja Komisija provodi procjenu u kojoj se uzimaju u obzir ocjena uspješnosti izvršnog direktora te budući izazovi i zadaće Agencije.</w:t>
      </w:r>
    </w:p>
    <w:p w:rsidR="00A761A4" w:rsidRDefault="0064189B">
      <w:pPr>
        <w:pStyle w:val="ManualNumPar1"/>
        <w:rPr>
          <w:noProof/>
        </w:rPr>
      </w:pPr>
      <w:r>
        <w:t>6.</w:t>
      </w:r>
      <w:r>
        <w:tab/>
      </w:r>
      <w:r>
        <w:rPr>
          <w:noProof/>
        </w:rPr>
        <w:t>Upravljački odbor donosi odluku o imenovanju, produljenju mandata ili razrješenju dužnosti izvršnog direktora dvotr</w:t>
      </w:r>
      <w:r>
        <w:rPr>
          <w:noProof/>
        </w:rPr>
        <w:t>ećinskom većinom glasova svojih članova s glasačkim pravima.</w:t>
      </w:r>
    </w:p>
    <w:p w:rsidR="00A761A4" w:rsidRDefault="0064189B">
      <w:pPr>
        <w:pStyle w:val="ManualNumPar1"/>
        <w:rPr>
          <w:noProof/>
        </w:rPr>
      </w:pPr>
      <w:r>
        <w:t>7.</w:t>
      </w:r>
      <w:r>
        <w:tab/>
      </w:r>
      <w:r>
        <w:rPr>
          <w:noProof/>
        </w:rPr>
        <w:t>Upravljački odbor na prijedlog Komisije, kojim se uzima u obzir procjena iz stavka 5., može jedanput produljiti mandat izvršnog direktora za razdoblje od najdulje pet godina.</w:t>
      </w:r>
    </w:p>
    <w:p w:rsidR="00A761A4" w:rsidRDefault="0064189B">
      <w:pPr>
        <w:pStyle w:val="ManualNumPar1"/>
        <w:rPr>
          <w:noProof/>
        </w:rPr>
      </w:pPr>
      <w:r>
        <w:t>8.</w:t>
      </w:r>
      <w:r>
        <w:tab/>
      </w:r>
      <w:r>
        <w:rPr>
          <w:noProof/>
        </w:rPr>
        <w:t>Upravljački ob</w:t>
      </w:r>
      <w:r>
        <w:rPr>
          <w:noProof/>
        </w:rPr>
        <w:t>avješćuje Europski parlament o svojoj namjeri da produlji mandat izvršnog direktora. U roku od tri mjeseca prije takvog produljenja izvršni direktor, ako ga se na to pozove, daje izjavu pred nadležnim odborom Europskog parlamenta i odgovara na pitanja njeg</w:t>
      </w:r>
      <w:r>
        <w:rPr>
          <w:noProof/>
        </w:rPr>
        <w:t>ovih članova.</w:t>
      </w:r>
    </w:p>
    <w:p w:rsidR="00A761A4" w:rsidRDefault="0064189B">
      <w:pPr>
        <w:pStyle w:val="ManualNumPar1"/>
        <w:rPr>
          <w:noProof/>
        </w:rPr>
      </w:pPr>
      <w:r>
        <w:t>9.</w:t>
      </w:r>
      <w:r>
        <w:tab/>
      </w:r>
      <w:r>
        <w:rPr>
          <w:noProof/>
        </w:rPr>
        <w:t>Izvršni direktor čiji je mandat produljen ne može sudjelovati u još jednom postupku odabira za isto radno mjesto.</w:t>
      </w:r>
    </w:p>
    <w:p w:rsidR="00A761A4" w:rsidRDefault="0064189B">
      <w:pPr>
        <w:pStyle w:val="ManualNumPar1"/>
        <w:rPr>
          <w:noProof/>
        </w:rPr>
      </w:pPr>
      <w:r>
        <w:t>10.</w:t>
      </w:r>
      <w:r>
        <w:tab/>
      </w:r>
      <w:r>
        <w:rPr>
          <w:noProof/>
        </w:rPr>
        <w:t>Izvršni direktor može biti razriješen dužnosti samo na temelju odluke Upravljačkog odbora, koji djeluje na prijedlog Komi</w:t>
      </w:r>
      <w:r>
        <w:rPr>
          <w:noProof/>
        </w:rPr>
        <w:t>sije.</w:t>
      </w:r>
    </w:p>
    <w:p w:rsidR="00A761A4" w:rsidRDefault="00A761A4">
      <w:pPr>
        <w:rPr>
          <w:noProof/>
        </w:rPr>
      </w:pPr>
    </w:p>
    <w:p w:rsidR="00A761A4" w:rsidRDefault="0064189B">
      <w:pPr>
        <w:pStyle w:val="Titrearticle"/>
        <w:spacing w:before="0" w:after="0"/>
        <w:rPr>
          <w:rFonts w:eastAsia="Times New Roman"/>
          <w:b/>
          <w:i w:val="0"/>
          <w:noProof/>
        </w:rPr>
      </w:pPr>
      <w:r>
        <w:rPr>
          <w:noProof/>
        </w:rPr>
        <w:t>Članak 34.</w:t>
      </w:r>
      <w:r>
        <w:rPr>
          <w:noProof/>
        </w:rPr>
        <w:br/>
      </w:r>
      <w:r>
        <w:rPr>
          <w:b/>
          <w:noProof/>
        </w:rPr>
        <w:t>Upućeni nacionalni stručnjaci i drugo osoblje</w:t>
      </w:r>
    </w:p>
    <w:p w:rsidR="00A761A4" w:rsidRDefault="0064189B">
      <w:pPr>
        <w:pStyle w:val="ManualNumPar1"/>
        <w:rPr>
          <w:noProof/>
        </w:rPr>
      </w:pPr>
      <w:r>
        <w:t>1.</w:t>
      </w:r>
      <w:r>
        <w:tab/>
      </w:r>
      <w:r>
        <w:rPr>
          <w:noProof/>
        </w:rPr>
        <w:t xml:space="preserve">Agencija može angažirati upućene nacionalne stručnjake i drugo osoblje koje nije zaposleno u Agenciji. Na to se osoblje ne primjenjuju Pravilnik o osoblju i Uvjeti zaposlenja ostalih </w:t>
      </w:r>
      <w:r>
        <w:rPr>
          <w:noProof/>
        </w:rPr>
        <w:t>službenika.</w:t>
      </w:r>
    </w:p>
    <w:p w:rsidR="00A761A4" w:rsidRDefault="0064189B">
      <w:pPr>
        <w:pStyle w:val="ManualNumPar1"/>
        <w:rPr>
          <w:noProof/>
        </w:rPr>
      </w:pPr>
      <w:r>
        <w:t>2.</w:t>
      </w:r>
      <w:r>
        <w:tab/>
      </w:r>
      <w:r>
        <w:rPr>
          <w:noProof/>
        </w:rPr>
        <w:t>Upravljački odbor donosi odluku o utvrđivanju pravila za upućivanje nacionalnih stručnjaka u Agenciju.</w:t>
      </w:r>
    </w:p>
    <w:p w:rsidR="00A761A4" w:rsidRDefault="00A761A4">
      <w:pPr>
        <w:spacing w:after="0"/>
        <w:rPr>
          <w:rFonts w:eastAsia="Times New Roman"/>
          <w:noProof/>
          <w:szCs w:val="24"/>
        </w:rPr>
      </w:pPr>
    </w:p>
    <w:p w:rsidR="00A761A4" w:rsidRDefault="0064189B">
      <w:pPr>
        <w:pStyle w:val="ChapterTitle"/>
        <w:rPr>
          <w:noProof/>
        </w:rPr>
      </w:pPr>
      <w:bookmarkStart w:id="35" w:name="_Toc492216477"/>
      <w:r>
        <w:rPr>
          <w:noProof/>
        </w:rPr>
        <w:t>POGLAVLJE V.</w:t>
      </w:r>
      <w:r>
        <w:rPr>
          <w:noProof/>
        </w:rPr>
        <w:br/>
        <w:t>OPĆE ODREDBE</w:t>
      </w:r>
      <w:bookmarkEnd w:id="35"/>
    </w:p>
    <w:p w:rsidR="00A761A4" w:rsidRDefault="0064189B">
      <w:pPr>
        <w:pStyle w:val="Titrearticle"/>
        <w:spacing w:before="0" w:after="0"/>
        <w:rPr>
          <w:rFonts w:eastAsia="Times New Roman"/>
          <w:b/>
          <w:i w:val="0"/>
          <w:noProof/>
        </w:rPr>
      </w:pPr>
      <w:r>
        <w:rPr>
          <w:noProof/>
        </w:rPr>
        <w:t>Članak 35.</w:t>
      </w:r>
      <w:r>
        <w:rPr>
          <w:noProof/>
        </w:rPr>
        <w:br/>
      </w:r>
      <w:r>
        <w:rPr>
          <w:b/>
          <w:noProof/>
        </w:rPr>
        <w:t>Pravni status</w:t>
      </w:r>
      <w:r>
        <w:rPr>
          <w:noProof/>
        </w:rPr>
        <w:t xml:space="preserve"> </w:t>
      </w:r>
      <w:r>
        <w:rPr>
          <w:b/>
          <w:i w:val="0"/>
          <w:noProof/>
        </w:rPr>
        <w:t>Agencije</w:t>
      </w:r>
    </w:p>
    <w:p w:rsidR="00A761A4" w:rsidRDefault="0064189B">
      <w:pPr>
        <w:pStyle w:val="ManualNumPar1"/>
        <w:rPr>
          <w:noProof/>
        </w:rPr>
      </w:pPr>
      <w:r>
        <w:t>1.</w:t>
      </w:r>
      <w:r>
        <w:tab/>
      </w:r>
      <w:r>
        <w:rPr>
          <w:noProof/>
        </w:rPr>
        <w:t>Agencija je tijelo Unije i ima pravnu osobnost.</w:t>
      </w:r>
    </w:p>
    <w:p w:rsidR="00A761A4" w:rsidRDefault="0064189B">
      <w:pPr>
        <w:pStyle w:val="ManualNumPar1"/>
        <w:rPr>
          <w:noProof/>
        </w:rPr>
      </w:pPr>
      <w:r>
        <w:t>2.</w:t>
      </w:r>
      <w:r>
        <w:tab/>
      </w:r>
      <w:r>
        <w:rPr>
          <w:noProof/>
        </w:rPr>
        <w:t>Agencija u svakoj držav</w:t>
      </w:r>
      <w:r>
        <w:rPr>
          <w:noProof/>
        </w:rPr>
        <w:t>i članici ima najširu pravnu sposobnost koja se pravnim osobama priznaje nacionalnim zakonodavstvom. Agencija osobito može stjecati ili otuđivati pokretnu i nepokretnu imovinu te biti stranka u sudskom postupku ili i jedno i drugo.</w:t>
      </w:r>
    </w:p>
    <w:p w:rsidR="00A761A4" w:rsidRDefault="0064189B">
      <w:pPr>
        <w:pStyle w:val="ManualNumPar1"/>
        <w:rPr>
          <w:noProof/>
        </w:rPr>
      </w:pPr>
      <w:r>
        <w:t>3.</w:t>
      </w:r>
      <w:r>
        <w:tab/>
      </w:r>
      <w:r>
        <w:rPr>
          <w:noProof/>
        </w:rPr>
        <w:t>Agenciju zastupa njez</w:t>
      </w:r>
      <w:r>
        <w:rPr>
          <w:noProof/>
        </w:rPr>
        <w:t>in izvršni direktor.</w:t>
      </w:r>
    </w:p>
    <w:p w:rsidR="00A761A4" w:rsidRDefault="00A761A4">
      <w:pPr>
        <w:jc w:val="center"/>
        <w:rPr>
          <w:rFonts w:eastAsia="Times New Roman"/>
          <w:noProof/>
          <w:szCs w:val="24"/>
        </w:rPr>
      </w:pPr>
    </w:p>
    <w:p w:rsidR="00A761A4" w:rsidRDefault="0064189B">
      <w:pPr>
        <w:pStyle w:val="Titrearticle"/>
        <w:spacing w:before="0" w:after="0"/>
        <w:rPr>
          <w:rFonts w:eastAsia="Times New Roman"/>
          <w:b/>
          <w:i w:val="0"/>
          <w:noProof/>
        </w:rPr>
      </w:pPr>
      <w:r>
        <w:rPr>
          <w:noProof/>
        </w:rPr>
        <w:t>Članak 36.</w:t>
      </w:r>
      <w:r>
        <w:rPr>
          <w:noProof/>
        </w:rPr>
        <w:br/>
      </w:r>
      <w:r>
        <w:rPr>
          <w:b/>
          <w:noProof/>
        </w:rPr>
        <w:t xml:space="preserve">Odgovornost Agencije </w:t>
      </w:r>
    </w:p>
    <w:p w:rsidR="00A761A4" w:rsidRDefault="0064189B">
      <w:pPr>
        <w:pStyle w:val="ManualNumPar1"/>
        <w:rPr>
          <w:noProof/>
        </w:rPr>
      </w:pPr>
      <w:r>
        <w:t>1.</w:t>
      </w:r>
      <w:r>
        <w:tab/>
      </w:r>
      <w:r>
        <w:rPr>
          <w:noProof/>
        </w:rPr>
        <w:t>Ugovorna odgovornost Agencije uređena je pravom koje se primjenjuje na dotični ugovor.</w:t>
      </w:r>
    </w:p>
    <w:p w:rsidR="00A761A4" w:rsidRDefault="0064189B">
      <w:pPr>
        <w:pStyle w:val="ManualNumPar1"/>
        <w:rPr>
          <w:noProof/>
        </w:rPr>
      </w:pPr>
      <w:r>
        <w:t>2.</w:t>
      </w:r>
      <w:r>
        <w:tab/>
      </w:r>
      <w:r>
        <w:rPr>
          <w:noProof/>
        </w:rPr>
        <w:t>Sud Europske unije nadležan je za donošenje presuda na temelju bilo koje odredbe o arbitraži sadržane u ugov</w:t>
      </w:r>
      <w:r>
        <w:rPr>
          <w:noProof/>
        </w:rPr>
        <w:t>oru koji je sklopila Agencija.</w:t>
      </w:r>
    </w:p>
    <w:p w:rsidR="00A761A4" w:rsidRDefault="0064189B">
      <w:pPr>
        <w:pStyle w:val="ManualNumPar1"/>
        <w:rPr>
          <w:noProof/>
        </w:rPr>
      </w:pPr>
      <w:r>
        <w:t>3.</w:t>
      </w:r>
      <w:r>
        <w:tab/>
      </w:r>
      <w:r>
        <w:rPr>
          <w:noProof/>
        </w:rPr>
        <w:t>U slučaju izvanugovorne odgovornosti Agencija je, u skladu s općim načelima koja su zajednička zakonodavstvima država članica, dužna nadoknaditi svaku štetu koju Agencija ili njezini službenici prouzroče pri obavljanju svo</w:t>
      </w:r>
      <w:r>
        <w:rPr>
          <w:noProof/>
        </w:rPr>
        <w:t>jih dužnosti.</w:t>
      </w:r>
    </w:p>
    <w:p w:rsidR="00A761A4" w:rsidRDefault="0064189B">
      <w:pPr>
        <w:pStyle w:val="ManualNumPar1"/>
        <w:rPr>
          <w:noProof/>
        </w:rPr>
      </w:pPr>
      <w:r>
        <w:t>4.</w:t>
      </w:r>
      <w:r>
        <w:tab/>
      </w:r>
      <w:r>
        <w:rPr>
          <w:noProof/>
        </w:rPr>
        <w:t>Sud Europske unije nadležan je za sve sporove povezane s nadoknadom takve štete.</w:t>
      </w:r>
    </w:p>
    <w:p w:rsidR="00A761A4" w:rsidRDefault="0064189B">
      <w:pPr>
        <w:pStyle w:val="ManualNumPar1"/>
        <w:rPr>
          <w:noProof/>
        </w:rPr>
      </w:pPr>
      <w:r>
        <w:t>5.</w:t>
      </w:r>
      <w:r>
        <w:tab/>
      </w:r>
      <w:r>
        <w:rPr>
          <w:noProof/>
        </w:rPr>
        <w:t>Osobna odgovornost službenika prema Agenciji podliježe odgovarajućim uvjetima koji se primjenjuju na osoblje.</w:t>
      </w:r>
    </w:p>
    <w:p w:rsidR="00A761A4" w:rsidRDefault="00A761A4">
      <w:pPr>
        <w:rPr>
          <w:noProof/>
        </w:rPr>
      </w:pPr>
    </w:p>
    <w:p w:rsidR="00A761A4" w:rsidRDefault="0064189B">
      <w:pPr>
        <w:pStyle w:val="Titrearticle"/>
        <w:spacing w:before="0" w:after="0"/>
        <w:rPr>
          <w:rFonts w:eastAsia="Times New Roman"/>
          <w:b/>
          <w:i w:val="0"/>
          <w:noProof/>
        </w:rPr>
      </w:pPr>
      <w:r>
        <w:rPr>
          <w:noProof/>
        </w:rPr>
        <w:t>Članak 37.</w:t>
      </w:r>
      <w:r>
        <w:rPr>
          <w:noProof/>
        </w:rPr>
        <w:br/>
      </w:r>
      <w:r>
        <w:rPr>
          <w:b/>
          <w:noProof/>
        </w:rPr>
        <w:t>Jezični režim</w:t>
      </w:r>
    </w:p>
    <w:p w:rsidR="00A761A4" w:rsidRDefault="0064189B">
      <w:pPr>
        <w:pStyle w:val="ManualNumPar1"/>
        <w:rPr>
          <w:noProof/>
        </w:rPr>
      </w:pPr>
      <w:r>
        <w:t>1.</w:t>
      </w:r>
      <w:r>
        <w:tab/>
      </w:r>
      <w:r>
        <w:rPr>
          <w:noProof/>
        </w:rPr>
        <w:t>Na Agenciju se p</w:t>
      </w:r>
      <w:r>
        <w:rPr>
          <w:noProof/>
        </w:rPr>
        <w:t>rimjenjuje Uredba Vijeća br. 1</w:t>
      </w:r>
      <w:r>
        <w:rPr>
          <w:rStyle w:val="FootnoteReference"/>
          <w:noProof/>
        </w:rPr>
        <w:footnoteReference w:id="42"/>
      </w:r>
      <w:r>
        <w:rPr>
          <w:noProof/>
        </w:rPr>
        <w:t>. Države članice i druga tijela koja su imenovale države članice mogu se obratiti Agenciji i dobiti odgovor na službenom jeziku institucija Unije po svojem izboru.</w:t>
      </w:r>
    </w:p>
    <w:p w:rsidR="00A761A4" w:rsidRDefault="0064189B">
      <w:pPr>
        <w:pStyle w:val="ManualNumPar1"/>
        <w:rPr>
          <w:noProof/>
        </w:rPr>
      </w:pPr>
      <w:r>
        <w:t>2.</w:t>
      </w:r>
      <w:r>
        <w:tab/>
      </w:r>
      <w:r>
        <w:rPr>
          <w:noProof/>
        </w:rPr>
        <w:t xml:space="preserve">Prevoditeljske usluge potrebne za funkcioniranje Agencije </w:t>
      </w:r>
      <w:r>
        <w:rPr>
          <w:noProof/>
        </w:rPr>
        <w:t>pruža Prevoditeljski centar za tijela Europske unije.</w:t>
      </w:r>
    </w:p>
    <w:p w:rsidR="00A761A4" w:rsidRDefault="00A761A4">
      <w:pPr>
        <w:rPr>
          <w:noProof/>
        </w:rPr>
      </w:pPr>
    </w:p>
    <w:p w:rsidR="00A761A4" w:rsidRDefault="0064189B">
      <w:pPr>
        <w:pStyle w:val="Titrearticle"/>
        <w:spacing w:before="0" w:after="0"/>
        <w:rPr>
          <w:rFonts w:eastAsia="Times New Roman"/>
          <w:b/>
          <w:i w:val="0"/>
          <w:noProof/>
        </w:rPr>
      </w:pPr>
      <w:r>
        <w:rPr>
          <w:noProof/>
        </w:rPr>
        <w:t>Članak 38.</w:t>
      </w:r>
      <w:r>
        <w:rPr>
          <w:noProof/>
        </w:rPr>
        <w:br/>
      </w:r>
      <w:r>
        <w:rPr>
          <w:b/>
          <w:noProof/>
        </w:rPr>
        <w:t>Zaštita osobnih podataka</w:t>
      </w:r>
    </w:p>
    <w:p w:rsidR="00A761A4" w:rsidRDefault="0064189B">
      <w:pPr>
        <w:pStyle w:val="ManualNumPar1"/>
        <w:rPr>
          <w:noProof/>
        </w:rPr>
      </w:pPr>
      <w:r>
        <w:t>1.</w:t>
      </w:r>
      <w:r>
        <w:tab/>
      </w:r>
      <w:r>
        <w:rPr>
          <w:noProof/>
        </w:rPr>
        <w:t>Agencija obrađuje osobne podatke u skladu s Uredbom (EZ) br. 45/2001 Europskog parlamenta i Vijeća</w:t>
      </w:r>
      <w:r>
        <w:rPr>
          <w:rStyle w:val="FootnoteReference"/>
          <w:noProof/>
        </w:rPr>
        <w:footnoteReference w:id="43"/>
      </w:r>
      <w:r>
        <w:rPr>
          <w:noProof/>
        </w:rPr>
        <w:t>.</w:t>
      </w:r>
    </w:p>
    <w:p w:rsidR="00A761A4" w:rsidRDefault="0064189B">
      <w:pPr>
        <w:pStyle w:val="ManualNumPar1"/>
        <w:rPr>
          <w:noProof/>
        </w:rPr>
      </w:pPr>
      <w:r>
        <w:t>2.</w:t>
      </w:r>
      <w:r>
        <w:tab/>
      </w:r>
      <w:r>
        <w:rPr>
          <w:noProof/>
        </w:rPr>
        <w:t xml:space="preserve">Upravljački odbor donosi provedbene mjere iz članka 24. </w:t>
      </w:r>
      <w:r>
        <w:rPr>
          <w:noProof/>
        </w:rPr>
        <w:t>stavka 8. Uredbe (EZ) br. 45/2001. Upravljački odbor može donijeti dodatne mjere koje su potrebne kako bi Agencija primjenjivala Uredbu (EZ) br. 45/2001.</w:t>
      </w:r>
    </w:p>
    <w:p w:rsidR="00A761A4" w:rsidRDefault="0064189B">
      <w:pPr>
        <w:pStyle w:val="Titrearticle"/>
        <w:spacing w:before="0" w:after="0"/>
        <w:rPr>
          <w:rFonts w:eastAsia="Times New Roman"/>
          <w:b/>
          <w:i w:val="0"/>
          <w:noProof/>
        </w:rPr>
      </w:pPr>
      <w:r>
        <w:rPr>
          <w:noProof/>
        </w:rPr>
        <w:t>Članak 39.</w:t>
      </w:r>
      <w:r>
        <w:rPr>
          <w:noProof/>
        </w:rPr>
        <w:br/>
      </w:r>
      <w:r>
        <w:rPr>
          <w:b/>
          <w:noProof/>
        </w:rPr>
        <w:t>Međunarodna suradnja s trećim zemljama i međunarodnim organizacijama</w:t>
      </w:r>
    </w:p>
    <w:p w:rsidR="00A761A4" w:rsidRDefault="0064189B">
      <w:pPr>
        <w:pStyle w:val="ManualNumPar1"/>
        <w:rPr>
          <w:noProof/>
        </w:rPr>
      </w:pPr>
      <w:r>
        <w:t>1.</w:t>
      </w:r>
      <w:r>
        <w:tab/>
      </w:r>
      <w:r>
        <w:rPr>
          <w:noProof/>
        </w:rPr>
        <w:t xml:space="preserve">Ako je to nužno za </w:t>
      </w:r>
      <w:r>
        <w:rPr>
          <w:noProof/>
        </w:rPr>
        <w:t>ostvarivanje ciljeva utvrđenih u ovoj Uredbi, Agencija može surađivati s nadležnim tijelima trećih zemalja ili s međunarodnim organizacijama ili i s jedinima i s drugima. U tu svrhu Agencija može, uz prethodno odobrenje Komisije, utvrditi radne aranžmane s</w:t>
      </w:r>
      <w:r>
        <w:rPr>
          <w:noProof/>
        </w:rPr>
        <w:t xml:space="preserve"> tijelima trećih zemalja i međunarodnim organizacijama. Tim se aranžmanima ne stvaraju pravne obveze za Uniju i njezine države članice.</w:t>
      </w:r>
    </w:p>
    <w:p w:rsidR="00A761A4" w:rsidRDefault="0064189B">
      <w:pPr>
        <w:pStyle w:val="ManualNumPar1"/>
        <w:rPr>
          <w:noProof/>
        </w:rPr>
      </w:pPr>
      <w:r>
        <w:t>2.</w:t>
      </w:r>
      <w:r>
        <w:tab/>
      </w:r>
      <w:r>
        <w:rPr>
          <w:noProof/>
        </w:rPr>
        <w:t xml:space="preserve">Agencija je otvorena za sudjelovanje trećih zemalja koje su u tu svrhu s Unijom sklopile sporazume. U skladu s </w:t>
      </w:r>
      <w:r>
        <w:rPr>
          <w:noProof/>
        </w:rPr>
        <w:t>relevantnim odredbama tih sporazuma utvrđuju se aranžmani kojima se posebno određuju priroda, opseg i način sudjelovanja tih zemalja u radu Agencije, uključujući odredbe koje se odnose na sudjelovanje u inicijativama koje poduzima Agencija, financijske dop</w:t>
      </w:r>
      <w:r>
        <w:rPr>
          <w:noProof/>
        </w:rPr>
        <w:t>rinose i osoblje. Aranžmani koji se odnose na osoblje u svakom slučaju moraju biti u skladu s Pravilnikom o osoblju.</w:t>
      </w:r>
    </w:p>
    <w:p w:rsidR="00A761A4" w:rsidRDefault="0064189B">
      <w:pPr>
        <w:pStyle w:val="ManualNumPar1"/>
        <w:rPr>
          <w:noProof/>
        </w:rPr>
      </w:pPr>
      <w:r>
        <w:t>3.</w:t>
      </w:r>
      <w:r>
        <w:tab/>
      </w:r>
      <w:r>
        <w:rPr>
          <w:noProof/>
        </w:rPr>
        <w:t>Upravljački odbor donosi strategiju za odnose s trećim zemljama ili međunarodnim organizacijama u pogledu pitanja za koja je Agencija na</w:t>
      </w:r>
      <w:r>
        <w:rPr>
          <w:noProof/>
        </w:rPr>
        <w:t>dležna. Komisija osigurava da Agencija djeluje u okviru svojeg mandata i postojećeg institucionalnog okvira sklapanjem odgovarajućeg radnog aranžmana s izvršnim direktorom Agencije.</w:t>
      </w:r>
    </w:p>
    <w:p w:rsidR="00A761A4" w:rsidRDefault="00A761A4">
      <w:pPr>
        <w:rPr>
          <w:noProof/>
        </w:rPr>
      </w:pPr>
    </w:p>
    <w:p w:rsidR="00A761A4" w:rsidRDefault="0064189B">
      <w:pPr>
        <w:pStyle w:val="Titrearticle"/>
        <w:spacing w:before="0" w:after="0"/>
        <w:rPr>
          <w:rFonts w:eastAsia="Times New Roman"/>
          <w:b/>
          <w:i w:val="0"/>
          <w:noProof/>
        </w:rPr>
      </w:pPr>
      <w:r>
        <w:rPr>
          <w:noProof/>
        </w:rPr>
        <w:t>Članak 40.</w:t>
      </w:r>
      <w:r>
        <w:rPr>
          <w:noProof/>
        </w:rPr>
        <w:br/>
      </w:r>
      <w:r>
        <w:rPr>
          <w:b/>
          <w:noProof/>
        </w:rPr>
        <w:t>Sigurnosna pravila za zaštitu klasificiranih i osjetljivih nek</w:t>
      </w:r>
      <w:r>
        <w:rPr>
          <w:b/>
          <w:noProof/>
        </w:rPr>
        <w:t>lasificiranih podataka</w:t>
      </w:r>
    </w:p>
    <w:p w:rsidR="00A761A4" w:rsidRDefault="0064189B">
      <w:pPr>
        <w:spacing w:after="0"/>
        <w:rPr>
          <w:rFonts w:eastAsia="Times New Roman"/>
          <w:noProof/>
          <w:szCs w:val="24"/>
        </w:rPr>
      </w:pPr>
      <w:r>
        <w:rPr>
          <w:noProof/>
        </w:rPr>
        <w:t>Agencija u dogovoru s Komisijom donosi svoja sigurnosna pravila primjenjujući sigurnosna načela iz sigurnosnih pravila Komisije za zaštitu klasificiranih podataka Europske unije (EUCI) i osjetljivih neklasificiranih podataka, kako je</w:t>
      </w:r>
      <w:r>
        <w:rPr>
          <w:noProof/>
        </w:rPr>
        <w:t xml:space="preserve"> utvrđeno u odlukama Komisije (EU, Euratom) 2015/443 i 2015/444. Navedeno obuhvaća, među ostalim, odredbe o razmjeni, obradi i pohrani takvih podataka.</w:t>
      </w:r>
    </w:p>
    <w:p w:rsidR="00A761A4" w:rsidRDefault="00A761A4">
      <w:pPr>
        <w:spacing w:after="0"/>
        <w:rPr>
          <w:rFonts w:eastAsia="Times New Roman"/>
          <w:strike/>
          <w:noProof/>
          <w:szCs w:val="24"/>
        </w:rPr>
      </w:pPr>
    </w:p>
    <w:p w:rsidR="00A761A4" w:rsidRDefault="0064189B">
      <w:pPr>
        <w:pStyle w:val="Titrearticle"/>
        <w:spacing w:before="0" w:after="0"/>
        <w:rPr>
          <w:b/>
          <w:noProof/>
        </w:rPr>
      </w:pPr>
      <w:r>
        <w:rPr>
          <w:noProof/>
        </w:rPr>
        <w:t>Članak 41.</w:t>
      </w:r>
      <w:r>
        <w:rPr>
          <w:noProof/>
        </w:rPr>
        <w:br/>
      </w:r>
      <w:r>
        <w:rPr>
          <w:b/>
          <w:noProof/>
        </w:rPr>
        <w:t>Sporazum o sjedištu i uvjeti rada</w:t>
      </w:r>
    </w:p>
    <w:p w:rsidR="00A761A4" w:rsidRDefault="0064189B">
      <w:pPr>
        <w:pStyle w:val="ManualNumPar1"/>
        <w:rPr>
          <w:noProof/>
        </w:rPr>
      </w:pPr>
      <w:r>
        <w:t>1.</w:t>
      </w:r>
      <w:r>
        <w:tab/>
      </w:r>
      <w:r>
        <w:rPr>
          <w:noProof/>
        </w:rPr>
        <w:t>Potrebni dogovori o smještaju Agencije u državi članici</w:t>
      </w:r>
      <w:r>
        <w:rPr>
          <w:noProof/>
        </w:rPr>
        <w:t xml:space="preserve"> domaćinu i objektima koje ta država članica daje na raspolaganje zajedno s posebnim pravilima koja se u državi članici domaćinu primjenjuju na izvršnog direktora, članove Upravljačkog odbora, osoblje Agencije i članove njihovih obitelji utvrđuju se Sporaz</w:t>
      </w:r>
      <w:r>
        <w:rPr>
          <w:noProof/>
        </w:rPr>
        <w:t xml:space="preserve">umom o sjedištu između Agencije i države članice u kojoj se sjedište nalazi, koji se sklapa nakon dobivanja odobrenja Upravljačkog odbora i najkasnije u roku od [2 godine od stupanja na snagu ove Uredbe]. </w:t>
      </w:r>
    </w:p>
    <w:p w:rsidR="00A761A4" w:rsidRDefault="0064189B">
      <w:pPr>
        <w:pStyle w:val="ManualNumPar1"/>
        <w:rPr>
          <w:noProof/>
        </w:rPr>
      </w:pPr>
      <w:r>
        <w:t>2.</w:t>
      </w:r>
      <w:r>
        <w:tab/>
      </w:r>
      <w:r>
        <w:rPr>
          <w:noProof/>
        </w:rPr>
        <w:t>Država članica domaćin Agencije osigurava najbo</w:t>
      </w:r>
      <w:r>
        <w:rPr>
          <w:noProof/>
        </w:rPr>
        <w:t>lje moguće uvjete za osiguravanje pravilnog funkcioniranja Agencije, uključujući dostupnost lokacije, postojanje odgovarajućih obrazovnih objekata za djecu članova osoblja, odgovarajući pristup tržištu rada, socijalno osiguranje i zdravstvenu zaštitu za dj</w:t>
      </w:r>
      <w:r>
        <w:rPr>
          <w:noProof/>
        </w:rPr>
        <w:t>ecu i supružnike.</w:t>
      </w:r>
    </w:p>
    <w:p w:rsidR="00A761A4" w:rsidRDefault="00A761A4">
      <w:pPr>
        <w:rPr>
          <w:noProof/>
        </w:rPr>
      </w:pPr>
    </w:p>
    <w:p w:rsidR="00A761A4" w:rsidRDefault="0064189B">
      <w:pPr>
        <w:pStyle w:val="Titrearticle"/>
        <w:spacing w:before="0" w:after="0"/>
        <w:rPr>
          <w:rFonts w:eastAsia="Times New Roman"/>
          <w:b/>
          <w:i w:val="0"/>
          <w:noProof/>
        </w:rPr>
      </w:pPr>
      <w:r>
        <w:rPr>
          <w:noProof/>
        </w:rPr>
        <w:t>Članak 42.</w:t>
      </w:r>
      <w:r>
        <w:rPr>
          <w:noProof/>
        </w:rPr>
        <w:br/>
      </w:r>
      <w:r>
        <w:rPr>
          <w:b/>
          <w:noProof/>
        </w:rPr>
        <w:t>Administrativni nadzor</w:t>
      </w:r>
    </w:p>
    <w:p w:rsidR="00A761A4" w:rsidRDefault="0064189B">
      <w:pPr>
        <w:spacing w:after="0"/>
        <w:rPr>
          <w:rFonts w:eastAsia="Times New Roman"/>
          <w:noProof/>
          <w:szCs w:val="24"/>
        </w:rPr>
      </w:pPr>
      <w:r>
        <w:rPr>
          <w:noProof/>
        </w:rPr>
        <w:t>Rad Agencije nadzire Europski ombudsman u skladu s člankom 228. UFEU-a.</w:t>
      </w:r>
    </w:p>
    <w:p w:rsidR="00A761A4" w:rsidRDefault="00A761A4">
      <w:pPr>
        <w:spacing w:after="0"/>
        <w:rPr>
          <w:rFonts w:eastAsia="Times New Roman"/>
          <w:noProof/>
          <w:szCs w:val="24"/>
        </w:rPr>
      </w:pPr>
    </w:p>
    <w:p w:rsidR="00A761A4" w:rsidRDefault="00A761A4">
      <w:pPr>
        <w:spacing w:after="0"/>
        <w:rPr>
          <w:rFonts w:eastAsia="Times New Roman"/>
          <w:noProof/>
          <w:szCs w:val="24"/>
        </w:rPr>
      </w:pPr>
    </w:p>
    <w:p w:rsidR="00A761A4" w:rsidRDefault="0064189B">
      <w:pPr>
        <w:pStyle w:val="PartTitle"/>
        <w:rPr>
          <w:noProof/>
        </w:rPr>
      </w:pPr>
      <w:bookmarkStart w:id="36" w:name="_Toc492216478"/>
      <w:r>
        <w:rPr>
          <w:noProof/>
        </w:rPr>
        <w:t>NASLOV III.</w:t>
      </w:r>
      <w:r>
        <w:rPr>
          <w:noProof/>
        </w:rPr>
        <w:br/>
        <w:t>OKVIR ZA KIBERSIGURNOSNU CERTIFIKACIJU</w:t>
      </w:r>
      <w:bookmarkEnd w:id="36"/>
    </w:p>
    <w:p w:rsidR="00A761A4" w:rsidRDefault="00A761A4">
      <w:pPr>
        <w:tabs>
          <w:tab w:val="left" w:pos="4252"/>
        </w:tabs>
        <w:spacing w:after="0"/>
        <w:rPr>
          <w:noProof/>
        </w:rPr>
      </w:pPr>
    </w:p>
    <w:p w:rsidR="00A761A4" w:rsidRDefault="0064189B">
      <w:pPr>
        <w:pStyle w:val="Titrearticle"/>
        <w:spacing w:before="0" w:after="0"/>
        <w:rPr>
          <w:b/>
          <w:noProof/>
        </w:rPr>
      </w:pPr>
      <w:r>
        <w:rPr>
          <w:noProof/>
        </w:rPr>
        <w:t>Članak 43.</w:t>
      </w:r>
      <w:r>
        <w:rPr>
          <w:noProof/>
        </w:rPr>
        <w:br/>
      </w:r>
      <w:r>
        <w:rPr>
          <w:b/>
          <w:noProof/>
        </w:rPr>
        <w:t>Europski programi kibersigurnosne certifikacije</w:t>
      </w:r>
    </w:p>
    <w:p w:rsidR="00A761A4" w:rsidRDefault="0064189B">
      <w:pPr>
        <w:rPr>
          <w:noProof/>
          <w:szCs w:val="24"/>
        </w:rPr>
      </w:pPr>
      <w:r>
        <w:rPr>
          <w:noProof/>
        </w:rPr>
        <w:t>Europskim programo</w:t>
      </w:r>
      <w:r>
        <w:rPr>
          <w:noProof/>
        </w:rPr>
        <w:t>m kibersigurnosne certifikacije potvrđuje se da su IKT proizvodi i usluge koji su certificirani u skladu s tim programom usklađeni s utvrđenim zahtjevima u pogledu njihove sposobnosti da se odupru, na određenoj razini jamstva, djelovanjima kojima se nastoj</w:t>
      </w:r>
      <w:r>
        <w:rPr>
          <w:noProof/>
        </w:rPr>
        <w:t>i ugroziti dostupnost, izvornost, cjelovitost ili povjerljivost pohranjenih ili poslanih ili obrađenih podataka ili funkcija ili usluga koje se nude tim proizvodima, postupcima, uslugama ili sustavima ili koje su preko njih dostupne.</w:t>
      </w:r>
    </w:p>
    <w:p w:rsidR="00A761A4" w:rsidRDefault="00A761A4">
      <w:pPr>
        <w:jc w:val="center"/>
        <w:rPr>
          <w:i/>
          <w:noProof/>
          <w:szCs w:val="24"/>
        </w:rPr>
      </w:pPr>
    </w:p>
    <w:p w:rsidR="00A761A4" w:rsidRDefault="0064189B">
      <w:pPr>
        <w:pStyle w:val="Titrearticle"/>
        <w:spacing w:before="0" w:after="0"/>
        <w:rPr>
          <w:b/>
          <w:i w:val="0"/>
          <w:noProof/>
        </w:rPr>
      </w:pPr>
      <w:r>
        <w:rPr>
          <w:noProof/>
        </w:rPr>
        <w:t>Članak 44.</w:t>
      </w:r>
      <w:r>
        <w:rPr>
          <w:noProof/>
        </w:rPr>
        <w:br/>
      </w:r>
      <w:r>
        <w:rPr>
          <w:b/>
          <w:noProof/>
        </w:rPr>
        <w:t>Izrada i d</w:t>
      </w:r>
      <w:r>
        <w:rPr>
          <w:b/>
          <w:noProof/>
        </w:rPr>
        <w:t>onošenje europskog programa kibersigurnosne certifikacije</w:t>
      </w:r>
    </w:p>
    <w:p w:rsidR="00A761A4" w:rsidRDefault="0064189B">
      <w:pPr>
        <w:pStyle w:val="ManualNumPar1"/>
        <w:rPr>
          <w:noProof/>
        </w:rPr>
      </w:pPr>
      <w:r>
        <w:t>1.</w:t>
      </w:r>
      <w:r>
        <w:tab/>
      </w:r>
      <w:r>
        <w:rPr>
          <w:noProof/>
        </w:rPr>
        <w:t>Na temelju zahtjeva Komisije ENISA izrađuje prijedlog europskog programa kibersigurnosne certifikacije koji je u skladu sa zahtjevima iz članaka 45., 46. i 47. ove Uredbe. Države članice ili Europska skupina za kibersigurnosnu certifikaciju („Skupina”) usp</w:t>
      </w:r>
      <w:r>
        <w:rPr>
          <w:noProof/>
        </w:rPr>
        <w:t xml:space="preserve">ostavljena u skladu s člankom 53. mogu Komisiji predložiti izradu prijedloga europskog programa kibersigurnosne certifikacije. </w:t>
      </w:r>
    </w:p>
    <w:p w:rsidR="00A761A4" w:rsidRDefault="0064189B">
      <w:pPr>
        <w:pStyle w:val="ManualNumPar1"/>
        <w:rPr>
          <w:noProof/>
        </w:rPr>
      </w:pPr>
      <w:r>
        <w:t>2.</w:t>
      </w:r>
      <w:r>
        <w:tab/>
      </w:r>
      <w:r>
        <w:rPr>
          <w:noProof/>
        </w:rPr>
        <w:t>Pri izradi prijedloga programa iz stavka 1. ovog članka ENISA se savjetuje sa svim relevantnim dionicima i blisko surađuje sa</w:t>
      </w:r>
      <w:r>
        <w:rPr>
          <w:noProof/>
        </w:rPr>
        <w:t xml:space="preserve"> Skupinom. Skupina pruža ENISA-i pomoć i stručne savjete koji su joj potrebni u vezi s izradom prijedloga programa, među ostalim davanjem mišljenja kada je potrebno. </w:t>
      </w:r>
    </w:p>
    <w:p w:rsidR="00A761A4" w:rsidRDefault="0064189B">
      <w:pPr>
        <w:pStyle w:val="ManualNumPar1"/>
        <w:rPr>
          <w:noProof/>
        </w:rPr>
      </w:pPr>
      <w:r>
        <w:t>3.</w:t>
      </w:r>
      <w:r>
        <w:tab/>
      </w:r>
      <w:r>
        <w:rPr>
          <w:noProof/>
        </w:rPr>
        <w:t>ENISA dostavlja Komisiji prijedlog europskog programa kibersigurnosne certifikacije iz</w:t>
      </w:r>
      <w:r>
        <w:rPr>
          <w:noProof/>
        </w:rPr>
        <w:t xml:space="preserve">rađenog u skladu sa stavkom 2. ovog članka. </w:t>
      </w:r>
    </w:p>
    <w:p w:rsidR="00A761A4" w:rsidRDefault="0064189B">
      <w:pPr>
        <w:pStyle w:val="ManualNumPar1"/>
        <w:rPr>
          <w:noProof/>
        </w:rPr>
      </w:pPr>
      <w:r>
        <w:t>4.</w:t>
      </w:r>
      <w:r>
        <w:tab/>
      </w:r>
      <w:r>
        <w:rPr>
          <w:noProof/>
        </w:rPr>
        <w:t>Komisija, na temelju prijedloga programa koji je izradila ENISA, može donositi provedbene akte, u skladu s člankom 55. stavkom 1., kojima su predviđeni europski programi kibersigurnosne certifikacije za IKT p</w:t>
      </w:r>
      <w:r>
        <w:rPr>
          <w:noProof/>
        </w:rPr>
        <w:t>roizvode i usluge koji ispunjavaju zahtjeve iz članaka 45., 46. i 47. ove Uredbe.</w:t>
      </w:r>
    </w:p>
    <w:p w:rsidR="00A761A4" w:rsidRDefault="0064189B">
      <w:pPr>
        <w:pStyle w:val="ManualNumPar1"/>
        <w:rPr>
          <w:noProof/>
        </w:rPr>
      </w:pPr>
      <w:r>
        <w:t>5.</w:t>
      </w:r>
      <w:r>
        <w:tab/>
      </w:r>
      <w:r>
        <w:rPr>
          <w:noProof/>
        </w:rPr>
        <w:t xml:space="preserve">ENISA održava posebno </w:t>
      </w:r>
      <w:r>
        <w:rPr>
          <w:i/>
          <w:noProof/>
        </w:rPr>
        <w:t>web</w:t>
      </w:r>
      <w:r>
        <w:rPr>
          <w:noProof/>
        </w:rPr>
        <w:t>-mjesto na kojem pruža informacije i promovira europske programe kibersigurnosne certifikacije.</w:t>
      </w:r>
    </w:p>
    <w:p w:rsidR="00A761A4" w:rsidRDefault="00A761A4">
      <w:pPr>
        <w:rPr>
          <w:i/>
          <w:noProof/>
          <w:szCs w:val="24"/>
        </w:rPr>
      </w:pPr>
    </w:p>
    <w:p w:rsidR="00A761A4" w:rsidRDefault="0064189B">
      <w:pPr>
        <w:pStyle w:val="Titrearticle"/>
        <w:spacing w:before="0" w:after="0"/>
        <w:rPr>
          <w:b/>
          <w:i w:val="0"/>
          <w:noProof/>
        </w:rPr>
      </w:pPr>
      <w:r>
        <w:rPr>
          <w:noProof/>
        </w:rPr>
        <w:t>Članak 45.</w:t>
      </w:r>
      <w:r>
        <w:rPr>
          <w:noProof/>
        </w:rPr>
        <w:br/>
      </w:r>
      <w:r>
        <w:rPr>
          <w:b/>
          <w:noProof/>
        </w:rPr>
        <w:t xml:space="preserve">Sigurnosni ciljevi europskih programa </w:t>
      </w:r>
      <w:r>
        <w:rPr>
          <w:b/>
          <w:noProof/>
        </w:rPr>
        <w:t>kibersigurnosne certifikacije</w:t>
      </w:r>
    </w:p>
    <w:p w:rsidR="00A761A4" w:rsidRDefault="0064189B">
      <w:pPr>
        <w:rPr>
          <w:noProof/>
          <w:szCs w:val="24"/>
        </w:rPr>
      </w:pPr>
      <w:r>
        <w:rPr>
          <w:noProof/>
        </w:rPr>
        <w:t>Europski program kibersigurnosne certifikacije izrađuje se tako da se njime uzimaju u obzir, prema potrebi, sljedeći sigurnosni ciljevi:</w:t>
      </w:r>
    </w:p>
    <w:p w:rsidR="00A761A4" w:rsidRDefault="0064189B">
      <w:pPr>
        <w:pStyle w:val="Point1letter"/>
        <w:numPr>
          <w:ilvl w:val="3"/>
          <w:numId w:val="66"/>
        </w:numPr>
        <w:rPr>
          <w:noProof/>
        </w:rPr>
      </w:pPr>
      <w:r>
        <w:rPr>
          <w:noProof/>
        </w:rPr>
        <w:t>zaštititi pohranjene, poslane ili na drugačiji način obrađene podatke od slučajnog ili ne</w:t>
      </w:r>
      <w:r>
        <w:rPr>
          <w:noProof/>
        </w:rPr>
        <w:t>ovlaštenog pohranjivanja, obrade, pristupa ili objave;</w:t>
      </w:r>
    </w:p>
    <w:p w:rsidR="00A761A4" w:rsidRDefault="0064189B">
      <w:pPr>
        <w:pStyle w:val="Point1letter"/>
        <w:numPr>
          <w:ilvl w:val="3"/>
          <w:numId w:val="66"/>
        </w:numPr>
        <w:rPr>
          <w:noProof/>
        </w:rPr>
      </w:pPr>
      <w:r>
        <w:rPr>
          <w:noProof/>
        </w:rPr>
        <w:t>zaštititi pohranjene, poslane ili na drugačiji način obrađene podatke od slučajnog ili neovlaštenog uništavanja, slučajnog gubitka ili izmjene;</w:t>
      </w:r>
    </w:p>
    <w:p w:rsidR="00A761A4" w:rsidRDefault="0064189B">
      <w:pPr>
        <w:pStyle w:val="Point1letter"/>
        <w:numPr>
          <w:ilvl w:val="3"/>
          <w:numId w:val="66"/>
        </w:numPr>
        <w:rPr>
          <w:noProof/>
        </w:rPr>
      </w:pPr>
      <w:r>
        <w:rPr>
          <w:noProof/>
        </w:rPr>
        <w:t xml:space="preserve">osigurati da ovlaštene osobe, programi ili strojevi mogu </w:t>
      </w:r>
      <w:r>
        <w:rPr>
          <w:noProof/>
        </w:rPr>
        <w:t>pristupiti isključivo podacima, uslugama ili funkcijama na koje se odnose njihova prava pristupa;</w:t>
      </w:r>
    </w:p>
    <w:p w:rsidR="00A761A4" w:rsidRDefault="0064189B">
      <w:pPr>
        <w:pStyle w:val="Point1letter"/>
        <w:numPr>
          <w:ilvl w:val="3"/>
          <w:numId w:val="66"/>
        </w:numPr>
        <w:rPr>
          <w:noProof/>
        </w:rPr>
      </w:pPr>
      <w:r>
        <w:rPr>
          <w:noProof/>
        </w:rPr>
        <w:t>evidentirati koji su podaci, funkcije ili usluge priopćeni, kada i tko ih je priopćio;</w:t>
      </w:r>
    </w:p>
    <w:p w:rsidR="00A761A4" w:rsidRDefault="0064189B">
      <w:pPr>
        <w:pStyle w:val="Point1letter"/>
        <w:numPr>
          <w:ilvl w:val="3"/>
          <w:numId w:val="66"/>
        </w:numPr>
        <w:rPr>
          <w:noProof/>
        </w:rPr>
      </w:pPr>
      <w:r>
        <w:rPr>
          <w:noProof/>
        </w:rPr>
        <w:t>osigurati da je moguće provjeriti kojim se podacima, uslugama ili funkc</w:t>
      </w:r>
      <w:r>
        <w:rPr>
          <w:noProof/>
        </w:rPr>
        <w:t>ijama pristupilo odnosno koji su podaci, usluge ili funkcije upotrijebljeni, kada i tko im je pristupio ili ih upotrijebio;</w:t>
      </w:r>
    </w:p>
    <w:p w:rsidR="00A761A4" w:rsidRDefault="0064189B">
      <w:pPr>
        <w:pStyle w:val="Point1letter"/>
        <w:numPr>
          <w:ilvl w:val="3"/>
          <w:numId w:val="66"/>
        </w:numPr>
        <w:rPr>
          <w:noProof/>
        </w:rPr>
      </w:pPr>
      <w:r>
        <w:rPr>
          <w:noProof/>
        </w:rPr>
        <w:t>pravodobno osigurati ponovnu dostupnost podataka i pristup podacima, uslugama i funkcijama u slučaju fizičkog ili tehničkog incident</w:t>
      </w:r>
      <w:r>
        <w:rPr>
          <w:noProof/>
        </w:rPr>
        <w:t>a;</w:t>
      </w:r>
    </w:p>
    <w:p w:rsidR="00A761A4" w:rsidRDefault="0064189B">
      <w:pPr>
        <w:pStyle w:val="Point1letter"/>
        <w:numPr>
          <w:ilvl w:val="3"/>
          <w:numId w:val="66"/>
        </w:numPr>
        <w:rPr>
          <w:noProof/>
          <w:szCs w:val="24"/>
        </w:rPr>
      </w:pPr>
      <w:r>
        <w:rPr>
          <w:noProof/>
        </w:rPr>
        <w:t>osigurati da je softver za IKT proizvode i usluge ažuriran i da ne sadržava poznate ranjivosti i da ti IKT proizvodi u usluge raspolažu mehanizmima za sigurno ažuriranje softvera.</w:t>
      </w:r>
    </w:p>
    <w:p w:rsidR="00A761A4" w:rsidRDefault="00A761A4">
      <w:pPr>
        <w:rPr>
          <w:noProof/>
          <w:szCs w:val="24"/>
        </w:rPr>
      </w:pPr>
    </w:p>
    <w:p w:rsidR="00A761A4" w:rsidRDefault="0064189B">
      <w:pPr>
        <w:pStyle w:val="Titrearticle"/>
        <w:spacing w:before="0" w:after="0"/>
        <w:rPr>
          <w:b/>
          <w:i w:val="0"/>
          <w:noProof/>
        </w:rPr>
      </w:pPr>
      <w:r>
        <w:rPr>
          <w:noProof/>
        </w:rPr>
        <w:t>Članak 46.</w:t>
      </w:r>
      <w:r>
        <w:rPr>
          <w:noProof/>
        </w:rPr>
        <w:br/>
      </w:r>
      <w:r>
        <w:rPr>
          <w:b/>
          <w:noProof/>
        </w:rPr>
        <w:t>Razine jamstva europskih programa kibersigurnosne certifikaci</w:t>
      </w:r>
      <w:r>
        <w:rPr>
          <w:b/>
          <w:noProof/>
        </w:rPr>
        <w:t>je</w:t>
      </w:r>
    </w:p>
    <w:p w:rsidR="00A761A4" w:rsidRDefault="0064189B">
      <w:pPr>
        <w:pStyle w:val="ManualNumPar1"/>
        <w:rPr>
          <w:noProof/>
        </w:rPr>
      </w:pPr>
      <w:r>
        <w:t>1.</w:t>
      </w:r>
      <w:r>
        <w:tab/>
      </w:r>
      <w:r>
        <w:rPr>
          <w:noProof/>
        </w:rPr>
        <w:t>Europskim programom kibersigurnosne certifikacije može se utvrditi jedna od sljedećih razina jamstva ili više njih: osnovna, znatna i/ ili visoka za IKT proizvode i usluge certificirane u skladu s tim programom.</w:t>
      </w:r>
    </w:p>
    <w:p w:rsidR="00A761A4" w:rsidRDefault="0064189B">
      <w:pPr>
        <w:pStyle w:val="ManualNumPar1"/>
        <w:rPr>
          <w:noProof/>
        </w:rPr>
      </w:pPr>
      <w:r>
        <w:t>2.</w:t>
      </w:r>
      <w:r>
        <w:tab/>
      </w:r>
      <w:r>
        <w:rPr>
          <w:noProof/>
        </w:rPr>
        <w:t>Osnovna, znatna i visoka razina jam</w:t>
      </w:r>
      <w:r>
        <w:rPr>
          <w:noProof/>
        </w:rPr>
        <w:t>stva ispunjavaju sljedeće kriterije:</w:t>
      </w:r>
    </w:p>
    <w:p w:rsidR="00A761A4" w:rsidRDefault="0064189B">
      <w:pPr>
        <w:pStyle w:val="Point1letter"/>
        <w:numPr>
          <w:ilvl w:val="3"/>
          <w:numId w:val="67"/>
        </w:numPr>
        <w:rPr>
          <w:noProof/>
        </w:rPr>
      </w:pPr>
      <w:r>
        <w:rPr>
          <w:noProof/>
        </w:rPr>
        <w:t>osnovna razina jamstva odnosi se na certifikat izdan u kontekstu europskog programa kibersigurnosne certifikacije kojim se osigurava ograničeni stupanj povjerenja u navedena ili zajamčena kibersigurnosna obilježja IKT p</w:t>
      </w:r>
      <w:r>
        <w:rPr>
          <w:noProof/>
        </w:rPr>
        <w:t>roizvoda ili usluge i opisuje se upućivanjem na odgovarajuće tehničke specifikacije, norme i postupke, uključujući tehničke kontrole, čija je svrha smanjiti rizik od kiberincidenata;</w:t>
      </w:r>
    </w:p>
    <w:p w:rsidR="00A761A4" w:rsidRDefault="0064189B">
      <w:pPr>
        <w:pStyle w:val="Point1letter"/>
        <w:numPr>
          <w:ilvl w:val="3"/>
          <w:numId w:val="67"/>
        </w:numPr>
        <w:rPr>
          <w:noProof/>
        </w:rPr>
      </w:pPr>
      <w:r>
        <w:rPr>
          <w:noProof/>
        </w:rPr>
        <w:t>znatna razina jamstva odnosi se na certifikat izdan u kontekstu europskog</w:t>
      </w:r>
      <w:r>
        <w:rPr>
          <w:noProof/>
        </w:rPr>
        <w:t xml:space="preserve"> programa kibersigurnosne certifikacije kojim se osigurava znatan stupanj povjerenja u navedena ili zajamčena kibersigurnosna obilježja IKT proizvoda ili usluge i opisuje se upućivanjem na odgovarajuće tehničke specifikacije, norme i postupke, uključujući </w:t>
      </w:r>
      <w:r>
        <w:rPr>
          <w:noProof/>
        </w:rPr>
        <w:t>tehničke kontrole, čija je svrha znatno smanjiti rizik od kiberincidenata;</w:t>
      </w:r>
    </w:p>
    <w:p w:rsidR="00A761A4" w:rsidRDefault="0064189B">
      <w:pPr>
        <w:pStyle w:val="Point1letter"/>
        <w:numPr>
          <w:ilvl w:val="3"/>
          <w:numId w:val="67"/>
        </w:numPr>
        <w:rPr>
          <w:noProof/>
          <w:szCs w:val="24"/>
        </w:rPr>
      </w:pPr>
      <w:r>
        <w:rPr>
          <w:noProof/>
        </w:rPr>
        <w:t xml:space="preserve">visoka razina jamstva odnosi se na certifikat izdan u kontekstu europskog programa kibersigurnosne certifikacije kojim se osigurava viši stupanj povjerenja u navedena ili zajamčena </w:t>
      </w:r>
      <w:r>
        <w:rPr>
          <w:noProof/>
        </w:rPr>
        <w:t>kibersigurnosna obilježja IKT proizvoda ili usluge nego certifikatima o znatnoj razini jamstva i opisuje se upućivanjem na odgovarajuće tehničke specifikacije, norme i postupke, uključujući tehničke kontrole, čija je svrha spriječiti kiberincidente.</w:t>
      </w:r>
    </w:p>
    <w:p w:rsidR="00A761A4" w:rsidRDefault="00A761A4">
      <w:pPr>
        <w:rPr>
          <w:noProof/>
          <w:szCs w:val="24"/>
        </w:rPr>
      </w:pPr>
    </w:p>
    <w:p w:rsidR="00A761A4" w:rsidRDefault="0064189B">
      <w:pPr>
        <w:pStyle w:val="Titrearticle"/>
        <w:spacing w:before="0" w:after="0"/>
        <w:rPr>
          <w:rFonts w:eastAsia="Times New Roman"/>
          <w:b/>
          <w:i w:val="0"/>
          <w:noProof/>
        </w:rPr>
      </w:pPr>
      <w:r>
        <w:rPr>
          <w:noProof/>
        </w:rPr>
        <w:t>Člana</w:t>
      </w:r>
      <w:r>
        <w:rPr>
          <w:noProof/>
        </w:rPr>
        <w:t>k 47.</w:t>
      </w:r>
      <w:r>
        <w:rPr>
          <w:noProof/>
        </w:rPr>
        <w:br/>
      </w:r>
      <w:r>
        <w:rPr>
          <w:b/>
          <w:noProof/>
        </w:rPr>
        <w:t>Elementi europskih programa kibersigurnosne certifikacije</w:t>
      </w:r>
    </w:p>
    <w:p w:rsidR="00A761A4" w:rsidRDefault="0064189B">
      <w:pPr>
        <w:pStyle w:val="ManualNumPar1"/>
        <w:rPr>
          <w:noProof/>
        </w:rPr>
      </w:pPr>
      <w:r>
        <w:t>1.</w:t>
      </w:r>
      <w:r>
        <w:tab/>
      </w:r>
      <w:r>
        <w:rPr>
          <w:noProof/>
        </w:rPr>
        <w:t>Europski program kibersigurnosne certifikacije uključuje sljedeće elemente:</w:t>
      </w:r>
    </w:p>
    <w:p w:rsidR="00A761A4" w:rsidRDefault="0064189B">
      <w:pPr>
        <w:pStyle w:val="Point1letter"/>
        <w:numPr>
          <w:ilvl w:val="3"/>
          <w:numId w:val="68"/>
        </w:numPr>
        <w:rPr>
          <w:noProof/>
        </w:rPr>
      </w:pPr>
      <w:r>
        <w:rPr>
          <w:noProof/>
        </w:rPr>
        <w:t>predmet i opseg certifikacije, uključujući vrstu ili kategorije obuhvaćenih IKT proizvoda i usluga;</w:t>
      </w:r>
    </w:p>
    <w:p w:rsidR="00A761A4" w:rsidRDefault="0064189B">
      <w:pPr>
        <w:pStyle w:val="Point1letter"/>
        <w:numPr>
          <w:ilvl w:val="3"/>
          <w:numId w:val="68"/>
        </w:numPr>
        <w:rPr>
          <w:noProof/>
        </w:rPr>
      </w:pPr>
      <w:r>
        <w:rPr>
          <w:noProof/>
        </w:rPr>
        <w:t>iscrpnu speci</w:t>
      </w:r>
      <w:r>
        <w:rPr>
          <w:noProof/>
        </w:rPr>
        <w:t>fikaciju kibersigurnosnih zahtjeva u odnosu na koje se određeni IKT proizvodi i uslugeo cjenjuju, na primjer upućivanjem na norme Unije ili međunarodne norme ili tehničke specifikacije;</w:t>
      </w:r>
    </w:p>
    <w:p w:rsidR="00A761A4" w:rsidRDefault="0064189B">
      <w:pPr>
        <w:pStyle w:val="Point1letter"/>
        <w:numPr>
          <w:ilvl w:val="3"/>
          <w:numId w:val="68"/>
        </w:numPr>
        <w:rPr>
          <w:noProof/>
        </w:rPr>
      </w:pPr>
      <w:r>
        <w:rPr>
          <w:noProof/>
        </w:rPr>
        <w:t xml:space="preserve">jednu ili više razina jamstva, ovisno o slučaju;  </w:t>
      </w:r>
    </w:p>
    <w:p w:rsidR="00A761A4" w:rsidRDefault="0064189B">
      <w:pPr>
        <w:pStyle w:val="Point1letter"/>
        <w:numPr>
          <w:ilvl w:val="3"/>
          <w:numId w:val="68"/>
        </w:numPr>
        <w:rPr>
          <w:noProof/>
        </w:rPr>
      </w:pPr>
      <w:r>
        <w:rPr>
          <w:noProof/>
        </w:rPr>
        <w:t>posebne kriterije i</w:t>
      </w:r>
      <w:r>
        <w:rPr>
          <w:noProof/>
        </w:rPr>
        <w:t xml:space="preserve"> metode ocjenjivanja, uključujući vrste ocjenjivanja, koji se upotrebljavaju za dokazivanje da su ostvareni posebni ciljevi iz članka 45.;</w:t>
      </w:r>
    </w:p>
    <w:p w:rsidR="00A761A4" w:rsidRDefault="0064189B">
      <w:pPr>
        <w:pStyle w:val="Point1letter"/>
        <w:numPr>
          <w:ilvl w:val="3"/>
          <w:numId w:val="68"/>
        </w:numPr>
        <w:rPr>
          <w:noProof/>
        </w:rPr>
      </w:pPr>
      <w:r>
        <w:rPr>
          <w:noProof/>
        </w:rPr>
        <w:t>informacije koje podnositelj zahtjeva mora dostaviti tijelima za ocjenjivanje sukladnosti, a koje su nužne za certifi</w:t>
      </w:r>
      <w:r>
        <w:rPr>
          <w:noProof/>
        </w:rPr>
        <w:t>ciranje;</w:t>
      </w:r>
    </w:p>
    <w:p w:rsidR="00A761A4" w:rsidRDefault="0064189B">
      <w:pPr>
        <w:pStyle w:val="Point1letter"/>
        <w:numPr>
          <w:ilvl w:val="3"/>
          <w:numId w:val="68"/>
        </w:numPr>
        <w:rPr>
          <w:noProof/>
        </w:rPr>
      </w:pPr>
      <w:r>
        <w:rPr>
          <w:noProof/>
        </w:rPr>
        <w:t>ako su programom predviđeni oznake ili znakovi, uvjete pod kojim se te oznake ili znakovi mogu upotrebljavati;</w:t>
      </w:r>
    </w:p>
    <w:p w:rsidR="00A761A4" w:rsidRDefault="0064189B">
      <w:pPr>
        <w:pStyle w:val="Point1letter"/>
        <w:numPr>
          <w:ilvl w:val="3"/>
          <w:numId w:val="68"/>
        </w:numPr>
        <w:rPr>
          <w:noProof/>
        </w:rPr>
      </w:pPr>
      <w:r>
        <w:rPr>
          <w:noProof/>
        </w:rPr>
        <w:t>ako je nadzor dio programa, pravila za praćenje sukladnosti sa zahtjevima iz certifikata, uključujući mehanizme za dokazivanje trajne su</w:t>
      </w:r>
      <w:r>
        <w:rPr>
          <w:noProof/>
        </w:rPr>
        <w:t>kladnosti s navedenim kibersigurnosnim zahtjevima;</w:t>
      </w:r>
    </w:p>
    <w:p w:rsidR="00A761A4" w:rsidRDefault="0064189B">
      <w:pPr>
        <w:pStyle w:val="Point1letter"/>
        <w:numPr>
          <w:ilvl w:val="3"/>
          <w:numId w:val="68"/>
        </w:numPr>
        <w:rPr>
          <w:noProof/>
        </w:rPr>
      </w:pPr>
      <w:r>
        <w:rPr>
          <w:noProof/>
        </w:rPr>
        <w:t xml:space="preserve">uvjete za izdavanje, održavanje i produljenje certifikata te za proširenje ili smanjenje njegova opsega; </w:t>
      </w:r>
    </w:p>
    <w:p w:rsidR="00A761A4" w:rsidRDefault="0064189B">
      <w:pPr>
        <w:pStyle w:val="Point1letter"/>
        <w:numPr>
          <w:ilvl w:val="3"/>
          <w:numId w:val="68"/>
        </w:numPr>
        <w:rPr>
          <w:noProof/>
        </w:rPr>
      </w:pPr>
      <w:r>
        <w:rPr>
          <w:noProof/>
        </w:rPr>
        <w:t xml:space="preserve">pravila u vezi s posljedicama nesukladnosti certificiranih proizvoda i usluga IKT-a sa zahtjevima za certifikaciju; </w:t>
      </w:r>
    </w:p>
    <w:p w:rsidR="00A761A4" w:rsidRDefault="0064189B">
      <w:pPr>
        <w:pStyle w:val="Point1letter"/>
        <w:numPr>
          <w:ilvl w:val="3"/>
          <w:numId w:val="68"/>
        </w:numPr>
        <w:rPr>
          <w:noProof/>
        </w:rPr>
      </w:pPr>
      <w:r>
        <w:rPr>
          <w:noProof/>
        </w:rPr>
        <w:t>pravila o tome kako prijaviti prethodno neotkrivene kibersigurnosne ranjivosti IKT proizvoda i usluga i postupiti u slučaju njihova otkriva</w:t>
      </w:r>
      <w:r>
        <w:rPr>
          <w:noProof/>
        </w:rPr>
        <w:t>nja;</w:t>
      </w:r>
    </w:p>
    <w:p w:rsidR="00A761A4" w:rsidRDefault="0064189B">
      <w:pPr>
        <w:pStyle w:val="Point1letter"/>
        <w:numPr>
          <w:ilvl w:val="3"/>
          <w:numId w:val="68"/>
        </w:numPr>
        <w:rPr>
          <w:noProof/>
        </w:rPr>
      </w:pPr>
      <w:r>
        <w:rPr>
          <w:noProof/>
        </w:rPr>
        <w:t>pravila o čuvanju evidencije tijela za ocjenjivanje sukladnosti;</w:t>
      </w:r>
    </w:p>
    <w:p w:rsidR="00A761A4" w:rsidRDefault="0064189B">
      <w:pPr>
        <w:pStyle w:val="Point1letter"/>
        <w:numPr>
          <w:ilvl w:val="3"/>
          <w:numId w:val="68"/>
        </w:numPr>
        <w:rPr>
          <w:noProof/>
          <w:szCs w:val="24"/>
        </w:rPr>
      </w:pPr>
      <w:r>
        <w:rPr>
          <w:noProof/>
        </w:rPr>
        <w:t>utvrđivanje nacionalnih programa kibersigurnosne certifikacije kojima je obuhvaćena ista vrsta ili iste kategorije IKT proizvoda i usluga;</w:t>
      </w:r>
    </w:p>
    <w:p w:rsidR="00A761A4" w:rsidRDefault="0064189B">
      <w:pPr>
        <w:pStyle w:val="Point1letter"/>
        <w:numPr>
          <w:ilvl w:val="3"/>
          <w:numId w:val="68"/>
        </w:numPr>
        <w:rPr>
          <w:noProof/>
          <w:szCs w:val="24"/>
        </w:rPr>
      </w:pPr>
      <w:r>
        <w:rPr>
          <w:noProof/>
        </w:rPr>
        <w:t xml:space="preserve">sadržaj izdanog certifikata. </w:t>
      </w:r>
    </w:p>
    <w:p w:rsidR="00A761A4" w:rsidRDefault="0064189B">
      <w:pPr>
        <w:pStyle w:val="ManualNumPar1"/>
        <w:rPr>
          <w:noProof/>
        </w:rPr>
      </w:pPr>
      <w:r>
        <w:t>2.</w:t>
      </w:r>
      <w:r>
        <w:tab/>
      </w:r>
      <w:r>
        <w:rPr>
          <w:noProof/>
        </w:rPr>
        <w:t>Navedeni zahtj</w:t>
      </w:r>
      <w:r>
        <w:rPr>
          <w:noProof/>
        </w:rPr>
        <w:t>evi programa nisu u suprotnosti s primjenjivim pravnim zahtjevima, posebno zahtjevima koji proizlaze iz usklađenog zakonodavstva Unije.</w:t>
      </w:r>
    </w:p>
    <w:p w:rsidR="00A761A4" w:rsidRDefault="0064189B">
      <w:pPr>
        <w:pStyle w:val="ManualNumPar1"/>
        <w:rPr>
          <w:noProof/>
        </w:rPr>
      </w:pPr>
      <w:r>
        <w:t>3.</w:t>
      </w:r>
      <w:r>
        <w:tab/>
      </w:r>
      <w:r>
        <w:rPr>
          <w:noProof/>
        </w:rPr>
        <w:t>Ako je tako predviđeno posebnim aktom Unije, certificiranje u okviru europskog programa kibersigurnosne certifikacije</w:t>
      </w:r>
      <w:r>
        <w:rPr>
          <w:noProof/>
        </w:rPr>
        <w:t xml:space="preserve"> može se upotrijebiti za dokazivanje pretpostavke sukladnosti sa zahtjevima tog akta.</w:t>
      </w:r>
    </w:p>
    <w:p w:rsidR="00A761A4" w:rsidRDefault="0064189B">
      <w:pPr>
        <w:pStyle w:val="ManualNumPar1"/>
        <w:rPr>
          <w:noProof/>
        </w:rPr>
      </w:pPr>
      <w:r>
        <w:t>4.</w:t>
      </w:r>
      <w:r>
        <w:tab/>
      </w:r>
      <w:r>
        <w:rPr>
          <w:noProof/>
        </w:rPr>
        <w:t>U slučaju nepostojanja usklađenog zakonodavstva Unije i zakonodavstvom država članica može se predvidjeti da se europski program kibersigurnosne certifikacije može upo</w:t>
      </w:r>
      <w:r>
        <w:rPr>
          <w:noProof/>
        </w:rPr>
        <w:t>trijebiti za utvrđivanje pretpostavke sukladnosti s pravnim zahtjevima.</w:t>
      </w:r>
    </w:p>
    <w:p w:rsidR="00A761A4" w:rsidRDefault="00A761A4">
      <w:pPr>
        <w:rPr>
          <w:noProof/>
        </w:rPr>
      </w:pPr>
    </w:p>
    <w:p w:rsidR="00A761A4" w:rsidRDefault="0064189B">
      <w:pPr>
        <w:pStyle w:val="Titrearticle"/>
        <w:spacing w:before="0" w:after="0"/>
        <w:rPr>
          <w:noProof/>
        </w:rPr>
      </w:pPr>
      <w:r>
        <w:rPr>
          <w:noProof/>
        </w:rPr>
        <w:t>Članak 48.</w:t>
      </w:r>
      <w:r>
        <w:rPr>
          <w:noProof/>
        </w:rPr>
        <w:br/>
      </w:r>
      <w:r>
        <w:rPr>
          <w:b/>
          <w:noProof/>
        </w:rPr>
        <w:t>Kibersigurnosna certifikacija</w:t>
      </w:r>
    </w:p>
    <w:p w:rsidR="00A761A4" w:rsidRDefault="0064189B">
      <w:pPr>
        <w:pStyle w:val="ManualNumPar1"/>
        <w:rPr>
          <w:noProof/>
        </w:rPr>
      </w:pPr>
      <w:r>
        <w:t>1.</w:t>
      </w:r>
      <w:r>
        <w:tab/>
      </w:r>
      <w:r>
        <w:rPr>
          <w:noProof/>
        </w:rPr>
        <w:t>Smatra se da su IKT proizvodi i usluge koji su certificirani u okviru europskog programa kibersigurnosne certifikacije donesenog u skladu s</w:t>
      </w:r>
      <w:r>
        <w:rPr>
          <w:noProof/>
        </w:rPr>
        <w:t xml:space="preserve"> člankom 44. sukladni sa zahtjevima tog programa.</w:t>
      </w:r>
    </w:p>
    <w:p w:rsidR="00A761A4" w:rsidRDefault="0064189B">
      <w:pPr>
        <w:pStyle w:val="ManualNumPar1"/>
        <w:rPr>
          <w:noProof/>
        </w:rPr>
      </w:pPr>
      <w:r>
        <w:t>2.</w:t>
      </w:r>
      <w:r>
        <w:tab/>
      </w:r>
      <w:r>
        <w:rPr>
          <w:noProof/>
        </w:rPr>
        <w:t>Certifikacija je dobrovoljna, osim ako je pravom Unije predviđeno drukčije.</w:t>
      </w:r>
    </w:p>
    <w:p w:rsidR="00A761A4" w:rsidRDefault="0064189B">
      <w:pPr>
        <w:pStyle w:val="ManualNumPar1"/>
        <w:rPr>
          <w:noProof/>
        </w:rPr>
      </w:pPr>
      <w:r>
        <w:t>3.</w:t>
      </w:r>
      <w:r>
        <w:tab/>
      </w:r>
      <w:r>
        <w:rPr>
          <w:noProof/>
        </w:rPr>
        <w:t>Europski certifikat o kibersigurnosti u skladu s ovim člankom izdaju tijela za ocjenjivanje sukladnosti iz članka 51. na tem</w:t>
      </w:r>
      <w:r>
        <w:rPr>
          <w:noProof/>
        </w:rPr>
        <w:t>elju kriterija uključenih u europski program kibersigurnosne certifikacije donesen u skladu s člankom 44.</w:t>
      </w:r>
    </w:p>
    <w:p w:rsidR="00A761A4" w:rsidRDefault="0064189B">
      <w:pPr>
        <w:pStyle w:val="ManualNumPar1"/>
        <w:rPr>
          <w:noProof/>
        </w:rPr>
      </w:pPr>
      <w:r>
        <w:t>4.</w:t>
      </w:r>
      <w:r>
        <w:tab/>
      </w:r>
      <w:r>
        <w:rPr>
          <w:noProof/>
        </w:rPr>
        <w:t>Odstupajući od stavka 3. u opravdanim se slučajevima u europskom kibersigurnosnom programu može predvidjeti da europski certifikat o kibersigurnost</w:t>
      </w:r>
      <w:r>
        <w:rPr>
          <w:noProof/>
        </w:rPr>
        <w:t>i u okviru tog programa može izdati samo javno tijelo. To javno tijelo može biti:</w:t>
      </w:r>
    </w:p>
    <w:p w:rsidR="00A761A4" w:rsidRDefault="0064189B">
      <w:pPr>
        <w:pStyle w:val="Point1letter"/>
        <w:numPr>
          <w:ilvl w:val="3"/>
          <w:numId w:val="76"/>
        </w:numPr>
        <w:rPr>
          <w:noProof/>
        </w:rPr>
      </w:pPr>
      <w:r>
        <w:rPr>
          <w:noProof/>
        </w:rPr>
        <w:t>nacionalno tijelo za nadzor certifikacije iz članka 50. stavka 1.;</w:t>
      </w:r>
    </w:p>
    <w:p w:rsidR="00A761A4" w:rsidRDefault="0064189B">
      <w:pPr>
        <w:pStyle w:val="Point1letter"/>
        <w:numPr>
          <w:ilvl w:val="3"/>
          <w:numId w:val="76"/>
        </w:numPr>
        <w:rPr>
          <w:noProof/>
        </w:rPr>
      </w:pPr>
      <w:r>
        <w:rPr>
          <w:noProof/>
        </w:rPr>
        <w:t xml:space="preserve">tijelo koje je akreditirano kao tijelo za ocjenjivanje sukladnosti u skladu s člankom 51. stavkom 1. ili </w:t>
      </w:r>
    </w:p>
    <w:p w:rsidR="00A761A4" w:rsidRDefault="0064189B">
      <w:pPr>
        <w:pStyle w:val="Point1letter"/>
        <w:numPr>
          <w:ilvl w:val="3"/>
          <w:numId w:val="76"/>
        </w:numPr>
        <w:rPr>
          <w:noProof/>
        </w:rPr>
      </w:pPr>
      <w:r>
        <w:rPr>
          <w:noProof/>
        </w:rPr>
        <w:t>t</w:t>
      </w:r>
      <w:r>
        <w:rPr>
          <w:noProof/>
        </w:rPr>
        <w:t>ijelo osnovano u skladu sa zakonima, pravnim instrumentima ili drugim službenim upravnim postupcima dotične države članice koje ispunjava zahtjeve za tijela koja certificiraju proizvode, postupke i usluge u skladu s normom ISO/IEC 17065:2012.</w:t>
      </w:r>
    </w:p>
    <w:p w:rsidR="00A761A4" w:rsidRDefault="0064189B">
      <w:pPr>
        <w:pStyle w:val="ManualNumPar1"/>
        <w:rPr>
          <w:noProof/>
        </w:rPr>
      </w:pPr>
      <w:r>
        <w:t>5.</w:t>
      </w:r>
      <w:r>
        <w:tab/>
      </w:r>
      <w:r>
        <w:rPr>
          <w:noProof/>
        </w:rPr>
        <w:t>Pravna ili</w:t>
      </w:r>
      <w:r>
        <w:rPr>
          <w:noProof/>
        </w:rPr>
        <w:t xml:space="preserve"> fizička osoba koja prijavi svoje IKT proizvode ili usluge za postupak certifikacije dostavlja tijelu za ocjenjivanje sukladnosti iz članka 51. sve informacije potrebne za provedbu postupka certifikacije.</w:t>
      </w:r>
    </w:p>
    <w:p w:rsidR="00A761A4" w:rsidRDefault="0064189B">
      <w:pPr>
        <w:pStyle w:val="ManualNumPar1"/>
        <w:rPr>
          <w:noProof/>
        </w:rPr>
      </w:pPr>
      <w:r>
        <w:t>6.</w:t>
      </w:r>
      <w:r>
        <w:tab/>
      </w:r>
      <w:r>
        <w:rPr>
          <w:noProof/>
        </w:rPr>
        <w:t>Certifikati se izdaju na najviše tri godine i mo</w:t>
      </w:r>
      <w:r>
        <w:rPr>
          <w:noProof/>
        </w:rPr>
        <w:t xml:space="preserve">gu se obnoviti pod istim uvjetima ako su i dalje ispunjeni relevantni zahtjevi. </w:t>
      </w:r>
    </w:p>
    <w:p w:rsidR="00A761A4" w:rsidRDefault="0064189B">
      <w:pPr>
        <w:pStyle w:val="ManualNumPar1"/>
        <w:rPr>
          <w:noProof/>
        </w:rPr>
      </w:pPr>
      <w:r>
        <w:t>7.</w:t>
      </w:r>
      <w:r>
        <w:tab/>
      </w:r>
      <w:r>
        <w:rPr>
          <w:noProof/>
        </w:rPr>
        <w:t xml:space="preserve">Europski certifikat o kibersigurnosti izdan u skladu s ovim člankom priznaje se u svim državama članicama. </w:t>
      </w:r>
    </w:p>
    <w:p w:rsidR="00A761A4" w:rsidRDefault="00A761A4">
      <w:pPr>
        <w:rPr>
          <w:noProof/>
        </w:rPr>
      </w:pPr>
    </w:p>
    <w:p w:rsidR="00A761A4" w:rsidRDefault="0064189B">
      <w:pPr>
        <w:pStyle w:val="Titrearticle"/>
        <w:spacing w:before="0" w:after="0"/>
        <w:rPr>
          <w:b/>
          <w:noProof/>
        </w:rPr>
      </w:pPr>
      <w:r>
        <w:rPr>
          <w:noProof/>
        </w:rPr>
        <w:t>Članak 49.</w:t>
      </w:r>
      <w:r>
        <w:rPr>
          <w:noProof/>
        </w:rPr>
        <w:br/>
      </w:r>
      <w:r>
        <w:rPr>
          <w:b/>
          <w:noProof/>
        </w:rPr>
        <w:t xml:space="preserve">Nacionalni programi kibersigurnosne certifikacije i </w:t>
      </w:r>
      <w:r>
        <w:rPr>
          <w:b/>
          <w:noProof/>
        </w:rPr>
        <w:t>certifikati</w:t>
      </w:r>
    </w:p>
    <w:p w:rsidR="00A761A4" w:rsidRDefault="0064189B">
      <w:pPr>
        <w:pStyle w:val="ManualNumPar1"/>
        <w:rPr>
          <w:noProof/>
        </w:rPr>
      </w:pPr>
      <w:r>
        <w:t>1.</w:t>
      </w:r>
      <w:r>
        <w:tab/>
      </w:r>
      <w:r>
        <w:rPr>
          <w:noProof/>
        </w:rPr>
        <w:t>Ne dovodeći u pitanje stavak 3., nacionalni programi kibersigurnosne certifikacije i povezani postupci za IKT proizvode i usluge obuhvaćene europskim programom kibersigurnosne certifikacije prestaju proizvoditi učinke od datuma utvrđenog u p</w:t>
      </w:r>
      <w:r>
        <w:rPr>
          <w:noProof/>
        </w:rPr>
        <w:t>rovedbenom aktu donesenom u skladu s člankom 44. stavkom 4. Postojeći nacionalni programi kibersigurnosne certifikacije i povezani postupci za IKT proizvode i usluge koji nisu obuhvaćeni europskim programom kibersigurnosne certifikacije i dalje postoje.</w:t>
      </w:r>
    </w:p>
    <w:p w:rsidR="00A761A4" w:rsidRDefault="0064189B">
      <w:pPr>
        <w:pStyle w:val="ManualNumPar1"/>
        <w:rPr>
          <w:noProof/>
        </w:rPr>
      </w:pPr>
      <w:r>
        <w:t>2.</w:t>
      </w:r>
      <w:r>
        <w:tab/>
      </w:r>
      <w:r>
        <w:rPr>
          <w:noProof/>
        </w:rPr>
        <w:t>Države članice ne uvode nove nacionalne programe kibersigurnosne certifikacije IKT proizvoda i usluga obuhvaćenih europskim programom kibersigurnosne certifikacije koji je na snazi.</w:t>
      </w:r>
    </w:p>
    <w:p w:rsidR="00A761A4" w:rsidRDefault="0064189B">
      <w:pPr>
        <w:pStyle w:val="ManualNumPar1"/>
        <w:rPr>
          <w:noProof/>
        </w:rPr>
      </w:pPr>
      <w:r>
        <w:t>3.</w:t>
      </w:r>
      <w:r>
        <w:tab/>
      </w:r>
      <w:r>
        <w:rPr>
          <w:noProof/>
        </w:rPr>
        <w:t>Postojeći certifikati izdani u okviru nacionalnih programa kibersigurn</w:t>
      </w:r>
      <w:r>
        <w:rPr>
          <w:noProof/>
        </w:rPr>
        <w:t>osne certifikacije ostaju na snazi do svojeg datuma isteka.</w:t>
      </w:r>
    </w:p>
    <w:p w:rsidR="00A761A4" w:rsidRDefault="00A761A4">
      <w:pPr>
        <w:rPr>
          <w:noProof/>
        </w:rPr>
      </w:pPr>
    </w:p>
    <w:p w:rsidR="00A761A4" w:rsidRDefault="0064189B">
      <w:pPr>
        <w:pStyle w:val="Titrearticle"/>
        <w:spacing w:before="0" w:after="0"/>
        <w:rPr>
          <w:rFonts w:eastAsia="Times New Roman"/>
          <w:b/>
          <w:noProof/>
        </w:rPr>
      </w:pPr>
      <w:r>
        <w:rPr>
          <w:noProof/>
        </w:rPr>
        <w:t>Članak 50.</w:t>
      </w:r>
      <w:r>
        <w:rPr>
          <w:noProof/>
        </w:rPr>
        <w:br/>
      </w:r>
      <w:r>
        <w:rPr>
          <w:b/>
          <w:noProof/>
        </w:rPr>
        <w:t>Nacionalna tijela za nadzor certifikacije</w:t>
      </w:r>
    </w:p>
    <w:p w:rsidR="00A761A4" w:rsidRDefault="0064189B">
      <w:pPr>
        <w:pStyle w:val="ManualNumPar1"/>
        <w:rPr>
          <w:noProof/>
        </w:rPr>
      </w:pPr>
      <w:r>
        <w:t>1.</w:t>
      </w:r>
      <w:r>
        <w:tab/>
      </w:r>
      <w:r>
        <w:rPr>
          <w:noProof/>
        </w:rPr>
        <w:t xml:space="preserve">Svaka država članica imenuje nacionalno tijelo za nadzor certifikacije.  </w:t>
      </w:r>
    </w:p>
    <w:p w:rsidR="00A761A4" w:rsidRDefault="0064189B">
      <w:pPr>
        <w:pStyle w:val="ManualNumPar1"/>
        <w:rPr>
          <w:noProof/>
        </w:rPr>
      </w:pPr>
      <w:r>
        <w:t>2.</w:t>
      </w:r>
      <w:r>
        <w:tab/>
      </w:r>
      <w:r>
        <w:rPr>
          <w:noProof/>
        </w:rPr>
        <w:t xml:space="preserve">Svaka država članica obavješćuje Komisiju o identitetu </w:t>
      </w:r>
      <w:r>
        <w:rPr>
          <w:noProof/>
        </w:rPr>
        <w:t>imenovanog tijela.</w:t>
      </w:r>
    </w:p>
    <w:p w:rsidR="00A761A4" w:rsidRDefault="0064189B">
      <w:pPr>
        <w:pStyle w:val="ManualNumPar1"/>
        <w:rPr>
          <w:noProof/>
        </w:rPr>
      </w:pPr>
      <w:r>
        <w:t>3.</w:t>
      </w:r>
      <w:r>
        <w:tab/>
      </w:r>
      <w:r>
        <w:rPr>
          <w:noProof/>
        </w:rPr>
        <w:t xml:space="preserve">Svako nacionalno tijelo za nadzor certifikacije neovisno je od subjekata koje nadzire u pogledu svojeg ustrojstva, odluka o financiranju, pravne strukture i odlučivanja. </w:t>
      </w:r>
    </w:p>
    <w:p w:rsidR="00A761A4" w:rsidRDefault="0064189B">
      <w:pPr>
        <w:pStyle w:val="ManualNumPar1"/>
        <w:rPr>
          <w:noProof/>
        </w:rPr>
      </w:pPr>
      <w:r>
        <w:t>4.</w:t>
      </w:r>
      <w:r>
        <w:tab/>
      </w:r>
      <w:r>
        <w:rPr>
          <w:noProof/>
        </w:rPr>
        <w:t>Države članice osiguravaju da nacionalna tijela za nadzor ce</w:t>
      </w:r>
      <w:r>
        <w:rPr>
          <w:noProof/>
        </w:rPr>
        <w:t xml:space="preserve">rtifikacije imaju odgovarajuće resurse za djelotvorno i učinkovito izvršavanje svojih ovlasti i obavljanje zadaća koje su im dodijeljene. </w:t>
      </w:r>
    </w:p>
    <w:p w:rsidR="00A761A4" w:rsidRDefault="0064189B">
      <w:pPr>
        <w:pStyle w:val="ManualNumPar1"/>
        <w:rPr>
          <w:noProof/>
        </w:rPr>
      </w:pPr>
      <w:r>
        <w:t>5.</w:t>
      </w:r>
      <w:r>
        <w:tab/>
      </w:r>
      <w:r>
        <w:rPr>
          <w:noProof/>
        </w:rPr>
        <w:t xml:space="preserve">Kako bi se Uredba mogla djelotvorno provoditi, ta tijela trebala bi na aktivan, djelotvoran, učinkovit i siguran </w:t>
      </w:r>
      <w:r>
        <w:rPr>
          <w:noProof/>
        </w:rPr>
        <w:t>način sudjelovati u Europskoj skupini za kibersigurnosnu certifikaciju uspostavljenu u skladu s člankom 53.</w:t>
      </w:r>
    </w:p>
    <w:p w:rsidR="00A761A4" w:rsidRDefault="0064189B">
      <w:pPr>
        <w:pStyle w:val="ManualNumPar1"/>
        <w:rPr>
          <w:noProof/>
        </w:rPr>
      </w:pPr>
      <w:r>
        <w:t>6.</w:t>
      </w:r>
      <w:r>
        <w:tab/>
      </w:r>
      <w:r>
        <w:rPr>
          <w:noProof/>
        </w:rPr>
        <w:t>Nacionalna tijela za nadzor certifikacije obavljaju sljedeće:</w:t>
      </w:r>
    </w:p>
    <w:p w:rsidR="00A761A4" w:rsidRDefault="0064189B">
      <w:pPr>
        <w:pStyle w:val="Point1letter"/>
        <w:numPr>
          <w:ilvl w:val="3"/>
          <w:numId w:val="69"/>
        </w:numPr>
        <w:rPr>
          <w:noProof/>
          <w:szCs w:val="24"/>
        </w:rPr>
      </w:pPr>
      <w:r>
        <w:rPr>
          <w:noProof/>
        </w:rPr>
        <w:t>prate i izvršavaju primjenu odredaba iz ove glave na nacionalnoj razini i nadziru s</w:t>
      </w:r>
      <w:r>
        <w:rPr>
          <w:noProof/>
        </w:rPr>
        <w:t>ukladnost certifikata koje su izdala tijela za ocjenjivanje sukladnosti osnovana na njihovu državnom području sa zahtjevima iz ove glave i odgovarajućeg europskog programa kibersigurnosne certifikacije;</w:t>
      </w:r>
    </w:p>
    <w:p w:rsidR="00A761A4" w:rsidRDefault="0064189B">
      <w:pPr>
        <w:pStyle w:val="Point1letter"/>
        <w:numPr>
          <w:ilvl w:val="3"/>
          <w:numId w:val="69"/>
        </w:numPr>
        <w:rPr>
          <w:noProof/>
          <w:szCs w:val="24"/>
        </w:rPr>
      </w:pPr>
      <w:r>
        <w:rPr>
          <w:noProof/>
        </w:rPr>
        <w:t>prate i nadziru aktivnosti tijela za ocjenjivanje suk</w:t>
      </w:r>
      <w:r>
        <w:rPr>
          <w:noProof/>
        </w:rPr>
        <w:t>ladnosti za potrebe ove Uredbe, među ostalim i u pogledu obavijesti tijela za ocjenjivanje sukladnosti i povezanih zadaća iz članka 52. ove Uredbe;</w:t>
      </w:r>
    </w:p>
    <w:p w:rsidR="00A761A4" w:rsidRDefault="0064189B">
      <w:pPr>
        <w:pStyle w:val="Point1letter"/>
        <w:numPr>
          <w:ilvl w:val="3"/>
          <w:numId w:val="69"/>
        </w:numPr>
        <w:rPr>
          <w:noProof/>
          <w:szCs w:val="24"/>
        </w:rPr>
      </w:pPr>
      <w:r>
        <w:rPr>
          <w:noProof/>
        </w:rPr>
        <w:t>obrađuju pritužbe fizičkih ili pravnih osoba u pogledu certifikata koje su izdala tijela za ocjenjivanje suk</w:t>
      </w:r>
      <w:r>
        <w:rPr>
          <w:noProof/>
        </w:rPr>
        <w:t>ladnosti s poslovnim nastanom na njihovu državnom području, u prikladnoj mjeri istražuju predmet pritužbe i u razumnom roku obavješćuju podnositelja pritužbe o napretku i rezultatu istrage;</w:t>
      </w:r>
    </w:p>
    <w:p w:rsidR="00A761A4" w:rsidRDefault="0064189B">
      <w:pPr>
        <w:pStyle w:val="Point1letter"/>
        <w:numPr>
          <w:ilvl w:val="3"/>
          <w:numId w:val="69"/>
        </w:numPr>
        <w:rPr>
          <w:noProof/>
          <w:szCs w:val="24"/>
        </w:rPr>
      </w:pPr>
      <w:r>
        <w:rPr>
          <w:noProof/>
        </w:rPr>
        <w:t>surađuju s drugim nacionalnim tijelima za nadzor certifikacije ili</w:t>
      </w:r>
      <w:r>
        <w:rPr>
          <w:noProof/>
        </w:rPr>
        <w:t xml:space="preserve"> s drugim javnim tijelima, među ostalim razmjenom informacija o mogućoj nesukladnosti IKT proizvoda i usluga sa zahtjevima iz ove Uredbe ili s posebnim europskim programima kibersigurnosne certifikacije;</w:t>
      </w:r>
    </w:p>
    <w:p w:rsidR="00A761A4" w:rsidRDefault="0064189B">
      <w:pPr>
        <w:pStyle w:val="Point1letter"/>
        <w:numPr>
          <w:ilvl w:val="3"/>
          <w:numId w:val="69"/>
        </w:numPr>
        <w:rPr>
          <w:noProof/>
          <w:szCs w:val="24"/>
        </w:rPr>
      </w:pPr>
      <w:r>
        <w:rPr>
          <w:noProof/>
        </w:rPr>
        <w:t>prate relevantne promjene u području kibersigurnosne</w:t>
      </w:r>
      <w:r>
        <w:rPr>
          <w:noProof/>
        </w:rPr>
        <w:t xml:space="preserve"> certifikacije.</w:t>
      </w:r>
    </w:p>
    <w:p w:rsidR="00A761A4" w:rsidRDefault="0064189B">
      <w:pPr>
        <w:pStyle w:val="ManualNumPar1"/>
        <w:rPr>
          <w:noProof/>
        </w:rPr>
      </w:pPr>
      <w:r>
        <w:t>7.</w:t>
      </w:r>
      <w:r>
        <w:tab/>
      </w:r>
      <w:r>
        <w:rPr>
          <w:noProof/>
        </w:rPr>
        <w:t>Svako nacionalno tijelo za nadzor certifikacije ovlašteno je barem za sljedeće:</w:t>
      </w:r>
    </w:p>
    <w:p w:rsidR="00A761A4" w:rsidRDefault="0064189B">
      <w:pPr>
        <w:pStyle w:val="Point1letter"/>
        <w:numPr>
          <w:ilvl w:val="3"/>
          <w:numId w:val="70"/>
        </w:numPr>
        <w:rPr>
          <w:noProof/>
          <w:szCs w:val="24"/>
        </w:rPr>
      </w:pPr>
      <w:r>
        <w:rPr>
          <w:noProof/>
        </w:rPr>
        <w:t>zatražiti od tijela za ocjenjivanje sukladnosti i nositelja europskog certifikata o kibersigurnosti da dostave sve informacije koje su mu potrebne za izvršav</w:t>
      </w:r>
      <w:r>
        <w:rPr>
          <w:noProof/>
        </w:rPr>
        <w:t>anje njegovih zadaća;</w:t>
      </w:r>
    </w:p>
    <w:p w:rsidR="00A761A4" w:rsidRDefault="0064189B">
      <w:pPr>
        <w:pStyle w:val="Point1letter"/>
        <w:numPr>
          <w:ilvl w:val="3"/>
          <w:numId w:val="70"/>
        </w:numPr>
        <w:rPr>
          <w:noProof/>
          <w:szCs w:val="24"/>
        </w:rPr>
      </w:pPr>
      <w:r>
        <w:rPr>
          <w:noProof/>
        </w:rPr>
        <w:t>provoditi istrage, u obliku revizija, tijela za ocjenjivanje sukladnosti i nositelja europskog certifikata o kibersigurnosti za potrebe provjere sukladnosti s odredbama iz glave III.;</w:t>
      </w:r>
    </w:p>
    <w:p w:rsidR="00A761A4" w:rsidRDefault="0064189B">
      <w:pPr>
        <w:pStyle w:val="Point1letter"/>
        <w:numPr>
          <w:ilvl w:val="3"/>
          <w:numId w:val="70"/>
        </w:numPr>
        <w:rPr>
          <w:noProof/>
          <w:szCs w:val="24"/>
        </w:rPr>
      </w:pPr>
      <w:r>
        <w:rPr>
          <w:noProof/>
        </w:rPr>
        <w:t>poduzimati prikladne mjere, u skladu s nacionalnim</w:t>
      </w:r>
      <w:r>
        <w:rPr>
          <w:noProof/>
        </w:rPr>
        <w:t xml:space="preserve"> pravom, kako bi osiguralo sukladnost tijela za ocjenjivanje sukladnosti ili nositelja certifikata s ovom Uredbom ili europskim programom kibersigurnosne certifikacije;</w:t>
      </w:r>
    </w:p>
    <w:p w:rsidR="00A761A4" w:rsidRDefault="0064189B">
      <w:pPr>
        <w:pStyle w:val="Point1letter"/>
        <w:numPr>
          <w:ilvl w:val="3"/>
          <w:numId w:val="70"/>
        </w:numPr>
        <w:rPr>
          <w:noProof/>
          <w:szCs w:val="24"/>
        </w:rPr>
      </w:pPr>
      <w:r>
        <w:rPr>
          <w:noProof/>
        </w:rPr>
        <w:t>osigurati pristup svim prostorijama tijela za ocjenjivanje sukladnosti i nositelja cert</w:t>
      </w:r>
      <w:r>
        <w:rPr>
          <w:noProof/>
        </w:rPr>
        <w:t>ifikata o kibersigurnosti za potrebe provedbe istraga u skladu s postupovnim pravom Unije ili države članice;</w:t>
      </w:r>
    </w:p>
    <w:p w:rsidR="00A761A4" w:rsidRDefault="0064189B">
      <w:pPr>
        <w:pStyle w:val="Point1letter"/>
        <w:numPr>
          <w:ilvl w:val="3"/>
          <w:numId w:val="70"/>
        </w:numPr>
        <w:rPr>
          <w:noProof/>
          <w:szCs w:val="24"/>
        </w:rPr>
      </w:pPr>
      <w:r>
        <w:rPr>
          <w:noProof/>
        </w:rPr>
        <w:t>povući, u skladu s nacionalnim pravom, certifikate koji nisu u skladu s ovom Uredbom ili europskim programom kibersigurnosne certifikacije;</w:t>
      </w:r>
    </w:p>
    <w:p w:rsidR="00A761A4" w:rsidRDefault="0064189B">
      <w:pPr>
        <w:pStyle w:val="Point1letter"/>
        <w:numPr>
          <w:ilvl w:val="3"/>
          <w:numId w:val="70"/>
        </w:numPr>
        <w:rPr>
          <w:noProof/>
          <w:szCs w:val="24"/>
        </w:rPr>
      </w:pPr>
      <w:r>
        <w:rPr>
          <w:noProof/>
        </w:rPr>
        <w:t>odredi</w:t>
      </w:r>
      <w:r>
        <w:rPr>
          <w:noProof/>
        </w:rPr>
        <w:t>ti kazne, kako je predviđeno člankom 54., u skladu s nacionalnim pravom i zatražiti hitan prekid povreda obveza utvrđenih ovom Uredbom.</w:t>
      </w:r>
    </w:p>
    <w:p w:rsidR="00A761A4" w:rsidRDefault="0064189B">
      <w:pPr>
        <w:pStyle w:val="ManualNumPar1"/>
        <w:rPr>
          <w:noProof/>
        </w:rPr>
      </w:pPr>
      <w:r>
        <w:t>8.</w:t>
      </w:r>
      <w:r>
        <w:tab/>
      </w:r>
      <w:r>
        <w:rPr>
          <w:noProof/>
        </w:rPr>
        <w:t>Nacionalna tijela za nadzor certifikacije surađuju međusobno i s Komisijom i, posebno, razmjenjuju informacije, iskus</w:t>
      </w:r>
      <w:r>
        <w:rPr>
          <w:noProof/>
        </w:rPr>
        <w:t>tva i dobru praksu u području kibersigurnosne certifikacije i tehničkih pitanja povezanih s kibersigurnošću IKT proizvoda i usluga.</w:t>
      </w:r>
    </w:p>
    <w:p w:rsidR="00A761A4" w:rsidRDefault="00A761A4">
      <w:pPr>
        <w:rPr>
          <w:noProof/>
        </w:rPr>
      </w:pPr>
    </w:p>
    <w:p w:rsidR="00A761A4" w:rsidRDefault="0064189B">
      <w:pPr>
        <w:pStyle w:val="Titrearticle"/>
        <w:spacing w:before="0" w:after="0"/>
        <w:rPr>
          <w:b/>
          <w:i w:val="0"/>
          <w:noProof/>
        </w:rPr>
      </w:pPr>
      <w:r>
        <w:rPr>
          <w:noProof/>
        </w:rPr>
        <w:t>Članak 51.</w:t>
      </w:r>
      <w:r>
        <w:rPr>
          <w:noProof/>
        </w:rPr>
        <w:br/>
      </w:r>
      <w:r>
        <w:rPr>
          <w:b/>
          <w:noProof/>
        </w:rPr>
        <w:t>Tijela za ocjenjivanje sukladnosti</w:t>
      </w:r>
    </w:p>
    <w:p w:rsidR="00A761A4" w:rsidRDefault="0064189B">
      <w:pPr>
        <w:pStyle w:val="ManualNumPar1"/>
        <w:rPr>
          <w:noProof/>
        </w:rPr>
      </w:pPr>
      <w:r>
        <w:t>1.</w:t>
      </w:r>
      <w:r>
        <w:tab/>
      </w:r>
      <w:r>
        <w:rPr>
          <w:noProof/>
        </w:rPr>
        <w:t xml:space="preserve">Tijela za ocjenjivanje sukladnosti akreditiraju nacionalna akreditacijska </w:t>
      </w:r>
      <w:r>
        <w:rPr>
          <w:noProof/>
        </w:rPr>
        <w:t>tijela u skladu s Uredbom (EZ) br. 765/2008 samo ako ispunjavaju zahtjeve utvrđene u Prilogu ovoj Uredbi.</w:t>
      </w:r>
    </w:p>
    <w:p w:rsidR="00A761A4" w:rsidRDefault="0064189B">
      <w:pPr>
        <w:pStyle w:val="ManualNumPar1"/>
        <w:rPr>
          <w:noProof/>
        </w:rPr>
      </w:pPr>
      <w:r>
        <w:t>2.</w:t>
      </w:r>
      <w:r>
        <w:tab/>
      </w:r>
      <w:r>
        <w:rPr>
          <w:noProof/>
        </w:rPr>
        <w:t>Akreditacija se izdaje na najviše pet godina i može se obnoviti pod istim uvjetima ako tijelo za ocjenjivanje sukladnosti i dalje ispunjava zahtjev</w:t>
      </w:r>
      <w:r>
        <w:rPr>
          <w:noProof/>
        </w:rPr>
        <w:t>e iz ovog članka. Akreditacijska tijela povlače akreditaciju tijela za ocjenjivanje sukladnosti u skladu sa stavkom 1. ovog članka ako uvjeti za akreditaciju nisu i ili više nisu ispunjeni ili ako se mjerama koje je poduzelo tijelo za ocjenjivanje sukladno</w:t>
      </w:r>
      <w:r>
        <w:rPr>
          <w:noProof/>
        </w:rPr>
        <w:t>sti krši ova Uredba.</w:t>
      </w:r>
    </w:p>
    <w:p w:rsidR="00A761A4" w:rsidRDefault="00A761A4">
      <w:pPr>
        <w:rPr>
          <w:noProof/>
        </w:rPr>
      </w:pPr>
    </w:p>
    <w:p w:rsidR="00A761A4" w:rsidRDefault="0064189B">
      <w:pPr>
        <w:pStyle w:val="Titrearticle"/>
        <w:rPr>
          <w:b/>
          <w:noProof/>
        </w:rPr>
      </w:pPr>
      <w:r>
        <w:rPr>
          <w:noProof/>
        </w:rPr>
        <w:t>Članak 52.</w:t>
      </w:r>
      <w:r>
        <w:rPr>
          <w:noProof/>
        </w:rPr>
        <w:br/>
      </w:r>
      <w:r>
        <w:rPr>
          <w:b/>
          <w:noProof/>
        </w:rPr>
        <w:t>Obavijest</w:t>
      </w:r>
    </w:p>
    <w:p w:rsidR="00A761A4" w:rsidRDefault="0064189B">
      <w:pPr>
        <w:pStyle w:val="ManualNumPar1"/>
        <w:rPr>
          <w:noProof/>
        </w:rPr>
      </w:pPr>
      <w:r>
        <w:t>1.</w:t>
      </w:r>
      <w:r>
        <w:tab/>
      </w:r>
      <w:r>
        <w:rPr>
          <w:noProof/>
        </w:rPr>
        <w:t>Za svaki europski program kibersigurnosne certifikacije donesen u skladu s člankom 44. nacionalna tijela za nadzor certifikacije prijavljuju Komisiji akreditirana tijela za ocjenjivanje sukladnosti akreditirana</w:t>
      </w:r>
      <w:r>
        <w:rPr>
          <w:noProof/>
        </w:rPr>
        <w:t xml:space="preserve"> za izdavanje certifikata na utvrđenoj razini jamstva iz članka 46. i, bez odgode, sve naknade promjene u vezi s tim tijelima.</w:t>
      </w:r>
    </w:p>
    <w:p w:rsidR="00A761A4" w:rsidRDefault="0064189B">
      <w:pPr>
        <w:pStyle w:val="ManualNumPar1"/>
        <w:rPr>
          <w:noProof/>
        </w:rPr>
      </w:pPr>
      <w:r>
        <w:t>2.</w:t>
      </w:r>
      <w:r>
        <w:tab/>
      </w:r>
      <w:r>
        <w:rPr>
          <w:noProof/>
        </w:rPr>
        <w:t xml:space="preserve">Godinu dana nakon stupanja na snagu europskog programa kibersigurnosne certifikacije Komisija u Službenom listu objavljuje </w:t>
      </w:r>
      <w:r>
        <w:rPr>
          <w:noProof/>
        </w:rPr>
        <w:t>popis prijavljenih tijela za ocjenjivanje sukladnosti.</w:t>
      </w:r>
    </w:p>
    <w:p w:rsidR="00A761A4" w:rsidRDefault="0064189B">
      <w:pPr>
        <w:pStyle w:val="ManualNumPar1"/>
        <w:rPr>
          <w:noProof/>
        </w:rPr>
      </w:pPr>
      <w:r>
        <w:t>3.</w:t>
      </w:r>
      <w:r>
        <w:tab/>
      </w:r>
      <w:r>
        <w:rPr>
          <w:noProof/>
        </w:rPr>
        <w:t xml:space="preserve">Ako Komisija zaprimi prijavu nakon isteka razdoblja iz stavka 2., ona objavljuje izmjene popisa iz stavka 2. u </w:t>
      </w:r>
      <w:r>
        <w:rPr>
          <w:i/>
          <w:noProof/>
        </w:rPr>
        <w:t>Službenom listu Europske unije</w:t>
      </w:r>
      <w:r>
        <w:rPr>
          <w:noProof/>
        </w:rPr>
        <w:t xml:space="preserve"> u roku od dva mjeseca od datuma primitka te prijave.</w:t>
      </w:r>
    </w:p>
    <w:p w:rsidR="00A761A4" w:rsidRDefault="0064189B">
      <w:pPr>
        <w:pStyle w:val="ManualNumPar1"/>
        <w:rPr>
          <w:noProof/>
        </w:rPr>
      </w:pPr>
      <w:r>
        <w:t>4.</w:t>
      </w:r>
      <w:r>
        <w:tab/>
      </w:r>
      <w:r>
        <w:rPr>
          <w:noProof/>
        </w:rPr>
        <w:t>Nacionalno tijelo za nadzor certifikacije može Komisiji podnijeti zahtjev da se tijelo za ocjenjivanje sukladnosti koje je to nacionalno tijelo za nadzor certifikacije prijavilo ukloni s popisa iz stavka 2. ovog članka. Komisija objavljuje odgovarajuće izm</w:t>
      </w:r>
      <w:r>
        <w:rPr>
          <w:noProof/>
        </w:rPr>
        <w:t xml:space="preserve">jene popisa u </w:t>
      </w:r>
      <w:r>
        <w:rPr>
          <w:i/>
          <w:noProof/>
        </w:rPr>
        <w:t>Službenom listu Europske unije</w:t>
      </w:r>
      <w:r>
        <w:rPr>
          <w:noProof/>
        </w:rPr>
        <w:t xml:space="preserve"> u roku od jednog mjeseca od primitka zahtjeva nacionalnog tijela za nadzor certifikacije.</w:t>
      </w:r>
    </w:p>
    <w:p w:rsidR="00A761A4" w:rsidRDefault="0064189B">
      <w:pPr>
        <w:pStyle w:val="ManualNumPar1"/>
        <w:rPr>
          <w:noProof/>
        </w:rPr>
      </w:pPr>
      <w:r>
        <w:t>5.</w:t>
      </w:r>
      <w:r>
        <w:tab/>
      </w:r>
      <w:r>
        <w:rPr>
          <w:noProof/>
        </w:rPr>
        <w:t>Komisija može provedbenim aktima definirati okolnosti, formate i postupke prijava iz stavka 1. ovog članka. Ti se prov</w:t>
      </w:r>
      <w:r>
        <w:rPr>
          <w:noProof/>
        </w:rPr>
        <w:t xml:space="preserve">edbeni akti donose u skladu s postupkom ispitivanja iz članka 55. stavka 2. </w:t>
      </w:r>
    </w:p>
    <w:p w:rsidR="00A761A4" w:rsidRDefault="00A761A4">
      <w:pPr>
        <w:rPr>
          <w:noProof/>
          <w:szCs w:val="24"/>
        </w:rPr>
      </w:pPr>
    </w:p>
    <w:p w:rsidR="00A761A4" w:rsidRDefault="0064189B">
      <w:pPr>
        <w:jc w:val="center"/>
        <w:rPr>
          <w:rFonts w:eastAsia="Times New Roman"/>
          <w:b/>
          <w:bCs/>
          <w:i/>
          <w:noProof/>
          <w:szCs w:val="24"/>
        </w:rPr>
      </w:pPr>
      <w:r>
        <w:rPr>
          <w:i/>
          <w:noProof/>
        </w:rPr>
        <w:t>Članak 53.</w:t>
      </w:r>
      <w:r>
        <w:rPr>
          <w:rFonts w:eastAsia="Times New Roman"/>
          <w:b/>
          <w:bCs/>
          <w:i/>
          <w:noProof/>
          <w:szCs w:val="24"/>
        </w:rPr>
        <w:br/>
      </w:r>
      <w:r>
        <w:rPr>
          <w:b/>
          <w:i/>
          <w:noProof/>
        </w:rPr>
        <w:t>Europska skupina za kibersigurnosnu certifikaciju</w:t>
      </w:r>
    </w:p>
    <w:p w:rsidR="00A761A4" w:rsidRDefault="0064189B">
      <w:pPr>
        <w:pStyle w:val="ManualNumPar1"/>
        <w:rPr>
          <w:noProof/>
        </w:rPr>
      </w:pPr>
      <w:r>
        <w:t>1.</w:t>
      </w:r>
      <w:r>
        <w:tab/>
      </w:r>
      <w:r>
        <w:rPr>
          <w:noProof/>
        </w:rPr>
        <w:t>Osniva se Europska skupina za kibersigurnosnu certifikaciju („Skupina”).</w:t>
      </w:r>
    </w:p>
    <w:p w:rsidR="00A761A4" w:rsidRDefault="0064189B">
      <w:pPr>
        <w:pStyle w:val="ManualNumPar1"/>
        <w:rPr>
          <w:noProof/>
        </w:rPr>
      </w:pPr>
      <w:r>
        <w:t>2.</w:t>
      </w:r>
      <w:r>
        <w:tab/>
      </w:r>
      <w:r>
        <w:rPr>
          <w:noProof/>
        </w:rPr>
        <w:t xml:space="preserve">Skupina je sastavljena od nacionalnih </w:t>
      </w:r>
      <w:r>
        <w:rPr>
          <w:noProof/>
        </w:rPr>
        <w:t>tijela za nadzor certifikacije. Ta tijela predstavljaju njihovi čelnici ili drugi predstavnici nacionalnih tijela za nadzor certifikacije na visokoj razini.</w:t>
      </w:r>
    </w:p>
    <w:p w:rsidR="00A761A4" w:rsidRDefault="0064189B">
      <w:pPr>
        <w:pStyle w:val="ManualNumPar1"/>
        <w:rPr>
          <w:noProof/>
        </w:rPr>
      </w:pPr>
      <w:r>
        <w:t>3.</w:t>
      </w:r>
      <w:r>
        <w:tab/>
      </w:r>
      <w:r>
        <w:rPr>
          <w:noProof/>
        </w:rPr>
        <w:t>Skupina ima sljedeće zadaće:</w:t>
      </w:r>
    </w:p>
    <w:p w:rsidR="00A761A4" w:rsidRDefault="0064189B">
      <w:pPr>
        <w:pStyle w:val="Point1letter"/>
        <w:numPr>
          <w:ilvl w:val="3"/>
          <w:numId w:val="71"/>
        </w:numPr>
        <w:rPr>
          <w:noProof/>
          <w:szCs w:val="24"/>
        </w:rPr>
      </w:pPr>
      <w:r>
        <w:rPr>
          <w:noProof/>
        </w:rPr>
        <w:t>savjetovati Komisiju i pomagati joj u radu u cilju osiguravanja usk</w:t>
      </w:r>
      <w:r>
        <w:rPr>
          <w:noProof/>
        </w:rPr>
        <w:t>lađene provedbe i primjene ove glave, posebno u pogledu pitanja politike kibersigurnosne certifikacije, koordinacije pristupa politike i izrade europskih programa kibersigurnosne certifikacije;</w:t>
      </w:r>
    </w:p>
    <w:p w:rsidR="00A761A4" w:rsidRDefault="0064189B">
      <w:pPr>
        <w:pStyle w:val="Point1letter"/>
        <w:numPr>
          <w:ilvl w:val="3"/>
          <w:numId w:val="71"/>
        </w:numPr>
        <w:rPr>
          <w:noProof/>
          <w:szCs w:val="24"/>
        </w:rPr>
      </w:pPr>
      <w:r>
        <w:rPr>
          <w:noProof/>
        </w:rPr>
        <w:t>pomagati ENISA-i, savjetovati je i surađivati s njome u pogled</w:t>
      </w:r>
      <w:r>
        <w:rPr>
          <w:noProof/>
        </w:rPr>
        <w:t>u izrade prijedloga programa u skladu s člankom 44. ove Uredbe;</w:t>
      </w:r>
    </w:p>
    <w:p w:rsidR="00A761A4" w:rsidRDefault="0064189B">
      <w:pPr>
        <w:pStyle w:val="Point1letter"/>
        <w:numPr>
          <w:ilvl w:val="3"/>
          <w:numId w:val="71"/>
        </w:numPr>
        <w:rPr>
          <w:noProof/>
          <w:szCs w:val="24"/>
        </w:rPr>
      </w:pPr>
      <w:r>
        <w:rPr>
          <w:noProof/>
        </w:rPr>
        <w:t>predložiti Komisiji da od Agencije zatraži da izradi prijedlog europskog programa kibersigurnosne certifikacije u skladu s člankom 44. ove Uredbe;</w:t>
      </w:r>
    </w:p>
    <w:p w:rsidR="00A761A4" w:rsidRDefault="0064189B">
      <w:pPr>
        <w:pStyle w:val="Point1letter"/>
        <w:numPr>
          <w:ilvl w:val="3"/>
          <w:numId w:val="71"/>
        </w:numPr>
        <w:rPr>
          <w:noProof/>
          <w:szCs w:val="24"/>
        </w:rPr>
      </w:pPr>
      <w:r>
        <w:rPr>
          <w:noProof/>
        </w:rPr>
        <w:t>donositi mišljenja upućena Komisiji koja se o</w:t>
      </w:r>
      <w:r>
        <w:rPr>
          <w:noProof/>
        </w:rPr>
        <w:t>dnose na održavanje i preispitivanje postojećih europskih programa kibersigurnosne certifikacije;</w:t>
      </w:r>
    </w:p>
    <w:p w:rsidR="00A761A4" w:rsidRDefault="0064189B">
      <w:pPr>
        <w:pStyle w:val="Point1letter"/>
        <w:numPr>
          <w:ilvl w:val="3"/>
          <w:numId w:val="71"/>
        </w:numPr>
        <w:rPr>
          <w:noProof/>
          <w:szCs w:val="24"/>
        </w:rPr>
      </w:pPr>
      <w:r>
        <w:rPr>
          <w:noProof/>
        </w:rPr>
        <w:t>analizirati relevantne promjene u području kibersigurnosne certifikacije i razmjenjivati dobru praksu o programima kibersigurnosne certifikacije;</w:t>
      </w:r>
    </w:p>
    <w:p w:rsidR="00A761A4" w:rsidRDefault="0064189B">
      <w:pPr>
        <w:pStyle w:val="Point1letter"/>
        <w:numPr>
          <w:ilvl w:val="3"/>
          <w:numId w:val="71"/>
        </w:numPr>
        <w:rPr>
          <w:noProof/>
          <w:szCs w:val="24"/>
        </w:rPr>
      </w:pPr>
      <w:r>
        <w:rPr>
          <w:noProof/>
        </w:rPr>
        <w:t>olakšavati s</w:t>
      </w:r>
      <w:r>
        <w:rPr>
          <w:noProof/>
        </w:rPr>
        <w:t>uradnju nacionalnih tijela za nadzor certifikacije iz ove glave razmjenom informacija, posebno uspostavom metoda za učinkovitu razmjenu informacija povezanih sa svim pitanjima koja se odnose na kibersigurnosnu certifikaciju.</w:t>
      </w:r>
    </w:p>
    <w:p w:rsidR="00A761A4" w:rsidRDefault="0064189B">
      <w:pPr>
        <w:pStyle w:val="ManualNumPar1"/>
        <w:rPr>
          <w:noProof/>
        </w:rPr>
      </w:pPr>
      <w:r>
        <w:t>4.</w:t>
      </w:r>
      <w:r>
        <w:tab/>
      </w:r>
      <w:r>
        <w:rPr>
          <w:noProof/>
        </w:rPr>
        <w:t xml:space="preserve">Skupinom predsjeda Komisija </w:t>
      </w:r>
      <w:r>
        <w:rPr>
          <w:noProof/>
        </w:rPr>
        <w:t xml:space="preserve">i osigurava joj tajništvo uz pomoć ENISA-e, kako je predviđeno u članku 8. točki (a). </w:t>
      </w:r>
    </w:p>
    <w:p w:rsidR="00A761A4" w:rsidRDefault="00A761A4">
      <w:pPr>
        <w:rPr>
          <w:noProof/>
          <w:szCs w:val="24"/>
        </w:rPr>
      </w:pPr>
    </w:p>
    <w:p w:rsidR="00A761A4" w:rsidRDefault="0064189B">
      <w:pPr>
        <w:pStyle w:val="Titrearticle"/>
        <w:rPr>
          <w:noProof/>
        </w:rPr>
      </w:pPr>
      <w:r>
        <w:rPr>
          <w:noProof/>
        </w:rPr>
        <w:t>Članak 54.</w:t>
      </w:r>
      <w:r>
        <w:rPr>
          <w:rFonts w:eastAsia="Times New Roman"/>
          <w:b/>
          <w:bCs/>
          <w:i w:val="0"/>
          <w:noProof/>
          <w:szCs w:val="24"/>
        </w:rPr>
        <w:t xml:space="preserve"> </w:t>
      </w:r>
      <w:r>
        <w:rPr>
          <w:rFonts w:eastAsia="Times New Roman"/>
          <w:b/>
          <w:bCs/>
          <w:i w:val="0"/>
          <w:noProof/>
          <w:szCs w:val="24"/>
        </w:rPr>
        <w:br/>
      </w:r>
      <w:r>
        <w:rPr>
          <w:b/>
          <w:noProof/>
        </w:rPr>
        <w:t>Sankcije</w:t>
      </w:r>
    </w:p>
    <w:p w:rsidR="00A761A4" w:rsidRDefault="0064189B">
      <w:pPr>
        <w:rPr>
          <w:noProof/>
          <w:szCs w:val="24"/>
        </w:rPr>
      </w:pPr>
      <w:r>
        <w:rPr>
          <w:noProof/>
        </w:rPr>
        <w:t>Države članice utvrđuju pravila o sankcijama koje se primjenjuju na povrede ove glave i europskih programa kibersigurnosne certifikacije te poduzim</w:t>
      </w:r>
      <w:r>
        <w:rPr>
          <w:noProof/>
        </w:rPr>
        <w:t>aju sve potrebne mjere kako bi osigurale njihovo izvršenje. Predviđene kazne moraju biti učinkovite, razmjerne i odvraćajuće. Države članice [do …/bez odgode] obavješćuju Komisiju o tim pravilima i mjerama te o svim njihovim naknadnim izmjenama.</w:t>
      </w:r>
    </w:p>
    <w:p w:rsidR="00A761A4" w:rsidRDefault="00A761A4">
      <w:pPr>
        <w:spacing w:before="75"/>
        <w:rPr>
          <w:rFonts w:eastAsia="Times New Roman"/>
          <w:b/>
          <w:bCs/>
          <w:noProof/>
          <w:szCs w:val="24"/>
        </w:rPr>
      </w:pPr>
    </w:p>
    <w:p w:rsidR="00A761A4" w:rsidRDefault="0064189B">
      <w:pPr>
        <w:pStyle w:val="PartTitle"/>
        <w:rPr>
          <w:bCs/>
          <w:noProof/>
        </w:rPr>
      </w:pPr>
      <w:bookmarkStart w:id="37" w:name="_Toc492216479"/>
      <w:r>
        <w:rPr>
          <w:noProof/>
        </w:rPr>
        <w:t>GLAVA IV.</w:t>
      </w:r>
      <w:r>
        <w:rPr>
          <w:noProof/>
        </w:rPr>
        <w:br/>
        <w:t>ZAVRŠNE ODREDBE</w:t>
      </w:r>
      <w:bookmarkEnd w:id="37"/>
    </w:p>
    <w:p w:rsidR="00A761A4" w:rsidRDefault="00A761A4">
      <w:pPr>
        <w:jc w:val="center"/>
        <w:rPr>
          <w:i/>
          <w:noProof/>
          <w:szCs w:val="24"/>
        </w:rPr>
      </w:pPr>
    </w:p>
    <w:p w:rsidR="00A761A4" w:rsidRDefault="0064189B">
      <w:pPr>
        <w:pStyle w:val="Titrearticle"/>
        <w:rPr>
          <w:noProof/>
        </w:rPr>
      </w:pPr>
      <w:r>
        <w:rPr>
          <w:noProof/>
        </w:rPr>
        <w:t>Članak 55.</w:t>
      </w:r>
      <w:r>
        <w:rPr>
          <w:i w:val="0"/>
          <w:noProof/>
        </w:rPr>
        <w:br/>
      </w:r>
      <w:r>
        <w:rPr>
          <w:b/>
          <w:noProof/>
        </w:rPr>
        <w:t>Odborski postupak</w:t>
      </w:r>
    </w:p>
    <w:p w:rsidR="00A761A4" w:rsidRDefault="0064189B">
      <w:pPr>
        <w:pStyle w:val="ManualNumPar1"/>
        <w:rPr>
          <w:noProof/>
        </w:rPr>
      </w:pPr>
      <w:r>
        <w:t>1.</w:t>
      </w:r>
      <w:r>
        <w:tab/>
      </w:r>
      <w:r>
        <w:rPr>
          <w:noProof/>
        </w:rPr>
        <w:t>Komisiji pomaže odbor. Navedeni odbor je odbor u smislu Uredbe (EU) br. 182/2011.</w:t>
      </w:r>
    </w:p>
    <w:p w:rsidR="00A761A4" w:rsidRDefault="0064189B">
      <w:pPr>
        <w:pStyle w:val="ManualNumPar1"/>
        <w:rPr>
          <w:noProof/>
        </w:rPr>
      </w:pPr>
      <w:r>
        <w:t>2.</w:t>
      </w:r>
      <w:r>
        <w:tab/>
      </w:r>
      <w:r>
        <w:rPr>
          <w:noProof/>
        </w:rPr>
        <w:t>U slučaju upućivanja na ovaj stavak primjenjuje se članak 4. Uredbe (EU) br. 182/2011.</w:t>
      </w:r>
    </w:p>
    <w:p w:rsidR="00A761A4" w:rsidRDefault="00A761A4">
      <w:pPr>
        <w:rPr>
          <w:noProof/>
        </w:rPr>
      </w:pPr>
    </w:p>
    <w:p w:rsidR="00A761A4" w:rsidRDefault="0064189B">
      <w:pPr>
        <w:pStyle w:val="Titrearticle"/>
        <w:rPr>
          <w:b/>
          <w:noProof/>
        </w:rPr>
      </w:pPr>
      <w:r>
        <w:rPr>
          <w:noProof/>
        </w:rPr>
        <w:t>Članak 56.</w:t>
      </w:r>
      <w:r>
        <w:rPr>
          <w:noProof/>
        </w:rPr>
        <w:br/>
      </w:r>
      <w:r>
        <w:rPr>
          <w:b/>
          <w:noProof/>
        </w:rPr>
        <w:t>Ocjenjivanje i preispi</w:t>
      </w:r>
      <w:r>
        <w:rPr>
          <w:b/>
          <w:noProof/>
        </w:rPr>
        <w:t>tivanje</w:t>
      </w:r>
    </w:p>
    <w:p w:rsidR="00A761A4" w:rsidRDefault="0064189B">
      <w:pPr>
        <w:pStyle w:val="ManualNumPar1"/>
        <w:rPr>
          <w:noProof/>
        </w:rPr>
      </w:pPr>
      <w:r>
        <w:t>1.</w:t>
      </w:r>
      <w:r>
        <w:tab/>
      </w:r>
      <w:r>
        <w:rPr>
          <w:noProof/>
        </w:rPr>
        <w:t>Najkasnije pet godina od datuma iz članka 58. i svakih pet godina nakon toga Komisija ocjenjuje učinak, djelotvornost i učinkovitost Agencije i njezina načina rada kao i moguću potrebu za izmjenom mandata Agencije te financijske posljedice takve</w:t>
      </w:r>
      <w:r>
        <w:rPr>
          <w:noProof/>
        </w:rPr>
        <w:t xml:space="preserve"> izmjene. Ocjenom iz stavka 1. uzimaju se u obzir sve povratne informacije pružene Agenciji kao odgovor na njezine aktivnosti. Ako Komisija smatra da daljnje postojanje Agencije više nije opravdano s obzirom na ciljeve, mandat i zadaće koji su joj dodijelj</w:t>
      </w:r>
      <w:r>
        <w:rPr>
          <w:noProof/>
        </w:rPr>
        <w:t>eni, ona može predložiti izmjenu odredaba ove Uredbe koje se odnose na Agenciju.</w:t>
      </w:r>
    </w:p>
    <w:p w:rsidR="00A761A4" w:rsidRDefault="0064189B">
      <w:pPr>
        <w:pStyle w:val="ManualNumPar1"/>
        <w:rPr>
          <w:noProof/>
        </w:rPr>
      </w:pPr>
      <w:r>
        <w:t>2.</w:t>
      </w:r>
      <w:r>
        <w:tab/>
      </w:r>
      <w:r>
        <w:rPr>
          <w:noProof/>
        </w:rPr>
        <w:t>Ocjenjivanjem se ocjenjuje i učinak, djelotvornost i učinkovitost odredaba iz glave III. u pogledu ciljeva osiguranja prikladne razine kibersigurnosti IKT proizvoda i uslug</w:t>
      </w:r>
      <w:r>
        <w:rPr>
          <w:noProof/>
        </w:rPr>
        <w:t>a u Uniji i poboljšanja funkcioniranja unutarnjeg tržišta.</w:t>
      </w:r>
    </w:p>
    <w:p w:rsidR="00A761A4" w:rsidRDefault="0064189B">
      <w:pPr>
        <w:pStyle w:val="ManualNumPar1"/>
        <w:rPr>
          <w:noProof/>
        </w:rPr>
      </w:pPr>
      <w:r>
        <w:t>3.</w:t>
      </w:r>
      <w:r>
        <w:tab/>
      </w:r>
      <w:r>
        <w:rPr>
          <w:noProof/>
        </w:rPr>
        <w:t>Komisija izvješće o ocjenjivanju zajedno s njegovim zaključcima prosljeđuje Europskom parlamentu, Vijeću i Upravljačkom odboru. Nalazi tog ocjenjivanja objavljuju se.</w:t>
      </w:r>
    </w:p>
    <w:p w:rsidR="00A761A4" w:rsidRDefault="00A761A4">
      <w:pPr>
        <w:spacing w:after="0"/>
        <w:rPr>
          <w:rFonts w:eastAsia="Times New Roman"/>
          <w:noProof/>
          <w:szCs w:val="24"/>
        </w:rPr>
      </w:pPr>
    </w:p>
    <w:p w:rsidR="00A761A4" w:rsidRDefault="0064189B">
      <w:pPr>
        <w:pStyle w:val="Titrearticle"/>
        <w:rPr>
          <w:b/>
          <w:noProof/>
        </w:rPr>
      </w:pPr>
      <w:r>
        <w:rPr>
          <w:noProof/>
        </w:rPr>
        <w:t>Članak 57.</w:t>
      </w:r>
      <w:r>
        <w:rPr>
          <w:noProof/>
        </w:rPr>
        <w:br/>
      </w:r>
      <w:r>
        <w:rPr>
          <w:b/>
          <w:noProof/>
        </w:rPr>
        <w:t xml:space="preserve">Stavljanje </w:t>
      </w:r>
      <w:r>
        <w:rPr>
          <w:b/>
          <w:noProof/>
        </w:rPr>
        <w:t>izvan snage i sljedništvo</w:t>
      </w:r>
    </w:p>
    <w:p w:rsidR="00A761A4" w:rsidRDefault="0064189B">
      <w:pPr>
        <w:pStyle w:val="ManualNumPar1"/>
        <w:rPr>
          <w:noProof/>
        </w:rPr>
      </w:pPr>
      <w:r>
        <w:t>1.</w:t>
      </w:r>
      <w:r>
        <w:tab/>
      </w:r>
      <w:r>
        <w:rPr>
          <w:noProof/>
        </w:rPr>
        <w:t>Uredba (EZ) br. 526/2013 stavlja se izvan snage od  [ ….  ].</w:t>
      </w:r>
    </w:p>
    <w:p w:rsidR="00A761A4" w:rsidRDefault="0064189B">
      <w:pPr>
        <w:pStyle w:val="ManualNumPar1"/>
        <w:rPr>
          <w:noProof/>
        </w:rPr>
      </w:pPr>
      <w:r>
        <w:t>2.</w:t>
      </w:r>
      <w:r>
        <w:tab/>
      </w:r>
      <w:r>
        <w:rPr>
          <w:noProof/>
        </w:rPr>
        <w:t>Upućivanja na Uredbu (EZ) br. 526/2013 i ENISA-u smatraju se upućivanjima na ovu Uredbu i Agenciju.</w:t>
      </w:r>
    </w:p>
    <w:p w:rsidR="00A761A4" w:rsidRDefault="0064189B">
      <w:pPr>
        <w:pStyle w:val="ManualNumPar1"/>
        <w:rPr>
          <w:noProof/>
        </w:rPr>
      </w:pPr>
      <w:r>
        <w:t>3.</w:t>
      </w:r>
      <w:r>
        <w:tab/>
      </w:r>
      <w:r>
        <w:rPr>
          <w:noProof/>
        </w:rPr>
        <w:t>Agencija nasljeđuje Agenciju osnovanu Uredbom (EZ) br. 526/2</w:t>
      </w:r>
      <w:r>
        <w:rPr>
          <w:noProof/>
        </w:rPr>
        <w:t xml:space="preserve">013 u pogledu cjelokupnog vlasništva, svih sporazuma, pravnih obveza, ugovora o radu, financijskih obveza i odgovornosti. Sve postojeće odluke Upravljačkog odbora i Izvršnog odbora ostaju na snazi ako nisu u sukobu s odredbama ove Uredbe. </w:t>
      </w:r>
    </w:p>
    <w:p w:rsidR="00A761A4" w:rsidRDefault="0064189B">
      <w:pPr>
        <w:pStyle w:val="ManualNumPar1"/>
        <w:rPr>
          <w:noProof/>
        </w:rPr>
      </w:pPr>
      <w:r>
        <w:t>4.</w:t>
      </w:r>
      <w:r>
        <w:tab/>
      </w:r>
      <w:r>
        <w:rPr>
          <w:noProof/>
        </w:rPr>
        <w:t>Agencija se o</w:t>
      </w:r>
      <w:r>
        <w:rPr>
          <w:noProof/>
        </w:rPr>
        <w:t>sniva na neodređeno razdoblje koje započinje od […]</w:t>
      </w:r>
    </w:p>
    <w:p w:rsidR="00A761A4" w:rsidRDefault="0064189B">
      <w:pPr>
        <w:pStyle w:val="ManualNumPar1"/>
        <w:rPr>
          <w:noProof/>
        </w:rPr>
      </w:pPr>
      <w:r>
        <w:t>5.</w:t>
      </w:r>
      <w:r>
        <w:tab/>
      </w:r>
      <w:r>
        <w:rPr>
          <w:noProof/>
        </w:rPr>
        <w:t>Izvršni direktor imenovan u skladu s člankom 24. stavkom 4. Uredbe (EZ) br. 526/2013 izvršni je direktor Agencije do kraja svojeg mandata.</w:t>
      </w:r>
    </w:p>
    <w:p w:rsidR="00A761A4" w:rsidRDefault="0064189B">
      <w:pPr>
        <w:pStyle w:val="ManualNumPar1"/>
        <w:rPr>
          <w:noProof/>
        </w:rPr>
      </w:pPr>
      <w:r>
        <w:t>6.</w:t>
      </w:r>
      <w:r>
        <w:tab/>
      </w:r>
      <w:r>
        <w:rPr>
          <w:noProof/>
        </w:rPr>
        <w:t>Članovi Upravljačkog odbora i njihovi zamjenici imenovani u</w:t>
      </w:r>
      <w:r>
        <w:rPr>
          <w:noProof/>
        </w:rPr>
        <w:t xml:space="preserve"> skladu s člankom 6. Uredbe (EZ) br. 526/2013 nastavljaju biti članovi Upravljačkog odbora Agencije i zamjenici do kraja svojeg mandata.</w:t>
      </w:r>
    </w:p>
    <w:p w:rsidR="00A761A4" w:rsidRDefault="0064189B">
      <w:pPr>
        <w:pStyle w:val="Titrearticle"/>
        <w:rPr>
          <w:noProof/>
        </w:rPr>
      </w:pPr>
      <w:r>
        <w:rPr>
          <w:noProof/>
        </w:rPr>
        <w:t>Članak 58.</w:t>
      </w:r>
    </w:p>
    <w:p w:rsidR="00A761A4" w:rsidRDefault="0064189B">
      <w:pPr>
        <w:pStyle w:val="ManualNumPar1"/>
        <w:rPr>
          <w:noProof/>
        </w:rPr>
      </w:pPr>
      <w:r>
        <w:t>1.</w:t>
      </w:r>
      <w:r>
        <w:tab/>
      </w:r>
      <w:r>
        <w:rPr>
          <w:noProof/>
        </w:rPr>
        <w:t>Ova Uredba stupa na snagu</w:t>
      </w:r>
      <w:r>
        <w:rPr>
          <w:b/>
          <w:i/>
          <w:noProof/>
        </w:rPr>
        <w:t xml:space="preserve"> </w:t>
      </w:r>
      <w:r>
        <w:rPr>
          <w:noProof/>
        </w:rPr>
        <w:t xml:space="preserve">dvadesetog dana od dana objave u </w:t>
      </w:r>
      <w:r>
        <w:rPr>
          <w:i/>
          <w:noProof/>
        </w:rPr>
        <w:t>Službenom listu Europske unije.</w:t>
      </w:r>
    </w:p>
    <w:p w:rsidR="00A761A4" w:rsidRDefault="0064189B">
      <w:pPr>
        <w:pStyle w:val="ManualNumPar1"/>
        <w:rPr>
          <w:noProof/>
        </w:rPr>
      </w:pPr>
      <w:r>
        <w:t>2.</w:t>
      </w:r>
      <w:r>
        <w:tab/>
      </w:r>
      <w:r>
        <w:rPr>
          <w:noProof/>
        </w:rPr>
        <w:t>Ova je Ured</w:t>
      </w:r>
      <w:r>
        <w:rPr>
          <w:noProof/>
        </w:rPr>
        <w:t>ba u cijelosti obvezujuća i izravno se primjenjuje u svim državama članicama.</w:t>
      </w:r>
    </w:p>
    <w:p w:rsidR="00A761A4" w:rsidRDefault="0064189B" w:rsidP="0064189B">
      <w:pPr>
        <w:pStyle w:val="Fait"/>
        <w:rPr>
          <w:noProof/>
        </w:rPr>
      </w:pPr>
      <w:r w:rsidRPr="0064189B">
        <w:t>Sastavljeno u Bruxellesu,</w:t>
      </w:r>
    </w:p>
    <w:p w:rsidR="00A761A4" w:rsidRDefault="0064189B">
      <w:pPr>
        <w:pStyle w:val="Institutionquisigne"/>
        <w:rPr>
          <w:noProof/>
        </w:rPr>
      </w:pPr>
      <w:r>
        <w:rPr>
          <w:noProof/>
        </w:rPr>
        <w:t>Za Europski parlament</w:t>
      </w:r>
      <w:r>
        <w:rPr>
          <w:noProof/>
        </w:rPr>
        <w:tab/>
        <w:t>Za Vijeće</w:t>
      </w:r>
    </w:p>
    <w:p w:rsidR="00A761A4" w:rsidRDefault="0064189B">
      <w:pPr>
        <w:pStyle w:val="Personnequisigne"/>
        <w:rPr>
          <w:noProof/>
        </w:rPr>
      </w:pPr>
      <w:r>
        <w:rPr>
          <w:noProof/>
        </w:rPr>
        <w:t>Predsjednik</w:t>
      </w:r>
      <w:r>
        <w:rPr>
          <w:noProof/>
        </w:rPr>
        <w:tab/>
        <w:t>Predsjednik</w:t>
      </w:r>
    </w:p>
    <w:p w:rsidR="00A761A4" w:rsidRDefault="00A761A4">
      <w:pPr>
        <w:rPr>
          <w:noProof/>
        </w:rPr>
        <w:sectPr w:rsidR="00A761A4" w:rsidSect="0064189B">
          <w:footerReference w:type="default" r:id="rId20"/>
          <w:footerReference w:type="first" r:id="rId21"/>
          <w:pgSz w:w="11907" w:h="16839"/>
          <w:pgMar w:top="1134" w:right="1417" w:bottom="1134" w:left="1417" w:header="709" w:footer="709" w:gutter="0"/>
          <w:cols w:space="708"/>
          <w:docGrid w:linePitch="360"/>
        </w:sectPr>
      </w:pPr>
    </w:p>
    <w:p w:rsidR="00A761A4" w:rsidRDefault="0064189B">
      <w:pPr>
        <w:pStyle w:val="Fichefinanciretitre"/>
        <w:rPr>
          <w:noProof/>
        </w:rPr>
      </w:pPr>
      <w:bookmarkStart w:id="38" w:name="_Toc492216480"/>
      <w:r>
        <w:rPr>
          <w:noProof/>
        </w:rPr>
        <w:t>ZAKONODAVNI FINANCIJSKI IZVJEŠTAJ</w:t>
      </w:r>
      <w:bookmarkEnd w:id="38"/>
      <w:r>
        <w:rPr>
          <w:noProof/>
        </w:rPr>
        <w:t xml:space="preserve"> </w:t>
      </w:r>
    </w:p>
    <w:p w:rsidR="00A761A4" w:rsidRDefault="0064189B">
      <w:pPr>
        <w:pStyle w:val="ManualHeading1"/>
        <w:rPr>
          <w:bCs/>
          <w:noProof/>
          <w:szCs w:val="24"/>
        </w:rPr>
      </w:pPr>
      <w:bookmarkStart w:id="39" w:name="_Toc492216481"/>
      <w:r>
        <w:t>1.</w:t>
      </w:r>
      <w:r>
        <w:tab/>
      </w:r>
      <w:r>
        <w:rPr>
          <w:noProof/>
        </w:rPr>
        <w:t>OKVIR PRIJEDLOGA/INICIJATIVE</w:t>
      </w:r>
      <w:bookmarkEnd w:id="39"/>
      <w:r>
        <w:rPr>
          <w:noProof/>
        </w:rPr>
        <w:t xml:space="preserve"> </w:t>
      </w:r>
    </w:p>
    <w:p w:rsidR="00A761A4" w:rsidRDefault="0064189B">
      <w:pPr>
        <w:pStyle w:val="ManualHeading2"/>
        <w:rPr>
          <w:bCs/>
          <w:noProof/>
          <w:szCs w:val="24"/>
        </w:rPr>
      </w:pPr>
      <w:bookmarkStart w:id="40" w:name="_Toc492216482"/>
      <w:r>
        <w:t>1.1.</w:t>
      </w:r>
      <w:r>
        <w:tab/>
      </w:r>
      <w:r>
        <w:rPr>
          <w:noProof/>
        </w:rPr>
        <w:t>Naslov prijedloga/inicijative</w:t>
      </w:r>
      <w:bookmarkEnd w:id="40"/>
      <w:r>
        <w:rPr>
          <w:noProof/>
        </w:rPr>
        <w:t xml:space="preserve"> </w:t>
      </w:r>
    </w:p>
    <w:p w:rsidR="00A761A4" w:rsidRDefault="0064189B">
      <w:pPr>
        <w:pStyle w:val="Text1"/>
        <w:pBdr>
          <w:top w:val="single" w:sz="4" w:space="1" w:color="auto"/>
          <w:left w:val="single" w:sz="4" w:space="4" w:color="auto"/>
          <w:bottom w:val="single" w:sz="4" w:space="1" w:color="auto"/>
          <w:right w:val="single" w:sz="4" w:space="4" w:color="auto"/>
        </w:pBdr>
        <w:rPr>
          <w:noProof/>
        </w:rPr>
      </w:pPr>
      <w:r>
        <w:rPr>
          <w:noProof/>
        </w:rPr>
        <w:t xml:space="preserve">Prijedlog Uredbe Europskog parlamenta i Vijeća o ENISA-i (agenciji EU-a za kibersigurnost) i stavljanju izvan snage </w:t>
      </w:r>
      <w:r>
        <w:rPr>
          <w:noProof/>
        </w:rPr>
        <w:t>Uredbe (EU) 526/2013 te o sigurnosnoj certifikaciji u području informacijske i komunikacijske tehnologije („Akt/Uredba o kibersigurnosti”)</w:t>
      </w:r>
    </w:p>
    <w:p w:rsidR="00A761A4" w:rsidRDefault="0064189B">
      <w:pPr>
        <w:pStyle w:val="ManualHeading2"/>
        <w:rPr>
          <w:bCs/>
          <w:noProof/>
          <w:szCs w:val="24"/>
        </w:rPr>
      </w:pPr>
      <w:bookmarkStart w:id="41" w:name="_Toc492216483"/>
      <w:r>
        <w:t>1.2.</w:t>
      </w:r>
      <w:r>
        <w:tab/>
      </w:r>
      <w:r>
        <w:rPr>
          <w:noProof/>
        </w:rPr>
        <w:t>Odgovarajuća područja politike</w:t>
      </w:r>
      <w:bookmarkEnd w:id="41"/>
    </w:p>
    <w:p w:rsidR="00A761A4" w:rsidRDefault="0064189B">
      <w:pPr>
        <w:pStyle w:val="Text1"/>
        <w:pBdr>
          <w:top w:val="single" w:sz="4" w:space="1" w:color="auto"/>
          <w:left w:val="single" w:sz="4" w:space="4" w:color="auto"/>
          <w:bottom w:val="single" w:sz="4" w:space="1" w:color="auto"/>
          <w:right w:val="single" w:sz="4" w:space="4" w:color="auto"/>
        </w:pBdr>
        <w:rPr>
          <w:noProof/>
        </w:rPr>
      </w:pPr>
      <w:r>
        <w:rPr>
          <w:noProof/>
        </w:rPr>
        <w:t>Područje politike: 09 – Komunikacijske mreže, sadržaj i tehnologija</w:t>
      </w:r>
    </w:p>
    <w:p w:rsidR="00A761A4" w:rsidRDefault="0064189B">
      <w:pPr>
        <w:pStyle w:val="Text1"/>
        <w:pBdr>
          <w:top w:val="single" w:sz="4" w:space="1" w:color="auto"/>
          <w:left w:val="single" w:sz="4" w:space="4" w:color="auto"/>
          <w:bottom w:val="single" w:sz="4" w:space="1" w:color="auto"/>
          <w:right w:val="single" w:sz="4" w:space="4" w:color="auto"/>
        </w:pBdr>
        <w:rPr>
          <w:noProof/>
        </w:rPr>
      </w:pPr>
      <w:r>
        <w:rPr>
          <w:noProof/>
        </w:rPr>
        <w:t xml:space="preserve">Aktivnost: </w:t>
      </w:r>
      <w:r>
        <w:rPr>
          <w:noProof/>
        </w:rPr>
        <w:t>09.02 jedinstveno digitalno tržište</w:t>
      </w:r>
    </w:p>
    <w:p w:rsidR="00A761A4" w:rsidRDefault="0064189B">
      <w:pPr>
        <w:pStyle w:val="ManualHeading2"/>
        <w:rPr>
          <w:bCs/>
          <w:noProof/>
          <w:szCs w:val="24"/>
        </w:rPr>
      </w:pPr>
      <w:bookmarkStart w:id="42" w:name="_Toc492216484"/>
      <w:r>
        <w:t>1.3.</w:t>
      </w:r>
      <w:r>
        <w:tab/>
      </w:r>
      <w:r>
        <w:rPr>
          <w:noProof/>
        </w:rPr>
        <w:t>Vrsta prijedloga/inicijative</w:t>
      </w:r>
      <w:bookmarkEnd w:id="42"/>
      <w:r>
        <w:rPr>
          <w:noProof/>
        </w:rPr>
        <w:t xml:space="preserve"> </w:t>
      </w:r>
    </w:p>
    <w:p w:rsidR="00A761A4" w:rsidRDefault="0064189B">
      <w:pPr>
        <w:pStyle w:val="Text1"/>
        <w:rPr>
          <w:b/>
          <w:noProof/>
        </w:rPr>
      </w:pPr>
      <w:r>
        <w:rPr>
          <w:noProof/>
        </w:rPr>
        <w:sym w:font="Wingdings" w:char="F078"/>
      </w:r>
      <w:r>
        <w:rPr>
          <w:noProof/>
        </w:rPr>
        <w:t xml:space="preserve">Prijedlog/inicijativa odnosi se na </w:t>
      </w:r>
      <w:r>
        <w:rPr>
          <w:b/>
          <w:noProof/>
        </w:rPr>
        <w:t>novo djelovanje (Glava III. – Certifikacija)</w:t>
      </w:r>
    </w:p>
    <w:p w:rsidR="00A761A4" w:rsidRDefault="0064189B">
      <w:pPr>
        <w:pStyle w:val="Text1"/>
        <w:rPr>
          <w:noProof/>
          <w:sz w:val="22"/>
        </w:rPr>
      </w:pPr>
      <w:r>
        <w:rPr>
          <w:noProof/>
        </w:rPr>
        <w:sym w:font="Wingdings" w:char="F0A8"/>
      </w:r>
      <w:r>
        <w:rPr>
          <w:i/>
          <w:noProof/>
        </w:rPr>
        <w:t xml:space="preserve"> </w:t>
      </w:r>
      <w:r>
        <w:rPr>
          <w:noProof/>
        </w:rPr>
        <w:t xml:space="preserve">Prijedlog/inicijativa odnosi se na </w:t>
      </w:r>
      <w:r>
        <w:rPr>
          <w:b/>
          <w:noProof/>
        </w:rPr>
        <w:t>novo djelovanje nakon pilot-projekta/pripremnog djelovanja</w:t>
      </w:r>
      <w:r>
        <w:rPr>
          <w:rStyle w:val="FootnoteReference"/>
          <w:noProof/>
        </w:rPr>
        <w:footnoteReference w:id="44"/>
      </w:r>
      <w:r>
        <w:rPr>
          <w:noProof/>
          <w:sz w:val="22"/>
        </w:rPr>
        <w:t xml:space="preserve"> </w:t>
      </w:r>
    </w:p>
    <w:p w:rsidR="00A761A4" w:rsidRDefault="0064189B">
      <w:pPr>
        <w:pStyle w:val="Text1"/>
        <w:rPr>
          <w:b/>
          <w:noProof/>
        </w:rPr>
      </w:pPr>
      <w:r>
        <w:rPr>
          <w:noProof/>
        </w:rPr>
        <w:sym w:font="Wingdings" w:char="F078"/>
      </w:r>
      <w:r>
        <w:rPr>
          <w:noProof/>
        </w:rPr>
        <w:t>Prije</w:t>
      </w:r>
      <w:r>
        <w:rPr>
          <w:noProof/>
        </w:rPr>
        <w:t xml:space="preserve">dlog/inicijativa odnosi se na </w:t>
      </w:r>
      <w:r>
        <w:rPr>
          <w:b/>
          <w:noProof/>
        </w:rPr>
        <w:t>produženje postojećeg djelovanja (Glava II. – mandat ENISA-e)</w:t>
      </w:r>
    </w:p>
    <w:p w:rsidR="00A761A4" w:rsidRDefault="0064189B">
      <w:pPr>
        <w:pStyle w:val="Text1"/>
        <w:rPr>
          <w:noProof/>
        </w:rPr>
      </w:pPr>
      <w:r>
        <w:rPr>
          <w:noProof/>
        </w:rPr>
        <w:sym w:font="Wingdings" w:char="F0A8"/>
      </w:r>
      <w:r>
        <w:rPr>
          <w:i/>
          <w:noProof/>
        </w:rPr>
        <w:t xml:space="preserve"> </w:t>
      </w:r>
      <w:r>
        <w:rPr>
          <w:noProof/>
        </w:rPr>
        <w:t xml:space="preserve">Prijedlog/inicijativa odnosi se na </w:t>
      </w:r>
      <w:r>
        <w:rPr>
          <w:b/>
          <w:noProof/>
        </w:rPr>
        <w:t>djelovanje koje je preusmjereno na novo djelovanje</w:t>
      </w:r>
      <w:r>
        <w:rPr>
          <w:noProof/>
        </w:rPr>
        <w:t xml:space="preserve"> </w:t>
      </w:r>
    </w:p>
    <w:p w:rsidR="00A761A4" w:rsidRDefault="0064189B">
      <w:pPr>
        <w:pStyle w:val="ManualHeading2"/>
        <w:rPr>
          <w:bCs/>
          <w:noProof/>
          <w:szCs w:val="24"/>
        </w:rPr>
      </w:pPr>
      <w:bookmarkStart w:id="43" w:name="_Toc492216485"/>
      <w:r>
        <w:t>1.4.</w:t>
      </w:r>
      <w:r>
        <w:tab/>
      </w:r>
      <w:r>
        <w:rPr>
          <w:noProof/>
        </w:rPr>
        <w:t>Cilj/ciljevi</w:t>
      </w:r>
      <w:bookmarkEnd w:id="43"/>
    </w:p>
    <w:p w:rsidR="00A761A4" w:rsidRDefault="0064189B">
      <w:pPr>
        <w:pStyle w:val="ManualHeading3"/>
        <w:rPr>
          <w:bCs/>
          <w:noProof/>
          <w:szCs w:val="24"/>
        </w:rPr>
      </w:pPr>
      <w:bookmarkStart w:id="44" w:name="_Toc492216486"/>
      <w:r>
        <w:t>1.4.1.</w:t>
      </w:r>
      <w:r>
        <w:tab/>
      </w:r>
      <w:r>
        <w:rPr>
          <w:noProof/>
        </w:rPr>
        <w:t>Višegodišnji strateški ciljevi Komisije na koje se</w:t>
      </w:r>
      <w:r>
        <w:rPr>
          <w:noProof/>
        </w:rPr>
        <w:t xml:space="preserve"> odnosi prijedlog/inicijativa</w:t>
      </w:r>
      <w:bookmarkEnd w:id="44"/>
      <w:r>
        <w:rPr>
          <w:noProof/>
        </w:rPr>
        <w:t xml:space="preserve"> </w:t>
      </w:r>
    </w:p>
    <w:p w:rsidR="00A761A4" w:rsidRDefault="0064189B">
      <w:pPr>
        <w:pStyle w:val="Text1"/>
        <w:pBdr>
          <w:top w:val="single" w:sz="4" w:space="0" w:color="auto"/>
          <w:left w:val="single" w:sz="4" w:space="4" w:color="auto"/>
          <w:bottom w:val="single" w:sz="4" w:space="1" w:color="auto"/>
          <w:right w:val="single" w:sz="4" w:space="4" w:color="auto"/>
        </w:pBdr>
        <w:rPr>
          <w:noProof/>
        </w:rPr>
      </w:pPr>
      <w:r>
        <w:rPr>
          <w:noProof/>
        </w:rPr>
        <w:t xml:space="preserve">1. Povećati otpornost država članica, poduzeća i EU-a u cjelini </w:t>
      </w:r>
    </w:p>
    <w:p w:rsidR="00A761A4" w:rsidRDefault="0064189B">
      <w:pPr>
        <w:pStyle w:val="Text1"/>
        <w:pBdr>
          <w:top w:val="single" w:sz="4" w:space="0" w:color="auto"/>
          <w:left w:val="single" w:sz="4" w:space="4" w:color="auto"/>
          <w:bottom w:val="single" w:sz="4" w:space="1" w:color="auto"/>
          <w:right w:val="single" w:sz="4" w:space="4" w:color="auto"/>
        </w:pBdr>
        <w:rPr>
          <w:noProof/>
        </w:rPr>
      </w:pPr>
      <w:r>
        <w:rPr>
          <w:noProof/>
        </w:rPr>
        <w:t>2. Osigurati pravilno funkcioniranje unutarnjeg tržišta EU-a za IKT proizvode i usluge</w:t>
      </w:r>
    </w:p>
    <w:p w:rsidR="00A761A4" w:rsidRDefault="0064189B">
      <w:pPr>
        <w:pStyle w:val="Text1"/>
        <w:pBdr>
          <w:top w:val="single" w:sz="4" w:space="0" w:color="auto"/>
          <w:left w:val="single" w:sz="4" w:space="4" w:color="auto"/>
          <w:bottom w:val="single" w:sz="4" w:space="1" w:color="auto"/>
          <w:right w:val="single" w:sz="4" w:space="4" w:color="auto"/>
        </w:pBdr>
        <w:rPr>
          <w:noProof/>
        </w:rPr>
      </w:pPr>
      <w:r>
        <w:rPr>
          <w:noProof/>
        </w:rPr>
        <w:t>3. Povećati globalnu konkurentnost poduzeća EU-a koja djeluju području IK</w:t>
      </w:r>
      <w:r>
        <w:rPr>
          <w:noProof/>
        </w:rPr>
        <w:t>T-a</w:t>
      </w:r>
    </w:p>
    <w:p w:rsidR="00A761A4" w:rsidRDefault="0064189B">
      <w:pPr>
        <w:pStyle w:val="Text1"/>
        <w:pBdr>
          <w:top w:val="single" w:sz="4" w:space="0" w:color="auto"/>
          <w:left w:val="single" w:sz="4" w:space="4" w:color="auto"/>
          <w:bottom w:val="single" w:sz="4" w:space="1" w:color="auto"/>
          <w:right w:val="single" w:sz="4" w:space="4" w:color="auto"/>
        </w:pBdr>
        <w:rPr>
          <w:noProof/>
        </w:rPr>
      </w:pPr>
      <w:r>
        <w:rPr>
          <w:noProof/>
        </w:rPr>
        <w:t>4. Približiti zakone i ostale propise država članica za koje je potrebna kibersigurnost</w:t>
      </w:r>
    </w:p>
    <w:p w:rsidR="00A761A4" w:rsidRDefault="0064189B">
      <w:pPr>
        <w:pStyle w:val="ManualHeading3"/>
        <w:rPr>
          <w:noProof/>
        </w:rPr>
      </w:pPr>
      <w:bookmarkStart w:id="45" w:name="_Toc492216487"/>
      <w:r>
        <w:t>1.4.2.</w:t>
      </w:r>
      <w:r>
        <w:tab/>
      </w:r>
      <w:r>
        <w:rPr>
          <w:noProof/>
        </w:rPr>
        <w:t>Posebni cilj/ciljevi</w:t>
      </w:r>
      <w:bookmarkEnd w:id="45"/>
      <w:r>
        <w:rPr>
          <w:noProof/>
        </w:rPr>
        <w:t xml:space="preserve"> </w:t>
      </w:r>
    </w:p>
    <w:tbl>
      <w:tblPr>
        <w:tblStyle w:val="TableGrid"/>
        <w:tblW w:w="0" w:type="auto"/>
        <w:tblInd w:w="850" w:type="dxa"/>
        <w:tblLook w:val="04A0" w:firstRow="1" w:lastRow="0" w:firstColumn="1" w:lastColumn="0" w:noHBand="0" w:noVBand="1"/>
      </w:tblPr>
      <w:tblGrid>
        <w:gridCol w:w="9005"/>
      </w:tblGrid>
      <w:tr w:rsidR="00A761A4">
        <w:tc>
          <w:tcPr>
            <w:tcW w:w="9855" w:type="dxa"/>
          </w:tcPr>
          <w:p w:rsidR="00A761A4" w:rsidRDefault="0064189B">
            <w:pPr>
              <w:ind w:right="-29"/>
              <w:rPr>
                <w:noProof/>
              </w:rPr>
            </w:pPr>
            <w:r>
              <w:rPr>
                <w:noProof/>
              </w:rPr>
              <w:t>Imajući na umu opće ciljeve, u širem kontekstu revidirane strategije za kibersigurnost, instrumentom se, određivanjem djelokruga i mand</w:t>
            </w:r>
            <w:r>
              <w:rPr>
                <w:noProof/>
              </w:rPr>
              <w:t>ata ENISA-e i uspostavom europskog okvira za certifikaciju IKT proizvoda i usluga, nastoje ostvariti sljedeći posebni ciljevi:</w:t>
            </w:r>
          </w:p>
          <w:p w:rsidR="00A761A4" w:rsidRDefault="0064189B">
            <w:pPr>
              <w:numPr>
                <w:ilvl w:val="0"/>
                <w:numId w:val="14"/>
              </w:numPr>
              <w:ind w:left="720" w:right="-29"/>
              <w:rPr>
                <w:noProof/>
              </w:rPr>
            </w:pPr>
            <w:r>
              <w:rPr>
                <w:noProof/>
              </w:rPr>
              <w:t xml:space="preserve">jačanje </w:t>
            </w:r>
            <w:r>
              <w:rPr>
                <w:b/>
                <w:noProof/>
              </w:rPr>
              <w:t>sposobnosti i pripravnosti</w:t>
            </w:r>
            <w:r>
              <w:rPr>
                <w:noProof/>
              </w:rPr>
              <w:t xml:space="preserve"> država članica i poduzeća;</w:t>
            </w:r>
          </w:p>
          <w:p w:rsidR="00A761A4" w:rsidRDefault="0064189B">
            <w:pPr>
              <w:numPr>
                <w:ilvl w:val="0"/>
                <w:numId w:val="14"/>
              </w:numPr>
              <w:ind w:left="720" w:right="-29"/>
              <w:rPr>
                <w:noProof/>
              </w:rPr>
            </w:pPr>
            <w:r>
              <w:rPr>
                <w:noProof/>
              </w:rPr>
              <w:t xml:space="preserve">poboljšanje </w:t>
            </w:r>
            <w:r>
              <w:rPr>
                <w:b/>
                <w:noProof/>
              </w:rPr>
              <w:t>suradnje i koordinacije</w:t>
            </w:r>
            <w:r>
              <w:rPr>
                <w:noProof/>
              </w:rPr>
              <w:t xml:space="preserve"> među državama članicama i institucijama, agencijama i tijelima EU-a;</w:t>
            </w:r>
          </w:p>
          <w:p w:rsidR="00A761A4" w:rsidRDefault="0064189B">
            <w:pPr>
              <w:numPr>
                <w:ilvl w:val="0"/>
                <w:numId w:val="14"/>
              </w:numPr>
              <w:ind w:left="720" w:right="-29"/>
              <w:rPr>
                <w:noProof/>
              </w:rPr>
            </w:pPr>
            <w:r>
              <w:rPr>
                <w:noProof/>
              </w:rPr>
              <w:t>jačanje</w:t>
            </w:r>
            <w:r>
              <w:rPr>
                <w:b/>
                <w:noProof/>
              </w:rPr>
              <w:t xml:space="preserve"> sposobnosti na razini EU-a za dopunu djelovanja država članica</w:t>
            </w:r>
            <w:r>
              <w:rPr>
                <w:noProof/>
              </w:rPr>
              <w:t>, posebno u slučaju prekograničnih kiberkriza;</w:t>
            </w:r>
          </w:p>
          <w:p w:rsidR="00A761A4" w:rsidRDefault="0064189B">
            <w:pPr>
              <w:numPr>
                <w:ilvl w:val="0"/>
                <w:numId w:val="14"/>
              </w:numPr>
              <w:ind w:left="720" w:right="-29"/>
              <w:rPr>
                <w:noProof/>
              </w:rPr>
            </w:pPr>
            <w:r>
              <w:rPr>
                <w:noProof/>
              </w:rPr>
              <w:t xml:space="preserve">povećanje </w:t>
            </w:r>
            <w:r>
              <w:rPr>
                <w:b/>
                <w:noProof/>
              </w:rPr>
              <w:t>osviještenosti</w:t>
            </w:r>
            <w:r>
              <w:rPr>
                <w:noProof/>
              </w:rPr>
              <w:t xml:space="preserve"> građana i poduzeća o pitanjima kibersigurnos</w:t>
            </w:r>
            <w:r>
              <w:rPr>
                <w:noProof/>
              </w:rPr>
              <w:t xml:space="preserve">ti; </w:t>
            </w:r>
          </w:p>
          <w:p w:rsidR="00A761A4" w:rsidRDefault="0064189B">
            <w:pPr>
              <w:numPr>
                <w:ilvl w:val="0"/>
                <w:numId w:val="14"/>
              </w:numPr>
              <w:ind w:left="720" w:right="-29"/>
              <w:rPr>
                <w:noProof/>
              </w:rPr>
            </w:pPr>
            <w:r>
              <w:rPr>
                <w:noProof/>
              </w:rPr>
              <w:t xml:space="preserve">jačanje povjerenja u jedinstveno digitalno tržište i u digitalne inovacije povećanjem opće </w:t>
            </w:r>
            <w:r>
              <w:rPr>
                <w:b/>
                <w:noProof/>
              </w:rPr>
              <w:t>transparentnosti kibersigurnosnog jamstva</w:t>
            </w:r>
            <w:r>
              <w:rPr>
                <w:rStyle w:val="FootnoteReference"/>
                <w:noProof/>
              </w:rPr>
              <w:footnoteReference w:id="45"/>
            </w:r>
            <w:r>
              <w:rPr>
                <w:noProof/>
              </w:rPr>
              <w:t xml:space="preserve"> IKT proizvoda i usluga.</w:t>
            </w:r>
          </w:p>
        </w:tc>
      </w:tr>
    </w:tbl>
    <w:p w:rsidR="00A761A4" w:rsidRDefault="0064189B">
      <w:pPr>
        <w:pStyle w:val="Text1"/>
        <w:pBdr>
          <w:top w:val="single" w:sz="4" w:space="1" w:color="auto"/>
          <w:left w:val="single" w:sz="4" w:space="4" w:color="auto"/>
          <w:bottom w:val="single" w:sz="4" w:space="1" w:color="auto"/>
          <w:right w:val="single" w:sz="4" w:space="4" w:color="auto"/>
        </w:pBdr>
        <w:rPr>
          <w:b/>
          <w:noProof/>
        </w:rPr>
      </w:pPr>
      <w:r>
        <w:rPr>
          <w:b/>
          <w:noProof/>
        </w:rPr>
        <w:t xml:space="preserve">ENISA će pridonositi ostvarenju prethodno navedenih ciljeva na sljedeće načine: </w:t>
      </w:r>
    </w:p>
    <w:p w:rsidR="00A761A4" w:rsidRDefault="0064189B">
      <w:pPr>
        <w:pStyle w:val="Text1"/>
        <w:pBdr>
          <w:top w:val="single" w:sz="4" w:space="1" w:color="auto"/>
          <w:left w:val="single" w:sz="4" w:space="4" w:color="auto"/>
          <w:bottom w:val="single" w:sz="4" w:space="1" w:color="auto"/>
          <w:right w:val="single" w:sz="4" w:space="1" w:color="auto"/>
        </w:pBdr>
        <w:rPr>
          <w:noProof/>
        </w:rPr>
      </w:pPr>
      <w:r>
        <w:rPr>
          <w:b/>
          <w:noProof/>
        </w:rPr>
        <w:t xml:space="preserve">pojačanom </w:t>
      </w:r>
      <w:r>
        <w:rPr>
          <w:b/>
          <w:noProof/>
        </w:rPr>
        <w:t>potporom izradi politika</w:t>
      </w:r>
      <w:r>
        <w:rPr>
          <w:noProof/>
        </w:rPr>
        <w:t xml:space="preserve"> – pružanjem savjeta i smjernica Komisiji i državama članicama u cilju ažuriranja i razvoja holističkog normativnog okvira u području kibersigurnosti te sektorskih politika i zakonodavnih inicijativa kada je riječ o pitanjima kibers</w:t>
      </w:r>
      <w:r>
        <w:rPr>
          <w:noProof/>
        </w:rPr>
        <w:t xml:space="preserve">igurnosti; doprinošenjem radu Skupine za suradnju (članak 11. Direktive (EU) 2016/1148) pružanjem stručnih savjeta i pomoći; podupiranjem razvoja politike i provedbe u području elektroničke identifikacije i usluga povjerenja; promicanjem razmjene najbolje </w:t>
      </w:r>
      <w:r>
        <w:rPr>
          <w:noProof/>
        </w:rPr>
        <w:t xml:space="preserve">prakse među nadležnim tijelima;  </w:t>
      </w:r>
    </w:p>
    <w:p w:rsidR="00A761A4" w:rsidRDefault="0064189B">
      <w:pPr>
        <w:pStyle w:val="Text1"/>
        <w:pBdr>
          <w:top w:val="single" w:sz="4" w:space="1" w:color="auto"/>
          <w:left w:val="single" w:sz="4" w:space="1" w:color="auto"/>
          <w:bottom w:val="single" w:sz="4" w:space="1" w:color="auto"/>
          <w:right w:val="single" w:sz="4" w:space="1" w:color="auto"/>
        </w:pBdr>
        <w:rPr>
          <w:noProof/>
        </w:rPr>
      </w:pPr>
      <w:r>
        <w:rPr>
          <w:b/>
          <w:noProof/>
        </w:rPr>
        <w:t xml:space="preserve">pojačanom potporom izgradnji kapaciteta – </w:t>
      </w:r>
      <w:r>
        <w:rPr>
          <w:noProof/>
        </w:rPr>
        <w:t>pružanjem potpore državama članicama, institucijama, tijelima, uredima i agencijama Unije u razvoju i poboljšanju sprječavanja, otkrivanja, analize i kapaciteta za odgovor na probl</w:t>
      </w:r>
      <w:r>
        <w:rPr>
          <w:noProof/>
        </w:rPr>
        <w:t>eme i incidente u području kibersigurnosti; pružanjem pomoći državama članicama, na zahtjev, u razvoju nacionalnih CSIRT-ova, nacionalnih strategija za kibersigurnost; pružanjem pomoći institucijama Unije u razvoju i preispitivanju Unijinih strategija za k</w:t>
      </w:r>
      <w:r>
        <w:rPr>
          <w:noProof/>
        </w:rPr>
        <w:t xml:space="preserve">ibersigurnost; pružanjem osposobljavanja u području kibersigurnosti; pomaganjem državama članicama u okviru Skupine za suradnju u razmjeni najbolje prakse; olakšavanjem uspostave sektorskih centara za razmjenu informacija i analizu (ISAC); </w:t>
      </w:r>
    </w:p>
    <w:p w:rsidR="00A761A4" w:rsidRDefault="0064189B">
      <w:pPr>
        <w:pStyle w:val="Text1"/>
        <w:pBdr>
          <w:top w:val="single" w:sz="4" w:space="1" w:color="auto"/>
          <w:left w:val="single" w:sz="4" w:space="1" w:color="auto"/>
          <w:bottom w:val="single" w:sz="4" w:space="1" w:color="auto"/>
          <w:right w:val="single" w:sz="4" w:space="1" w:color="auto"/>
        </w:pBdr>
        <w:rPr>
          <w:noProof/>
        </w:rPr>
      </w:pPr>
      <w:r>
        <w:rPr>
          <w:b/>
          <w:noProof/>
        </w:rPr>
        <w:t>operativnom sur</w:t>
      </w:r>
      <w:r>
        <w:rPr>
          <w:b/>
          <w:noProof/>
        </w:rPr>
        <w:t>adnjom i potporom za upravljanje krizama</w:t>
      </w:r>
      <w:r>
        <w:rPr>
          <w:noProof/>
        </w:rPr>
        <w:t xml:space="preserve"> – podupiranjem suradnje nadležnih javnih tijela i dionika uspostavom sustavne suradnje s institucijama, tijelima, uredima i agencijama Unije koja se bave pitanjima kibersigurnosti, kiberkriminala i zaštite privatnos</w:t>
      </w:r>
      <w:r>
        <w:rPr>
          <w:noProof/>
        </w:rPr>
        <w:t>ti i osobnih podataka; osiguravanjem tajništva mreže CSIRT-ova (članak 12. stavak 2. Direktive (EU) 2016/1148) i pridonošenjem operativnoj suradnji unutar mreže pružanjem, u suradnji s CERT-EU-om, potpore državama članicama, na zahtjev: organiziranjemi red</w:t>
      </w:r>
      <w:r>
        <w:rPr>
          <w:noProof/>
        </w:rPr>
        <w:t xml:space="preserve">ovitih kibersigurnosnih vježbi; pridonošenjem razvoju usklađenog odgovora na prekogranične kiberincidente i kiberkrize velikih razmjera; provedbom, u suradnji s mrežom CSIRT-ova, </w:t>
      </w:r>
      <w:r>
        <w:rPr>
          <w:i/>
          <w:noProof/>
        </w:rPr>
        <w:t>ex-post</w:t>
      </w:r>
      <w:r>
        <w:rPr>
          <w:noProof/>
        </w:rPr>
        <w:t xml:space="preserve"> tehničke istrage značajnih incidenata i izdavanjem naknadnih preporuk</w:t>
      </w:r>
      <w:r>
        <w:rPr>
          <w:noProof/>
        </w:rPr>
        <w:t xml:space="preserve">a; </w:t>
      </w:r>
    </w:p>
    <w:p w:rsidR="00A761A4" w:rsidRDefault="0064189B">
      <w:pPr>
        <w:pStyle w:val="Text1"/>
        <w:pBdr>
          <w:top w:val="single" w:sz="4" w:space="1" w:color="auto"/>
          <w:left w:val="single" w:sz="4" w:space="1" w:color="auto"/>
          <w:bottom w:val="single" w:sz="4" w:space="1" w:color="auto"/>
          <w:right w:val="single" w:sz="4" w:space="1" w:color="auto"/>
        </w:pBdr>
        <w:rPr>
          <w:noProof/>
        </w:rPr>
      </w:pPr>
      <w:r>
        <w:rPr>
          <w:b/>
          <w:noProof/>
        </w:rPr>
        <w:t xml:space="preserve">zadaćama povezanima s tržištem (normizacija, certifikacija) – </w:t>
      </w:r>
      <w:r>
        <w:rPr>
          <w:noProof/>
        </w:rPr>
        <w:t>obavljanjem niza funkcija kojima se posebno podupire unutarnje tržište: „tržišni opservatorij” za kibersigurnost, analizom relevantnih trendova na kibersigurnosnom tržištu radi boljeg usklađivanja ponude i potražnje; podupiranjem i promicanjem razvoja i pr</w:t>
      </w:r>
      <w:r>
        <w:rPr>
          <w:noProof/>
        </w:rPr>
        <w:t>ovedbe politike Unije o kibersigurnosnoj certifikaciji IKT proizvoda i usluga izradom prijedloga europskih programa kibersigurnosne certifikacije za IKT proizvode i usluge, osiguravanjem tajništva za Skupinu Unije za kibersigurnosnu certifikaciju, pružanje</w:t>
      </w:r>
      <w:r>
        <w:rPr>
          <w:noProof/>
        </w:rPr>
        <w:t xml:space="preserve">m smjernica i dobre prakse o sigurnosnim zahtjevima za IKT proizvode i usluge u suradnji s nacionalnim tijelima za nadzor certifikacije i industrijom; </w:t>
      </w:r>
      <w:r>
        <w:rPr>
          <w:b/>
          <w:noProof/>
        </w:rPr>
        <w:t xml:space="preserve">pojačanom potporom povećanju znanja, informiranosti i razine osviještenosti – </w:t>
      </w:r>
      <w:r>
        <w:rPr>
          <w:noProof/>
        </w:rPr>
        <w:t xml:space="preserve">pružanjem pomoći i savjeta </w:t>
      </w:r>
      <w:r>
        <w:rPr>
          <w:noProof/>
        </w:rPr>
        <w:t>Komisiji i državama članicama u cilju stjecanja visoke razine znanja u cijeloj Uniji o pitanjima povezanima s NIS-om i njegovoj primjeni na industrijske dionike. To podrazumijeva i prikupljanje, organiziranje i objavu na posebnom portalu informacija o sigu</w:t>
      </w:r>
      <w:r>
        <w:rPr>
          <w:noProof/>
        </w:rPr>
        <w:t>rnosti mrežnih i informacijskih sustava [ili kibersigurnosti]. Još jedan važan element jesu aktivnosti podizanja razine osviještenosti i informativne kampanje o kibersigurnosnim rizicima usmjerene na opću javnost.</w:t>
      </w:r>
    </w:p>
    <w:p w:rsidR="00A761A4" w:rsidRDefault="0064189B">
      <w:pPr>
        <w:pStyle w:val="Text1"/>
        <w:pBdr>
          <w:top w:val="single" w:sz="4" w:space="1" w:color="auto"/>
          <w:left w:val="single" w:sz="4" w:space="1" w:color="auto"/>
          <w:bottom w:val="single" w:sz="4" w:space="1" w:color="auto"/>
          <w:right w:val="single" w:sz="4" w:space="1" w:color="auto"/>
        </w:pBdr>
        <w:rPr>
          <w:noProof/>
        </w:rPr>
      </w:pPr>
      <w:r>
        <w:rPr>
          <w:b/>
          <w:noProof/>
        </w:rPr>
        <w:t>pojačanom potporom istraživanju i inovacij</w:t>
      </w:r>
      <w:r>
        <w:rPr>
          <w:b/>
          <w:noProof/>
        </w:rPr>
        <w:t>ama</w:t>
      </w:r>
      <w:r>
        <w:rPr>
          <w:noProof/>
        </w:rPr>
        <w:t xml:space="preserve"> – pružanjem savjeta o potrebama u području istraživanja i utvrđivanjem prioriteta u području kibersigurnosti; </w:t>
      </w:r>
    </w:p>
    <w:p w:rsidR="00A761A4" w:rsidRDefault="0064189B">
      <w:pPr>
        <w:pStyle w:val="Text1"/>
        <w:pBdr>
          <w:top w:val="single" w:sz="4" w:space="1" w:color="auto"/>
          <w:left w:val="single" w:sz="4" w:space="1" w:color="auto"/>
          <w:bottom w:val="single" w:sz="4" w:space="1" w:color="auto"/>
          <w:right w:val="single" w:sz="4" w:space="1" w:color="auto"/>
        </w:pBdr>
        <w:rPr>
          <w:noProof/>
        </w:rPr>
      </w:pPr>
      <w:r>
        <w:rPr>
          <w:b/>
          <w:noProof/>
        </w:rPr>
        <w:t>podupiranjem međunarodne suradnje</w:t>
      </w:r>
      <w:r>
        <w:rPr>
          <w:noProof/>
        </w:rPr>
        <w:t xml:space="preserve"> – potporom nastojanjima Unije da uspostavi suradnju s trećim zemljama i međunarodnim organizacijama u cilju</w:t>
      </w:r>
      <w:r>
        <w:rPr>
          <w:noProof/>
        </w:rPr>
        <w:t xml:space="preserve"> poticanja međunarodne suradnje u području kibersigurnosti.</w:t>
      </w:r>
    </w:p>
    <w:p w:rsidR="00A761A4" w:rsidRDefault="0064189B">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CERTIFIKACIJA</w:t>
      </w:r>
    </w:p>
    <w:p w:rsidR="00A761A4" w:rsidRDefault="0064189B">
      <w:pPr>
        <w:pStyle w:val="Text1"/>
        <w:pBdr>
          <w:top w:val="single" w:sz="4" w:space="1" w:color="auto"/>
          <w:left w:val="single" w:sz="4" w:space="1" w:color="auto"/>
          <w:bottom w:val="single" w:sz="4" w:space="1" w:color="auto"/>
          <w:right w:val="single" w:sz="4" w:space="1" w:color="auto"/>
        </w:pBdr>
        <w:rPr>
          <w:noProof/>
        </w:rPr>
      </w:pPr>
      <w:r>
        <w:rPr>
          <w:b/>
          <w:noProof/>
        </w:rPr>
        <w:t xml:space="preserve">Okvirom za certifikaciju pridonijet će se ostvarenju ciljeva </w:t>
      </w:r>
      <w:r>
        <w:rPr>
          <w:noProof/>
        </w:rPr>
        <w:t>jer će se povećati opća transparentnost kibersigurnosnog jamstva</w:t>
      </w:r>
      <w:r>
        <w:rPr>
          <w:rStyle w:val="FootnoteReference"/>
          <w:noProof/>
        </w:rPr>
        <w:footnoteReference w:id="46"/>
      </w:r>
      <w:r>
        <w:rPr>
          <w:noProof/>
        </w:rPr>
        <w:t xml:space="preserve"> IKT proizvoda i usluga, a tako i povjerenje u jedinstve</w:t>
      </w:r>
      <w:r>
        <w:rPr>
          <w:noProof/>
        </w:rPr>
        <w:t>no digitalno tržište i digitalne inovacije. Time bi se trebalo pridonijeti i izbjegavanju rascjepkanosti programa certificiranja u EU-u i povezanih sigurnosnih zahtjeva i kriterija za ocjenjivanje po državama članicama i sektorima.</w:t>
      </w:r>
    </w:p>
    <w:p w:rsidR="00A761A4" w:rsidRDefault="00A761A4">
      <w:pPr>
        <w:rPr>
          <w:bCs/>
          <w:noProof/>
          <w:szCs w:val="24"/>
        </w:rPr>
      </w:pPr>
    </w:p>
    <w:p w:rsidR="00A761A4" w:rsidRDefault="0064189B">
      <w:pPr>
        <w:pStyle w:val="ManualHeading3"/>
        <w:rPr>
          <w:bCs/>
          <w:noProof/>
          <w:szCs w:val="24"/>
        </w:rPr>
      </w:pPr>
      <w:bookmarkStart w:id="46" w:name="_Toc492216488"/>
      <w:r>
        <w:t>1.4.3.</w:t>
      </w:r>
      <w:r>
        <w:tab/>
      </w:r>
      <w:r>
        <w:rPr>
          <w:noProof/>
        </w:rPr>
        <w:t>Očekivani rezult</w:t>
      </w:r>
      <w:r>
        <w:rPr>
          <w:noProof/>
        </w:rPr>
        <w:t>at/rezultati i utjecaj</w:t>
      </w:r>
      <w:bookmarkEnd w:id="46"/>
    </w:p>
    <w:p w:rsidR="00A761A4" w:rsidRDefault="0064189B">
      <w:pPr>
        <w:pStyle w:val="Text1"/>
        <w:rPr>
          <w:i/>
          <w:noProof/>
          <w:sz w:val="20"/>
        </w:rPr>
      </w:pPr>
      <w:r>
        <w:rPr>
          <w:i/>
          <w:noProof/>
          <w:sz w:val="20"/>
        </w:rPr>
        <w:t>Navesti učinke koje bi prijedlog/inicijativa trebali imati na ciljane korisnike/skupine.</w:t>
      </w:r>
    </w:p>
    <w:p w:rsidR="00A761A4" w:rsidRDefault="00A761A4">
      <w:pPr>
        <w:pStyle w:val="Text1"/>
        <w:rPr>
          <w:i/>
          <w:noProof/>
          <w:sz w:val="20"/>
        </w:rPr>
      </w:pPr>
    </w:p>
    <w:p w:rsidR="00A761A4" w:rsidRDefault="0064189B">
      <w:pPr>
        <w:pStyle w:val="Text1"/>
        <w:pBdr>
          <w:top w:val="single" w:sz="4" w:space="0" w:color="auto"/>
          <w:left w:val="single" w:sz="4" w:space="4" w:color="auto"/>
          <w:bottom w:val="single" w:sz="4" w:space="1" w:color="auto"/>
          <w:right w:val="single" w:sz="4" w:space="4" w:color="auto"/>
        </w:pBdr>
        <w:rPr>
          <w:noProof/>
          <w:szCs w:val="24"/>
        </w:rPr>
      </w:pPr>
      <w:r>
        <w:rPr>
          <w:noProof/>
        </w:rPr>
        <w:t>Očekuje se da će se jačanjem ENISA-e (podupiranjem sposobnosti, sprječavanja, suradnje i osviještenosti na razini EU-a, čime će se povećati uku</w:t>
      </w:r>
      <w:r>
        <w:rPr>
          <w:noProof/>
        </w:rPr>
        <w:t>pna kiberotpornost EU-a) te podupiranjem okvira EU-a za certifikaciju IKT proizvoda i usluga ostvariti sljedeći učinci (otvoren popis):</w:t>
      </w:r>
    </w:p>
    <w:p w:rsidR="00A761A4" w:rsidRDefault="0064189B">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 xml:space="preserve">Ukupni učinak </w:t>
      </w:r>
    </w:p>
    <w:p w:rsidR="00A761A4" w:rsidRDefault="0064189B">
      <w:pPr>
        <w:pStyle w:val="Text1"/>
        <w:pBdr>
          <w:top w:val="single" w:sz="4" w:space="0" w:color="auto"/>
          <w:left w:val="single" w:sz="4" w:space="4" w:color="auto"/>
          <w:bottom w:val="single" w:sz="4" w:space="1" w:color="auto"/>
          <w:right w:val="single" w:sz="4" w:space="4" w:color="auto"/>
        </w:pBdr>
        <w:rPr>
          <w:noProof/>
          <w:szCs w:val="24"/>
        </w:rPr>
      </w:pPr>
      <w:r>
        <w:rPr>
          <w:noProof/>
        </w:rPr>
        <w:t>– ukupan pozitivan učinak na unutarnje tržište zahvaljujući manjoj rascjepkanosti tržišta i izgradnji pov</w:t>
      </w:r>
      <w:r>
        <w:rPr>
          <w:noProof/>
        </w:rPr>
        <w:t>jerenja u digitalne tehnologije s pomoću bolje suradnje, usklađenijih pristupa politikama kibersigurnosti EU-a i povećanim sposobnostima na razini EU-a. To bi trebalo imati pozitivan gospodarski učinak jer bi se smanjili troškovi incidenata povezanih s kib</w:t>
      </w:r>
      <w:r>
        <w:rPr>
          <w:noProof/>
        </w:rPr>
        <w:t>ersigurnošću/kiberkriminalom, za koje procijenjeni gospodarski učinak u Uniji iznosi 0,41 % BDP-a EU-a (tj. otprilike 55 milijardi EUR).</w:t>
      </w:r>
    </w:p>
    <w:p w:rsidR="00A761A4" w:rsidRDefault="0064189B">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 xml:space="preserve">Posebni rezultati: </w:t>
      </w:r>
    </w:p>
    <w:p w:rsidR="00A761A4" w:rsidRDefault="0064189B">
      <w:pPr>
        <w:pStyle w:val="Text1"/>
        <w:pBdr>
          <w:top w:val="single" w:sz="4" w:space="0" w:color="auto"/>
          <w:left w:val="single" w:sz="4" w:space="4" w:color="auto"/>
          <w:bottom w:val="single" w:sz="4" w:space="1" w:color="auto"/>
          <w:right w:val="single" w:sz="4" w:space="4" w:color="auto"/>
        </w:pBdr>
        <w:rPr>
          <w:noProof/>
          <w:szCs w:val="24"/>
        </w:rPr>
      </w:pPr>
      <w:r>
        <w:rPr>
          <w:b/>
          <w:i/>
          <w:noProof/>
        </w:rPr>
        <w:t xml:space="preserve">Veće sposobnosti i pripravnost država članica i poduzeća u području kibersigurnosti </w:t>
      </w:r>
    </w:p>
    <w:p w:rsidR="00A761A4" w:rsidRDefault="0064189B">
      <w:pPr>
        <w:pStyle w:val="Text1"/>
        <w:pBdr>
          <w:top w:val="single" w:sz="4" w:space="0" w:color="auto"/>
          <w:left w:val="single" w:sz="4" w:space="4" w:color="auto"/>
          <w:bottom w:val="single" w:sz="4" w:space="1" w:color="auto"/>
          <w:right w:val="single" w:sz="4" w:space="4" w:color="auto"/>
        </w:pBdr>
        <w:rPr>
          <w:noProof/>
          <w:szCs w:val="24"/>
        </w:rPr>
      </w:pPr>
      <w:r>
        <w:rPr>
          <w:noProof/>
        </w:rPr>
        <w:t>– veće sposobn</w:t>
      </w:r>
      <w:r>
        <w:rPr>
          <w:noProof/>
        </w:rPr>
        <w:t>osti i pripravnost država članica u području kibersigurnosti (zahvaljujući dugoročnoj strateškoj analizi kiberprijetnji i kiberincidenata, smjernicama i izvješćima, razmjeni iskustva i dobre prakse, dostupnosti osposobljavanja i materijala za osposobljavan</w:t>
      </w:r>
      <w:r>
        <w:rPr>
          <w:noProof/>
        </w:rPr>
        <w:t>je, pojačanim vježbama CyberEurope),</w:t>
      </w:r>
    </w:p>
    <w:p w:rsidR="00A761A4" w:rsidRDefault="0064189B">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 veće sposobnosti privatnih dionika zahvaljujući potpori za uspostavu centara za razmjenu informacija i analizu (ISAC) u različitim sektorima, </w:t>
      </w:r>
    </w:p>
    <w:p w:rsidR="00A761A4" w:rsidRDefault="0064189B">
      <w:pPr>
        <w:pStyle w:val="Text1"/>
        <w:pBdr>
          <w:top w:val="single" w:sz="4" w:space="0" w:color="auto"/>
          <w:left w:val="single" w:sz="4" w:space="4" w:color="auto"/>
          <w:bottom w:val="single" w:sz="4" w:space="1" w:color="auto"/>
          <w:right w:val="single" w:sz="4" w:space="4" w:color="auto"/>
        </w:pBdr>
        <w:rPr>
          <w:noProof/>
          <w:szCs w:val="24"/>
        </w:rPr>
      </w:pPr>
      <w:r>
        <w:rPr>
          <w:noProof/>
        </w:rPr>
        <w:t>– bolja pripravnost EU-a i država članica u području kibersigurnosti zahv</w:t>
      </w:r>
      <w:r>
        <w:rPr>
          <w:noProof/>
        </w:rPr>
        <w:t xml:space="preserve">aljujući dostupnosti dobro uvježbanih i dogovorenih planova u slučaju prekograničnog kiberincidenta velikih razmjera testiranih u vježbama CyberEurope. </w:t>
      </w:r>
    </w:p>
    <w:p w:rsidR="00A761A4" w:rsidRDefault="0064189B">
      <w:pPr>
        <w:pStyle w:val="Text1"/>
        <w:pBdr>
          <w:top w:val="single" w:sz="4" w:space="0" w:color="auto"/>
          <w:left w:val="single" w:sz="4" w:space="4" w:color="auto"/>
          <w:bottom w:val="single" w:sz="4" w:space="1" w:color="auto"/>
          <w:right w:val="single" w:sz="4" w:space="4" w:color="auto"/>
        </w:pBdr>
        <w:rPr>
          <w:b/>
          <w:i/>
          <w:noProof/>
          <w:szCs w:val="24"/>
        </w:rPr>
      </w:pPr>
      <w:r>
        <w:rPr>
          <w:b/>
          <w:i/>
          <w:noProof/>
        </w:rPr>
        <w:t xml:space="preserve">Bolja suradnja i koordinacija među državama članicama i institucijama, agencijama i tijelima EU-a </w:t>
      </w:r>
    </w:p>
    <w:p w:rsidR="00A761A4" w:rsidRDefault="0064189B">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w:t>
      </w:r>
      <w:r>
        <w:rPr>
          <w:noProof/>
        </w:rPr>
        <w:t>bolja suradnja unutar javnog i privatnog sektora i između njih,</w:t>
      </w:r>
    </w:p>
    <w:p w:rsidR="00A761A4" w:rsidRDefault="0064189B">
      <w:pPr>
        <w:pStyle w:val="Text1"/>
        <w:pBdr>
          <w:top w:val="single" w:sz="4" w:space="0" w:color="auto"/>
          <w:left w:val="single" w:sz="4" w:space="4" w:color="auto"/>
          <w:bottom w:val="single" w:sz="4" w:space="1" w:color="auto"/>
          <w:right w:val="single" w:sz="4" w:space="4" w:color="auto"/>
        </w:pBdr>
        <w:rPr>
          <w:noProof/>
          <w:szCs w:val="24"/>
        </w:rPr>
      </w:pPr>
      <w:r>
        <w:rPr>
          <w:noProof/>
        </w:rPr>
        <w:t>– bolja prekogranična i međusektorska usklađenost pristupa provedbi Direktive NIS,</w:t>
      </w:r>
    </w:p>
    <w:p w:rsidR="00A761A4" w:rsidRDefault="0064189B">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bolja suradnja u području certifikacije zahvaljujući institucionalnom okviru kojim se omogućuje razvoj </w:t>
      </w:r>
      <w:r>
        <w:rPr>
          <w:noProof/>
        </w:rPr>
        <w:t>europskih programa kibersigurnosne certifikacije i razvoj zajedničke politike u tom području.</w:t>
      </w:r>
    </w:p>
    <w:p w:rsidR="00A761A4" w:rsidRDefault="0064189B">
      <w:pPr>
        <w:pStyle w:val="Text1"/>
        <w:pBdr>
          <w:top w:val="single" w:sz="4" w:space="0" w:color="auto"/>
          <w:left w:val="single" w:sz="4" w:space="0" w:color="auto"/>
          <w:bottom w:val="single" w:sz="4" w:space="1" w:color="auto"/>
          <w:right w:val="single" w:sz="4" w:space="4" w:color="auto"/>
        </w:pBdr>
        <w:rPr>
          <w:b/>
          <w:i/>
          <w:noProof/>
          <w:szCs w:val="24"/>
        </w:rPr>
      </w:pPr>
      <w:r>
        <w:rPr>
          <w:b/>
          <w:i/>
          <w:noProof/>
        </w:rPr>
        <w:t>Veće sposobnosti na razini EU-a za dopunu djelovanja država članica</w:t>
      </w:r>
    </w:p>
    <w:p w:rsidR="00A761A4" w:rsidRDefault="0064189B">
      <w:pPr>
        <w:pStyle w:val="Text1"/>
        <w:pBdr>
          <w:top w:val="single" w:sz="4" w:space="0" w:color="auto"/>
          <w:left w:val="single" w:sz="4" w:space="0" w:color="auto"/>
          <w:bottom w:val="single" w:sz="4" w:space="1" w:color="auto"/>
          <w:right w:val="single" w:sz="4" w:space="4" w:color="auto"/>
        </w:pBdr>
        <w:rPr>
          <w:noProof/>
          <w:szCs w:val="24"/>
        </w:rPr>
      </w:pPr>
      <w:r>
        <w:rPr>
          <w:noProof/>
        </w:rPr>
        <w:t>– bolji „operativni kapacitet EU-a” za dopunu djelovanja država članica i njihovo podupiranje,</w:t>
      </w:r>
      <w:r>
        <w:rPr>
          <w:noProof/>
        </w:rPr>
        <w:t xml:space="preserve"> na zahtjev, u odnosu na ograničene i unaprijed definirane usluge. Očekuje se da će one pozitivno utjecati na uspješno sprječavanje incidenata te na otkrivanje i odgovore na razini države članice i Unije; </w:t>
      </w:r>
    </w:p>
    <w:p w:rsidR="00A761A4" w:rsidRDefault="0064189B">
      <w:pPr>
        <w:pStyle w:val="Text1"/>
        <w:pBdr>
          <w:top w:val="single" w:sz="4" w:space="0" w:color="auto"/>
          <w:left w:val="single" w:sz="4" w:space="0" w:color="auto"/>
          <w:bottom w:val="single" w:sz="4" w:space="1" w:color="auto"/>
          <w:right w:val="single" w:sz="4" w:space="4" w:color="auto"/>
        </w:pBdr>
        <w:rPr>
          <w:b/>
          <w:i/>
          <w:noProof/>
          <w:szCs w:val="24"/>
        </w:rPr>
      </w:pPr>
      <w:r>
        <w:rPr>
          <w:b/>
          <w:i/>
          <w:noProof/>
        </w:rPr>
        <w:t xml:space="preserve">Veća osviještenost građana i poduzeća o pitanjima </w:t>
      </w:r>
      <w:r>
        <w:rPr>
          <w:b/>
          <w:i/>
          <w:noProof/>
        </w:rPr>
        <w:t>kibersigurnosti</w:t>
      </w:r>
    </w:p>
    <w:p w:rsidR="00A761A4" w:rsidRDefault="0064189B">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veća opća osviještenost građana i poduzeća o pitanjima kibersigurnosti, </w:t>
      </w:r>
    </w:p>
    <w:p w:rsidR="00A761A4" w:rsidRDefault="0064189B">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poboljšana sposobnost donošenja utemeljenih odluka povezanih s IKT proizvodima i uslugama zahvaljujući kibersigurnosnoj certifikaciji</w:t>
      </w:r>
    </w:p>
    <w:p w:rsidR="00A761A4" w:rsidRDefault="0064189B">
      <w:pPr>
        <w:pStyle w:val="Text1"/>
        <w:pBdr>
          <w:top w:val="single" w:sz="4" w:space="0" w:color="auto"/>
          <w:left w:val="single" w:sz="4" w:space="0" w:color="auto"/>
          <w:bottom w:val="single" w:sz="4" w:space="1" w:color="auto"/>
          <w:right w:val="single" w:sz="4" w:space="4" w:color="auto"/>
        </w:pBdr>
        <w:rPr>
          <w:b/>
          <w:i/>
          <w:noProof/>
          <w:szCs w:val="24"/>
        </w:rPr>
      </w:pPr>
      <w:r>
        <w:rPr>
          <w:b/>
          <w:i/>
          <w:noProof/>
        </w:rPr>
        <w:t>Veće povjerenje u jedinstve</w:t>
      </w:r>
      <w:r>
        <w:rPr>
          <w:b/>
          <w:i/>
          <w:noProof/>
        </w:rPr>
        <w:t xml:space="preserve">no digitalno tržište i u digitalne inovacije povećanjem transparentnosti kibersigurnosnog jamstva IKT proizvoda i usluga </w:t>
      </w:r>
    </w:p>
    <w:p w:rsidR="00A761A4" w:rsidRDefault="0064189B">
      <w:pPr>
        <w:pStyle w:val="Text1"/>
        <w:pBdr>
          <w:top w:val="single" w:sz="4" w:space="0" w:color="auto"/>
          <w:left w:val="single" w:sz="4" w:space="0" w:color="auto"/>
          <w:bottom w:val="single" w:sz="4" w:space="1" w:color="auto"/>
          <w:right w:val="single" w:sz="4" w:space="4" w:color="auto"/>
        </w:pBdr>
        <w:rPr>
          <w:b/>
          <w:i/>
          <w:noProof/>
          <w:szCs w:val="24"/>
        </w:rPr>
      </w:pPr>
      <w:r>
        <w:rPr>
          <w:noProof/>
        </w:rPr>
        <w:t>– veća transparentnost kibersigurnosnog jamstva</w:t>
      </w:r>
      <w:r>
        <w:rPr>
          <w:rStyle w:val="FootnoteReference"/>
          <w:noProof/>
        </w:rPr>
        <w:footnoteReference w:id="47"/>
      </w:r>
      <w:r>
        <w:rPr>
          <w:noProof/>
        </w:rPr>
        <w:t xml:space="preserve"> IKT proizvoda i usluga zahvaljujući pojednostavnjenju postupaka sigurnosnog certifici</w:t>
      </w:r>
      <w:r>
        <w:rPr>
          <w:noProof/>
        </w:rPr>
        <w:t xml:space="preserve">ranja s pomoću okvira za cijeli EU </w:t>
      </w:r>
    </w:p>
    <w:p w:rsidR="00A761A4" w:rsidRDefault="0064189B">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veća razina jamstva za sigurnosne značajke IKT proizvoda i usluga </w:t>
      </w:r>
    </w:p>
    <w:p w:rsidR="00A761A4" w:rsidRDefault="0064189B">
      <w:pPr>
        <w:pStyle w:val="Text1"/>
        <w:pBdr>
          <w:top w:val="single" w:sz="4" w:space="0" w:color="auto"/>
          <w:left w:val="single" w:sz="4" w:space="0" w:color="auto"/>
          <w:bottom w:val="single" w:sz="4" w:space="1" w:color="auto"/>
          <w:right w:val="single" w:sz="4" w:space="4" w:color="auto"/>
        </w:pBdr>
        <w:rPr>
          <w:noProof/>
          <w:szCs w:val="24"/>
        </w:rPr>
      </w:pPr>
      <w:r>
        <w:rPr>
          <w:noProof/>
        </w:rPr>
        <w:t>– veće prihvaćanje sigurnosnog certificiranja potaknuto pojednostavnjenim postupcima, nižim troškovima i mogućim poslovnim prilikama u cijelom EU-u koj</w:t>
      </w:r>
      <w:r>
        <w:rPr>
          <w:noProof/>
        </w:rPr>
        <w:t>e ne onemogućava rascjepkanost tržišta</w:t>
      </w:r>
    </w:p>
    <w:p w:rsidR="00A761A4" w:rsidRDefault="0064189B">
      <w:pPr>
        <w:pStyle w:val="Text1"/>
        <w:pBdr>
          <w:top w:val="single" w:sz="4" w:space="0" w:color="auto"/>
          <w:left w:val="single" w:sz="4" w:space="0" w:color="auto"/>
          <w:bottom w:val="single" w:sz="4" w:space="1" w:color="auto"/>
          <w:right w:val="single" w:sz="4" w:space="4" w:color="auto"/>
        </w:pBdr>
        <w:rPr>
          <w:noProof/>
          <w:szCs w:val="24"/>
        </w:rPr>
      </w:pPr>
      <w:r>
        <w:rPr>
          <w:noProof/>
        </w:rPr>
        <w:t>– bolja konkurentnost na kibersigurnosnom tržištu EU-a zbog nižih troškova i manjeg administrativnog opterećenja MSP-ova i uklanjanja mogućih prepreka ulasku na tržište uzrokovanih brojnim nacionalnim sustavima certif</w:t>
      </w:r>
      <w:r>
        <w:rPr>
          <w:noProof/>
        </w:rPr>
        <w:t xml:space="preserve">ikacije </w:t>
      </w:r>
    </w:p>
    <w:p w:rsidR="00A761A4" w:rsidRDefault="0064189B">
      <w:pPr>
        <w:pStyle w:val="Text1"/>
        <w:pBdr>
          <w:top w:val="single" w:sz="4" w:space="0" w:color="auto"/>
          <w:left w:val="single" w:sz="4" w:space="0" w:color="auto"/>
          <w:bottom w:val="single" w:sz="4" w:space="1" w:color="auto"/>
          <w:right w:val="single" w:sz="4" w:space="4" w:color="auto"/>
        </w:pBdr>
        <w:rPr>
          <w:b/>
          <w:i/>
          <w:noProof/>
          <w:szCs w:val="24"/>
        </w:rPr>
      </w:pPr>
      <w:r>
        <w:rPr>
          <w:b/>
          <w:i/>
          <w:noProof/>
        </w:rPr>
        <w:t>Ostalo</w:t>
      </w:r>
    </w:p>
    <w:p w:rsidR="00A761A4" w:rsidRDefault="0064189B">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ne očekuje se da će ijedan od ciljeva imati znatan utjecaj na okoliš,</w:t>
      </w:r>
    </w:p>
    <w:p w:rsidR="00A761A4" w:rsidRDefault="0064189B">
      <w:pPr>
        <w:pStyle w:val="Text1"/>
        <w:pBdr>
          <w:top w:val="single" w:sz="4" w:space="0" w:color="auto"/>
          <w:left w:val="single" w:sz="4" w:space="0" w:color="auto"/>
          <w:bottom w:val="single" w:sz="4" w:space="1" w:color="auto"/>
          <w:right w:val="single" w:sz="4" w:space="4" w:color="auto"/>
        </w:pBdr>
        <w:rPr>
          <w:noProof/>
          <w:szCs w:val="24"/>
        </w:rPr>
      </w:pPr>
      <w:r>
        <w:rPr>
          <w:noProof/>
        </w:rPr>
        <w:t>– u odnosu na proračun EU-a može se očekivati veća učinkovitost zbog bolje suradnje i koordinacije aktivnosti među institucijama, agencijama i tijelima EU-a.</w:t>
      </w:r>
    </w:p>
    <w:p w:rsidR="00A761A4" w:rsidRDefault="00A761A4">
      <w:pPr>
        <w:pStyle w:val="Text1"/>
        <w:pBdr>
          <w:top w:val="single" w:sz="4" w:space="0" w:color="auto"/>
          <w:left w:val="single" w:sz="4" w:space="0" w:color="auto"/>
          <w:bottom w:val="single" w:sz="4" w:space="1" w:color="auto"/>
          <w:right w:val="single" w:sz="4" w:space="4" w:color="auto"/>
        </w:pBdr>
        <w:rPr>
          <w:noProof/>
          <w:szCs w:val="24"/>
        </w:rPr>
      </w:pPr>
    </w:p>
    <w:p w:rsidR="00A761A4" w:rsidRDefault="00A761A4">
      <w:pPr>
        <w:spacing w:after="0"/>
        <w:rPr>
          <w:noProof/>
          <w:sz w:val="22"/>
        </w:rPr>
      </w:pPr>
    </w:p>
    <w:p w:rsidR="00A761A4" w:rsidRDefault="0064189B">
      <w:pPr>
        <w:pStyle w:val="ManualHeading3"/>
        <w:rPr>
          <w:bCs/>
          <w:noProof/>
          <w:szCs w:val="24"/>
        </w:rPr>
      </w:pPr>
      <w:bookmarkStart w:id="47" w:name="_Toc492216489"/>
      <w:r>
        <w:t>1.4.4.</w:t>
      </w:r>
      <w:r>
        <w:tab/>
      </w:r>
      <w:r>
        <w:rPr>
          <w:noProof/>
        </w:rPr>
        <w:t>Pokazatelji rezultata i utjecaja</w:t>
      </w:r>
      <w:bookmarkEnd w:id="47"/>
      <w:r>
        <w:rPr>
          <w:noProof/>
        </w:rPr>
        <w:t xml:space="preserve"> </w:t>
      </w:r>
    </w:p>
    <w:p w:rsidR="00A761A4" w:rsidRDefault="0064189B">
      <w:pPr>
        <w:pStyle w:val="Text1"/>
        <w:rPr>
          <w:i/>
          <w:noProof/>
          <w:sz w:val="20"/>
        </w:rPr>
      </w:pPr>
      <w:r>
        <w:rPr>
          <w:i/>
          <w:noProof/>
          <w:sz w:val="20"/>
        </w:rPr>
        <w:t>Navesti pokazatelje koji omogućuju praćenje provedbe prijedloga/inicijative.</w:t>
      </w:r>
    </w:p>
    <w:p w:rsidR="00A761A4" w:rsidRDefault="00A761A4">
      <w:pPr>
        <w:pStyle w:val="Point1letter"/>
        <w:numPr>
          <w:ilvl w:val="3"/>
          <w:numId w:val="73"/>
        </w:numPr>
        <w:rPr>
          <w:noProof/>
        </w:rPr>
      </w:pPr>
    </w:p>
    <w:tbl>
      <w:tblPr>
        <w:tblStyle w:val="TableGrid"/>
        <w:tblW w:w="0" w:type="auto"/>
        <w:tblInd w:w="959" w:type="dxa"/>
        <w:tblLook w:val="04A0" w:firstRow="1" w:lastRow="0" w:firstColumn="1" w:lastColumn="0" w:noHBand="0" w:noVBand="1"/>
      </w:tblPr>
      <w:tblGrid>
        <w:gridCol w:w="8896"/>
      </w:tblGrid>
      <w:tr w:rsidR="00A761A4">
        <w:tc>
          <w:tcPr>
            <w:tcW w:w="8896" w:type="dxa"/>
          </w:tcPr>
          <w:p w:rsidR="00A761A4" w:rsidRDefault="0064189B">
            <w:pPr>
              <w:ind w:right="-29"/>
              <w:rPr>
                <w:b/>
                <w:noProof/>
              </w:rPr>
            </w:pPr>
            <w:r>
              <w:rPr>
                <w:b/>
                <w:noProof/>
              </w:rPr>
              <w:t>Cilj: jačanje sposobnosti i pripravnosti država članica i poduzeća</w:t>
            </w:r>
          </w:p>
          <w:p w:rsidR="00A761A4" w:rsidRDefault="0064189B">
            <w:pPr>
              <w:numPr>
                <w:ilvl w:val="0"/>
                <w:numId w:val="17"/>
              </w:numPr>
              <w:autoSpaceDE w:val="0"/>
              <w:autoSpaceDN w:val="0"/>
              <w:adjustRightInd w:val="0"/>
              <w:spacing w:after="0"/>
              <w:rPr>
                <w:noProof/>
                <w:szCs w:val="20"/>
              </w:rPr>
            </w:pPr>
            <w:r>
              <w:rPr>
                <w:noProof/>
              </w:rPr>
              <w:t>broj osposobljavanja koje je organizirala ENISA</w:t>
            </w:r>
          </w:p>
          <w:p w:rsidR="00A761A4" w:rsidRDefault="0064189B">
            <w:pPr>
              <w:numPr>
                <w:ilvl w:val="0"/>
                <w:numId w:val="17"/>
              </w:numPr>
              <w:autoSpaceDE w:val="0"/>
              <w:autoSpaceDN w:val="0"/>
              <w:adjustRightInd w:val="0"/>
              <w:spacing w:after="0"/>
              <w:rPr>
                <w:noProof/>
                <w:szCs w:val="20"/>
              </w:rPr>
            </w:pPr>
            <w:r>
              <w:rPr>
                <w:noProof/>
              </w:rPr>
              <w:t>zemljopisna pokrivenost (broj</w:t>
            </w:r>
            <w:r>
              <w:rPr>
                <w:noProof/>
              </w:rPr>
              <w:t xml:space="preserve"> zemalja i područja) izravne pomoći koju je pružila ENISA</w:t>
            </w:r>
          </w:p>
          <w:p w:rsidR="00A761A4" w:rsidRDefault="0064189B">
            <w:pPr>
              <w:numPr>
                <w:ilvl w:val="0"/>
                <w:numId w:val="17"/>
              </w:numPr>
              <w:spacing w:after="0"/>
              <w:ind w:right="-29"/>
              <w:rPr>
                <w:noProof/>
                <w:szCs w:val="20"/>
              </w:rPr>
            </w:pPr>
            <w:r>
              <w:rPr>
                <w:noProof/>
              </w:rPr>
              <w:t>razina pripravnosti koju su postigle države članice u pogledu zrelosti CSIRT-ova i nadzora regulatornih mjera povezanih s kibersigurnošću</w:t>
            </w:r>
          </w:p>
          <w:p w:rsidR="00A761A4" w:rsidRDefault="0064189B">
            <w:pPr>
              <w:numPr>
                <w:ilvl w:val="0"/>
                <w:numId w:val="17"/>
              </w:numPr>
              <w:spacing w:after="0"/>
              <w:ind w:right="-29"/>
              <w:rPr>
                <w:noProof/>
                <w:szCs w:val="20"/>
              </w:rPr>
            </w:pPr>
            <w:r>
              <w:rPr>
                <w:noProof/>
              </w:rPr>
              <w:t>broj dobre prakse u cijelom EU-u u pogledu ključnih infrastr</w:t>
            </w:r>
            <w:r>
              <w:rPr>
                <w:noProof/>
              </w:rPr>
              <w:t>uktura koju osigurava ENISA</w:t>
            </w:r>
          </w:p>
          <w:p w:rsidR="00A761A4" w:rsidRDefault="0064189B">
            <w:pPr>
              <w:numPr>
                <w:ilvl w:val="0"/>
                <w:numId w:val="17"/>
              </w:numPr>
              <w:spacing w:after="0"/>
              <w:ind w:right="-29"/>
              <w:rPr>
                <w:noProof/>
                <w:szCs w:val="20"/>
              </w:rPr>
            </w:pPr>
            <w:r>
              <w:rPr>
                <w:noProof/>
              </w:rPr>
              <w:t>količina dobre prakse u cijelom EU-u koju za MSP-ove osigurava ENISA</w:t>
            </w:r>
          </w:p>
          <w:p w:rsidR="00A761A4" w:rsidRDefault="0064189B">
            <w:pPr>
              <w:numPr>
                <w:ilvl w:val="0"/>
                <w:numId w:val="17"/>
              </w:numPr>
              <w:spacing w:after="0"/>
              <w:ind w:right="-29"/>
              <w:rPr>
                <w:noProof/>
                <w:szCs w:val="20"/>
              </w:rPr>
            </w:pPr>
            <w:r>
              <w:rPr>
                <w:noProof/>
              </w:rPr>
              <w:t>godišnje strateške analize kiberprijetnji i kiberincidenata u cilju otkrivanja novih kretanja koje objavljuje ENISA</w:t>
            </w:r>
          </w:p>
          <w:p w:rsidR="00A761A4" w:rsidRDefault="0064189B">
            <w:pPr>
              <w:numPr>
                <w:ilvl w:val="0"/>
                <w:numId w:val="17"/>
              </w:numPr>
              <w:spacing w:after="0"/>
              <w:ind w:right="-29"/>
              <w:rPr>
                <w:noProof/>
                <w:szCs w:val="20"/>
              </w:rPr>
            </w:pPr>
            <w:r>
              <w:rPr>
                <w:noProof/>
              </w:rPr>
              <w:t xml:space="preserve">redovito pridonošenje ENISA-e radu radnih </w:t>
            </w:r>
            <w:r>
              <w:rPr>
                <w:noProof/>
              </w:rPr>
              <w:t>skupina za kibersigurnost europskih organizacija za normizaciju (ESO).</w:t>
            </w:r>
          </w:p>
          <w:p w:rsidR="00A761A4" w:rsidRDefault="0064189B">
            <w:pPr>
              <w:ind w:right="-29"/>
              <w:rPr>
                <w:b/>
                <w:noProof/>
              </w:rPr>
            </w:pPr>
            <w:r>
              <w:rPr>
                <w:b/>
                <w:noProof/>
              </w:rPr>
              <w:t>Cilj: bolja suradnja i koordinacija među državama članicama i institucijama, agencijama i tijelima EU-a:</w:t>
            </w:r>
          </w:p>
          <w:p w:rsidR="00A761A4" w:rsidRDefault="0064189B">
            <w:pPr>
              <w:numPr>
                <w:ilvl w:val="0"/>
                <w:numId w:val="17"/>
              </w:numPr>
              <w:spacing w:after="0"/>
              <w:ind w:right="-29"/>
              <w:rPr>
                <w:noProof/>
                <w:szCs w:val="20"/>
              </w:rPr>
            </w:pPr>
            <w:r>
              <w:rPr>
                <w:noProof/>
              </w:rPr>
              <w:t>broj država članica koje su iskoristile preporuke i mišljenja ENISA-e u svojem p</w:t>
            </w:r>
            <w:r>
              <w:rPr>
                <w:noProof/>
              </w:rPr>
              <w:t xml:space="preserve">ostupku izrade politika </w:t>
            </w:r>
          </w:p>
          <w:p w:rsidR="00A761A4" w:rsidRDefault="0064189B">
            <w:pPr>
              <w:numPr>
                <w:ilvl w:val="0"/>
                <w:numId w:val="17"/>
              </w:numPr>
              <w:spacing w:after="0"/>
              <w:ind w:right="-29"/>
              <w:rPr>
                <w:noProof/>
                <w:szCs w:val="20"/>
              </w:rPr>
            </w:pPr>
            <w:r>
              <w:rPr>
                <w:noProof/>
              </w:rPr>
              <w:t>broj institucija, agencija i tijela EU-a koji su iskoristili preporuke i mišljenja ENISA-e u svojem postupku izrade politika</w:t>
            </w:r>
          </w:p>
          <w:p w:rsidR="00A761A4" w:rsidRDefault="0064189B">
            <w:pPr>
              <w:numPr>
                <w:ilvl w:val="0"/>
                <w:numId w:val="17"/>
              </w:numPr>
              <w:spacing w:after="0"/>
              <w:ind w:right="-29"/>
              <w:rPr>
                <w:noProof/>
                <w:szCs w:val="20"/>
              </w:rPr>
            </w:pPr>
            <w:r>
              <w:rPr>
                <w:noProof/>
              </w:rPr>
              <w:t>redovita provedba programa rada mreže CSIRT-ova i dobro funkcioniranje IT infrastrukture i komunikacijskih</w:t>
            </w:r>
            <w:r>
              <w:rPr>
                <w:noProof/>
              </w:rPr>
              <w:t xml:space="preserve"> kanala mreže CSIRT-ova</w:t>
            </w:r>
          </w:p>
          <w:p w:rsidR="00A761A4" w:rsidRDefault="0064189B">
            <w:pPr>
              <w:numPr>
                <w:ilvl w:val="0"/>
                <w:numId w:val="17"/>
              </w:numPr>
              <w:spacing w:after="0"/>
              <w:ind w:right="-29"/>
              <w:rPr>
                <w:noProof/>
                <w:szCs w:val="20"/>
              </w:rPr>
            </w:pPr>
            <w:r>
              <w:rPr>
                <w:noProof/>
              </w:rPr>
              <w:t>broj tehničkih izvješća koja su dostavljena Skupini za suradnju i koja je ona upotrijebila</w:t>
            </w:r>
          </w:p>
          <w:p w:rsidR="00A761A4" w:rsidRDefault="0064189B">
            <w:pPr>
              <w:numPr>
                <w:ilvl w:val="0"/>
                <w:numId w:val="17"/>
              </w:numPr>
              <w:spacing w:after="0"/>
              <w:ind w:right="-29"/>
              <w:rPr>
                <w:noProof/>
                <w:szCs w:val="20"/>
              </w:rPr>
            </w:pPr>
            <w:r>
              <w:rPr>
                <w:noProof/>
              </w:rPr>
              <w:t>dosljedan pristup prekograničnoj i međusektorskoj provedbi Direktive NIS</w:t>
            </w:r>
          </w:p>
          <w:p w:rsidR="00A761A4" w:rsidRDefault="0064189B">
            <w:pPr>
              <w:numPr>
                <w:ilvl w:val="0"/>
                <w:numId w:val="17"/>
              </w:numPr>
              <w:spacing w:after="0"/>
              <w:ind w:right="-29"/>
              <w:rPr>
                <w:noProof/>
                <w:szCs w:val="20"/>
              </w:rPr>
            </w:pPr>
            <w:r>
              <w:rPr>
                <w:noProof/>
              </w:rPr>
              <w:t>broj regulatornih procjena sukladnosti koje je provela ENISA</w:t>
            </w:r>
          </w:p>
          <w:p w:rsidR="00A761A4" w:rsidRDefault="0064189B">
            <w:pPr>
              <w:numPr>
                <w:ilvl w:val="0"/>
                <w:numId w:val="17"/>
              </w:numPr>
              <w:spacing w:after="0"/>
              <w:ind w:right="-29"/>
              <w:rPr>
                <w:noProof/>
                <w:szCs w:val="20"/>
              </w:rPr>
            </w:pPr>
            <w:r>
              <w:rPr>
                <w:noProof/>
              </w:rPr>
              <w:t>broj us</w:t>
            </w:r>
            <w:r>
              <w:rPr>
                <w:noProof/>
              </w:rPr>
              <w:t>postavljenih ISACS-ova u različitim sektorima, posebno za ključne infrastrukture</w:t>
            </w:r>
          </w:p>
          <w:p w:rsidR="00A761A4" w:rsidRDefault="0064189B">
            <w:pPr>
              <w:numPr>
                <w:ilvl w:val="0"/>
                <w:numId w:val="17"/>
              </w:numPr>
              <w:spacing w:after="0"/>
              <w:ind w:right="-29"/>
              <w:rPr>
                <w:noProof/>
                <w:szCs w:val="20"/>
              </w:rPr>
            </w:pPr>
            <w:r>
              <w:rPr>
                <w:noProof/>
              </w:rPr>
              <w:t>uspostava i redovito održavanje informativne platforme za širenje informacija o kibersigurnosti koje potječu od institucija, agencija i tijela EU-a</w:t>
            </w:r>
          </w:p>
          <w:p w:rsidR="00A761A4" w:rsidRDefault="0064189B">
            <w:pPr>
              <w:numPr>
                <w:ilvl w:val="0"/>
                <w:numId w:val="17"/>
              </w:numPr>
              <w:spacing w:after="0"/>
              <w:ind w:right="-29"/>
              <w:rPr>
                <w:noProof/>
                <w:szCs w:val="20"/>
              </w:rPr>
            </w:pPr>
            <w:r>
              <w:rPr>
                <w:noProof/>
              </w:rPr>
              <w:t>redoviti doprinos izradi EU</w:t>
            </w:r>
            <w:r>
              <w:rPr>
                <w:noProof/>
              </w:rPr>
              <w:t>-ovih programa rada u području istraživanja i inovacija</w:t>
            </w:r>
          </w:p>
          <w:p w:rsidR="00A761A4" w:rsidRDefault="0064189B">
            <w:pPr>
              <w:numPr>
                <w:ilvl w:val="0"/>
                <w:numId w:val="17"/>
              </w:numPr>
              <w:spacing w:after="0"/>
              <w:ind w:right="-29"/>
              <w:rPr>
                <w:noProof/>
                <w:szCs w:val="20"/>
              </w:rPr>
            </w:pPr>
            <w:r>
              <w:rPr>
                <w:noProof/>
              </w:rPr>
              <w:t xml:space="preserve">uspostavljen sporazum o suradnji između ENISA-e, EC3-a i CERT-EU-a </w:t>
            </w:r>
          </w:p>
          <w:p w:rsidR="00A761A4" w:rsidRDefault="0064189B">
            <w:pPr>
              <w:numPr>
                <w:ilvl w:val="0"/>
                <w:numId w:val="17"/>
              </w:numPr>
              <w:spacing w:after="0"/>
              <w:ind w:right="-29"/>
              <w:rPr>
                <w:noProof/>
                <w:szCs w:val="20"/>
              </w:rPr>
            </w:pPr>
            <w:r>
              <w:rPr>
                <w:noProof/>
              </w:rPr>
              <w:t>broj programa certificiranja koji su uključeni u okvir i razvijeni unutar njega</w:t>
            </w:r>
          </w:p>
          <w:p w:rsidR="00A761A4" w:rsidRDefault="0064189B">
            <w:pPr>
              <w:ind w:right="-29"/>
              <w:rPr>
                <w:b/>
                <w:noProof/>
              </w:rPr>
            </w:pPr>
            <w:r>
              <w:rPr>
                <w:b/>
                <w:noProof/>
              </w:rPr>
              <w:t>Cilj: jačanje sposobnosti na razini EU-a za dopunu d</w:t>
            </w:r>
            <w:r>
              <w:rPr>
                <w:b/>
                <w:noProof/>
              </w:rPr>
              <w:t>jelovanja država članica, posebno u slučaju prekograničnih kiberkriza:</w:t>
            </w:r>
          </w:p>
          <w:p w:rsidR="00A761A4" w:rsidRDefault="0064189B">
            <w:pPr>
              <w:numPr>
                <w:ilvl w:val="0"/>
                <w:numId w:val="17"/>
              </w:numPr>
              <w:spacing w:after="0"/>
              <w:ind w:right="-29"/>
              <w:rPr>
                <w:noProof/>
                <w:szCs w:val="20"/>
              </w:rPr>
            </w:pPr>
            <w:r>
              <w:rPr>
                <w:noProof/>
              </w:rPr>
              <w:t>godišnje strateške analize kiberprijetnji i kiberincidenata u cilju otkrivanja novih trendova koje objavljuje ENISA</w:t>
            </w:r>
          </w:p>
          <w:p w:rsidR="00A761A4" w:rsidRDefault="0064189B">
            <w:pPr>
              <w:numPr>
                <w:ilvl w:val="0"/>
                <w:numId w:val="17"/>
              </w:numPr>
              <w:spacing w:after="0"/>
              <w:ind w:right="-29"/>
              <w:rPr>
                <w:noProof/>
                <w:szCs w:val="20"/>
              </w:rPr>
            </w:pPr>
            <w:r>
              <w:rPr>
                <w:noProof/>
              </w:rPr>
              <w:t>objavljivanje objedinjenih informacija o incidentima koje je ENISA pr</w:t>
            </w:r>
            <w:r>
              <w:rPr>
                <w:noProof/>
              </w:rPr>
              <w:t>ijavila u skladu s Direktivom NIS</w:t>
            </w:r>
          </w:p>
          <w:p w:rsidR="00A761A4" w:rsidRDefault="0064189B">
            <w:pPr>
              <w:numPr>
                <w:ilvl w:val="0"/>
                <w:numId w:val="17"/>
              </w:numPr>
              <w:spacing w:after="0"/>
              <w:ind w:right="-29"/>
              <w:rPr>
                <w:noProof/>
                <w:szCs w:val="20"/>
              </w:rPr>
            </w:pPr>
            <w:r>
              <w:rPr>
                <w:noProof/>
              </w:rPr>
              <w:t>broj paneuropskih vježbi koje je koordinirala Agencija i broj država članica i organizacija koje su u njima sudjelovale</w:t>
            </w:r>
          </w:p>
          <w:p w:rsidR="00A761A4" w:rsidRDefault="0064189B">
            <w:pPr>
              <w:numPr>
                <w:ilvl w:val="0"/>
                <w:numId w:val="17"/>
              </w:numPr>
              <w:spacing w:after="0"/>
              <w:ind w:right="-29"/>
              <w:rPr>
                <w:noProof/>
                <w:szCs w:val="20"/>
              </w:rPr>
            </w:pPr>
            <w:r>
              <w:rPr>
                <w:noProof/>
              </w:rPr>
              <w:t xml:space="preserve">broj zahtjeva za podupiranje hitnih odgovora koje su države članice podnijele ENISA-i i koje je </w:t>
            </w:r>
            <w:r>
              <w:rPr>
                <w:noProof/>
              </w:rPr>
              <w:t>Agencija izvršila</w:t>
            </w:r>
          </w:p>
          <w:p w:rsidR="00A761A4" w:rsidRDefault="0064189B">
            <w:pPr>
              <w:numPr>
                <w:ilvl w:val="0"/>
                <w:numId w:val="17"/>
              </w:numPr>
              <w:spacing w:after="0"/>
              <w:ind w:right="-29"/>
              <w:rPr>
                <w:noProof/>
                <w:szCs w:val="20"/>
              </w:rPr>
            </w:pPr>
            <w:r>
              <w:rPr>
                <w:noProof/>
              </w:rPr>
              <w:t>broj analiza ranjivosti, tragova i incidenata koje je izvršila ENISA u suradnji s CERT-EU-om</w:t>
            </w:r>
          </w:p>
          <w:p w:rsidR="00A761A4" w:rsidRDefault="0064189B">
            <w:pPr>
              <w:numPr>
                <w:ilvl w:val="0"/>
                <w:numId w:val="17"/>
              </w:numPr>
              <w:spacing w:after="0"/>
              <w:ind w:right="-29"/>
              <w:rPr>
                <w:noProof/>
                <w:szCs w:val="20"/>
              </w:rPr>
            </w:pPr>
            <w:r>
              <w:rPr>
                <w:noProof/>
              </w:rPr>
              <w:t xml:space="preserve">dostupnost izvješća o stanju u cijelom EU-u koja se temelje na informacijama koje su države članice i drugi subjekti dostavili ENISA-i u slučaju </w:t>
            </w:r>
            <w:r>
              <w:rPr>
                <w:noProof/>
              </w:rPr>
              <w:t>prekograničnog kiberincidenta velikih razmjera.</w:t>
            </w:r>
          </w:p>
          <w:p w:rsidR="00A761A4" w:rsidRDefault="0064189B">
            <w:pPr>
              <w:ind w:right="-29"/>
              <w:rPr>
                <w:b/>
                <w:noProof/>
              </w:rPr>
            </w:pPr>
            <w:r>
              <w:rPr>
                <w:b/>
                <w:noProof/>
              </w:rPr>
              <w:t xml:space="preserve">Cilj: povećanje osviještenosti građana i poduzeća o pitanjima kibersigurnosti: </w:t>
            </w:r>
          </w:p>
          <w:p w:rsidR="00A761A4" w:rsidRDefault="0064189B">
            <w:pPr>
              <w:numPr>
                <w:ilvl w:val="0"/>
                <w:numId w:val="17"/>
              </w:numPr>
              <w:spacing w:after="0"/>
              <w:ind w:right="-29"/>
              <w:rPr>
                <w:noProof/>
                <w:szCs w:val="20"/>
              </w:rPr>
            </w:pPr>
            <w:r>
              <w:rPr>
                <w:noProof/>
              </w:rPr>
              <w:t>redovito provođenje kampanja podizanja razine osviještenosti u EU-u i na nacionalnoj razini i redovito informiranje o temama u s</w:t>
            </w:r>
            <w:r>
              <w:rPr>
                <w:noProof/>
              </w:rPr>
              <w:t>kladu s novim potrebama za učenjem</w:t>
            </w:r>
          </w:p>
          <w:p w:rsidR="00A761A4" w:rsidRDefault="0064189B">
            <w:pPr>
              <w:numPr>
                <w:ilvl w:val="0"/>
                <w:numId w:val="17"/>
              </w:numPr>
              <w:spacing w:after="0"/>
              <w:ind w:right="-29"/>
              <w:rPr>
                <w:noProof/>
                <w:szCs w:val="20"/>
              </w:rPr>
            </w:pPr>
            <w:r>
              <w:rPr>
                <w:noProof/>
              </w:rPr>
              <w:t>povećanje kiberosviještenosti među građanima EU-a</w:t>
            </w:r>
          </w:p>
          <w:p w:rsidR="00A761A4" w:rsidRDefault="0064189B">
            <w:pPr>
              <w:numPr>
                <w:ilvl w:val="0"/>
                <w:numId w:val="17"/>
              </w:numPr>
              <w:spacing w:after="0"/>
              <w:ind w:right="-29"/>
              <w:rPr>
                <w:noProof/>
                <w:szCs w:val="20"/>
              </w:rPr>
            </w:pPr>
            <w:r>
              <w:rPr>
                <w:noProof/>
              </w:rPr>
              <w:t xml:space="preserve">redovito provođenje ispitivanja osviještenosti o kibersigurnosti i postupno povećanje postotka točnih odgovora </w:t>
            </w:r>
          </w:p>
          <w:p w:rsidR="00A761A4" w:rsidRDefault="0064189B">
            <w:pPr>
              <w:numPr>
                <w:ilvl w:val="0"/>
                <w:numId w:val="17"/>
              </w:numPr>
              <w:spacing w:after="0"/>
              <w:ind w:right="-29"/>
              <w:rPr>
                <w:noProof/>
                <w:szCs w:val="20"/>
              </w:rPr>
            </w:pPr>
            <w:r>
              <w:rPr>
                <w:noProof/>
              </w:rPr>
              <w:t>redovito objavljivanje dobre prakse u području kibersigurno</w:t>
            </w:r>
            <w:r>
              <w:rPr>
                <w:noProof/>
              </w:rPr>
              <w:t>sti i kiberhigijene usmjerene na zaposlenike i organizacije.</w:t>
            </w:r>
          </w:p>
          <w:p w:rsidR="00A761A4" w:rsidRDefault="0064189B">
            <w:pPr>
              <w:ind w:right="-29"/>
              <w:rPr>
                <w:b/>
                <w:noProof/>
              </w:rPr>
            </w:pPr>
            <w:r>
              <w:rPr>
                <w:b/>
                <w:noProof/>
              </w:rPr>
              <w:t>Cilj: jačanje povjerenja u jedinstveno digitalno tržište i u digitalne inovacije povećanjem opće transparentnosti kibersigurnosnog jamstva</w:t>
            </w:r>
            <w:r>
              <w:rPr>
                <w:rStyle w:val="FootnoteReference"/>
                <w:noProof/>
              </w:rPr>
              <w:footnoteReference w:id="48"/>
            </w:r>
            <w:r>
              <w:rPr>
                <w:b/>
                <w:noProof/>
              </w:rPr>
              <w:t xml:space="preserve"> IKT proizvoda i usluga:</w:t>
            </w:r>
          </w:p>
          <w:p w:rsidR="00A761A4" w:rsidRDefault="0064189B">
            <w:pPr>
              <w:numPr>
                <w:ilvl w:val="0"/>
                <w:numId w:val="17"/>
              </w:numPr>
              <w:spacing w:after="0"/>
              <w:ind w:right="-29"/>
              <w:rPr>
                <w:noProof/>
                <w:szCs w:val="20"/>
              </w:rPr>
            </w:pPr>
            <w:r>
              <w:rPr>
                <w:noProof/>
              </w:rPr>
              <w:t>broj programa uključenih u okvi</w:t>
            </w:r>
            <w:r>
              <w:rPr>
                <w:noProof/>
              </w:rPr>
              <w:t xml:space="preserve">r EU-a </w:t>
            </w:r>
          </w:p>
          <w:p w:rsidR="00A761A4" w:rsidRDefault="0064189B">
            <w:pPr>
              <w:numPr>
                <w:ilvl w:val="0"/>
                <w:numId w:val="17"/>
              </w:numPr>
              <w:spacing w:after="0"/>
              <w:ind w:right="-29"/>
              <w:rPr>
                <w:noProof/>
                <w:szCs w:val="20"/>
              </w:rPr>
            </w:pPr>
            <w:r>
              <w:rPr>
                <w:noProof/>
              </w:rPr>
              <w:t>manji troškovi pribavljanja certifikata o sigurnosti IKT-a</w:t>
            </w:r>
          </w:p>
          <w:p w:rsidR="00A761A4" w:rsidRDefault="0064189B">
            <w:pPr>
              <w:numPr>
                <w:ilvl w:val="0"/>
                <w:numId w:val="17"/>
              </w:numPr>
              <w:spacing w:after="0"/>
              <w:ind w:right="-29"/>
              <w:rPr>
                <w:noProof/>
                <w:szCs w:val="20"/>
              </w:rPr>
            </w:pPr>
            <w:r>
              <w:rPr>
                <w:noProof/>
              </w:rPr>
              <w:t>broj tijela za ocjenjivanje sukladnosti specijaliziranih za certifikaciju u području IKT-a, u svim državama članicama</w:t>
            </w:r>
          </w:p>
          <w:p w:rsidR="00A761A4" w:rsidRDefault="0064189B">
            <w:pPr>
              <w:numPr>
                <w:ilvl w:val="0"/>
                <w:numId w:val="17"/>
              </w:numPr>
              <w:spacing w:after="0"/>
              <w:ind w:right="-29"/>
              <w:rPr>
                <w:noProof/>
                <w:szCs w:val="20"/>
              </w:rPr>
            </w:pPr>
            <w:r>
              <w:rPr>
                <w:noProof/>
              </w:rPr>
              <w:t>osnivanje Europske skupine za kibersigurnosnu certifikaciju i organizir</w:t>
            </w:r>
            <w:r>
              <w:rPr>
                <w:noProof/>
              </w:rPr>
              <w:t>anje redovitih sastanaka</w:t>
            </w:r>
          </w:p>
          <w:p w:rsidR="00A761A4" w:rsidRDefault="0064189B">
            <w:pPr>
              <w:numPr>
                <w:ilvl w:val="0"/>
                <w:numId w:val="17"/>
              </w:numPr>
              <w:spacing w:after="0"/>
              <w:ind w:right="-29"/>
              <w:rPr>
                <w:noProof/>
                <w:szCs w:val="20"/>
              </w:rPr>
            </w:pPr>
            <w:r>
              <w:rPr>
                <w:noProof/>
              </w:rPr>
              <w:t xml:space="preserve">donesene smjernice za certificiranje u skladu s okvirom EU-a </w:t>
            </w:r>
          </w:p>
          <w:p w:rsidR="00A761A4" w:rsidRDefault="0064189B">
            <w:pPr>
              <w:numPr>
                <w:ilvl w:val="0"/>
                <w:numId w:val="17"/>
              </w:numPr>
              <w:spacing w:after="0"/>
              <w:ind w:right="-29"/>
              <w:rPr>
                <w:noProof/>
                <w:szCs w:val="20"/>
              </w:rPr>
            </w:pPr>
            <w:r>
              <w:rPr>
                <w:noProof/>
              </w:rPr>
              <w:t>redovita objava analiza glavnih trendova na kibersigurnosnom tržištu EU-a</w:t>
            </w:r>
          </w:p>
          <w:p w:rsidR="00A761A4" w:rsidRDefault="0064189B">
            <w:pPr>
              <w:numPr>
                <w:ilvl w:val="0"/>
                <w:numId w:val="17"/>
              </w:numPr>
              <w:spacing w:after="0"/>
              <w:ind w:right="-29"/>
              <w:rPr>
                <w:noProof/>
                <w:szCs w:val="20"/>
              </w:rPr>
            </w:pPr>
            <w:r>
              <w:rPr>
                <w:noProof/>
              </w:rPr>
              <w:t xml:space="preserve">broj certificiranih IKT proizvoda i usluga u skladu s pravilima europskog okvira za sigurnosno </w:t>
            </w:r>
            <w:r>
              <w:rPr>
                <w:noProof/>
              </w:rPr>
              <w:t>certificiranje u području IKT-a</w:t>
            </w:r>
          </w:p>
          <w:p w:rsidR="00A761A4" w:rsidRDefault="0064189B">
            <w:pPr>
              <w:numPr>
                <w:ilvl w:val="0"/>
                <w:numId w:val="17"/>
              </w:numPr>
              <w:spacing w:after="0"/>
              <w:ind w:right="-29"/>
              <w:rPr>
                <w:noProof/>
                <w:sz w:val="20"/>
                <w:szCs w:val="20"/>
              </w:rPr>
            </w:pPr>
            <w:r>
              <w:rPr>
                <w:noProof/>
              </w:rPr>
              <w:t>veći broj krajnjih korisnika koji su svjesni sigurnosnih značajki IKT proizvoda i usluga</w:t>
            </w:r>
          </w:p>
        </w:tc>
      </w:tr>
    </w:tbl>
    <w:p w:rsidR="00A761A4" w:rsidRDefault="00A761A4">
      <w:pPr>
        <w:pStyle w:val="Point1letter"/>
        <w:numPr>
          <w:ilvl w:val="3"/>
          <w:numId w:val="73"/>
        </w:numPr>
        <w:rPr>
          <w:bCs/>
          <w:noProof/>
        </w:rPr>
      </w:pPr>
    </w:p>
    <w:p w:rsidR="00A761A4" w:rsidRDefault="0064189B">
      <w:pPr>
        <w:pStyle w:val="ManualHeading3"/>
        <w:rPr>
          <w:noProof/>
        </w:rPr>
      </w:pPr>
      <w:bookmarkStart w:id="48" w:name="_Toc492216490"/>
      <w:r>
        <w:t>1.4.5.</w:t>
      </w:r>
      <w:r>
        <w:tab/>
      </w:r>
      <w:r>
        <w:rPr>
          <w:noProof/>
        </w:rPr>
        <w:t>Zahtjev/zahtjevi koje je potrebno kratkoročno ili dugoročno ispuniti</w:t>
      </w:r>
      <w:bookmarkEnd w:id="48"/>
      <w:r>
        <w:rPr>
          <w:noProof/>
        </w:rPr>
        <w:t xml:space="preserve"> </w:t>
      </w:r>
    </w:p>
    <w:tbl>
      <w:tblPr>
        <w:tblStyle w:val="TableGrid"/>
        <w:tblW w:w="0" w:type="auto"/>
        <w:tblInd w:w="850" w:type="dxa"/>
        <w:tblLook w:val="04A0" w:firstRow="1" w:lastRow="0" w:firstColumn="1" w:lastColumn="0" w:noHBand="0" w:noVBand="1"/>
      </w:tblPr>
      <w:tblGrid>
        <w:gridCol w:w="9005"/>
      </w:tblGrid>
      <w:tr w:rsidR="00A761A4">
        <w:tc>
          <w:tcPr>
            <w:tcW w:w="9855" w:type="dxa"/>
          </w:tcPr>
          <w:p w:rsidR="00A761A4" w:rsidRDefault="0064189B">
            <w:pPr>
              <w:spacing w:after="0"/>
              <w:rPr>
                <w:rFonts w:eastAsia="Calibri"/>
                <w:noProof/>
                <w:szCs w:val="24"/>
              </w:rPr>
            </w:pPr>
            <w:r>
              <w:rPr>
                <w:noProof/>
              </w:rPr>
              <w:t>Uzimajući u obzir regulatorne zahtjeve i dinamičan razvoj kiberprijetnji, treba preispitati mandat ENISA-e kako bi se utvrdio obnovljeni skup zadaća i funkcija u cilju djelotvornog i učinkovitog podupiranja nastojanja država članica, institucija EU-a i dru</w:t>
            </w:r>
            <w:r>
              <w:rPr>
                <w:noProof/>
              </w:rPr>
              <w:t>gih dionika da osiguraju sigurni kiberprostor u Europskoj uniji. Opisan je predloženi opseg mandata uz jačanje područja u kojima je agencija pokazala jasnu dodanu vrijednost i dodavanje novih područja u kojima je potrebna potpora zbog novih prioriteta poli</w:t>
            </w:r>
            <w:r>
              <w:rPr>
                <w:noProof/>
              </w:rPr>
              <w:t>tike i instrumenata, posebno Direktive NIS, revizije Strategije EU-a za kibersigurnost, novog Plana EU-a u području kibersigurnosti za suradnju u kiberkrizama i sigurnosno certificiranje u području IKT-a. Novim predloženim mandatom Agenciji se nastoji omog</w:t>
            </w:r>
            <w:r>
              <w:rPr>
                <w:noProof/>
              </w:rPr>
              <w:t>ućiti snažnija i važnija uloga koja će posebno uključivati aktivnije podupiranje država članica u borbi protiv posebnih prijetnji (operativni kapacitet) i pretvaranje Agencije u stručni centar za pomoć državama članicama i Komisiji u postupku kibersigurnos</w:t>
            </w:r>
            <w:r>
              <w:rPr>
                <w:noProof/>
              </w:rPr>
              <w:t>ne certifikacije.</w:t>
            </w:r>
          </w:p>
          <w:p w:rsidR="00A761A4" w:rsidRDefault="0064189B">
            <w:pPr>
              <w:spacing w:after="0"/>
              <w:rPr>
                <w:noProof/>
              </w:rPr>
            </w:pPr>
            <w:r>
              <w:rPr>
                <w:noProof/>
              </w:rPr>
              <w:t>Istodobno se prijedlozima uspostavlja okvir za kibersigurnosnu certifikaciju IKT proizvoda i usluga  i opisuju se osnovne funkcije i zadaće ENISA-e u području kibersigurnosne certifikacije. Okvirom se propisuju zajedničke odredbe i postup</w:t>
            </w:r>
            <w:r>
              <w:rPr>
                <w:noProof/>
              </w:rPr>
              <w:t>ci kojima se omogućuje stvaranje programa kibersigurnosne certifikacije za određene IKT proizvode/usluge  ili kibersigurnosne rizike u cijelom EU-u. Stvaranjem europskih programa kibersigurnosne certifikacije u skladu s Okvirom omogućit će se da certifikat</w:t>
            </w:r>
            <w:r>
              <w:rPr>
                <w:noProof/>
              </w:rPr>
              <w:t>i izdani u okviru tih programa budu važeći i priznati u svim državama članicama te će se riješiti postojeći problem rascjepkanosti tržišta.</w:t>
            </w:r>
          </w:p>
        </w:tc>
      </w:tr>
    </w:tbl>
    <w:p w:rsidR="00A761A4" w:rsidRDefault="00A761A4">
      <w:pPr>
        <w:pStyle w:val="Text1"/>
        <w:rPr>
          <w:noProof/>
        </w:rPr>
      </w:pPr>
    </w:p>
    <w:p w:rsidR="00A761A4" w:rsidRDefault="0064189B">
      <w:pPr>
        <w:pStyle w:val="ManualHeading3"/>
        <w:rPr>
          <w:bCs/>
          <w:noProof/>
          <w:szCs w:val="24"/>
        </w:rPr>
      </w:pPr>
      <w:bookmarkStart w:id="49" w:name="_Toc492216491"/>
      <w:r>
        <w:t>1.4.6.</w:t>
      </w:r>
      <w:r>
        <w:tab/>
      </w:r>
      <w:r>
        <w:rPr>
          <w:noProof/>
        </w:rPr>
        <w:t>Dodana vrijednost sudjelovanja Unije</w:t>
      </w:r>
      <w:bookmarkEnd w:id="49"/>
      <w:r>
        <w:rPr>
          <w:noProof/>
        </w:rPr>
        <w:t xml:space="preserve"> </w:t>
      </w:r>
    </w:p>
    <w:tbl>
      <w:tblPr>
        <w:tblStyle w:val="TableGrid"/>
        <w:tblW w:w="0" w:type="auto"/>
        <w:tblInd w:w="959" w:type="dxa"/>
        <w:tblLook w:val="04A0" w:firstRow="1" w:lastRow="0" w:firstColumn="1" w:lastColumn="0" w:noHBand="0" w:noVBand="1"/>
      </w:tblPr>
      <w:tblGrid>
        <w:gridCol w:w="8896"/>
      </w:tblGrid>
      <w:tr w:rsidR="00A761A4">
        <w:tc>
          <w:tcPr>
            <w:tcW w:w="8896" w:type="dxa"/>
          </w:tcPr>
          <w:p w:rsidR="00A761A4" w:rsidRDefault="0064189B">
            <w:pPr>
              <w:pStyle w:val="Text3"/>
              <w:ind w:left="0"/>
              <w:rPr>
                <w:noProof/>
              </w:rPr>
            </w:pPr>
            <w:r>
              <w:rPr>
                <w:noProof/>
              </w:rPr>
              <w:t>Kibersigurnost je globalno pitanje prekogranične prirode koje sve viš</w:t>
            </w:r>
            <w:r>
              <w:rPr>
                <w:noProof/>
              </w:rPr>
              <w:t>e postaje međusektorsko pitanje zbog međuovisnosti između mreža i informacijskih sustava. Povećava se broj, složenost i razmjer kiberincidenata i njihov učinak na gospodarstvo i društvo i očekuje se da će i dalje rasti usporedno s tehnološkim napretkom, pr</w:t>
            </w:r>
            <w:r>
              <w:rPr>
                <w:noProof/>
              </w:rPr>
              <w:t xml:space="preserve">imjerice širenjem interneta stvari. To znači da su potrebni veći zajednički napori država članica, institucija EU-a i privatnih dionika usmjereni na suzbijanje kiberprijetnji za koje se ne može očekivati da će se u budućnosti smanjiti. </w:t>
            </w:r>
          </w:p>
          <w:p w:rsidR="00A761A4" w:rsidRDefault="0064189B">
            <w:pPr>
              <w:pStyle w:val="Text3"/>
              <w:ind w:left="0"/>
              <w:rPr>
                <w:noProof/>
                <w:szCs w:val="24"/>
              </w:rPr>
            </w:pPr>
            <w:r>
              <w:rPr>
                <w:noProof/>
              </w:rPr>
              <w:t>Od osnivanja ENISA-</w:t>
            </w:r>
            <w:r>
              <w:rPr>
                <w:noProof/>
              </w:rPr>
              <w:t>e 2004. njezin cilj bio je poticati suradnju među državama članicama i dionicima u području NIS-a, uključujući javno-privatnu suradnju. Ta potpora suradnji uključivala je tehničke aktivnosti usmjerene na izradu prikaza okruženja prijetnji u cijelom EU-u, o</w:t>
            </w:r>
            <w:r>
              <w:rPr>
                <w:noProof/>
              </w:rPr>
              <w:t>snivanje stručnih skupina i organizaciju paneuropskih vježbi za suzbijanje kiberincidenata i upravljanje krizama za javni i privatni sektor (posebno „Cyber Europe”). Direktivom NIS ENISA-i su povjerene dodatne zadaće, među ostalim uloga tajništva mreže CSI</w:t>
            </w:r>
            <w:r>
              <w:rPr>
                <w:noProof/>
              </w:rPr>
              <w:t xml:space="preserve">RT-ova za operativnu suradnju država članica. </w:t>
            </w:r>
          </w:p>
          <w:p w:rsidR="00A761A4" w:rsidRDefault="0064189B">
            <w:pPr>
              <w:rPr>
                <w:noProof/>
              </w:rPr>
            </w:pPr>
            <w:r>
              <w:rPr>
                <w:noProof/>
              </w:rPr>
              <w:t>Dodana vrijednost djelovanja na razini EU-a, posebno u cilju jačanja suradnje među državama članicama, ali i između zajednica u području mrežne i informacijske sigurnosti, priznata je u Zaključcima vijeća iz 2</w:t>
            </w:r>
            <w:r>
              <w:rPr>
                <w:noProof/>
              </w:rPr>
              <w:t>016.</w:t>
            </w:r>
            <w:r>
              <w:rPr>
                <w:rStyle w:val="FootnoteReference"/>
                <w:noProof/>
              </w:rPr>
              <w:footnoteReference w:id="49"/>
            </w:r>
            <w:r>
              <w:rPr>
                <w:noProof/>
              </w:rPr>
              <w:t xml:space="preserve"> i jasno proizlazi iz ocjene ENISA-e iz 2017. u kojoj je prikazano da dodana vrijednost Agencije poglavito proizlazi iz njezine sposobnosti za jačanje suradnje tih dionika. Na razini EU-a ne postoji nijedan drugi akter koji podupire suradnju toliko ve</w:t>
            </w:r>
            <w:r>
              <w:rPr>
                <w:noProof/>
              </w:rPr>
              <w:t xml:space="preserve">likog broja različitih dionika u području mrežne i informacijske sigurnosti. </w:t>
            </w:r>
          </w:p>
          <w:p w:rsidR="00A761A4" w:rsidRDefault="0064189B">
            <w:pPr>
              <w:rPr>
                <w:noProof/>
                <w:highlight w:val="yellow"/>
              </w:rPr>
            </w:pPr>
            <w:r>
              <w:rPr>
                <w:noProof/>
              </w:rPr>
              <w:t>Dodana vrijednosti ENISA-a u smislu okupljanja zajednica i dionika u području kibersigurnosti odnosi se i na područje certifikacije. Zbog rasta kiberkriminaliteta i sigurnosnih p</w:t>
            </w:r>
            <w:r>
              <w:rPr>
                <w:noProof/>
              </w:rPr>
              <w:t>rijetnji uspostavljene su nacionalne inicijative kojima se uvode strogi kibersigurnosni zahtjevi i zahtjevi u pogledu certifikacije komponenata IKT-a koje se upotrebljavaju u tradicionalnoj infrastrukturi. Iako su te inicijative  važne, one mogu uzrokovati</w:t>
            </w:r>
            <w:r>
              <w:rPr>
                <w:noProof/>
              </w:rPr>
              <w:t xml:space="preserve"> rascjepkanost jedinstvenog tržišta i prepreke interoperabilnosti. Prodavač IKT-a možda će morati proći nekoliko postupaka certifikacije da bi mogao prodavati u nekoliko država članica. Nedjelotvornost/neučinkovitost postojećih programa certificiranja vjer</w:t>
            </w:r>
            <w:r>
              <w:rPr>
                <w:noProof/>
              </w:rPr>
              <w:t>ojatno se neće moći riješiti bez intervencije EU-a.  Rascjepkanost tržišta vrlo će se vjerojatno bez intervencije povećati u vrlo kratkom roku (sljedećih 5 – 10 godina) zbog uvođenja novih programa certificiranja. Zbog nepostojanja koordinacije i interoper</w:t>
            </w:r>
            <w:r>
              <w:rPr>
                <w:noProof/>
              </w:rPr>
              <w:t>abilnosti među tim programimasmanjuje se potencijal jedinstvenog digitalnog tržišta. To dokazuje dodanu vrijednost uspostave europskog okvira za kibersigurnosnu certifikaciju IKT proizvoda i usluga kojim će se uspostaviti potrebni uvjeti za učinkovito rješ</w:t>
            </w:r>
            <w:r>
              <w:rPr>
                <w:noProof/>
              </w:rPr>
              <w:t>avanje problema povezanih sa supostojanjem višestrukih postupaka certifikacije u različitim državama članicama, smanjiti troškovi certifikacije i na taj način povećati privlačnost certifikacije u EU-u s komercijalnog gledišta i gledišta tržišnog natjecanja</w:t>
            </w:r>
            <w:r>
              <w:rPr>
                <w:noProof/>
              </w:rPr>
              <w:t>.</w:t>
            </w:r>
          </w:p>
        </w:tc>
      </w:tr>
    </w:tbl>
    <w:p w:rsidR="00A761A4" w:rsidRDefault="00A761A4">
      <w:pPr>
        <w:rPr>
          <w:noProof/>
          <w:highlight w:val="yellow"/>
        </w:rPr>
      </w:pPr>
    </w:p>
    <w:p w:rsidR="00A761A4" w:rsidRDefault="0064189B">
      <w:pPr>
        <w:pStyle w:val="ManualHeading3"/>
        <w:rPr>
          <w:bCs/>
          <w:noProof/>
          <w:szCs w:val="24"/>
        </w:rPr>
      </w:pPr>
      <w:bookmarkStart w:id="50" w:name="_Toc492216492"/>
      <w:r>
        <w:t>1.4.7.</w:t>
      </w:r>
      <w:r>
        <w:tab/>
      </w:r>
      <w:r>
        <w:rPr>
          <w:noProof/>
        </w:rPr>
        <w:t>Pouke iz prijašnjih sličnih iskustava</w:t>
      </w:r>
      <w:bookmarkEnd w:id="50"/>
    </w:p>
    <w:p w:rsidR="00A761A4" w:rsidRDefault="0064189B">
      <w:pPr>
        <w:pStyle w:val="Text1"/>
        <w:pBdr>
          <w:top w:val="single" w:sz="4" w:space="1" w:color="auto"/>
          <w:left w:val="single" w:sz="4" w:space="4" w:color="auto"/>
          <w:bottom w:val="single" w:sz="4" w:space="1" w:color="auto"/>
          <w:right w:val="single" w:sz="4" w:space="4" w:color="auto"/>
        </w:pBdr>
        <w:rPr>
          <w:noProof/>
        </w:rPr>
      </w:pPr>
      <w:r>
        <w:rPr>
          <w:noProof/>
        </w:rPr>
        <w:t xml:space="preserve">U skladu s pravnom osnovom za ENISA-u Komisija je izvršila ocjenjivanje Agencije koje je uključivalo neovisno istraživanje i javno savjetovanje. Zaključak je ocjenjivanja da su ciljevi ENISA-e i dalje </w:t>
      </w:r>
      <w:r>
        <w:rPr>
          <w:noProof/>
        </w:rPr>
        <w:t>relevantni.  U kontekstu tehnološkog razvoja i novih prijetnji kao i znatne potrebe za većom mrežnom i informacijskom sigurnošću (NIS) u EU-u, potrebna je tehnička stručnost za razvoj pitanja mrežne i informacijske sigurnosti. U državama članicama treba ja</w:t>
      </w:r>
      <w:r>
        <w:rPr>
          <w:noProof/>
        </w:rPr>
        <w:t>čati kapacitete za razumijevanje prijetnji i za odgovor na prijetnje i dionici moraju surađivati u svim tematskim područjima i sa svim institucijama.</w:t>
      </w:r>
    </w:p>
    <w:p w:rsidR="00A761A4" w:rsidRDefault="0064189B">
      <w:pPr>
        <w:pStyle w:val="Text1"/>
        <w:pBdr>
          <w:top w:val="single" w:sz="4" w:space="1" w:color="auto"/>
          <w:left w:val="single" w:sz="4" w:space="4" w:color="auto"/>
          <w:bottom w:val="single" w:sz="4" w:space="1" w:color="auto"/>
          <w:right w:val="single" w:sz="4" w:space="4" w:color="auto"/>
        </w:pBdr>
        <w:rPr>
          <w:noProof/>
        </w:rPr>
      </w:pPr>
      <w:r>
        <w:rPr>
          <w:noProof/>
        </w:rPr>
        <w:t xml:space="preserve">Agencija uspješno pridonosi mrežnoj i informacijskoj sigurnosti u Europi zahvaljujući pružanju mogućnosti </w:t>
      </w:r>
      <w:r>
        <w:rPr>
          <w:noProof/>
        </w:rPr>
        <w:t xml:space="preserve">za jačanje kapaciteta u 28 država članica, jačanju suradnje među državama članicama i dionicima u području mrežne i informacije sigurnosti, pružanju stručnih savjeta i jačanju zajedništva te podupiranju politike. </w:t>
      </w:r>
    </w:p>
    <w:p w:rsidR="00A761A4" w:rsidRDefault="0064189B">
      <w:pPr>
        <w:pStyle w:val="Text1"/>
        <w:pBdr>
          <w:top w:val="single" w:sz="4" w:space="1" w:color="auto"/>
          <w:left w:val="single" w:sz="4" w:space="4" w:color="auto"/>
          <w:bottom w:val="single" w:sz="4" w:space="1" w:color="auto"/>
          <w:right w:val="single" w:sz="4" w:space="4" w:color="auto"/>
        </w:pBdr>
        <w:rPr>
          <w:noProof/>
        </w:rPr>
      </w:pPr>
      <w:r>
        <w:rPr>
          <w:noProof/>
        </w:rPr>
        <w:t xml:space="preserve">ENISA je uspjela ostvariti utjecaj, barem </w:t>
      </w:r>
      <w:r>
        <w:rPr>
          <w:noProof/>
        </w:rPr>
        <w:t xml:space="preserve">u određenoj mjeri, u širokom području mrežne i informacijske sigurnosti, ali nije u potpunosti uspjela razviti prepoznatljivost i dostatnu vidljivost da bi bila priznata kao „najbolji” stručni centar u Europi. To se može objasniti širokim mandatom ENISA-e </w:t>
      </w:r>
      <w:r>
        <w:rPr>
          <w:noProof/>
        </w:rPr>
        <w:t>za koji joj nisu osigurani razmjerno dostatni resursi. Nadalje, ENISA je jedina agencija EU-a s vremenski ograničenim mandatom zbog čega je ograničena njezina sposobnost za razvoj dugoročne vizije i održive potpore dionicima. To je i u suprotnosti s odredb</w:t>
      </w:r>
      <w:r>
        <w:rPr>
          <w:noProof/>
        </w:rPr>
        <w:t>ama Direktive NIS kojom se ENISA-i povjeravaju zadaće koje nisu ograničenog trajanja.</w:t>
      </w:r>
    </w:p>
    <w:p w:rsidR="00A761A4" w:rsidRDefault="0064189B">
      <w:pPr>
        <w:pStyle w:val="Text1"/>
        <w:pBdr>
          <w:top w:val="single" w:sz="4" w:space="1" w:color="auto"/>
          <w:left w:val="single" w:sz="4" w:space="4" w:color="auto"/>
          <w:bottom w:val="single" w:sz="4" w:space="1" w:color="auto"/>
          <w:right w:val="single" w:sz="4" w:space="4" w:color="auto"/>
        </w:pBdr>
        <w:rPr>
          <w:noProof/>
        </w:rPr>
      </w:pPr>
      <w:r>
        <w:rPr>
          <w:noProof/>
        </w:rPr>
        <w:t>Trenutačno ne postoji europski okvir za kibersigurnosnu certifikaciju IKT proizvoda i usluga.  Međutim, zbog rasta kiberkriminala i sigurnosnih prijetnji nastale su nacio</w:t>
      </w:r>
      <w:r>
        <w:rPr>
          <w:noProof/>
        </w:rPr>
        <w:t>nalne inicijative, koje uzrokuju rizik od fragmentacije jedinstvenog tržišta.</w:t>
      </w:r>
    </w:p>
    <w:p w:rsidR="00A761A4" w:rsidRDefault="00A761A4">
      <w:pPr>
        <w:rPr>
          <w:bCs/>
          <w:noProof/>
          <w:szCs w:val="24"/>
        </w:rPr>
      </w:pPr>
    </w:p>
    <w:p w:rsidR="00A761A4" w:rsidRDefault="0064189B">
      <w:pPr>
        <w:pStyle w:val="ManualHeading3"/>
        <w:rPr>
          <w:bCs/>
          <w:noProof/>
          <w:szCs w:val="24"/>
        </w:rPr>
      </w:pPr>
      <w:bookmarkStart w:id="51" w:name="_Toc492216493"/>
      <w:r>
        <w:t>1.4.8.</w:t>
      </w:r>
      <w:r>
        <w:tab/>
      </w:r>
      <w:r>
        <w:rPr>
          <w:noProof/>
        </w:rPr>
        <w:t>Usklađenost i moguća sinergija s drugim odgovarajućim instrumentima</w:t>
      </w:r>
      <w:bookmarkEnd w:id="51"/>
    </w:p>
    <w:p w:rsidR="00A761A4" w:rsidRDefault="0064189B">
      <w:pPr>
        <w:pStyle w:val="Text1"/>
        <w:pBdr>
          <w:top w:val="single" w:sz="4" w:space="1" w:color="auto"/>
          <w:left w:val="single" w:sz="4" w:space="4" w:color="auto"/>
          <w:bottom w:val="single" w:sz="4" w:space="1" w:color="auto"/>
          <w:right w:val="single" w:sz="4" w:space="4" w:color="auto"/>
        </w:pBdr>
        <w:rPr>
          <w:noProof/>
        </w:rPr>
      </w:pPr>
      <w:r>
        <w:rPr>
          <w:noProof/>
        </w:rPr>
        <w:t>Inicijativa je u velikoj mjeri u skladu s postojećim politikama, posebno u području unutarnjeg tržišta</w:t>
      </w:r>
      <w:r>
        <w:rPr>
          <w:noProof/>
        </w:rPr>
        <w:t>. Oblikovana je u skladu s općim pristupom kibersigurnosti koji je definiran u preispitivanju Strategije jedinstvenog digitalnog tržišta u cilju dopune sveobuhvatnog skupa mjera, primjerice preispitivanja strategije EU-a za kibersigurnost, plana za suradnj</w:t>
      </w:r>
      <w:r>
        <w:rPr>
          <w:noProof/>
        </w:rPr>
        <w:t>u u slučaju kiberkriza i inicijativa za suzbijanje kiberkriminaliteta. Njome bi se osigurala usklađenost s odredbama postojećeg zakonodavstva u području kibersigurnosti, posebno s Direktivom NIS, u cilju daljnjeg razvoja kiberotpornosti EU-a s pomoću pojač</w:t>
      </w:r>
      <w:r>
        <w:rPr>
          <w:noProof/>
        </w:rPr>
        <w:t>anih sposobnosti, suradnje, upravljanja rizikom i osviještenosti o kiberprijetnjama.</w:t>
      </w:r>
    </w:p>
    <w:p w:rsidR="00A761A4" w:rsidRDefault="0064189B">
      <w:pPr>
        <w:pStyle w:val="Text1"/>
        <w:pBdr>
          <w:top w:val="single" w:sz="4" w:space="1" w:color="auto"/>
          <w:left w:val="single" w:sz="4" w:space="4" w:color="auto"/>
          <w:bottom w:val="single" w:sz="4" w:space="1" w:color="auto"/>
          <w:right w:val="single" w:sz="4" w:space="4" w:color="auto"/>
        </w:pBdr>
        <w:rPr>
          <w:noProof/>
        </w:rPr>
      </w:pPr>
      <w:r>
        <w:rPr>
          <w:noProof/>
        </w:rPr>
        <w:t>Predloženim mjerama certifikacije trebao bi se riješiti mogući problem rascjepkanosti uzrokovane postojećim i novim nacionalnim programima certificiranja, čime bi se prido</w:t>
      </w:r>
      <w:r>
        <w:rPr>
          <w:noProof/>
        </w:rPr>
        <w:t>nijelo razvoju jedinstvenog digitalnog tržišta. Inicijativom se podupire i dopunjuje provedba Direktive NIS na način da se poduzećima na koja se primjenjuje Direktiva osigurava vrlo koristan alat za dokazivanje usklađenosti sa zahtjevima mrežne i informaci</w:t>
      </w:r>
      <w:r>
        <w:rPr>
          <w:noProof/>
        </w:rPr>
        <w:t>jske sigurnosti u cijeloj Uniji.</w:t>
      </w:r>
    </w:p>
    <w:p w:rsidR="00A761A4" w:rsidRDefault="0064189B">
      <w:pPr>
        <w:pStyle w:val="Text1"/>
        <w:pBdr>
          <w:top w:val="single" w:sz="4" w:space="1" w:color="auto"/>
          <w:left w:val="single" w:sz="4" w:space="4" w:color="auto"/>
          <w:bottom w:val="single" w:sz="4" w:space="1" w:color="auto"/>
          <w:right w:val="single" w:sz="4" w:space="4" w:color="auto"/>
        </w:pBdr>
        <w:rPr>
          <w:noProof/>
          <w:sz w:val="22"/>
        </w:rPr>
      </w:pPr>
      <w:r>
        <w:rPr>
          <w:noProof/>
        </w:rPr>
        <w:t>Predloženim europskim okvirom za kibersigurnosnu certifikaciju u području IKT-a ne dovodi se u pitanje Opća uredba o zaštiti podataka</w:t>
      </w:r>
      <w:r>
        <w:rPr>
          <w:rStyle w:val="FootnoteReference"/>
          <w:noProof/>
        </w:rPr>
        <w:footnoteReference w:id="50"/>
      </w:r>
      <w:r>
        <w:rPr>
          <w:noProof/>
        </w:rPr>
        <w:t>, a posebno relevantne odredbe o certifikaciji</w:t>
      </w:r>
      <w:r>
        <w:rPr>
          <w:rStyle w:val="FootnoteReference"/>
          <w:noProof/>
        </w:rPr>
        <w:footnoteReference w:id="51"/>
      </w:r>
      <w:r>
        <w:rPr>
          <w:noProof/>
        </w:rPr>
        <w:t xml:space="preserve"> kako se primjenjuju na sigurnost obrade o</w:t>
      </w:r>
      <w:r>
        <w:rPr>
          <w:noProof/>
        </w:rPr>
        <w:t>sobnih podataka. Naposljetku, ali ne i najmanje važno, predloženi programi u budućem europskom okviru trebali bi se što više oslanjati na međunarodne norme kao način za izbjegavanje stvaranja prepreka trgovini i osiguravanje usklađenosti s međunarodnim ini</w:t>
      </w:r>
      <w:r>
        <w:rPr>
          <w:noProof/>
        </w:rPr>
        <w:t xml:space="preserve">cijativama. </w:t>
      </w:r>
    </w:p>
    <w:p w:rsidR="00A761A4" w:rsidRDefault="0064189B">
      <w:pPr>
        <w:pStyle w:val="ManualHeading2"/>
        <w:rPr>
          <w:noProof/>
        </w:rPr>
      </w:pPr>
      <w:r>
        <w:rPr>
          <w:noProof/>
        </w:rPr>
        <w:br w:type="page"/>
      </w:r>
      <w:bookmarkStart w:id="52" w:name="_Toc492216494"/>
      <w:r>
        <w:t>1.5.</w:t>
      </w:r>
      <w:r>
        <w:tab/>
      </w:r>
      <w:r>
        <w:rPr>
          <w:noProof/>
        </w:rPr>
        <w:t>Trajanje i financijski utjecaj</w:t>
      </w:r>
      <w:bookmarkEnd w:id="52"/>
      <w:r>
        <w:rPr>
          <w:noProof/>
        </w:rPr>
        <w:t xml:space="preserve"> </w:t>
      </w:r>
    </w:p>
    <w:p w:rsidR="00A761A4" w:rsidRDefault="0064189B">
      <w:pPr>
        <w:pStyle w:val="Text1"/>
        <w:rPr>
          <w:noProof/>
        </w:rPr>
      </w:pPr>
      <w:r>
        <w:rPr>
          <w:noProof/>
        </w:rPr>
        <w:sym w:font="Wingdings" w:char="F0A8"/>
      </w:r>
      <w:r>
        <w:rPr>
          <w:b/>
          <w:i/>
          <w:noProof/>
        </w:rPr>
        <w:t xml:space="preserve"> </w:t>
      </w:r>
      <w:r>
        <w:rPr>
          <w:noProof/>
        </w:rPr>
        <w:t xml:space="preserve">Prijedlog/inicijativa </w:t>
      </w:r>
      <w:r>
        <w:rPr>
          <w:b/>
          <w:noProof/>
        </w:rPr>
        <w:t xml:space="preserve">ograničenog trajanja </w:t>
      </w:r>
    </w:p>
    <w:p w:rsidR="00A761A4" w:rsidRDefault="0064189B">
      <w:pPr>
        <w:pStyle w:val="Tiret1"/>
        <w:numPr>
          <w:ilvl w:val="0"/>
          <w:numId w:val="82"/>
        </w:numPr>
        <w:rPr>
          <w:noProof/>
        </w:rPr>
      </w:pPr>
      <w:r>
        <w:rPr>
          <w:noProof/>
        </w:rPr>
        <w:sym w:font="Wingdings" w:char="F0A8"/>
      </w:r>
      <w:r>
        <w:rPr>
          <w:noProof/>
        </w:rPr>
        <w:tab/>
        <w:t xml:space="preserve">prijedlog/inicijativa na snazi od [DD/MM]GGGG do [DD/MM]GGGG </w:t>
      </w:r>
    </w:p>
    <w:p w:rsidR="00A761A4" w:rsidRDefault="0064189B">
      <w:pPr>
        <w:pStyle w:val="Tiret1"/>
        <w:rPr>
          <w:noProof/>
        </w:rPr>
      </w:pPr>
      <w:r>
        <w:rPr>
          <w:noProof/>
        </w:rPr>
        <w:sym w:font="Wingdings" w:char="F0A8"/>
      </w:r>
      <w:r>
        <w:rPr>
          <w:noProof/>
        </w:rPr>
        <w:tab/>
        <w:t>Financijski utjecaj od GGGG do GGGG</w:t>
      </w:r>
    </w:p>
    <w:p w:rsidR="00A761A4" w:rsidRDefault="0064189B">
      <w:pPr>
        <w:pStyle w:val="Text1"/>
        <w:rPr>
          <w:noProof/>
        </w:rPr>
      </w:pPr>
      <w:r>
        <w:rPr>
          <w:noProof/>
        </w:rPr>
        <w:sym w:font="Wingdings" w:char="F078"/>
      </w:r>
      <w:r>
        <w:rPr>
          <w:b/>
          <w:i/>
          <w:noProof/>
        </w:rPr>
        <w:t xml:space="preserve"> </w:t>
      </w:r>
      <w:r>
        <w:rPr>
          <w:noProof/>
        </w:rPr>
        <w:t xml:space="preserve">Prijedlog/inicijativa </w:t>
      </w:r>
      <w:r>
        <w:rPr>
          <w:b/>
          <w:noProof/>
        </w:rPr>
        <w:t>neograničenog trajanja</w:t>
      </w:r>
    </w:p>
    <w:p w:rsidR="00A761A4" w:rsidRDefault="0064189B">
      <w:pPr>
        <w:pStyle w:val="Tiret1"/>
        <w:rPr>
          <w:noProof/>
        </w:rPr>
      </w:pPr>
      <w:r>
        <w:rPr>
          <w:noProof/>
        </w:rPr>
        <w:t>Provedba s</w:t>
      </w:r>
      <w:r>
        <w:rPr>
          <w:noProof/>
        </w:rPr>
        <w:t xml:space="preserve"> razdobljem uspostave od 2019. do 2020.</w:t>
      </w:r>
    </w:p>
    <w:p w:rsidR="00A761A4" w:rsidRDefault="0064189B">
      <w:pPr>
        <w:pStyle w:val="Tiret1"/>
        <w:rPr>
          <w:noProof/>
        </w:rPr>
      </w:pPr>
      <w:r>
        <w:rPr>
          <w:noProof/>
        </w:rPr>
        <w:t>nakon čega slijedi redovna provedba.</w:t>
      </w:r>
    </w:p>
    <w:p w:rsidR="00A761A4" w:rsidRDefault="0064189B">
      <w:pPr>
        <w:pStyle w:val="ManualHeading2"/>
        <w:rPr>
          <w:bCs/>
          <w:noProof/>
          <w:szCs w:val="24"/>
        </w:rPr>
      </w:pPr>
      <w:bookmarkStart w:id="53" w:name="_Toc492216495"/>
      <w:r>
        <w:t>1.6.</w:t>
      </w:r>
      <w:r>
        <w:tab/>
      </w:r>
      <w:r>
        <w:rPr>
          <w:noProof/>
        </w:rPr>
        <w:t>Predviđene metode upravljanja</w:t>
      </w:r>
      <w:r>
        <w:rPr>
          <w:rStyle w:val="FootnoteReference"/>
          <w:noProof/>
        </w:rPr>
        <w:footnoteReference w:id="52"/>
      </w:r>
      <w:bookmarkEnd w:id="53"/>
      <w:r>
        <w:rPr>
          <w:noProof/>
        </w:rPr>
        <w:t xml:space="preserve"> </w:t>
      </w:r>
    </w:p>
    <w:p w:rsidR="00A761A4" w:rsidRDefault="0064189B">
      <w:pPr>
        <w:pStyle w:val="Text1"/>
        <w:rPr>
          <w:noProof/>
        </w:rPr>
      </w:pPr>
      <w:r>
        <w:rPr>
          <w:noProof/>
        </w:rPr>
        <w:sym w:font="Wingdings" w:char="F078"/>
      </w:r>
      <w:r>
        <w:rPr>
          <w:i/>
          <w:noProof/>
        </w:rPr>
        <w:t xml:space="preserve"> </w:t>
      </w:r>
      <w:r>
        <w:rPr>
          <w:b/>
          <w:noProof/>
        </w:rPr>
        <w:t>Izravno upravljanje</w:t>
      </w:r>
      <w:r>
        <w:rPr>
          <w:noProof/>
        </w:rPr>
        <w:t xml:space="preserve"> Komisije (Glava III. – Certifikacija)</w:t>
      </w:r>
    </w:p>
    <w:p w:rsidR="00A761A4" w:rsidRDefault="0064189B">
      <w:pPr>
        <w:pStyle w:val="Tiret1"/>
        <w:rPr>
          <w:noProof/>
        </w:rPr>
      </w:pPr>
      <w:r>
        <w:rPr>
          <w:noProof/>
        </w:rPr>
        <w:sym w:font="Wingdings" w:char="F0A8"/>
      </w:r>
      <w:r>
        <w:rPr>
          <w:noProof/>
        </w:rPr>
        <w:tab/>
        <w:t xml:space="preserve">izvršne agencije </w:t>
      </w:r>
    </w:p>
    <w:p w:rsidR="00A761A4" w:rsidRDefault="0064189B">
      <w:pPr>
        <w:pStyle w:val="Text1"/>
        <w:rPr>
          <w:noProof/>
        </w:rPr>
      </w:pPr>
      <w:r>
        <w:rPr>
          <w:noProof/>
        </w:rPr>
        <w:sym w:font="Wingdings" w:char="F0A8"/>
      </w:r>
      <w:r>
        <w:rPr>
          <w:b/>
          <w:i/>
          <w:noProof/>
        </w:rPr>
        <w:t xml:space="preserve"> </w:t>
      </w:r>
      <w:r>
        <w:rPr>
          <w:b/>
          <w:noProof/>
        </w:rPr>
        <w:t>Podijeljeno upravljanje</w:t>
      </w:r>
      <w:r>
        <w:rPr>
          <w:noProof/>
        </w:rPr>
        <w:t xml:space="preserve"> s državama članicama </w:t>
      </w:r>
    </w:p>
    <w:p w:rsidR="00A761A4" w:rsidRDefault="0064189B">
      <w:pPr>
        <w:pStyle w:val="Text1"/>
        <w:rPr>
          <w:noProof/>
        </w:rPr>
      </w:pPr>
      <w:r>
        <w:rPr>
          <w:noProof/>
        </w:rPr>
        <w:sym w:font="Wingdings" w:char="F078"/>
      </w:r>
      <w:r>
        <w:rPr>
          <w:i/>
          <w:noProof/>
        </w:rPr>
        <w:t xml:space="preserve"> </w:t>
      </w:r>
      <w:r>
        <w:rPr>
          <w:b/>
          <w:noProof/>
        </w:rPr>
        <w:t>Neizravno up</w:t>
      </w:r>
      <w:r>
        <w:rPr>
          <w:b/>
          <w:noProof/>
        </w:rPr>
        <w:t>ravljanje</w:t>
      </w:r>
      <w:r>
        <w:rPr>
          <w:noProof/>
        </w:rPr>
        <w:t xml:space="preserve"> delegiranjem zadaća proračunske provedbe:</w:t>
      </w:r>
    </w:p>
    <w:p w:rsidR="00A761A4" w:rsidRDefault="0064189B">
      <w:pPr>
        <w:pStyle w:val="Text1"/>
        <w:rPr>
          <w:noProof/>
        </w:rPr>
      </w:pPr>
      <w:r>
        <w:rPr>
          <w:noProof/>
        </w:rPr>
        <w:sym w:font="Wingdings" w:char="F0A8"/>
      </w:r>
      <w:r>
        <w:rPr>
          <w:noProof/>
        </w:rPr>
        <w:t xml:space="preserve"> međunarodnim organizacijama i njihovim agencijama (navesti);</w:t>
      </w:r>
    </w:p>
    <w:p w:rsidR="00A761A4" w:rsidRDefault="0064189B">
      <w:pPr>
        <w:pStyle w:val="Text1"/>
        <w:rPr>
          <w:noProof/>
        </w:rPr>
      </w:pPr>
      <w:r>
        <w:rPr>
          <w:noProof/>
        </w:rPr>
        <w:sym w:font="Wingdings" w:char="F0A8"/>
      </w:r>
      <w:r>
        <w:rPr>
          <w:noProof/>
        </w:rPr>
        <w:t xml:space="preserve"> EIB-u i Europskom investicijskom fondu;</w:t>
      </w:r>
    </w:p>
    <w:p w:rsidR="00A761A4" w:rsidRDefault="0064189B">
      <w:pPr>
        <w:pStyle w:val="Text1"/>
        <w:rPr>
          <w:noProof/>
        </w:rPr>
      </w:pPr>
      <w:r>
        <w:rPr>
          <w:noProof/>
        </w:rPr>
        <w:sym w:font="Wingdings" w:char="F078"/>
      </w:r>
      <w:r>
        <w:rPr>
          <w:noProof/>
        </w:rPr>
        <w:t xml:space="preserve"> tijelima na koja se upućuje u člancima 208. i 209. (Glava II. – ENISA)</w:t>
      </w:r>
    </w:p>
    <w:p w:rsidR="00A761A4" w:rsidRDefault="0064189B">
      <w:pPr>
        <w:pStyle w:val="Text1"/>
        <w:rPr>
          <w:noProof/>
        </w:rPr>
      </w:pPr>
      <w:r>
        <w:rPr>
          <w:noProof/>
        </w:rPr>
        <w:sym w:font="Wingdings" w:char="F0A8"/>
      </w:r>
      <w:r>
        <w:rPr>
          <w:noProof/>
        </w:rPr>
        <w:t xml:space="preserve"> tijelima javnog prava;</w:t>
      </w:r>
    </w:p>
    <w:p w:rsidR="00A761A4" w:rsidRDefault="0064189B">
      <w:pPr>
        <w:pStyle w:val="Text1"/>
        <w:rPr>
          <w:noProof/>
        </w:rPr>
      </w:pPr>
      <w:r>
        <w:rPr>
          <w:noProof/>
        </w:rPr>
        <w:sym w:font="Wingdings" w:char="F0A8"/>
      </w:r>
      <w:r>
        <w:rPr>
          <w:noProof/>
        </w:rPr>
        <w:t xml:space="preserve"> tijelima uređenima privatnim pravom koja pružaju javne usluge u mjeri u kojoj daju odgovarajuća financijska jamstva;</w:t>
      </w:r>
    </w:p>
    <w:p w:rsidR="00A761A4" w:rsidRDefault="0064189B">
      <w:pPr>
        <w:pStyle w:val="Text1"/>
        <w:rPr>
          <w:noProof/>
        </w:rPr>
      </w:pPr>
      <w:r>
        <w:rPr>
          <w:noProof/>
        </w:rPr>
        <w:sym w:font="Wingdings" w:char="F0A8"/>
      </w:r>
      <w:r>
        <w:rPr>
          <w:noProof/>
        </w:rPr>
        <w:t xml:space="preserve"> tijelima uređenima privatnim pravom države članice kojima je povjerena provedba javno-privatnog partnerstva i koja daju odgovarajuća fin</w:t>
      </w:r>
      <w:r>
        <w:rPr>
          <w:noProof/>
        </w:rPr>
        <w:t>ancijska jamstva;</w:t>
      </w:r>
    </w:p>
    <w:p w:rsidR="00A761A4" w:rsidRDefault="0064189B">
      <w:pPr>
        <w:pStyle w:val="Text1"/>
        <w:rPr>
          <w:noProof/>
        </w:rPr>
      </w:pPr>
      <w:r>
        <w:rPr>
          <w:noProof/>
        </w:rPr>
        <w:sym w:font="Wingdings" w:char="F0A8"/>
      </w:r>
      <w:r>
        <w:rPr>
          <w:noProof/>
        </w:rPr>
        <w:t xml:space="preserve"> osobama kojima je povjerena provedba posebnih aktivnosti u ZVSP-u u skladu s glavom V. UEU-a i koje su navedene u odgovarajućem temeljnom aktu.</w:t>
      </w:r>
    </w:p>
    <w:p w:rsidR="00A761A4" w:rsidRDefault="0064189B">
      <w:pPr>
        <w:rPr>
          <w:noProof/>
        </w:rPr>
      </w:pPr>
      <w:r>
        <w:rPr>
          <w:noProof/>
        </w:rPr>
        <w:t xml:space="preserve">Napomene </w:t>
      </w:r>
    </w:p>
    <w:p w:rsidR="00A761A4" w:rsidRDefault="0064189B">
      <w:pPr>
        <w:pBdr>
          <w:top w:val="single" w:sz="4" w:space="1" w:color="auto"/>
          <w:left w:val="single" w:sz="4" w:space="4" w:color="auto"/>
          <w:bottom w:val="single" w:sz="4" w:space="1" w:color="auto"/>
          <w:right w:val="single" w:sz="4" w:space="4" w:color="auto"/>
        </w:pBdr>
        <w:rPr>
          <w:noProof/>
        </w:rPr>
      </w:pPr>
      <w:r>
        <w:rPr>
          <w:noProof/>
        </w:rPr>
        <w:t>Ova Uredba obuhvaća sljedeće:</w:t>
      </w:r>
    </w:p>
    <w:p w:rsidR="00A761A4" w:rsidRDefault="0064189B">
      <w:pPr>
        <w:pBdr>
          <w:top w:val="single" w:sz="4" w:space="1" w:color="auto"/>
          <w:left w:val="single" w:sz="4" w:space="4" w:color="auto"/>
          <w:bottom w:val="single" w:sz="4" w:space="1" w:color="auto"/>
          <w:right w:val="single" w:sz="4" w:space="4" w:color="auto"/>
        </w:pBdr>
        <w:rPr>
          <w:noProof/>
        </w:rPr>
      </w:pPr>
      <w:r>
        <w:rPr>
          <w:noProof/>
        </w:rPr>
        <w:t xml:space="preserve"> – u glavi II. predložene Uredbe preispituje se mand</w:t>
      </w:r>
      <w:r>
        <w:rPr>
          <w:noProof/>
        </w:rPr>
        <w:t>at Agencije Europske unije za sigurnost mrežnih i informacijskih sustava (ENISA) i daje joj se važna uloga u postupku certificiranja</w:t>
      </w:r>
    </w:p>
    <w:p w:rsidR="00A761A4" w:rsidRDefault="0064189B">
      <w:pPr>
        <w:pBdr>
          <w:top w:val="single" w:sz="4" w:space="1" w:color="auto"/>
          <w:left w:val="single" w:sz="4" w:space="4" w:color="auto"/>
          <w:bottom w:val="single" w:sz="4" w:space="1" w:color="auto"/>
          <w:right w:val="single" w:sz="4" w:space="4" w:color="auto"/>
        </w:pBdr>
        <w:rPr>
          <w:noProof/>
        </w:rPr>
      </w:pPr>
      <w:r>
        <w:rPr>
          <w:noProof/>
        </w:rPr>
        <w:t xml:space="preserve"> – u glavi III. uspostavlja se okvir za stvaranje europskih programa kibersigurnosne certifikacije IKT proizvoda i usluga u</w:t>
      </w:r>
      <w:r>
        <w:rPr>
          <w:noProof/>
        </w:rPr>
        <w:t xml:space="preserve"> kojima ENISA ima ključnu ulogu. </w:t>
      </w:r>
    </w:p>
    <w:p w:rsidR="00A761A4" w:rsidRDefault="00A761A4">
      <w:pPr>
        <w:pBdr>
          <w:top w:val="single" w:sz="4" w:space="1" w:color="auto"/>
          <w:left w:val="single" w:sz="4" w:space="4" w:color="auto"/>
          <w:bottom w:val="single" w:sz="4" w:space="1" w:color="auto"/>
          <w:right w:val="single" w:sz="4" w:space="4" w:color="auto"/>
        </w:pBdr>
        <w:rPr>
          <w:noProof/>
        </w:rPr>
        <w:sectPr w:rsidR="00A761A4" w:rsidSect="0064189B">
          <w:pgSz w:w="11907" w:h="16839" w:code="9"/>
          <w:pgMar w:top="794" w:right="907" w:bottom="851" w:left="1361" w:header="510" w:footer="454" w:gutter="0"/>
          <w:cols w:space="720"/>
          <w:docGrid w:linePitch="326"/>
        </w:sectPr>
      </w:pPr>
    </w:p>
    <w:p w:rsidR="00A761A4" w:rsidRDefault="0064189B">
      <w:pPr>
        <w:pStyle w:val="ManualHeading1"/>
        <w:rPr>
          <w:bCs/>
          <w:noProof/>
          <w:szCs w:val="24"/>
        </w:rPr>
      </w:pPr>
      <w:bookmarkStart w:id="54" w:name="_Toc492216496"/>
      <w:r>
        <w:t>2.</w:t>
      </w:r>
      <w:r>
        <w:tab/>
      </w:r>
      <w:r>
        <w:rPr>
          <w:noProof/>
        </w:rPr>
        <w:t>MJERE UPRAVLJANJA</w:t>
      </w:r>
      <w:bookmarkEnd w:id="54"/>
      <w:r>
        <w:rPr>
          <w:noProof/>
        </w:rPr>
        <w:t xml:space="preserve"> </w:t>
      </w:r>
    </w:p>
    <w:p w:rsidR="00A761A4" w:rsidRDefault="0064189B">
      <w:pPr>
        <w:pStyle w:val="ManualHeading2"/>
        <w:rPr>
          <w:bCs/>
          <w:noProof/>
          <w:szCs w:val="24"/>
        </w:rPr>
      </w:pPr>
      <w:bookmarkStart w:id="55" w:name="_Toc492216497"/>
      <w:r>
        <w:t>2.1.</w:t>
      </w:r>
      <w:r>
        <w:tab/>
      </w:r>
      <w:r>
        <w:rPr>
          <w:noProof/>
        </w:rPr>
        <w:t>Pravila praćenja i izvješćivanja</w:t>
      </w:r>
      <w:bookmarkEnd w:id="55"/>
      <w:r>
        <w:rPr>
          <w:noProof/>
        </w:rPr>
        <w:t xml:space="preserve"> </w:t>
      </w:r>
    </w:p>
    <w:p w:rsidR="00A761A4" w:rsidRDefault="0064189B">
      <w:pPr>
        <w:pStyle w:val="Text1"/>
        <w:rPr>
          <w:i/>
          <w:noProof/>
          <w:sz w:val="20"/>
        </w:rPr>
      </w:pPr>
      <w:r>
        <w:rPr>
          <w:i/>
          <w:noProof/>
          <w:sz w:val="20"/>
        </w:rPr>
        <w:t>Navesti učestalost i uvjete.</w:t>
      </w:r>
    </w:p>
    <w:p w:rsidR="00A761A4" w:rsidRDefault="00A761A4">
      <w:pPr>
        <w:pStyle w:val="Text1"/>
        <w:rPr>
          <w:i/>
          <w:noProof/>
          <w:sz w:val="20"/>
        </w:rPr>
      </w:pPr>
    </w:p>
    <w:tbl>
      <w:tblPr>
        <w:tblStyle w:val="TableGrid"/>
        <w:tblW w:w="0" w:type="auto"/>
        <w:tblInd w:w="850" w:type="dxa"/>
        <w:tblLook w:val="04A0" w:firstRow="1" w:lastRow="0" w:firstColumn="1" w:lastColumn="0" w:noHBand="0" w:noVBand="1"/>
      </w:tblPr>
      <w:tblGrid>
        <w:gridCol w:w="9338"/>
      </w:tblGrid>
      <w:tr w:rsidR="00A761A4">
        <w:tc>
          <w:tcPr>
            <w:tcW w:w="10188" w:type="dxa"/>
          </w:tcPr>
          <w:p w:rsidR="00A761A4" w:rsidRDefault="0064189B">
            <w:pPr>
              <w:pStyle w:val="Body"/>
              <w:rPr>
                <w:noProof/>
                <w:color w:val="auto"/>
              </w:rPr>
            </w:pPr>
            <w:r>
              <w:rPr>
                <w:noProof/>
                <w:color w:val="auto"/>
              </w:rPr>
              <w:t>Praćenje će početi odmah nakon donošenja pravnog instrumenta i bit će usmjereno na njegovu primjenu. Komisija će organizirati sastanke s ENISA-om, predstavnicima država članica (npr. skupinama stručnjaka) i relevantnim dionicima posebno kako bi olakšala pr</w:t>
            </w:r>
            <w:r>
              <w:rPr>
                <w:noProof/>
                <w:color w:val="auto"/>
              </w:rPr>
              <w:t xml:space="preserve">ovedbu pravila o certifikaciji, kao što je osnivanje Odbora.  </w:t>
            </w:r>
          </w:p>
          <w:p w:rsidR="00A761A4" w:rsidRDefault="0064189B">
            <w:pPr>
              <w:ind w:right="-29"/>
              <w:rPr>
                <w:noProof/>
              </w:rPr>
            </w:pPr>
            <w:r>
              <w:rPr>
                <w:noProof/>
              </w:rPr>
              <w:t>Prvo ocjenjivanje trebalo bi provesti 5 godina nakon stupanja na snagu pravnog instrumenta, ako dovoljno podataka bude na raspolaganju. U pravni instrument uključena je izričita klauzula o ocje</w:t>
            </w:r>
            <w:r>
              <w:rPr>
                <w:noProof/>
              </w:rPr>
              <w:t>njivanju i reviziji [članak XXX.] u skladu s kojom će Komisija provesti neovisno ocjenjivanje. Komisija će Europskom parlamentu i Vijeću dostaviti izvješće o svojem ocjenjivanju prema potrebi popraćeno prijedlogom o reviziji, u cilju mjerenja učinka Uredbe</w:t>
            </w:r>
            <w:r>
              <w:rPr>
                <w:noProof/>
              </w:rPr>
              <w:t xml:space="preserve"> i njezine dodane vrijednosti. Daljnja ocjenjivanja trebalo bi provoditi svakih pet godina. Tijekom ocjenjivanja Komisija će primjenjivati svoju metodologiju bolje regulative. Ocjenjivanja će se provoditi uz pomoć ciljanih, stručnih rasprava, istraživanja </w:t>
            </w:r>
            <w:r>
              <w:rPr>
                <w:noProof/>
              </w:rPr>
              <w:t xml:space="preserve">i savjetovanja s različitim dionicima. </w:t>
            </w:r>
          </w:p>
          <w:p w:rsidR="00A761A4" w:rsidRDefault="0064189B">
            <w:pPr>
              <w:ind w:right="-29"/>
              <w:rPr>
                <w:noProof/>
              </w:rPr>
            </w:pPr>
            <w:r>
              <w:rPr>
                <w:noProof/>
              </w:rPr>
              <w:t xml:space="preserve">Izvršni direktor ENISA-e trebao bi svake dvije godine dostaviti Upravljačkom odboru </w:t>
            </w:r>
            <w:r>
              <w:rPr>
                <w:i/>
                <w:noProof/>
              </w:rPr>
              <w:t>ex-post</w:t>
            </w:r>
            <w:r>
              <w:rPr>
                <w:noProof/>
              </w:rPr>
              <w:t xml:space="preserve"> ocjenu aktivnosti ENISA-e. Agencija bi trebala izraditi i akcijski plan na temelju zaključaka ocjena i svake dvije godine Ko</w:t>
            </w:r>
            <w:r>
              <w:rPr>
                <w:noProof/>
              </w:rPr>
              <w:t xml:space="preserve">misiju izvješćivati o napretku. Upravljački odbor trebao bi biti odgovoran nadzirati provedbu odgovarajućih mjera na temelju tih zaključaka. </w:t>
            </w:r>
          </w:p>
          <w:p w:rsidR="00A761A4" w:rsidRDefault="0064189B">
            <w:pPr>
              <w:ind w:right="-29"/>
              <w:rPr>
                <w:noProof/>
              </w:rPr>
            </w:pPr>
            <w:r>
              <w:rPr>
                <w:noProof/>
              </w:rPr>
              <w:t>Navodne nepravilnosti u radu Agencije istražuje Europski ombudsman u skladu s odredbama članka 228. Ugovora.</w:t>
            </w:r>
          </w:p>
          <w:p w:rsidR="00A761A4" w:rsidRDefault="0064189B">
            <w:pPr>
              <w:rPr>
                <w:i/>
                <w:noProof/>
                <w:sz w:val="20"/>
              </w:rPr>
            </w:pPr>
            <w:r>
              <w:rPr>
                <w:noProof/>
              </w:rPr>
              <w:t>Izvor</w:t>
            </w:r>
            <w:r>
              <w:rPr>
                <w:noProof/>
              </w:rPr>
              <w:t>i podataka za planirano praćenje bili bi poglavito ENISA, Europska skupina za kibercertifikaciju, Skupina za suradnju, mreža CSIRT-ova i tijela država članica. Osim podataka iz izvješća (uključujući godišnja izvješća o radu) ENISA-e, Europske skupine za ki</w:t>
            </w:r>
            <w:r>
              <w:rPr>
                <w:noProof/>
              </w:rPr>
              <w:t>bercertifikaciju, Skupine za suradnju i mreže CSIRT-ova, upotrebljavat će se, prema potrebi, posebni alati za prikupljanje podataka (na primjer ankete koje se provode među nacionalnim tijelima, Eurobarometar i izvješća o kampanji Mjesec kibersigurnosti i p</w:t>
            </w:r>
            <w:r>
              <w:rPr>
                <w:noProof/>
              </w:rPr>
              <w:t>aneuropskim vježbama).</w:t>
            </w:r>
          </w:p>
        </w:tc>
      </w:tr>
    </w:tbl>
    <w:p w:rsidR="00A761A4" w:rsidRDefault="00A761A4">
      <w:pPr>
        <w:pStyle w:val="Text1"/>
        <w:rPr>
          <w:i/>
          <w:noProof/>
          <w:sz w:val="20"/>
        </w:rPr>
      </w:pPr>
    </w:p>
    <w:p w:rsidR="00A761A4" w:rsidRDefault="0064189B">
      <w:pPr>
        <w:pStyle w:val="ManualHeading2"/>
        <w:rPr>
          <w:bCs/>
          <w:noProof/>
          <w:szCs w:val="24"/>
        </w:rPr>
      </w:pPr>
      <w:bookmarkStart w:id="56" w:name="_Toc492216498"/>
      <w:r>
        <w:t>2.2.</w:t>
      </w:r>
      <w:r>
        <w:tab/>
      </w:r>
      <w:r>
        <w:rPr>
          <w:noProof/>
        </w:rPr>
        <w:t>Sustav upravljanja i kontrole</w:t>
      </w:r>
      <w:bookmarkEnd w:id="56"/>
      <w:r>
        <w:rPr>
          <w:noProof/>
        </w:rPr>
        <w:t xml:space="preserve"> </w:t>
      </w:r>
    </w:p>
    <w:p w:rsidR="00A761A4" w:rsidRDefault="0064189B">
      <w:pPr>
        <w:pStyle w:val="ManualHeading3"/>
        <w:rPr>
          <w:bCs/>
          <w:noProof/>
          <w:szCs w:val="24"/>
        </w:rPr>
      </w:pPr>
      <w:bookmarkStart w:id="57" w:name="_Toc492216499"/>
      <w:r>
        <w:t>2.2.1.</w:t>
      </w:r>
      <w:r>
        <w:tab/>
      </w:r>
      <w:r>
        <w:rPr>
          <w:noProof/>
        </w:rPr>
        <w:t>Utvrđeni rizik/rizici</w:t>
      </w:r>
      <w:bookmarkEnd w:id="57"/>
      <w:r>
        <w:rPr>
          <w:noProof/>
        </w:rPr>
        <w:t xml:space="preserve"> </w:t>
      </w:r>
    </w:p>
    <w:p w:rsidR="00A761A4" w:rsidRDefault="0064189B">
      <w:pPr>
        <w:pBdr>
          <w:top w:val="single" w:sz="4" w:space="1" w:color="auto"/>
          <w:left w:val="single" w:sz="4" w:space="4" w:color="auto"/>
          <w:bottom w:val="single" w:sz="4" w:space="1" w:color="auto"/>
          <w:right w:val="single" w:sz="4" w:space="4" w:color="auto"/>
        </w:pBdr>
        <w:ind w:left="851"/>
        <w:rPr>
          <w:noProof/>
        </w:rPr>
      </w:pPr>
      <w:r>
        <w:rPr>
          <w:noProof/>
        </w:rPr>
        <w:t>Utvrđeni su rizici ograničeni: agencija Unije već postoji i njezin će se mandat odrediti na način da se veći naglasak stavi na područja u kojima je agencija pokazala jasnu dodanu vrijednost i  uključe nova područja u kojima je potrebna potpora zbog novih p</w:t>
      </w:r>
      <w:r>
        <w:rPr>
          <w:noProof/>
        </w:rPr>
        <w:t xml:space="preserve">rioriteta politike i instrumenata, posebno Direktive NIS, revizije Strategije EU-a za kibersigurnost, novog Plana EU-a u području kibersigurnosti za suradnju u kiberkrizama i sigurnosno certificiranje u području IKT-a. </w:t>
      </w:r>
    </w:p>
    <w:p w:rsidR="00A761A4" w:rsidRDefault="0064189B">
      <w:pPr>
        <w:pBdr>
          <w:top w:val="single" w:sz="4" w:space="1" w:color="auto"/>
          <w:left w:val="single" w:sz="4" w:space="4" w:color="auto"/>
          <w:bottom w:val="single" w:sz="4" w:space="1" w:color="auto"/>
          <w:right w:val="single" w:sz="4" w:space="4" w:color="auto"/>
        </w:pBdr>
        <w:ind w:left="851"/>
        <w:rPr>
          <w:noProof/>
          <w:szCs w:val="24"/>
        </w:rPr>
      </w:pPr>
      <w:r>
        <w:rPr>
          <w:noProof/>
        </w:rPr>
        <w:t>U prijedlogu se stoga podrobno opisu</w:t>
      </w:r>
      <w:r>
        <w:rPr>
          <w:noProof/>
        </w:rPr>
        <w:t xml:space="preserve">ju funkcije Agencije i povećava njezina učinkovitost. Povećanje operativnih sposobnosti i zadaća nije stvaran rizik jer bi se njima dopunjavala i podupirala djelovanja država članica, na zahtjev i u odnosu na ograničene i unaprijed utvrđene usluge. </w:t>
      </w:r>
    </w:p>
    <w:p w:rsidR="00A761A4" w:rsidRDefault="0064189B">
      <w:pPr>
        <w:pBdr>
          <w:top w:val="single" w:sz="4" w:space="1" w:color="auto"/>
          <w:left w:val="single" w:sz="4" w:space="4" w:color="auto"/>
          <w:bottom w:val="single" w:sz="4" w:space="1" w:color="auto"/>
          <w:right w:val="single" w:sz="4" w:space="4" w:color="auto"/>
        </w:pBdr>
        <w:ind w:left="851"/>
        <w:rPr>
          <w:noProof/>
        </w:rPr>
      </w:pPr>
      <w:r>
        <w:rPr>
          <w:noProof/>
        </w:rPr>
        <w:t>Nadalj</w:t>
      </w:r>
      <w:r>
        <w:rPr>
          <w:noProof/>
        </w:rPr>
        <w:t>e, predloženim modelom agencije, u skladu sa zajedničkim pristupom, osigurala bi se dostatna kontrola kako bi se osiguralo da ENISA djeluje u smjeru postizanja svojih ciljeva. Čini se da su operativni i financijski rizici predloženih promjena ograničeni.</w:t>
      </w:r>
    </w:p>
    <w:p w:rsidR="00A761A4" w:rsidRDefault="0064189B">
      <w:pPr>
        <w:pBdr>
          <w:top w:val="single" w:sz="4" w:space="1" w:color="auto"/>
          <w:left w:val="single" w:sz="4" w:space="4" w:color="auto"/>
          <w:bottom w:val="single" w:sz="4" w:space="1" w:color="auto"/>
          <w:right w:val="single" w:sz="4" w:space="4" w:color="auto"/>
        </w:pBdr>
        <w:ind w:left="851"/>
        <w:rPr>
          <w:noProof/>
        </w:rPr>
      </w:pPr>
      <w:r>
        <w:rPr>
          <w:noProof/>
        </w:rPr>
        <w:t>I</w:t>
      </w:r>
      <w:r>
        <w:rPr>
          <w:noProof/>
        </w:rPr>
        <w:t xml:space="preserve">stodobno je nužno osigurati odgovarajuće financijske resurse kako bi ENISA mogla izvršavati zadaće koje su joj povjerene novim mandatom, među ostalim u području certifikacije. </w:t>
      </w:r>
    </w:p>
    <w:p w:rsidR="00A761A4" w:rsidRDefault="00A761A4">
      <w:pPr>
        <w:rPr>
          <w:bCs/>
          <w:noProof/>
          <w:szCs w:val="24"/>
        </w:rPr>
      </w:pPr>
    </w:p>
    <w:p w:rsidR="00A761A4" w:rsidRDefault="0064189B">
      <w:pPr>
        <w:pStyle w:val="ManualHeading3"/>
        <w:rPr>
          <w:bCs/>
          <w:noProof/>
          <w:szCs w:val="24"/>
        </w:rPr>
      </w:pPr>
      <w:bookmarkStart w:id="58" w:name="_Toc492216500"/>
      <w:r>
        <w:t>2.2.2.</w:t>
      </w:r>
      <w:r>
        <w:tab/>
      </w:r>
      <w:r>
        <w:rPr>
          <w:noProof/>
        </w:rPr>
        <w:t>Predviđene metode kontrole</w:t>
      </w:r>
      <w:bookmarkEnd w:id="58"/>
      <w:r>
        <w:rPr>
          <w:noProof/>
        </w:rPr>
        <w:t xml:space="preserve"> </w:t>
      </w:r>
    </w:p>
    <w:p w:rsidR="00A761A4" w:rsidRDefault="0064189B">
      <w:pPr>
        <w:pStyle w:val="Text1"/>
        <w:pBdr>
          <w:top w:val="single" w:sz="4" w:space="1" w:color="auto"/>
          <w:left w:val="single" w:sz="4" w:space="4" w:color="auto"/>
          <w:bottom w:val="single" w:sz="4" w:space="1" w:color="auto"/>
          <w:right w:val="single" w:sz="4" w:space="4" w:color="auto"/>
        </w:pBdr>
        <w:rPr>
          <w:noProof/>
        </w:rPr>
      </w:pPr>
      <w:r>
        <w:rPr>
          <w:noProof/>
        </w:rPr>
        <w:t>Financijski izvještaji agencije podnosit će</w:t>
      </w:r>
      <w:r>
        <w:rPr>
          <w:noProof/>
        </w:rPr>
        <w:t xml:space="preserve"> se na odobrenje Revizorskom sudu i podlijegat će postupku davanja razrješnice, a predviđene su i revizije. </w:t>
      </w:r>
    </w:p>
    <w:p w:rsidR="00A761A4" w:rsidRDefault="0064189B">
      <w:pPr>
        <w:pStyle w:val="Text1"/>
        <w:pBdr>
          <w:top w:val="single" w:sz="4" w:space="1" w:color="auto"/>
          <w:left w:val="single" w:sz="4" w:space="4" w:color="auto"/>
          <w:bottom w:val="single" w:sz="4" w:space="1" w:color="auto"/>
          <w:right w:val="single" w:sz="4" w:space="4" w:color="auto"/>
        </w:pBdr>
        <w:rPr>
          <w:noProof/>
        </w:rPr>
      </w:pPr>
      <w:r>
        <w:rPr>
          <w:noProof/>
        </w:rPr>
        <w:t xml:space="preserve">Isto tako, djelovanje agencije podliježe nadzoru Europskog ombudsmana u skladu s odredbama članka 228. Ugovora. </w:t>
      </w:r>
    </w:p>
    <w:p w:rsidR="00A761A4" w:rsidRDefault="0064189B">
      <w:pPr>
        <w:pStyle w:val="Text1"/>
        <w:pBdr>
          <w:top w:val="single" w:sz="4" w:space="1" w:color="auto"/>
          <w:left w:val="single" w:sz="4" w:space="4" w:color="auto"/>
          <w:bottom w:val="single" w:sz="4" w:space="1" w:color="auto"/>
          <w:right w:val="single" w:sz="4" w:space="4" w:color="auto"/>
        </w:pBdr>
        <w:rPr>
          <w:noProof/>
        </w:rPr>
      </w:pPr>
      <w:r>
        <w:rPr>
          <w:noProof/>
        </w:rPr>
        <w:t>Vidjeti prethodne točke 2.1. i 2.2</w:t>
      </w:r>
      <w:r>
        <w:rPr>
          <w:noProof/>
        </w:rPr>
        <w:t>.1.</w:t>
      </w:r>
    </w:p>
    <w:p w:rsidR="00A761A4" w:rsidRDefault="00A761A4">
      <w:pPr>
        <w:rPr>
          <w:bCs/>
          <w:noProof/>
          <w:szCs w:val="24"/>
        </w:rPr>
      </w:pPr>
    </w:p>
    <w:p w:rsidR="00A761A4" w:rsidRDefault="0064189B">
      <w:pPr>
        <w:pStyle w:val="ManualHeading2"/>
        <w:rPr>
          <w:bCs/>
          <w:noProof/>
          <w:szCs w:val="24"/>
        </w:rPr>
      </w:pPr>
      <w:bookmarkStart w:id="59" w:name="_Toc492216501"/>
      <w:r>
        <w:t>2.3.</w:t>
      </w:r>
      <w:r>
        <w:tab/>
      </w:r>
      <w:r>
        <w:rPr>
          <w:noProof/>
        </w:rPr>
        <w:t>Mjere za sprječavanje prijevara i nepravilnosti</w:t>
      </w:r>
      <w:bookmarkEnd w:id="59"/>
      <w:r>
        <w:rPr>
          <w:noProof/>
        </w:rPr>
        <w:t xml:space="preserve"> </w:t>
      </w:r>
    </w:p>
    <w:p w:rsidR="00A761A4" w:rsidRDefault="0064189B">
      <w:pPr>
        <w:pStyle w:val="Text1"/>
        <w:rPr>
          <w:i/>
          <w:noProof/>
          <w:sz w:val="20"/>
        </w:rPr>
      </w:pPr>
      <w:r>
        <w:rPr>
          <w:i/>
          <w:noProof/>
          <w:sz w:val="20"/>
        </w:rPr>
        <w:t>Navesti postojeće ili predviđene mjere za sprečavanje i zaštitu.</w:t>
      </w:r>
    </w:p>
    <w:p w:rsidR="00A761A4" w:rsidRDefault="0064189B">
      <w:pPr>
        <w:pBdr>
          <w:top w:val="single" w:sz="4" w:space="1" w:color="auto"/>
          <w:left w:val="single" w:sz="4" w:space="5" w:color="auto"/>
          <w:bottom w:val="single" w:sz="4" w:space="1" w:color="auto"/>
          <w:right w:val="single" w:sz="4" w:space="4" w:color="auto"/>
        </w:pBdr>
        <w:ind w:left="851"/>
        <w:rPr>
          <w:noProof/>
        </w:rPr>
      </w:pPr>
      <w:r>
        <w:rPr>
          <w:noProof/>
        </w:rPr>
        <w:t>Primjenjivale bi se ENISA-ine mjere za sprečavanje i zaštitu od prijevara, posebno:</w:t>
      </w:r>
    </w:p>
    <w:p w:rsidR="00A761A4" w:rsidRDefault="0064189B">
      <w:pPr>
        <w:pBdr>
          <w:top w:val="single" w:sz="4" w:space="1" w:color="auto"/>
          <w:left w:val="single" w:sz="4" w:space="5" w:color="auto"/>
          <w:bottom w:val="single" w:sz="4" w:space="1" w:color="auto"/>
          <w:right w:val="single" w:sz="4" w:space="4" w:color="auto"/>
        </w:pBdr>
        <w:ind w:left="851"/>
        <w:rPr>
          <w:noProof/>
        </w:rPr>
      </w:pPr>
      <w:r>
        <w:rPr>
          <w:noProof/>
        </w:rPr>
        <w:t xml:space="preserve">– osoblje agencije provjerava plaćanja za sve </w:t>
      </w:r>
      <w:r>
        <w:rPr>
          <w:noProof/>
        </w:rPr>
        <w:t>zatražene usluge ili studije prije izvršavanja plaćanja, uzimajući u obzir ugovorne obveze, ekonomska načela i dobru financijsku ili upravljačku praksu. Odredbe o sprečavanju prijevara (nadzor, zahtjevi u smislu izvješćivanja itd.) bit će uključene u sve s</w:t>
      </w:r>
      <w:r>
        <w:rPr>
          <w:noProof/>
        </w:rPr>
        <w:t>porazume i ugovore koje agencija sklapa s primateljima plaćanja,</w:t>
      </w:r>
    </w:p>
    <w:p w:rsidR="00A761A4" w:rsidRDefault="0064189B">
      <w:pPr>
        <w:pBdr>
          <w:top w:val="single" w:sz="4" w:space="1" w:color="auto"/>
          <w:left w:val="single" w:sz="4" w:space="5" w:color="auto"/>
          <w:bottom w:val="single" w:sz="4" w:space="1" w:color="auto"/>
          <w:right w:val="single" w:sz="4" w:space="4" w:color="auto"/>
        </w:pBdr>
        <w:ind w:left="851"/>
        <w:rPr>
          <w:noProof/>
        </w:rPr>
      </w:pPr>
      <w:r>
        <w:rPr>
          <w:noProof/>
        </w:rPr>
        <w:t>– u cilju borbe protiv prijevara, korupcije i ostalih nezakonitih aktivnosti, odredbe Uredbe (EU, Euratom) br. 883/2013 Europskog parlamenta i Vijeća od 25. svibnja 1999. o istragama koje pro</w:t>
      </w:r>
      <w:r>
        <w:rPr>
          <w:noProof/>
        </w:rPr>
        <w:t>vodi Europski ured za borbu protiv prijevara (OLAF), primjenjuju se bez ograničenja,</w:t>
      </w:r>
    </w:p>
    <w:p w:rsidR="00A761A4" w:rsidRDefault="0064189B">
      <w:pPr>
        <w:pBdr>
          <w:top w:val="single" w:sz="4" w:space="1" w:color="auto"/>
          <w:left w:val="single" w:sz="4" w:space="5" w:color="auto"/>
          <w:bottom w:val="single" w:sz="4" w:space="1" w:color="auto"/>
          <w:right w:val="single" w:sz="4" w:space="4" w:color="auto"/>
        </w:pBdr>
        <w:ind w:left="851"/>
        <w:rPr>
          <w:noProof/>
        </w:rPr>
      </w:pPr>
      <w:r>
        <w:rPr>
          <w:noProof/>
        </w:rPr>
        <w:t>– Agencija u roku od šest mjeseci od stupanja na snagu ove Uredbe pristupa Međuinstitucionalnom sporazumu od 25. svibnja 1999. između Europskog parlamenta, Vijeća Europske</w:t>
      </w:r>
      <w:r>
        <w:rPr>
          <w:noProof/>
        </w:rPr>
        <w:t xml:space="preserve"> unije i Komisije Europskih zajednica u vezi s internim istragama koje provodi Europski ured za borbu protiv prijevara (OLAF), te bez odgode donosi odgovarajuće odredbe koje se primjenjuju na sve zaposlenike agencije.</w:t>
      </w:r>
    </w:p>
    <w:p w:rsidR="00A761A4" w:rsidRDefault="00A761A4">
      <w:pPr>
        <w:rPr>
          <w:noProof/>
        </w:rPr>
        <w:sectPr w:rsidR="00A761A4" w:rsidSect="0064189B">
          <w:pgSz w:w="12240" w:h="15840"/>
          <w:pgMar w:top="794" w:right="907" w:bottom="851" w:left="1361" w:header="510" w:footer="454" w:gutter="0"/>
          <w:cols w:space="720"/>
          <w:docGrid w:linePitch="326"/>
        </w:sectPr>
      </w:pPr>
    </w:p>
    <w:p w:rsidR="00A761A4" w:rsidRDefault="0064189B">
      <w:pPr>
        <w:pStyle w:val="ManualHeading1"/>
        <w:rPr>
          <w:bCs/>
          <w:noProof/>
          <w:szCs w:val="24"/>
        </w:rPr>
      </w:pPr>
      <w:r>
        <w:t>3.</w:t>
      </w:r>
      <w:r>
        <w:tab/>
      </w:r>
      <w:r>
        <w:rPr>
          <w:noProof/>
        </w:rPr>
        <w:t>PROCIJENJENI FINANC</w:t>
      </w:r>
      <w:r>
        <w:rPr>
          <w:noProof/>
        </w:rPr>
        <w:t xml:space="preserve">IJSKI UTJECAJ PRIJEDLOGA/INICIJATIVE </w:t>
      </w:r>
    </w:p>
    <w:p w:rsidR="00A761A4" w:rsidRDefault="0064189B">
      <w:pPr>
        <w:pStyle w:val="ManualHeading2"/>
        <w:rPr>
          <w:bCs/>
          <w:noProof/>
          <w:szCs w:val="24"/>
        </w:rPr>
      </w:pPr>
      <w:r>
        <w:t>3.1.</w:t>
      </w:r>
      <w:r>
        <w:tab/>
      </w:r>
      <w:r>
        <w:rPr>
          <w:noProof/>
        </w:rPr>
        <w:t xml:space="preserve">Naslov/naslovi višegodišnjeg financijskog okvira i proračunska linija/linije u okviru rashoda na koje se prijedlog/inicijativa odnosi </w:t>
      </w:r>
    </w:p>
    <w:p w:rsidR="00A761A4" w:rsidRDefault="0064189B">
      <w:pPr>
        <w:pStyle w:val="Bullet1"/>
        <w:rPr>
          <w:noProof/>
        </w:rPr>
      </w:pPr>
      <w:r>
        <w:rPr>
          <w:noProof/>
        </w:rPr>
        <w:t xml:space="preserve">Postojeće proračunske linije </w:t>
      </w:r>
    </w:p>
    <w:p w:rsidR="00A761A4" w:rsidRDefault="0064189B">
      <w:pPr>
        <w:pStyle w:val="Text1"/>
        <w:rPr>
          <w:noProof/>
        </w:rPr>
      </w:pPr>
      <w:r>
        <w:rPr>
          <w:noProof/>
          <w:u w:val="single"/>
        </w:rPr>
        <w:t>Prema redoslijedu</w:t>
      </w:r>
      <w:r>
        <w:rPr>
          <w:noProof/>
        </w:rPr>
        <w:t xml:space="preserve"> naslova višegodišnjeg financij</w:t>
      </w:r>
      <w:r>
        <w:rPr>
          <w:noProof/>
        </w:rPr>
        <w:t>skog okvira i proračunskih linija.</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694"/>
        <w:gridCol w:w="798"/>
        <w:gridCol w:w="956"/>
        <w:gridCol w:w="1080"/>
        <w:gridCol w:w="956"/>
        <w:gridCol w:w="2021"/>
      </w:tblGrid>
      <w:tr w:rsidR="00A761A4">
        <w:tc>
          <w:tcPr>
            <w:tcW w:w="1842" w:type="dxa"/>
            <w:vMerge w:val="restart"/>
            <w:vAlign w:val="center"/>
          </w:tcPr>
          <w:p w:rsidR="00A761A4" w:rsidRDefault="0064189B">
            <w:pPr>
              <w:spacing w:before="60" w:after="60"/>
              <w:jc w:val="center"/>
              <w:rPr>
                <w:noProof/>
                <w:sz w:val="18"/>
              </w:rPr>
            </w:pPr>
            <w:r>
              <w:rPr>
                <w:noProof/>
                <w:sz w:val="18"/>
              </w:rPr>
              <w:t>Naslov višegodišnjeg financijskog okvira:</w:t>
            </w:r>
          </w:p>
        </w:tc>
        <w:tc>
          <w:tcPr>
            <w:tcW w:w="2694" w:type="dxa"/>
            <w:vAlign w:val="center"/>
          </w:tcPr>
          <w:p w:rsidR="00A761A4" w:rsidRDefault="0064189B">
            <w:pPr>
              <w:spacing w:before="60" w:after="60"/>
              <w:jc w:val="center"/>
              <w:rPr>
                <w:noProof/>
              </w:rPr>
            </w:pPr>
            <w:r>
              <w:rPr>
                <w:noProof/>
                <w:sz w:val="20"/>
              </w:rPr>
              <w:t>Proračunska linija</w:t>
            </w:r>
          </w:p>
        </w:tc>
        <w:tc>
          <w:tcPr>
            <w:tcW w:w="798" w:type="dxa"/>
            <w:vAlign w:val="center"/>
          </w:tcPr>
          <w:p w:rsidR="00A761A4" w:rsidRDefault="0064189B">
            <w:pPr>
              <w:spacing w:before="60" w:after="60"/>
              <w:jc w:val="center"/>
              <w:rPr>
                <w:noProof/>
              </w:rPr>
            </w:pPr>
            <w:r>
              <w:rPr>
                <w:noProof/>
                <w:sz w:val="18"/>
              </w:rPr>
              <w:t xml:space="preserve">Vrsta </w:t>
            </w:r>
            <w:r>
              <w:rPr>
                <w:noProof/>
                <w:sz w:val="22"/>
              </w:rPr>
              <w:br/>
            </w:r>
            <w:r>
              <w:rPr>
                <w:noProof/>
                <w:sz w:val="18"/>
              </w:rPr>
              <w:t>rashoda</w:t>
            </w:r>
          </w:p>
        </w:tc>
        <w:tc>
          <w:tcPr>
            <w:tcW w:w="5013" w:type="dxa"/>
            <w:gridSpan w:val="4"/>
            <w:vAlign w:val="center"/>
          </w:tcPr>
          <w:p w:rsidR="00A761A4" w:rsidRDefault="0064189B">
            <w:pPr>
              <w:spacing w:before="60" w:after="60"/>
              <w:jc w:val="center"/>
              <w:rPr>
                <w:noProof/>
              </w:rPr>
            </w:pPr>
            <w:r>
              <w:rPr>
                <w:noProof/>
                <w:sz w:val="20"/>
              </w:rPr>
              <w:t xml:space="preserve">Doprinos </w:t>
            </w:r>
          </w:p>
        </w:tc>
      </w:tr>
      <w:tr w:rsidR="00A761A4">
        <w:tc>
          <w:tcPr>
            <w:tcW w:w="1842" w:type="dxa"/>
            <w:vMerge/>
            <w:vAlign w:val="center"/>
          </w:tcPr>
          <w:p w:rsidR="00A761A4" w:rsidRDefault="00A761A4">
            <w:pPr>
              <w:rPr>
                <w:noProof/>
                <w:sz w:val="18"/>
              </w:rPr>
            </w:pPr>
          </w:p>
        </w:tc>
        <w:tc>
          <w:tcPr>
            <w:tcW w:w="2694" w:type="dxa"/>
            <w:vAlign w:val="center"/>
          </w:tcPr>
          <w:p w:rsidR="00A761A4" w:rsidRDefault="00A761A4">
            <w:pPr>
              <w:rPr>
                <w:noProof/>
              </w:rPr>
            </w:pPr>
          </w:p>
        </w:tc>
        <w:tc>
          <w:tcPr>
            <w:tcW w:w="798" w:type="dxa"/>
            <w:vAlign w:val="center"/>
          </w:tcPr>
          <w:p w:rsidR="00A761A4" w:rsidRDefault="0064189B">
            <w:pPr>
              <w:jc w:val="center"/>
              <w:rPr>
                <w:noProof/>
              </w:rPr>
            </w:pPr>
            <w:r>
              <w:rPr>
                <w:noProof/>
                <w:sz w:val="18"/>
              </w:rPr>
              <w:t>Dif./nedif.</w:t>
            </w:r>
            <w:r>
              <w:rPr>
                <w:rStyle w:val="FootnoteReference"/>
                <w:noProof/>
              </w:rPr>
              <w:footnoteReference w:id="53"/>
            </w:r>
            <w:r>
              <w:rPr>
                <w:noProof/>
              </w:rPr>
              <w:t>.</w:t>
            </w:r>
          </w:p>
        </w:tc>
        <w:tc>
          <w:tcPr>
            <w:tcW w:w="956" w:type="dxa"/>
            <w:vAlign w:val="center"/>
          </w:tcPr>
          <w:p w:rsidR="00A761A4" w:rsidRDefault="0064189B">
            <w:pPr>
              <w:jc w:val="center"/>
              <w:rPr>
                <w:noProof/>
              </w:rPr>
            </w:pPr>
            <w:r>
              <w:rPr>
                <w:noProof/>
                <w:sz w:val="18"/>
              </w:rPr>
              <w:t>zemalja EFTA-e</w:t>
            </w:r>
            <w:r>
              <w:rPr>
                <w:rStyle w:val="FootnoteReference"/>
                <w:noProof/>
              </w:rPr>
              <w:footnoteReference w:id="54"/>
            </w:r>
          </w:p>
        </w:tc>
        <w:tc>
          <w:tcPr>
            <w:tcW w:w="1080" w:type="dxa"/>
            <w:vAlign w:val="center"/>
          </w:tcPr>
          <w:p w:rsidR="00A761A4" w:rsidRDefault="0064189B">
            <w:pPr>
              <w:jc w:val="center"/>
              <w:rPr>
                <w:noProof/>
                <w:sz w:val="18"/>
              </w:rPr>
            </w:pPr>
            <w:r>
              <w:rPr>
                <w:noProof/>
                <w:sz w:val="18"/>
              </w:rPr>
              <w:t>zemalja kandidatkinja</w:t>
            </w:r>
            <w:r>
              <w:rPr>
                <w:rStyle w:val="FootnoteReference"/>
                <w:noProof/>
              </w:rPr>
              <w:footnoteReference w:id="55"/>
            </w:r>
          </w:p>
        </w:tc>
        <w:tc>
          <w:tcPr>
            <w:tcW w:w="956" w:type="dxa"/>
            <w:vAlign w:val="center"/>
          </w:tcPr>
          <w:p w:rsidR="00A761A4" w:rsidRDefault="0064189B">
            <w:pPr>
              <w:jc w:val="center"/>
              <w:rPr>
                <w:noProof/>
                <w:sz w:val="18"/>
              </w:rPr>
            </w:pPr>
            <w:r>
              <w:rPr>
                <w:noProof/>
                <w:sz w:val="18"/>
              </w:rPr>
              <w:t>trećih zemalja</w:t>
            </w:r>
          </w:p>
        </w:tc>
        <w:tc>
          <w:tcPr>
            <w:tcW w:w="2021" w:type="dxa"/>
            <w:vAlign w:val="center"/>
          </w:tcPr>
          <w:p w:rsidR="00A761A4" w:rsidRDefault="0064189B">
            <w:pPr>
              <w:jc w:val="center"/>
              <w:rPr>
                <w:noProof/>
                <w:sz w:val="16"/>
                <w:szCs w:val="16"/>
              </w:rPr>
            </w:pPr>
            <w:r>
              <w:rPr>
                <w:noProof/>
                <w:sz w:val="16"/>
              </w:rPr>
              <w:t xml:space="preserve">u smislu članka 21. stavka 2. točke (b) Financijske uredbe </w:t>
            </w:r>
          </w:p>
        </w:tc>
      </w:tr>
      <w:tr w:rsidR="00A761A4">
        <w:tc>
          <w:tcPr>
            <w:tcW w:w="1842" w:type="dxa"/>
            <w:vAlign w:val="center"/>
          </w:tcPr>
          <w:p w:rsidR="00A761A4" w:rsidRDefault="0064189B">
            <w:pPr>
              <w:jc w:val="center"/>
              <w:rPr>
                <w:noProof/>
              </w:rPr>
            </w:pPr>
            <w:r>
              <w:rPr>
                <w:noProof/>
              </w:rPr>
              <w:t xml:space="preserve">1a Konkurentnost za rast i zapošljavanje </w:t>
            </w:r>
          </w:p>
        </w:tc>
        <w:tc>
          <w:tcPr>
            <w:tcW w:w="2694" w:type="dxa"/>
            <w:vAlign w:val="center"/>
          </w:tcPr>
          <w:p w:rsidR="00A761A4" w:rsidRDefault="0064189B">
            <w:pPr>
              <w:spacing w:after="60"/>
              <w:rPr>
                <w:noProof/>
              </w:rPr>
            </w:pPr>
            <w:r>
              <w:rPr>
                <w:noProof/>
              </w:rPr>
              <w:t>09.0203</w:t>
            </w:r>
            <w:r>
              <w:rPr>
                <w:noProof/>
                <w:sz w:val="20"/>
              </w:rPr>
              <w:t xml:space="preserve"> ENISA i sigurnosna certifikacija u području informacijske i komunikacijske tehnologije </w:t>
            </w:r>
          </w:p>
        </w:tc>
        <w:tc>
          <w:tcPr>
            <w:tcW w:w="798" w:type="dxa"/>
            <w:vAlign w:val="center"/>
          </w:tcPr>
          <w:p w:rsidR="00A761A4" w:rsidRDefault="0064189B">
            <w:pPr>
              <w:jc w:val="center"/>
              <w:rPr>
                <w:noProof/>
              </w:rPr>
            </w:pPr>
            <w:r>
              <w:rPr>
                <w:noProof/>
                <w:sz w:val="18"/>
              </w:rPr>
              <w:t>Dif.</w:t>
            </w:r>
          </w:p>
        </w:tc>
        <w:tc>
          <w:tcPr>
            <w:tcW w:w="956" w:type="dxa"/>
            <w:vAlign w:val="center"/>
          </w:tcPr>
          <w:p w:rsidR="00A761A4" w:rsidRDefault="0064189B">
            <w:pPr>
              <w:jc w:val="center"/>
              <w:rPr>
                <w:noProof/>
              </w:rPr>
            </w:pPr>
            <w:r>
              <w:rPr>
                <w:noProof/>
              </w:rPr>
              <w:t>DA</w:t>
            </w:r>
          </w:p>
        </w:tc>
        <w:tc>
          <w:tcPr>
            <w:tcW w:w="1080" w:type="dxa"/>
            <w:vAlign w:val="center"/>
          </w:tcPr>
          <w:p w:rsidR="00A761A4" w:rsidRDefault="0064189B">
            <w:pPr>
              <w:jc w:val="center"/>
              <w:rPr>
                <w:noProof/>
              </w:rPr>
            </w:pPr>
            <w:r>
              <w:rPr>
                <w:noProof/>
              </w:rPr>
              <w:t>NE</w:t>
            </w:r>
          </w:p>
        </w:tc>
        <w:tc>
          <w:tcPr>
            <w:tcW w:w="956" w:type="dxa"/>
            <w:vAlign w:val="center"/>
          </w:tcPr>
          <w:p w:rsidR="00A761A4" w:rsidRDefault="0064189B">
            <w:pPr>
              <w:jc w:val="center"/>
              <w:rPr>
                <w:noProof/>
              </w:rPr>
            </w:pPr>
            <w:r>
              <w:rPr>
                <w:noProof/>
              </w:rPr>
              <w:t>NE</w:t>
            </w:r>
          </w:p>
        </w:tc>
        <w:tc>
          <w:tcPr>
            <w:tcW w:w="2021" w:type="dxa"/>
            <w:vAlign w:val="center"/>
          </w:tcPr>
          <w:p w:rsidR="00A761A4" w:rsidRDefault="0064189B">
            <w:pPr>
              <w:jc w:val="center"/>
              <w:rPr>
                <w:noProof/>
              </w:rPr>
            </w:pPr>
            <w:r>
              <w:rPr>
                <w:noProof/>
              </w:rPr>
              <w:t>NE</w:t>
            </w:r>
          </w:p>
        </w:tc>
      </w:tr>
      <w:tr w:rsidR="00A761A4">
        <w:tc>
          <w:tcPr>
            <w:tcW w:w="1842" w:type="dxa"/>
            <w:vAlign w:val="center"/>
          </w:tcPr>
          <w:p w:rsidR="00A761A4" w:rsidRDefault="0064189B">
            <w:pPr>
              <w:jc w:val="center"/>
              <w:rPr>
                <w:noProof/>
              </w:rPr>
            </w:pPr>
            <w:r>
              <w:rPr>
                <w:noProof/>
              </w:rPr>
              <w:t>5</w:t>
            </w:r>
          </w:p>
          <w:p w:rsidR="00A761A4" w:rsidRDefault="0064189B">
            <w:pPr>
              <w:jc w:val="center"/>
              <w:rPr>
                <w:noProof/>
              </w:rPr>
            </w:pPr>
            <w:r>
              <w:rPr>
                <w:noProof/>
              </w:rPr>
              <w:t>Administrativni rashodi]</w:t>
            </w:r>
          </w:p>
        </w:tc>
        <w:tc>
          <w:tcPr>
            <w:tcW w:w="2694" w:type="dxa"/>
            <w:vAlign w:val="center"/>
          </w:tcPr>
          <w:p w:rsidR="00A761A4" w:rsidRDefault="0064189B">
            <w:pPr>
              <w:spacing w:after="60"/>
              <w:rPr>
                <w:noProof/>
              </w:rPr>
            </w:pPr>
            <w:r>
              <w:rPr>
                <w:noProof/>
              </w:rPr>
              <w:t xml:space="preserve"> 09.0101 – Rashodi koji se odnose na osoblje u aktivnoj službi u području politike komunikacijskih mreža, sadržaja i tehnologija</w:t>
            </w:r>
          </w:p>
          <w:p w:rsidR="00A761A4" w:rsidRDefault="0064189B">
            <w:pPr>
              <w:spacing w:after="60"/>
              <w:rPr>
                <w:noProof/>
              </w:rPr>
            </w:pPr>
            <w:r>
              <w:rPr>
                <w:noProof/>
              </w:rPr>
              <w:t>09.0102 – Rashodi koji se odnose na vanjsko osoblje u aktivnoj službi u području politike komunikacijskih mreža, sadržaja i teh</w:t>
            </w:r>
            <w:r>
              <w:rPr>
                <w:noProof/>
              </w:rPr>
              <w:t>nologija</w:t>
            </w:r>
          </w:p>
          <w:p w:rsidR="00A761A4" w:rsidRDefault="0064189B">
            <w:pPr>
              <w:spacing w:after="60"/>
              <w:rPr>
                <w:noProof/>
              </w:rPr>
            </w:pPr>
            <w:r>
              <w:rPr>
                <w:noProof/>
              </w:rPr>
              <w:t xml:space="preserve">09.010211 – Ostali rashodi upravljanja </w:t>
            </w:r>
          </w:p>
        </w:tc>
        <w:tc>
          <w:tcPr>
            <w:tcW w:w="798" w:type="dxa"/>
            <w:vAlign w:val="center"/>
          </w:tcPr>
          <w:p w:rsidR="00A761A4" w:rsidRDefault="0064189B">
            <w:pPr>
              <w:jc w:val="center"/>
              <w:rPr>
                <w:noProof/>
                <w:sz w:val="18"/>
              </w:rPr>
            </w:pPr>
            <w:r>
              <w:rPr>
                <w:noProof/>
                <w:sz w:val="18"/>
              </w:rPr>
              <w:t>Nedif.</w:t>
            </w:r>
          </w:p>
        </w:tc>
        <w:tc>
          <w:tcPr>
            <w:tcW w:w="956" w:type="dxa"/>
            <w:vAlign w:val="center"/>
          </w:tcPr>
          <w:p w:rsidR="00A761A4" w:rsidRDefault="0064189B">
            <w:pPr>
              <w:jc w:val="center"/>
              <w:rPr>
                <w:noProof/>
              </w:rPr>
            </w:pPr>
            <w:r>
              <w:rPr>
                <w:noProof/>
              </w:rPr>
              <w:t>NE</w:t>
            </w:r>
          </w:p>
        </w:tc>
        <w:tc>
          <w:tcPr>
            <w:tcW w:w="1080" w:type="dxa"/>
            <w:vAlign w:val="center"/>
          </w:tcPr>
          <w:p w:rsidR="00A761A4" w:rsidRDefault="0064189B">
            <w:pPr>
              <w:jc w:val="center"/>
              <w:rPr>
                <w:noProof/>
              </w:rPr>
            </w:pPr>
            <w:r>
              <w:rPr>
                <w:noProof/>
              </w:rPr>
              <w:t>NE</w:t>
            </w:r>
          </w:p>
        </w:tc>
        <w:tc>
          <w:tcPr>
            <w:tcW w:w="956" w:type="dxa"/>
            <w:vAlign w:val="center"/>
          </w:tcPr>
          <w:p w:rsidR="00A761A4" w:rsidRDefault="0064189B">
            <w:pPr>
              <w:jc w:val="center"/>
              <w:rPr>
                <w:noProof/>
              </w:rPr>
            </w:pPr>
            <w:r>
              <w:rPr>
                <w:noProof/>
              </w:rPr>
              <w:t>NE</w:t>
            </w:r>
          </w:p>
        </w:tc>
        <w:tc>
          <w:tcPr>
            <w:tcW w:w="2021" w:type="dxa"/>
            <w:vAlign w:val="center"/>
          </w:tcPr>
          <w:p w:rsidR="00A761A4" w:rsidRDefault="0064189B">
            <w:pPr>
              <w:jc w:val="center"/>
              <w:rPr>
                <w:noProof/>
              </w:rPr>
            </w:pPr>
            <w:r>
              <w:rPr>
                <w:noProof/>
              </w:rPr>
              <w:t>NE</w:t>
            </w:r>
          </w:p>
        </w:tc>
      </w:tr>
    </w:tbl>
    <w:p w:rsidR="00A761A4" w:rsidRDefault="00A761A4">
      <w:pPr>
        <w:rPr>
          <w:bCs/>
          <w:noProof/>
          <w:szCs w:val="24"/>
        </w:rPr>
      </w:pPr>
    </w:p>
    <w:p w:rsidR="00A761A4" w:rsidRDefault="00A761A4">
      <w:pPr>
        <w:rPr>
          <w:noProof/>
        </w:rPr>
      </w:pPr>
    </w:p>
    <w:p w:rsidR="00A761A4" w:rsidRDefault="0064189B">
      <w:pPr>
        <w:pStyle w:val="ManualHeading2"/>
        <w:rPr>
          <w:bCs/>
          <w:noProof/>
          <w:szCs w:val="24"/>
        </w:rPr>
      </w:pPr>
      <w:r>
        <w:t>3.2.</w:t>
      </w:r>
      <w:r>
        <w:tab/>
      </w:r>
      <w:r>
        <w:rPr>
          <w:noProof/>
        </w:rPr>
        <w:t xml:space="preserve">Procijenjeni utjecaj na rashode </w:t>
      </w:r>
    </w:p>
    <w:p w:rsidR="00A761A4" w:rsidRDefault="0064189B">
      <w:pPr>
        <w:pStyle w:val="ManualHeading3"/>
        <w:rPr>
          <w:bCs/>
          <w:noProof/>
          <w:szCs w:val="24"/>
        </w:rPr>
      </w:pPr>
      <w:r>
        <w:t>3.2.1.</w:t>
      </w:r>
      <w:r>
        <w:tab/>
      </w:r>
      <w:r>
        <w:rPr>
          <w:noProof/>
        </w:rPr>
        <w:t xml:space="preserve">Sažetak procijenjenog utjecaja na rashode </w:t>
      </w:r>
    </w:p>
    <w:p w:rsidR="00A761A4" w:rsidRDefault="0064189B">
      <w:pPr>
        <w:jc w:val="right"/>
        <w:rPr>
          <w:noProof/>
          <w:sz w:val="20"/>
        </w:rPr>
      </w:pPr>
      <w:r>
        <w:rPr>
          <w:noProof/>
          <w:sz w:val="20"/>
        </w:rPr>
        <w:t>u milijunima EUR (do tri decimalna mjesta)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761A4">
        <w:trPr>
          <w:jc w:val="center"/>
        </w:trPr>
        <w:tc>
          <w:tcPr>
            <w:tcW w:w="4744" w:type="dxa"/>
            <w:shd w:val="thinDiagStripe" w:color="C0C0C0" w:fill="auto"/>
            <w:vAlign w:val="center"/>
          </w:tcPr>
          <w:p w:rsidR="00A761A4" w:rsidRDefault="0064189B">
            <w:pPr>
              <w:spacing w:before="60" w:after="60"/>
              <w:jc w:val="center"/>
              <w:rPr>
                <w:b/>
                <w:noProof/>
              </w:rPr>
            </w:pPr>
            <w:r>
              <w:rPr>
                <w:b/>
                <w:noProof/>
                <w:sz w:val="22"/>
              </w:rPr>
              <w:t xml:space="preserve">Naslov višegodišnjeg financijskog </w:t>
            </w:r>
            <w:r>
              <w:rPr>
                <w:noProof/>
                <w:sz w:val="22"/>
              </w:rPr>
              <w:br/>
            </w:r>
            <w:r>
              <w:rPr>
                <w:b/>
                <w:noProof/>
                <w:sz w:val="22"/>
              </w:rPr>
              <w:t xml:space="preserve">okvira </w:t>
            </w:r>
          </w:p>
        </w:tc>
        <w:tc>
          <w:tcPr>
            <w:tcW w:w="1080" w:type="dxa"/>
            <w:vAlign w:val="center"/>
          </w:tcPr>
          <w:p w:rsidR="00A761A4" w:rsidRDefault="0064189B">
            <w:pPr>
              <w:spacing w:before="60" w:after="60"/>
              <w:jc w:val="center"/>
              <w:rPr>
                <w:noProof/>
              </w:rPr>
            </w:pPr>
            <w:r>
              <w:rPr>
                <w:noProof/>
                <w:sz w:val="22"/>
              </w:rPr>
              <w:t>1a</w:t>
            </w:r>
          </w:p>
        </w:tc>
        <w:tc>
          <w:tcPr>
            <w:tcW w:w="7817" w:type="dxa"/>
            <w:vAlign w:val="center"/>
          </w:tcPr>
          <w:p w:rsidR="00A761A4" w:rsidRDefault="0064189B">
            <w:pPr>
              <w:spacing w:before="60" w:after="60"/>
              <w:rPr>
                <w:noProof/>
              </w:rPr>
            </w:pPr>
            <w:r>
              <w:rPr>
                <w:noProof/>
              </w:rPr>
              <w:t xml:space="preserve">Konkurentnost za rast i zapošljavanje </w:t>
            </w:r>
          </w:p>
        </w:tc>
      </w:tr>
    </w:tbl>
    <w:p w:rsidR="00A761A4" w:rsidRDefault="00A761A4">
      <w:pPr>
        <w:spacing w:before="0" w:after="0"/>
        <w:rPr>
          <w:noProof/>
          <w:sz w:val="16"/>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645"/>
        <w:gridCol w:w="567"/>
        <w:gridCol w:w="1039"/>
        <w:gridCol w:w="237"/>
        <w:gridCol w:w="1275"/>
        <w:gridCol w:w="1276"/>
        <w:gridCol w:w="1276"/>
        <w:gridCol w:w="1276"/>
        <w:gridCol w:w="1276"/>
      </w:tblGrid>
      <w:tr w:rsidR="00A761A4">
        <w:tc>
          <w:tcPr>
            <w:tcW w:w="3600" w:type="dxa"/>
            <w:vAlign w:val="center"/>
          </w:tcPr>
          <w:p w:rsidR="00A761A4" w:rsidRDefault="0064189B">
            <w:pPr>
              <w:jc w:val="center"/>
              <w:rPr>
                <w:b/>
                <w:noProof/>
              </w:rPr>
            </w:pPr>
            <w:r>
              <w:rPr>
                <w:b/>
                <w:noProof/>
                <w:sz w:val="22"/>
              </w:rPr>
              <w:t>ENISA</w:t>
            </w:r>
          </w:p>
        </w:tc>
        <w:tc>
          <w:tcPr>
            <w:tcW w:w="1645" w:type="dxa"/>
            <w:vAlign w:val="center"/>
          </w:tcPr>
          <w:p w:rsidR="00A761A4" w:rsidRDefault="00A761A4">
            <w:pPr>
              <w:jc w:val="center"/>
              <w:rPr>
                <w:noProof/>
                <w:sz w:val="20"/>
              </w:rPr>
            </w:pPr>
          </w:p>
        </w:tc>
        <w:tc>
          <w:tcPr>
            <w:tcW w:w="567" w:type="dxa"/>
            <w:vAlign w:val="center"/>
          </w:tcPr>
          <w:p w:rsidR="00A761A4" w:rsidRDefault="00A761A4">
            <w:pPr>
              <w:jc w:val="center"/>
              <w:rPr>
                <w:noProof/>
                <w:sz w:val="20"/>
              </w:rPr>
            </w:pPr>
          </w:p>
        </w:tc>
        <w:tc>
          <w:tcPr>
            <w:tcW w:w="1039" w:type="dxa"/>
            <w:shd w:val="clear" w:color="auto" w:fill="D9D9D9" w:themeFill="background1" w:themeFillShade="D9"/>
            <w:vAlign w:val="center"/>
          </w:tcPr>
          <w:p w:rsidR="00A761A4" w:rsidRDefault="0064189B">
            <w:pPr>
              <w:jc w:val="center"/>
              <w:rPr>
                <w:b/>
                <w:noProof/>
                <w:sz w:val="20"/>
              </w:rPr>
            </w:pPr>
            <w:r>
              <w:rPr>
                <w:b/>
                <w:noProof/>
                <w:sz w:val="20"/>
              </w:rPr>
              <w:t>Polazna vrijednost</w:t>
            </w:r>
          </w:p>
          <w:p w:rsidR="00A761A4" w:rsidRDefault="0064189B">
            <w:pPr>
              <w:jc w:val="center"/>
              <w:rPr>
                <w:b/>
                <w:noProof/>
                <w:sz w:val="20"/>
              </w:rPr>
            </w:pPr>
            <w:r>
              <w:rPr>
                <w:b/>
                <w:noProof/>
                <w:sz w:val="14"/>
              </w:rPr>
              <w:t>2017. (31.12.2016.)</w:t>
            </w:r>
          </w:p>
        </w:tc>
        <w:tc>
          <w:tcPr>
            <w:tcW w:w="237" w:type="dxa"/>
            <w:vMerge w:val="restart"/>
          </w:tcPr>
          <w:p w:rsidR="00A761A4" w:rsidRDefault="00A761A4">
            <w:pPr>
              <w:jc w:val="center"/>
              <w:rPr>
                <w:b/>
                <w:noProof/>
                <w:sz w:val="20"/>
              </w:rPr>
            </w:pPr>
          </w:p>
        </w:tc>
        <w:tc>
          <w:tcPr>
            <w:tcW w:w="1275" w:type="dxa"/>
          </w:tcPr>
          <w:p w:rsidR="00A761A4" w:rsidRDefault="0064189B">
            <w:pPr>
              <w:jc w:val="center"/>
              <w:rPr>
                <w:b/>
                <w:noProof/>
                <w:sz w:val="20"/>
              </w:rPr>
            </w:pPr>
            <w:r>
              <w:rPr>
                <w:b/>
                <w:noProof/>
                <w:sz w:val="20"/>
              </w:rPr>
              <w:t>2019.</w:t>
            </w:r>
          </w:p>
          <w:p w:rsidR="00A761A4" w:rsidRDefault="0064189B">
            <w:pPr>
              <w:jc w:val="center"/>
              <w:rPr>
                <w:i/>
                <w:noProof/>
                <w:sz w:val="20"/>
              </w:rPr>
            </w:pPr>
            <w:r>
              <w:rPr>
                <w:b/>
                <w:i/>
                <w:noProof/>
                <w:sz w:val="18"/>
              </w:rPr>
              <w:t>(od 01.7. 2019.)</w:t>
            </w:r>
          </w:p>
        </w:tc>
        <w:tc>
          <w:tcPr>
            <w:tcW w:w="1276" w:type="dxa"/>
          </w:tcPr>
          <w:p w:rsidR="00A761A4" w:rsidRDefault="0064189B">
            <w:pPr>
              <w:jc w:val="center"/>
              <w:rPr>
                <w:noProof/>
                <w:sz w:val="20"/>
              </w:rPr>
            </w:pPr>
            <w:r>
              <w:rPr>
                <w:b/>
                <w:noProof/>
                <w:sz w:val="20"/>
              </w:rPr>
              <w:t>2020.</w:t>
            </w:r>
          </w:p>
        </w:tc>
        <w:tc>
          <w:tcPr>
            <w:tcW w:w="1276" w:type="dxa"/>
          </w:tcPr>
          <w:p w:rsidR="00A761A4" w:rsidRDefault="0064189B">
            <w:pPr>
              <w:jc w:val="center"/>
              <w:rPr>
                <w:b/>
                <w:noProof/>
                <w:sz w:val="20"/>
              </w:rPr>
            </w:pPr>
            <w:r>
              <w:rPr>
                <w:b/>
                <w:noProof/>
                <w:sz w:val="20"/>
              </w:rPr>
              <w:t>2021.</w:t>
            </w:r>
          </w:p>
        </w:tc>
        <w:tc>
          <w:tcPr>
            <w:tcW w:w="1276" w:type="dxa"/>
          </w:tcPr>
          <w:p w:rsidR="00A761A4" w:rsidRDefault="0064189B">
            <w:pPr>
              <w:jc w:val="center"/>
              <w:rPr>
                <w:b/>
                <w:noProof/>
                <w:sz w:val="20"/>
              </w:rPr>
            </w:pPr>
            <w:r>
              <w:rPr>
                <w:b/>
                <w:noProof/>
                <w:sz w:val="20"/>
              </w:rPr>
              <w:t>2022.</w:t>
            </w:r>
          </w:p>
        </w:tc>
        <w:tc>
          <w:tcPr>
            <w:tcW w:w="1276" w:type="dxa"/>
          </w:tcPr>
          <w:p w:rsidR="00A761A4" w:rsidRDefault="0064189B">
            <w:pPr>
              <w:jc w:val="center"/>
              <w:rPr>
                <w:b/>
                <w:noProof/>
                <w:sz w:val="20"/>
              </w:rPr>
            </w:pPr>
            <w:r>
              <w:rPr>
                <w:b/>
                <w:noProof/>
                <w:sz w:val="20"/>
              </w:rPr>
              <w:t>UKUPNO</w:t>
            </w:r>
          </w:p>
        </w:tc>
      </w:tr>
      <w:tr w:rsidR="00A761A4">
        <w:trPr>
          <w:trHeight w:val="277"/>
        </w:trPr>
        <w:tc>
          <w:tcPr>
            <w:tcW w:w="3600" w:type="dxa"/>
            <w:vMerge w:val="restart"/>
            <w:vAlign w:val="center"/>
          </w:tcPr>
          <w:p w:rsidR="00A761A4" w:rsidRDefault="0064189B">
            <w:pPr>
              <w:rPr>
                <w:noProof/>
                <w:sz w:val="20"/>
              </w:rPr>
            </w:pPr>
            <w:r>
              <w:rPr>
                <w:noProof/>
                <w:sz w:val="20"/>
              </w:rPr>
              <w:t xml:space="preserve">Glava 1.: Rashodi za osoblje </w:t>
            </w:r>
          </w:p>
          <w:p w:rsidR="00A761A4" w:rsidRDefault="0064189B">
            <w:pPr>
              <w:rPr>
                <w:noProof/>
              </w:rPr>
            </w:pPr>
            <w:r>
              <w:rPr>
                <w:i/>
                <w:noProof/>
                <w:sz w:val="20"/>
              </w:rPr>
              <w:t xml:space="preserve">(uključujući rashode povezane sa zapošljavanjem, osposobljavanjem, sociomedicinskom </w:t>
            </w:r>
            <w:r>
              <w:rPr>
                <w:i/>
                <w:noProof/>
                <w:sz w:val="20"/>
              </w:rPr>
              <w:t>infrastrukturom i vanjskim uslugama)</w:t>
            </w:r>
          </w:p>
        </w:tc>
        <w:tc>
          <w:tcPr>
            <w:tcW w:w="1645" w:type="dxa"/>
            <w:vAlign w:val="center"/>
          </w:tcPr>
          <w:p w:rsidR="00A761A4" w:rsidRDefault="0064189B">
            <w:pPr>
              <w:spacing w:before="20" w:after="20"/>
              <w:rPr>
                <w:noProof/>
              </w:rPr>
            </w:pPr>
            <w:r>
              <w:rPr>
                <w:noProof/>
                <w:sz w:val="18"/>
              </w:rPr>
              <w:t>Preuzete obveze</w:t>
            </w:r>
          </w:p>
        </w:tc>
        <w:tc>
          <w:tcPr>
            <w:tcW w:w="567" w:type="dxa"/>
            <w:vAlign w:val="center"/>
          </w:tcPr>
          <w:p w:rsidR="00A761A4" w:rsidRDefault="0064189B">
            <w:pPr>
              <w:spacing w:before="20" w:after="20"/>
              <w:jc w:val="center"/>
              <w:rPr>
                <w:noProof/>
                <w:sz w:val="14"/>
              </w:rPr>
            </w:pPr>
            <w:r>
              <w:rPr>
                <w:noProof/>
                <w:sz w:val="14"/>
              </w:rPr>
              <w:t>(1)</w:t>
            </w:r>
          </w:p>
        </w:tc>
        <w:tc>
          <w:tcPr>
            <w:tcW w:w="1039" w:type="dxa"/>
            <w:shd w:val="clear" w:color="auto" w:fill="D9D9D9" w:themeFill="background1" w:themeFillShade="D9"/>
            <w:vAlign w:val="center"/>
          </w:tcPr>
          <w:p w:rsidR="00A761A4" w:rsidRDefault="0064189B">
            <w:pPr>
              <w:spacing w:before="20" w:after="20"/>
              <w:jc w:val="center"/>
              <w:rPr>
                <w:noProof/>
                <w:sz w:val="20"/>
              </w:rPr>
            </w:pPr>
            <w:r>
              <w:rPr>
                <w:noProof/>
                <w:sz w:val="20"/>
              </w:rPr>
              <w:t>6,387</w:t>
            </w:r>
          </w:p>
        </w:tc>
        <w:tc>
          <w:tcPr>
            <w:tcW w:w="237" w:type="dxa"/>
            <w:vMerge/>
          </w:tcPr>
          <w:p w:rsidR="00A761A4" w:rsidRDefault="00A761A4">
            <w:pPr>
              <w:spacing w:before="20" w:after="20"/>
              <w:jc w:val="center"/>
              <w:rPr>
                <w:noProof/>
                <w:sz w:val="20"/>
              </w:rPr>
            </w:pPr>
          </w:p>
        </w:tc>
        <w:tc>
          <w:tcPr>
            <w:tcW w:w="1275" w:type="dxa"/>
            <w:vAlign w:val="center"/>
          </w:tcPr>
          <w:p w:rsidR="00A761A4" w:rsidRDefault="0064189B">
            <w:pPr>
              <w:spacing w:before="0" w:after="0"/>
              <w:jc w:val="center"/>
              <w:rPr>
                <w:noProof/>
                <w:sz w:val="20"/>
              </w:rPr>
            </w:pPr>
            <w:r>
              <w:rPr>
                <w:rFonts w:ascii="Calibri" w:hAnsi="Calibri"/>
                <w:noProof/>
                <w:sz w:val="22"/>
              </w:rPr>
              <w:t>9,899</w:t>
            </w:r>
          </w:p>
        </w:tc>
        <w:tc>
          <w:tcPr>
            <w:tcW w:w="1276" w:type="dxa"/>
            <w:vAlign w:val="center"/>
          </w:tcPr>
          <w:p w:rsidR="00A761A4" w:rsidRDefault="0064189B">
            <w:pPr>
              <w:spacing w:before="0" w:after="0"/>
              <w:jc w:val="center"/>
              <w:rPr>
                <w:noProof/>
                <w:sz w:val="20"/>
              </w:rPr>
            </w:pPr>
            <w:r>
              <w:rPr>
                <w:rFonts w:ascii="Calibri" w:hAnsi="Calibri"/>
                <w:noProof/>
                <w:sz w:val="22"/>
              </w:rPr>
              <w:t>12,082</w:t>
            </w:r>
          </w:p>
        </w:tc>
        <w:tc>
          <w:tcPr>
            <w:tcW w:w="1276" w:type="dxa"/>
            <w:vAlign w:val="center"/>
          </w:tcPr>
          <w:p w:rsidR="00A761A4" w:rsidRDefault="0064189B">
            <w:pPr>
              <w:spacing w:before="0" w:after="0"/>
              <w:jc w:val="center"/>
              <w:rPr>
                <w:rFonts w:ascii="Calibri" w:hAnsi="Calibri"/>
                <w:bCs/>
                <w:noProof/>
                <w:sz w:val="22"/>
              </w:rPr>
            </w:pPr>
            <w:r>
              <w:rPr>
                <w:rFonts w:ascii="Calibri" w:hAnsi="Calibri"/>
                <w:noProof/>
                <w:sz w:val="22"/>
              </w:rPr>
              <w:t>13,349</w:t>
            </w:r>
          </w:p>
        </w:tc>
        <w:tc>
          <w:tcPr>
            <w:tcW w:w="1276" w:type="dxa"/>
            <w:vAlign w:val="center"/>
          </w:tcPr>
          <w:p w:rsidR="00A761A4" w:rsidRDefault="0064189B">
            <w:pPr>
              <w:spacing w:before="0" w:after="0"/>
              <w:jc w:val="center"/>
              <w:rPr>
                <w:rFonts w:ascii="Calibri" w:hAnsi="Calibri"/>
                <w:bCs/>
                <w:noProof/>
                <w:sz w:val="22"/>
              </w:rPr>
            </w:pPr>
            <w:r>
              <w:rPr>
                <w:rFonts w:ascii="Calibri" w:hAnsi="Calibri"/>
                <w:noProof/>
                <w:sz w:val="22"/>
              </w:rPr>
              <w:t>13,894</w:t>
            </w:r>
          </w:p>
        </w:tc>
        <w:tc>
          <w:tcPr>
            <w:tcW w:w="1276" w:type="dxa"/>
            <w:vAlign w:val="center"/>
          </w:tcPr>
          <w:p w:rsidR="00A761A4" w:rsidRDefault="0064189B">
            <w:pPr>
              <w:spacing w:before="0" w:after="0"/>
              <w:jc w:val="center"/>
              <w:rPr>
                <w:b/>
                <w:noProof/>
                <w:sz w:val="20"/>
              </w:rPr>
            </w:pPr>
            <w:r>
              <w:rPr>
                <w:rFonts w:ascii="Calibri" w:hAnsi="Calibri"/>
                <w:b/>
                <w:noProof/>
                <w:sz w:val="22"/>
              </w:rPr>
              <w:t>49,224</w:t>
            </w:r>
          </w:p>
        </w:tc>
      </w:tr>
      <w:tr w:rsidR="00A761A4">
        <w:tc>
          <w:tcPr>
            <w:tcW w:w="3600" w:type="dxa"/>
            <w:vMerge/>
            <w:vAlign w:val="center"/>
          </w:tcPr>
          <w:p w:rsidR="00A761A4" w:rsidRDefault="00A761A4">
            <w:pPr>
              <w:rPr>
                <w:noProof/>
              </w:rPr>
            </w:pPr>
          </w:p>
        </w:tc>
        <w:tc>
          <w:tcPr>
            <w:tcW w:w="1645" w:type="dxa"/>
            <w:vAlign w:val="center"/>
          </w:tcPr>
          <w:p w:rsidR="00A761A4" w:rsidRDefault="0064189B">
            <w:pPr>
              <w:spacing w:before="20" w:after="20"/>
              <w:rPr>
                <w:noProof/>
                <w:sz w:val="18"/>
              </w:rPr>
            </w:pPr>
            <w:r>
              <w:rPr>
                <w:noProof/>
                <w:sz w:val="18"/>
              </w:rPr>
              <w:t>Plaćanja</w:t>
            </w:r>
          </w:p>
        </w:tc>
        <w:tc>
          <w:tcPr>
            <w:tcW w:w="567" w:type="dxa"/>
            <w:vAlign w:val="center"/>
          </w:tcPr>
          <w:p w:rsidR="00A761A4" w:rsidRDefault="0064189B">
            <w:pPr>
              <w:spacing w:before="20" w:after="20"/>
              <w:jc w:val="center"/>
              <w:rPr>
                <w:noProof/>
                <w:sz w:val="14"/>
              </w:rPr>
            </w:pPr>
            <w:r>
              <w:rPr>
                <w:noProof/>
                <w:sz w:val="14"/>
              </w:rPr>
              <w:t>(2)</w:t>
            </w:r>
          </w:p>
        </w:tc>
        <w:tc>
          <w:tcPr>
            <w:tcW w:w="1039" w:type="dxa"/>
            <w:shd w:val="clear" w:color="auto" w:fill="D9D9D9" w:themeFill="background1" w:themeFillShade="D9"/>
            <w:vAlign w:val="center"/>
          </w:tcPr>
          <w:p w:rsidR="00A761A4" w:rsidRDefault="0064189B">
            <w:pPr>
              <w:spacing w:before="20" w:after="20"/>
              <w:jc w:val="center"/>
              <w:rPr>
                <w:noProof/>
                <w:sz w:val="20"/>
              </w:rPr>
            </w:pPr>
            <w:r>
              <w:rPr>
                <w:noProof/>
                <w:sz w:val="20"/>
              </w:rPr>
              <w:t>6,387</w:t>
            </w:r>
          </w:p>
        </w:tc>
        <w:tc>
          <w:tcPr>
            <w:tcW w:w="237" w:type="dxa"/>
            <w:vMerge/>
          </w:tcPr>
          <w:p w:rsidR="00A761A4" w:rsidRDefault="00A761A4">
            <w:pPr>
              <w:spacing w:before="20" w:after="20"/>
              <w:jc w:val="center"/>
              <w:rPr>
                <w:noProof/>
                <w:sz w:val="20"/>
              </w:rPr>
            </w:pPr>
          </w:p>
        </w:tc>
        <w:tc>
          <w:tcPr>
            <w:tcW w:w="1275" w:type="dxa"/>
            <w:vAlign w:val="center"/>
          </w:tcPr>
          <w:p w:rsidR="00A761A4" w:rsidRDefault="0064189B">
            <w:pPr>
              <w:spacing w:before="0" w:after="0"/>
              <w:jc w:val="center"/>
              <w:rPr>
                <w:noProof/>
                <w:sz w:val="20"/>
              </w:rPr>
            </w:pPr>
            <w:r>
              <w:rPr>
                <w:rFonts w:ascii="Calibri" w:hAnsi="Calibri"/>
                <w:noProof/>
                <w:sz w:val="22"/>
              </w:rPr>
              <w:t>9,899</w:t>
            </w:r>
          </w:p>
        </w:tc>
        <w:tc>
          <w:tcPr>
            <w:tcW w:w="1276" w:type="dxa"/>
            <w:vAlign w:val="center"/>
          </w:tcPr>
          <w:p w:rsidR="00A761A4" w:rsidRDefault="0064189B">
            <w:pPr>
              <w:spacing w:before="0" w:after="0"/>
              <w:jc w:val="center"/>
              <w:rPr>
                <w:noProof/>
                <w:sz w:val="20"/>
              </w:rPr>
            </w:pPr>
            <w:r>
              <w:rPr>
                <w:rFonts w:ascii="Calibri" w:hAnsi="Calibri"/>
                <w:noProof/>
                <w:sz w:val="22"/>
              </w:rPr>
              <w:t>12,082</w:t>
            </w:r>
          </w:p>
        </w:tc>
        <w:tc>
          <w:tcPr>
            <w:tcW w:w="1276" w:type="dxa"/>
            <w:vAlign w:val="center"/>
          </w:tcPr>
          <w:p w:rsidR="00A761A4" w:rsidRDefault="0064189B">
            <w:pPr>
              <w:spacing w:before="0" w:after="0"/>
              <w:jc w:val="center"/>
              <w:rPr>
                <w:noProof/>
                <w:sz w:val="20"/>
              </w:rPr>
            </w:pPr>
            <w:r>
              <w:rPr>
                <w:rFonts w:ascii="Calibri" w:hAnsi="Calibri"/>
                <w:noProof/>
                <w:sz w:val="22"/>
              </w:rPr>
              <w:t>13,349</w:t>
            </w:r>
          </w:p>
        </w:tc>
        <w:tc>
          <w:tcPr>
            <w:tcW w:w="1276" w:type="dxa"/>
            <w:vAlign w:val="center"/>
          </w:tcPr>
          <w:p w:rsidR="00A761A4" w:rsidRDefault="0064189B">
            <w:pPr>
              <w:spacing w:before="0" w:after="0"/>
              <w:jc w:val="center"/>
              <w:rPr>
                <w:noProof/>
                <w:sz w:val="20"/>
              </w:rPr>
            </w:pPr>
            <w:r>
              <w:rPr>
                <w:rFonts w:ascii="Calibri" w:hAnsi="Calibri"/>
                <w:noProof/>
                <w:sz w:val="22"/>
              </w:rPr>
              <w:t>13,894</w:t>
            </w:r>
          </w:p>
        </w:tc>
        <w:tc>
          <w:tcPr>
            <w:tcW w:w="1276" w:type="dxa"/>
            <w:vAlign w:val="center"/>
          </w:tcPr>
          <w:p w:rsidR="00A761A4" w:rsidRDefault="0064189B">
            <w:pPr>
              <w:spacing w:before="0" w:after="0"/>
              <w:jc w:val="center"/>
              <w:rPr>
                <w:b/>
                <w:noProof/>
                <w:sz w:val="20"/>
              </w:rPr>
            </w:pPr>
            <w:r>
              <w:rPr>
                <w:rFonts w:ascii="Calibri" w:hAnsi="Calibri"/>
                <w:b/>
                <w:noProof/>
                <w:sz w:val="22"/>
              </w:rPr>
              <w:t>49,224</w:t>
            </w:r>
          </w:p>
        </w:tc>
      </w:tr>
      <w:tr w:rsidR="00A761A4">
        <w:tc>
          <w:tcPr>
            <w:tcW w:w="3600" w:type="dxa"/>
            <w:vMerge w:val="restart"/>
            <w:vAlign w:val="center"/>
          </w:tcPr>
          <w:p w:rsidR="00A761A4" w:rsidRDefault="0064189B">
            <w:pPr>
              <w:rPr>
                <w:noProof/>
              </w:rPr>
            </w:pPr>
            <w:r>
              <w:rPr>
                <w:noProof/>
                <w:sz w:val="20"/>
              </w:rPr>
              <w:t xml:space="preserve">Glava 2: Infrastrukturni i operativni troškovi </w:t>
            </w:r>
          </w:p>
        </w:tc>
        <w:tc>
          <w:tcPr>
            <w:tcW w:w="1645" w:type="dxa"/>
            <w:vAlign w:val="center"/>
          </w:tcPr>
          <w:p w:rsidR="00A761A4" w:rsidRDefault="0064189B">
            <w:pPr>
              <w:spacing w:before="20" w:after="20"/>
              <w:rPr>
                <w:noProof/>
                <w:sz w:val="18"/>
              </w:rPr>
            </w:pPr>
            <w:r>
              <w:rPr>
                <w:noProof/>
                <w:sz w:val="18"/>
              </w:rPr>
              <w:t>Preuzete obveze</w:t>
            </w:r>
          </w:p>
        </w:tc>
        <w:tc>
          <w:tcPr>
            <w:tcW w:w="567" w:type="dxa"/>
            <w:vAlign w:val="center"/>
          </w:tcPr>
          <w:p w:rsidR="00A761A4" w:rsidRDefault="0064189B">
            <w:pPr>
              <w:spacing w:before="20" w:after="20"/>
              <w:jc w:val="center"/>
              <w:rPr>
                <w:noProof/>
                <w:sz w:val="14"/>
              </w:rPr>
            </w:pPr>
            <w:r>
              <w:rPr>
                <w:noProof/>
                <w:sz w:val="14"/>
              </w:rPr>
              <w:t>(1a)</w:t>
            </w:r>
          </w:p>
        </w:tc>
        <w:tc>
          <w:tcPr>
            <w:tcW w:w="1039" w:type="dxa"/>
            <w:shd w:val="clear" w:color="auto" w:fill="D9D9D9" w:themeFill="background1" w:themeFillShade="D9"/>
            <w:vAlign w:val="center"/>
          </w:tcPr>
          <w:p w:rsidR="00A761A4" w:rsidRDefault="0064189B">
            <w:pPr>
              <w:spacing w:before="20" w:after="20"/>
              <w:jc w:val="center"/>
              <w:rPr>
                <w:noProof/>
                <w:sz w:val="20"/>
              </w:rPr>
            </w:pPr>
            <w:r>
              <w:rPr>
                <w:noProof/>
                <w:sz w:val="20"/>
              </w:rPr>
              <w:t>1,770</w:t>
            </w:r>
          </w:p>
        </w:tc>
        <w:tc>
          <w:tcPr>
            <w:tcW w:w="237" w:type="dxa"/>
            <w:vMerge/>
          </w:tcPr>
          <w:p w:rsidR="00A761A4" w:rsidRDefault="00A761A4">
            <w:pPr>
              <w:spacing w:before="20" w:after="20"/>
              <w:jc w:val="center"/>
              <w:rPr>
                <w:noProof/>
                <w:sz w:val="20"/>
              </w:rPr>
            </w:pPr>
          </w:p>
        </w:tc>
        <w:tc>
          <w:tcPr>
            <w:tcW w:w="1275" w:type="dxa"/>
            <w:vAlign w:val="center"/>
          </w:tcPr>
          <w:p w:rsidR="00A761A4" w:rsidRDefault="0064189B">
            <w:pPr>
              <w:spacing w:before="0" w:after="0"/>
              <w:jc w:val="center"/>
              <w:rPr>
                <w:noProof/>
                <w:sz w:val="20"/>
              </w:rPr>
            </w:pPr>
            <w:r>
              <w:rPr>
                <w:noProof/>
                <w:sz w:val="22"/>
              </w:rPr>
              <w:t>1,957</w:t>
            </w:r>
          </w:p>
        </w:tc>
        <w:tc>
          <w:tcPr>
            <w:tcW w:w="1276" w:type="dxa"/>
            <w:vAlign w:val="center"/>
          </w:tcPr>
          <w:p w:rsidR="00A761A4" w:rsidRDefault="0064189B">
            <w:pPr>
              <w:spacing w:before="0" w:after="0"/>
              <w:jc w:val="center"/>
              <w:rPr>
                <w:noProof/>
                <w:sz w:val="20"/>
              </w:rPr>
            </w:pPr>
            <w:r>
              <w:rPr>
                <w:noProof/>
                <w:sz w:val="22"/>
              </w:rPr>
              <w:t>2,232</w:t>
            </w:r>
          </w:p>
        </w:tc>
        <w:tc>
          <w:tcPr>
            <w:tcW w:w="1276" w:type="dxa"/>
            <w:vAlign w:val="center"/>
          </w:tcPr>
          <w:p w:rsidR="00A761A4" w:rsidRDefault="0064189B">
            <w:pPr>
              <w:spacing w:before="0" w:after="0"/>
              <w:jc w:val="center"/>
              <w:rPr>
                <w:noProof/>
                <w:sz w:val="20"/>
              </w:rPr>
            </w:pPr>
            <w:r>
              <w:rPr>
                <w:noProof/>
                <w:sz w:val="22"/>
              </w:rPr>
              <w:t>2,461</w:t>
            </w:r>
          </w:p>
        </w:tc>
        <w:tc>
          <w:tcPr>
            <w:tcW w:w="1276" w:type="dxa"/>
            <w:vAlign w:val="center"/>
          </w:tcPr>
          <w:p w:rsidR="00A761A4" w:rsidRDefault="0064189B">
            <w:pPr>
              <w:spacing w:before="0" w:after="0"/>
              <w:jc w:val="center"/>
              <w:rPr>
                <w:noProof/>
                <w:sz w:val="20"/>
              </w:rPr>
            </w:pPr>
            <w:r>
              <w:rPr>
                <w:noProof/>
                <w:sz w:val="22"/>
              </w:rPr>
              <w:t>2,565</w:t>
            </w:r>
          </w:p>
        </w:tc>
        <w:tc>
          <w:tcPr>
            <w:tcW w:w="1276" w:type="dxa"/>
            <w:vAlign w:val="center"/>
          </w:tcPr>
          <w:p w:rsidR="00A761A4" w:rsidRDefault="0064189B">
            <w:pPr>
              <w:spacing w:before="0" w:after="0"/>
              <w:jc w:val="center"/>
              <w:rPr>
                <w:b/>
                <w:noProof/>
                <w:sz w:val="20"/>
              </w:rPr>
            </w:pPr>
            <w:r>
              <w:rPr>
                <w:b/>
                <w:noProof/>
                <w:sz w:val="22"/>
              </w:rPr>
              <w:t>9,215</w:t>
            </w:r>
          </w:p>
        </w:tc>
      </w:tr>
      <w:tr w:rsidR="00A761A4">
        <w:tc>
          <w:tcPr>
            <w:tcW w:w="3600" w:type="dxa"/>
            <w:vMerge/>
            <w:vAlign w:val="center"/>
          </w:tcPr>
          <w:p w:rsidR="00A761A4" w:rsidRDefault="00A761A4">
            <w:pPr>
              <w:rPr>
                <w:noProof/>
              </w:rPr>
            </w:pPr>
          </w:p>
        </w:tc>
        <w:tc>
          <w:tcPr>
            <w:tcW w:w="1645" w:type="dxa"/>
            <w:vAlign w:val="center"/>
          </w:tcPr>
          <w:p w:rsidR="00A761A4" w:rsidRDefault="0064189B">
            <w:pPr>
              <w:spacing w:before="20" w:after="20"/>
              <w:rPr>
                <w:noProof/>
                <w:sz w:val="18"/>
              </w:rPr>
            </w:pPr>
            <w:r>
              <w:rPr>
                <w:noProof/>
                <w:sz w:val="18"/>
              </w:rPr>
              <w:t>Plaćanja</w:t>
            </w:r>
          </w:p>
        </w:tc>
        <w:tc>
          <w:tcPr>
            <w:tcW w:w="567" w:type="dxa"/>
            <w:vAlign w:val="center"/>
          </w:tcPr>
          <w:p w:rsidR="00A761A4" w:rsidRDefault="0064189B">
            <w:pPr>
              <w:spacing w:before="20" w:after="20"/>
              <w:jc w:val="center"/>
              <w:rPr>
                <w:noProof/>
                <w:sz w:val="14"/>
              </w:rPr>
            </w:pPr>
            <w:r>
              <w:rPr>
                <w:noProof/>
                <w:sz w:val="14"/>
              </w:rPr>
              <w:t>(2a)</w:t>
            </w:r>
          </w:p>
        </w:tc>
        <w:tc>
          <w:tcPr>
            <w:tcW w:w="1039" w:type="dxa"/>
            <w:shd w:val="clear" w:color="auto" w:fill="D9D9D9" w:themeFill="background1" w:themeFillShade="D9"/>
            <w:vAlign w:val="center"/>
          </w:tcPr>
          <w:p w:rsidR="00A761A4" w:rsidRDefault="0064189B">
            <w:pPr>
              <w:spacing w:before="20" w:after="20"/>
              <w:jc w:val="center"/>
              <w:rPr>
                <w:noProof/>
                <w:sz w:val="20"/>
              </w:rPr>
            </w:pPr>
            <w:r>
              <w:rPr>
                <w:noProof/>
                <w:sz w:val="20"/>
              </w:rPr>
              <w:t>1,770</w:t>
            </w:r>
          </w:p>
        </w:tc>
        <w:tc>
          <w:tcPr>
            <w:tcW w:w="237" w:type="dxa"/>
            <w:vMerge/>
          </w:tcPr>
          <w:p w:rsidR="00A761A4" w:rsidRDefault="00A761A4">
            <w:pPr>
              <w:spacing w:before="20" w:after="20"/>
              <w:jc w:val="center"/>
              <w:rPr>
                <w:noProof/>
                <w:sz w:val="20"/>
              </w:rPr>
            </w:pPr>
          </w:p>
        </w:tc>
        <w:tc>
          <w:tcPr>
            <w:tcW w:w="1275" w:type="dxa"/>
            <w:vAlign w:val="center"/>
          </w:tcPr>
          <w:p w:rsidR="00A761A4" w:rsidRDefault="0064189B">
            <w:pPr>
              <w:spacing w:before="0" w:after="0"/>
              <w:jc w:val="center"/>
              <w:rPr>
                <w:noProof/>
                <w:sz w:val="20"/>
              </w:rPr>
            </w:pPr>
            <w:r>
              <w:rPr>
                <w:noProof/>
                <w:sz w:val="22"/>
              </w:rPr>
              <w:t>1,957</w:t>
            </w:r>
          </w:p>
        </w:tc>
        <w:tc>
          <w:tcPr>
            <w:tcW w:w="1276" w:type="dxa"/>
            <w:vAlign w:val="center"/>
          </w:tcPr>
          <w:p w:rsidR="00A761A4" w:rsidRDefault="0064189B">
            <w:pPr>
              <w:spacing w:before="0" w:after="0"/>
              <w:jc w:val="center"/>
              <w:rPr>
                <w:noProof/>
                <w:sz w:val="20"/>
              </w:rPr>
            </w:pPr>
            <w:r>
              <w:rPr>
                <w:noProof/>
                <w:sz w:val="22"/>
              </w:rPr>
              <w:t>2,232</w:t>
            </w:r>
          </w:p>
        </w:tc>
        <w:tc>
          <w:tcPr>
            <w:tcW w:w="1276" w:type="dxa"/>
            <w:vAlign w:val="center"/>
          </w:tcPr>
          <w:p w:rsidR="00A761A4" w:rsidRDefault="0064189B">
            <w:pPr>
              <w:spacing w:before="0" w:after="0"/>
              <w:jc w:val="center"/>
              <w:rPr>
                <w:bCs/>
                <w:noProof/>
                <w:sz w:val="22"/>
              </w:rPr>
            </w:pPr>
            <w:r>
              <w:rPr>
                <w:noProof/>
                <w:sz w:val="22"/>
              </w:rPr>
              <w:t>2,461</w:t>
            </w:r>
          </w:p>
        </w:tc>
        <w:tc>
          <w:tcPr>
            <w:tcW w:w="1276" w:type="dxa"/>
            <w:vAlign w:val="center"/>
          </w:tcPr>
          <w:p w:rsidR="00A761A4" w:rsidRDefault="0064189B">
            <w:pPr>
              <w:spacing w:before="0" w:after="0"/>
              <w:jc w:val="center"/>
              <w:rPr>
                <w:bCs/>
                <w:noProof/>
                <w:sz w:val="22"/>
              </w:rPr>
            </w:pPr>
            <w:r>
              <w:rPr>
                <w:noProof/>
                <w:sz w:val="22"/>
              </w:rPr>
              <w:t>2,565</w:t>
            </w:r>
          </w:p>
        </w:tc>
        <w:tc>
          <w:tcPr>
            <w:tcW w:w="1276" w:type="dxa"/>
            <w:vAlign w:val="center"/>
          </w:tcPr>
          <w:p w:rsidR="00A761A4" w:rsidRDefault="0064189B">
            <w:pPr>
              <w:spacing w:before="0" w:after="0"/>
              <w:jc w:val="center"/>
              <w:rPr>
                <w:b/>
                <w:noProof/>
                <w:sz w:val="20"/>
              </w:rPr>
            </w:pPr>
            <w:r>
              <w:rPr>
                <w:b/>
                <w:noProof/>
                <w:sz w:val="22"/>
              </w:rPr>
              <w:t>9,215</w:t>
            </w:r>
          </w:p>
        </w:tc>
      </w:tr>
      <w:tr w:rsidR="00A761A4">
        <w:trPr>
          <w:trHeight w:val="319"/>
        </w:trPr>
        <w:tc>
          <w:tcPr>
            <w:tcW w:w="3600" w:type="dxa"/>
            <w:vMerge w:val="restart"/>
            <w:vAlign w:val="center"/>
          </w:tcPr>
          <w:p w:rsidR="00A761A4" w:rsidRDefault="0064189B">
            <w:pPr>
              <w:spacing w:before="60" w:after="60"/>
              <w:rPr>
                <w:noProof/>
              </w:rPr>
            </w:pPr>
            <w:r>
              <w:rPr>
                <w:noProof/>
                <w:sz w:val="20"/>
              </w:rPr>
              <w:t xml:space="preserve">Glava 3: Operativni rashodi </w:t>
            </w:r>
          </w:p>
        </w:tc>
        <w:tc>
          <w:tcPr>
            <w:tcW w:w="1645" w:type="dxa"/>
            <w:vAlign w:val="center"/>
          </w:tcPr>
          <w:p w:rsidR="00A761A4" w:rsidRDefault="0064189B">
            <w:pPr>
              <w:spacing w:before="40" w:after="40"/>
              <w:rPr>
                <w:noProof/>
                <w:sz w:val="18"/>
              </w:rPr>
            </w:pPr>
            <w:r>
              <w:rPr>
                <w:noProof/>
                <w:sz w:val="18"/>
              </w:rPr>
              <w:t>Preuzete obveze</w:t>
            </w:r>
          </w:p>
        </w:tc>
        <w:tc>
          <w:tcPr>
            <w:tcW w:w="567" w:type="dxa"/>
            <w:vAlign w:val="center"/>
          </w:tcPr>
          <w:p w:rsidR="00A761A4" w:rsidRDefault="0064189B">
            <w:pPr>
              <w:spacing w:before="40" w:after="40"/>
              <w:jc w:val="center"/>
              <w:rPr>
                <w:noProof/>
                <w:sz w:val="14"/>
              </w:rPr>
            </w:pPr>
            <w:r>
              <w:rPr>
                <w:noProof/>
                <w:sz w:val="14"/>
              </w:rPr>
              <w:t>(3a)</w:t>
            </w:r>
          </w:p>
        </w:tc>
        <w:tc>
          <w:tcPr>
            <w:tcW w:w="1039" w:type="dxa"/>
            <w:shd w:val="clear" w:color="auto" w:fill="D9D9D9" w:themeFill="background1" w:themeFillShade="D9"/>
            <w:vAlign w:val="center"/>
          </w:tcPr>
          <w:p w:rsidR="00A761A4" w:rsidRDefault="0064189B">
            <w:pPr>
              <w:spacing w:before="40" w:after="40"/>
              <w:jc w:val="center"/>
              <w:rPr>
                <w:noProof/>
                <w:sz w:val="20"/>
              </w:rPr>
            </w:pPr>
            <w:r>
              <w:rPr>
                <w:noProof/>
                <w:sz w:val="20"/>
              </w:rPr>
              <w:t>3,086</w:t>
            </w:r>
          </w:p>
        </w:tc>
        <w:tc>
          <w:tcPr>
            <w:tcW w:w="237" w:type="dxa"/>
            <w:vMerge/>
          </w:tcPr>
          <w:p w:rsidR="00A761A4" w:rsidRDefault="00A761A4">
            <w:pPr>
              <w:spacing w:before="40" w:after="40"/>
              <w:jc w:val="center"/>
              <w:rPr>
                <w:noProof/>
                <w:sz w:val="20"/>
              </w:rPr>
            </w:pPr>
          </w:p>
        </w:tc>
        <w:tc>
          <w:tcPr>
            <w:tcW w:w="1275" w:type="dxa"/>
            <w:vAlign w:val="center"/>
          </w:tcPr>
          <w:p w:rsidR="00A761A4" w:rsidRDefault="0064189B">
            <w:pPr>
              <w:spacing w:before="0" w:after="0"/>
              <w:jc w:val="center"/>
              <w:rPr>
                <w:noProof/>
                <w:sz w:val="20"/>
              </w:rPr>
            </w:pPr>
            <w:r>
              <w:rPr>
                <w:noProof/>
                <w:sz w:val="22"/>
              </w:rPr>
              <w:t>4,694</w:t>
            </w:r>
          </w:p>
        </w:tc>
        <w:tc>
          <w:tcPr>
            <w:tcW w:w="1276" w:type="dxa"/>
            <w:vAlign w:val="center"/>
          </w:tcPr>
          <w:p w:rsidR="00A761A4" w:rsidRDefault="0064189B">
            <w:pPr>
              <w:spacing w:before="0" w:after="0"/>
              <w:jc w:val="center"/>
              <w:rPr>
                <w:noProof/>
                <w:sz w:val="20"/>
              </w:rPr>
            </w:pPr>
            <w:r>
              <w:rPr>
                <w:noProof/>
                <w:sz w:val="22"/>
              </w:rPr>
              <w:t>6,332</w:t>
            </w:r>
          </w:p>
        </w:tc>
        <w:tc>
          <w:tcPr>
            <w:tcW w:w="1276" w:type="dxa"/>
            <w:vAlign w:val="center"/>
          </w:tcPr>
          <w:p w:rsidR="00A761A4" w:rsidRDefault="0064189B">
            <w:pPr>
              <w:spacing w:before="0" w:after="0"/>
              <w:jc w:val="center"/>
              <w:rPr>
                <w:noProof/>
                <w:sz w:val="20"/>
              </w:rPr>
            </w:pPr>
            <w:r>
              <w:rPr>
                <w:noProof/>
                <w:sz w:val="22"/>
              </w:rPr>
              <w:t>6,438</w:t>
            </w:r>
          </w:p>
        </w:tc>
        <w:tc>
          <w:tcPr>
            <w:tcW w:w="1276" w:type="dxa"/>
            <w:vAlign w:val="center"/>
          </w:tcPr>
          <w:p w:rsidR="00A761A4" w:rsidRDefault="0064189B">
            <w:pPr>
              <w:spacing w:before="0" w:after="0"/>
              <w:jc w:val="center"/>
              <w:rPr>
                <w:noProof/>
                <w:sz w:val="20"/>
              </w:rPr>
            </w:pPr>
            <w:r>
              <w:rPr>
                <w:noProof/>
                <w:sz w:val="22"/>
              </w:rPr>
              <w:t>6,564</w:t>
            </w:r>
          </w:p>
        </w:tc>
        <w:tc>
          <w:tcPr>
            <w:tcW w:w="1276" w:type="dxa"/>
            <w:vAlign w:val="center"/>
          </w:tcPr>
          <w:p w:rsidR="00A761A4" w:rsidRDefault="0064189B">
            <w:pPr>
              <w:spacing w:before="0" w:after="0"/>
              <w:jc w:val="center"/>
              <w:rPr>
                <w:b/>
                <w:noProof/>
                <w:sz w:val="20"/>
              </w:rPr>
            </w:pPr>
            <w:r>
              <w:rPr>
                <w:b/>
                <w:noProof/>
                <w:sz w:val="22"/>
              </w:rPr>
              <w:t>24,028</w:t>
            </w:r>
          </w:p>
        </w:tc>
      </w:tr>
      <w:tr w:rsidR="00A761A4">
        <w:trPr>
          <w:trHeight w:val="319"/>
        </w:trPr>
        <w:tc>
          <w:tcPr>
            <w:tcW w:w="3600" w:type="dxa"/>
            <w:vMerge/>
            <w:vAlign w:val="center"/>
          </w:tcPr>
          <w:p w:rsidR="00A761A4" w:rsidRDefault="00A761A4">
            <w:pPr>
              <w:spacing w:before="60" w:after="60"/>
              <w:rPr>
                <w:b/>
                <w:noProof/>
                <w:sz w:val="20"/>
              </w:rPr>
            </w:pPr>
          </w:p>
        </w:tc>
        <w:tc>
          <w:tcPr>
            <w:tcW w:w="1645" w:type="dxa"/>
            <w:vAlign w:val="center"/>
          </w:tcPr>
          <w:p w:rsidR="00A761A4" w:rsidRDefault="0064189B">
            <w:pPr>
              <w:spacing w:before="40" w:after="40"/>
              <w:rPr>
                <w:noProof/>
                <w:sz w:val="18"/>
              </w:rPr>
            </w:pPr>
            <w:r>
              <w:rPr>
                <w:noProof/>
                <w:sz w:val="18"/>
              </w:rPr>
              <w:t>Plaćanja</w:t>
            </w:r>
          </w:p>
        </w:tc>
        <w:tc>
          <w:tcPr>
            <w:tcW w:w="567" w:type="dxa"/>
            <w:vAlign w:val="center"/>
          </w:tcPr>
          <w:p w:rsidR="00A761A4" w:rsidRDefault="0064189B">
            <w:pPr>
              <w:spacing w:before="40" w:after="40"/>
              <w:jc w:val="center"/>
              <w:rPr>
                <w:noProof/>
                <w:sz w:val="14"/>
              </w:rPr>
            </w:pPr>
            <w:r>
              <w:rPr>
                <w:noProof/>
                <w:sz w:val="14"/>
              </w:rPr>
              <w:t>(3b)</w:t>
            </w:r>
          </w:p>
        </w:tc>
        <w:tc>
          <w:tcPr>
            <w:tcW w:w="1039" w:type="dxa"/>
            <w:shd w:val="clear" w:color="auto" w:fill="D9D9D9" w:themeFill="background1" w:themeFillShade="D9"/>
            <w:vAlign w:val="center"/>
          </w:tcPr>
          <w:p w:rsidR="00A761A4" w:rsidRDefault="0064189B">
            <w:pPr>
              <w:spacing w:before="40" w:after="40"/>
              <w:jc w:val="center"/>
              <w:rPr>
                <w:noProof/>
                <w:sz w:val="20"/>
              </w:rPr>
            </w:pPr>
            <w:r>
              <w:rPr>
                <w:noProof/>
                <w:sz w:val="20"/>
              </w:rPr>
              <w:t>3,086</w:t>
            </w:r>
          </w:p>
        </w:tc>
        <w:tc>
          <w:tcPr>
            <w:tcW w:w="237" w:type="dxa"/>
            <w:vMerge/>
          </w:tcPr>
          <w:p w:rsidR="00A761A4" w:rsidRDefault="00A761A4">
            <w:pPr>
              <w:spacing w:before="40" w:after="40"/>
              <w:jc w:val="center"/>
              <w:rPr>
                <w:noProof/>
                <w:sz w:val="20"/>
              </w:rPr>
            </w:pPr>
          </w:p>
        </w:tc>
        <w:tc>
          <w:tcPr>
            <w:tcW w:w="1275" w:type="dxa"/>
            <w:vAlign w:val="center"/>
          </w:tcPr>
          <w:p w:rsidR="00A761A4" w:rsidRDefault="0064189B">
            <w:pPr>
              <w:spacing w:before="0" w:after="0"/>
              <w:jc w:val="center"/>
              <w:rPr>
                <w:noProof/>
                <w:sz w:val="20"/>
              </w:rPr>
            </w:pPr>
            <w:r>
              <w:rPr>
                <w:noProof/>
                <w:sz w:val="22"/>
              </w:rPr>
              <w:t>4,694</w:t>
            </w:r>
          </w:p>
        </w:tc>
        <w:tc>
          <w:tcPr>
            <w:tcW w:w="1276" w:type="dxa"/>
            <w:vAlign w:val="center"/>
          </w:tcPr>
          <w:p w:rsidR="00A761A4" w:rsidRDefault="0064189B">
            <w:pPr>
              <w:spacing w:before="0" w:after="0"/>
              <w:jc w:val="center"/>
              <w:rPr>
                <w:noProof/>
                <w:sz w:val="20"/>
              </w:rPr>
            </w:pPr>
            <w:r>
              <w:rPr>
                <w:noProof/>
                <w:sz w:val="22"/>
              </w:rPr>
              <w:t>6,332</w:t>
            </w:r>
          </w:p>
        </w:tc>
        <w:tc>
          <w:tcPr>
            <w:tcW w:w="1276" w:type="dxa"/>
            <w:vAlign w:val="center"/>
          </w:tcPr>
          <w:p w:rsidR="00A761A4" w:rsidRDefault="0064189B">
            <w:pPr>
              <w:spacing w:before="0" w:after="0"/>
              <w:jc w:val="center"/>
              <w:rPr>
                <w:noProof/>
                <w:sz w:val="20"/>
              </w:rPr>
            </w:pPr>
            <w:r>
              <w:rPr>
                <w:noProof/>
                <w:sz w:val="22"/>
              </w:rPr>
              <w:t>6,438</w:t>
            </w:r>
          </w:p>
        </w:tc>
        <w:tc>
          <w:tcPr>
            <w:tcW w:w="1276" w:type="dxa"/>
            <w:vAlign w:val="center"/>
          </w:tcPr>
          <w:p w:rsidR="00A761A4" w:rsidRDefault="0064189B">
            <w:pPr>
              <w:spacing w:before="0" w:after="0"/>
              <w:jc w:val="center"/>
              <w:rPr>
                <w:noProof/>
                <w:sz w:val="20"/>
              </w:rPr>
            </w:pPr>
            <w:r>
              <w:rPr>
                <w:noProof/>
                <w:sz w:val="22"/>
              </w:rPr>
              <w:t>6,564</w:t>
            </w:r>
          </w:p>
        </w:tc>
        <w:tc>
          <w:tcPr>
            <w:tcW w:w="1276" w:type="dxa"/>
            <w:vAlign w:val="center"/>
          </w:tcPr>
          <w:p w:rsidR="00A761A4" w:rsidRDefault="0064189B">
            <w:pPr>
              <w:spacing w:before="0" w:after="0"/>
              <w:jc w:val="center"/>
              <w:rPr>
                <w:b/>
                <w:noProof/>
                <w:sz w:val="20"/>
              </w:rPr>
            </w:pPr>
            <w:r>
              <w:rPr>
                <w:b/>
                <w:noProof/>
                <w:sz w:val="22"/>
              </w:rPr>
              <w:t>24,028</w:t>
            </w:r>
          </w:p>
        </w:tc>
      </w:tr>
      <w:tr w:rsidR="00A761A4">
        <w:tc>
          <w:tcPr>
            <w:tcW w:w="3600" w:type="dxa"/>
            <w:vMerge w:val="restart"/>
            <w:vAlign w:val="center"/>
          </w:tcPr>
          <w:p w:rsidR="00A761A4" w:rsidRDefault="0064189B">
            <w:pPr>
              <w:jc w:val="center"/>
              <w:rPr>
                <w:noProof/>
              </w:rPr>
            </w:pPr>
            <w:r>
              <w:rPr>
                <w:b/>
                <w:noProof/>
              </w:rPr>
              <w:t>UKUPNA odobrena sredstva</w:t>
            </w:r>
            <w:r>
              <w:rPr>
                <w:noProof/>
                <w:sz w:val="22"/>
              </w:rPr>
              <w:br/>
            </w:r>
            <w:r>
              <w:rPr>
                <w:b/>
                <w:noProof/>
                <w:sz w:val="22"/>
              </w:rPr>
              <w:t>za ENISA-u</w:t>
            </w:r>
          </w:p>
        </w:tc>
        <w:tc>
          <w:tcPr>
            <w:tcW w:w="1645" w:type="dxa"/>
            <w:vAlign w:val="center"/>
          </w:tcPr>
          <w:p w:rsidR="00A761A4" w:rsidRDefault="0064189B">
            <w:pPr>
              <w:rPr>
                <w:noProof/>
                <w:sz w:val="18"/>
              </w:rPr>
            </w:pPr>
            <w:r>
              <w:rPr>
                <w:noProof/>
                <w:sz w:val="18"/>
              </w:rPr>
              <w:t>Preuzete obveze</w:t>
            </w:r>
          </w:p>
        </w:tc>
        <w:tc>
          <w:tcPr>
            <w:tcW w:w="567" w:type="dxa"/>
            <w:vAlign w:val="center"/>
          </w:tcPr>
          <w:p w:rsidR="00A761A4" w:rsidRDefault="0064189B">
            <w:pPr>
              <w:jc w:val="center"/>
              <w:rPr>
                <w:noProof/>
                <w:sz w:val="14"/>
              </w:rPr>
            </w:pPr>
            <w:r>
              <w:rPr>
                <w:noProof/>
                <w:sz w:val="14"/>
              </w:rPr>
              <w:t>=1+1a +3a</w:t>
            </w:r>
          </w:p>
        </w:tc>
        <w:tc>
          <w:tcPr>
            <w:tcW w:w="1039" w:type="dxa"/>
            <w:shd w:val="clear" w:color="auto" w:fill="D9D9D9" w:themeFill="background1" w:themeFillShade="D9"/>
            <w:vAlign w:val="center"/>
          </w:tcPr>
          <w:p w:rsidR="00A761A4" w:rsidRDefault="0064189B">
            <w:pPr>
              <w:spacing w:before="20" w:after="20"/>
              <w:jc w:val="center"/>
              <w:rPr>
                <w:b/>
                <w:noProof/>
                <w:sz w:val="20"/>
              </w:rPr>
            </w:pPr>
            <w:r>
              <w:rPr>
                <w:b/>
                <w:noProof/>
                <w:sz w:val="20"/>
              </w:rPr>
              <w:t>11,244</w:t>
            </w:r>
          </w:p>
        </w:tc>
        <w:tc>
          <w:tcPr>
            <w:tcW w:w="237" w:type="dxa"/>
            <w:vMerge/>
          </w:tcPr>
          <w:p w:rsidR="00A761A4" w:rsidRDefault="00A761A4">
            <w:pPr>
              <w:spacing w:before="20" w:after="20"/>
              <w:jc w:val="right"/>
              <w:rPr>
                <w:b/>
                <w:noProof/>
                <w:sz w:val="20"/>
              </w:rPr>
            </w:pPr>
          </w:p>
        </w:tc>
        <w:tc>
          <w:tcPr>
            <w:tcW w:w="1275" w:type="dxa"/>
            <w:vAlign w:val="center"/>
          </w:tcPr>
          <w:p w:rsidR="00A761A4" w:rsidRDefault="0064189B">
            <w:pPr>
              <w:spacing w:before="0" w:after="0"/>
              <w:jc w:val="center"/>
              <w:rPr>
                <w:noProof/>
                <w:sz w:val="20"/>
              </w:rPr>
            </w:pPr>
            <w:r>
              <w:rPr>
                <w:noProof/>
                <w:sz w:val="22"/>
              </w:rPr>
              <w:t>16,550</w:t>
            </w:r>
          </w:p>
        </w:tc>
        <w:tc>
          <w:tcPr>
            <w:tcW w:w="1276" w:type="dxa"/>
            <w:vAlign w:val="center"/>
          </w:tcPr>
          <w:p w:rsidR="00A761A4" w:rsidRDefault="0064189B">
            <w:pPr>
              <w:spacing w:before="0" w:after="0"/>
              <w:jc w:val="center"/>
              <w:rPr>
                <w:noProof/>
                <w:sz w:val="20"/>
              </w:rPr>
            </w:pPr>
            <w:r>
              <w:rPr>
                <w:noProof/>
                <w:sz w:val="22"/>
              </w:rPr>
              <w:t>20,646</w:t>
            </w:r>
          </w:p>
        </w:tc>
        <w:tc>
          <w:tcPr>
            <w:tcW w:w="1276" w:type="dxa"/>
            <w:vAlign w:val="center"/>
          </w:tcPr>
          <w:p w:rsidR="00A761A4" w:rsidRDefault="0064189B">
            <w:pPr>
              <w:spacing w:before="0" w:after="0"/>
              <w:jc w:val="center"/>
              <w:rPr>
                <w:noProof/>
                <w:sz w:val="20"/>
              </w:rPr>
            </w:pPr>
            <w:r>
              <w:rPr>
                <w:noProof/>
                <w:sz w:val="22"/>
              </w:rPr>
              <w:t>22,248</w:t>
            </w:r>
          </w:p>
        </w:tc>
        <w:tc>
          <w:tcPr>
            <w:tcW w:w="1276" w:type="dxa"/>
            <w:vAlign w:val="center"/>
          </w:tcPr>
          <w:p w:rsidR="00A761A4" w:rsidRDefault="0064189B">
            <w:pPr>
              <w:spacing w:before="0" w:after="0"/>
              <w:jc w:val="center"/>
              <w:rPr>
                <w:noProof/>
                <w:sz w:val="20"/>
              </w:rPr>
            </w:pPr>
            <w:r>
              <w:rPr>
                <w:noProof/>
                <w:sz w:val="22"/>
              </w:rPr>
              <w:t>23,023</w:t>
            </w:r>
          </w:p>
        </w:tc>
        <w:tc>
          <w:tcPr>
            <w:tcW w:w="1276" w:type="dxa"/>
            <w:vAlign w:val="center"/>
          </w:tcPr>
          <w:p w:rsidR="00A761A4" w:rsidRDefault="0064189B">
            <w:pPr>
              <w:spacing w:before="0" w:after="0"/>
              <w:jc w:val="center"/>
              <w:rPr>
                <w:b/>
                <w:noProof/>
                <w:sz w:val="20"/>
              </w:rPr>
            </w:pPr>
            <w:r>
              <w:rPr>
                <w:b/>
                <w:noProof/>
                <w:sz w:val="22"/>
              </w:rPr>
              <w:t>82,467</w:t>
            </w:r>
          </w:p>
        </w:tc>
      </w:tr>
      <w:tr w:rsidR="00A761A4">
        <w:tc>
          <w:tcPr>
            <w:tcW w:w="3600" w:type="dxa"/>
            <w:vMerge/>
            <w:vAlign w:val="center"/>
          </w:tcPr>
          <w:p w:rsidR="00A761A4" w:rsidRDefault="00A761A4">
            <w:pPr>
              <w:rPr>
                <w:b/>
                <w:noProof/>
              </w:rPr>
            </w:pPr>
          </w:p>
        </w:tc>
        <w:tc>
          <w:tcPr>
            <w:tcW w:w="1645" w:type="dxa"/>
            <w:vAlign w:val="center"/>
          </w:tcPr>
          <w:p w:rsidR="00A761A4" w:rsidRDefault="0064189B">
            <w:pPr>
              <w:rPr>
                <w:noProof/>
                <w:sz w:val="18"/>
              </w:rPr>
            </w:pPr>
            <w:r>
              <w:rPr>
                <w:noProof/>
                <w:sz w:val="18"/>
              </w:rPr>
              <w:t>Plaćanja</w:t>
            </w:r>
          </w:p>
        </w:tc>
        <w:tc>
          <w:tcPr>
            <w:tcW w:w="567" w:type="dxa"/>
            <w:vAlign w:val="center"/>
          </w:tcPr>
          <w:p w:rsidR="00A761A4" w:rsidRDefault="0064189B">
            <w:pPr>
              <w:jc w:val="center"/>
              <w:rPr>
                <w:noProof/>
                <w:sz w:val="14"/>
              </w:rPr>
            </w:pPr>
            <w:r>
              <w:rPr>
                <w:noProof/>
                <w:sz w:val="14"/>
              </w:rPr>
              <w:t>=2+2a</w:t>
            </w:r>
          </w:p>
          <w:p w:rsidR="00A761A4" w:rsidRDefault="0064189B">
            <w:pPr>
              <w:jc w:val="center"/>
              <w:rPr>
                <w:noProof/>
                <w:sz w:val="14"/>
              </w:rPr>
            </w:pPr>
            <w:r>
              <w:rPr>
                <w:noProof/>
                <w:sz w:val="14"/>
              </w:rPr>
              <w:t>+3b</w:t>
            </w:r>
          </w:p>
        </w:tc>
        <w:tc>
          <w:tcPr>
            <w:tcW w:w="1039" w:type="dxa"/>
            <w:shd w:val="clear" w:color="auto" w:fill="D9D9D9" w:themeFill="background1" w:themeFillShade="D9"/>
            <w:vAlign w:val="center"/>
          </w:tcPr>
          <w:p w:rsidR="00A761A4" w:rsidRDefault="0064189B">
            <w:pPr>
              <w:spacing w:before="20" w:after="20"/>
              <w:jc w:val="center"/>
              <w:rPr>
                <w:b/>
                <w:noProof/>
                <w:sz w:val="20"/>
              </w:rPr>
            </w:pPr>
            <w:r>
              <w:rPr>
                <w:b/>
                <w:noProof/>
                <w:sz w:val="20"/>
              </w:rPr>
              <w:t>11,244</w:t>
            </w:r>
          </w:p>
        </w:tc>
        <w:tc>
          <w:tcPr>
            <w:tcW w:w="237" w:type="dxa"/>
            <w:vMerge/>
          </w:tcPr>
          <w:p w:rsidR="00A761A4" w:rsidRDefault="00A761A4">
            <w:pPr>
              <w:spacing w:before="20" w:after="20"/>
              <w:jc w:val="right"/>
              <w:rPr>
                <w:b/>
                <w:noProof/>
                <w:sz w:val="20"/>
              </w:rPr>
            </w:pPr>
          </w:p>
        </w:tc>
        <w:tc>
          <w:tcPr>
            <w:tcW w:w="1275" w:type="dxa"/>
            <w:vAlign w:val="center"/>
          </w:tcPr>
          <w:p w:rsidR="00A761A4" w:rsidRDefault="0064189B">
            <w:pPr>
              <w:spacing w:before="0" w:after="0"/>
              <w:jc w:val="center"/>
              <w:rPr>
                <w:b/>
                <w:noProof/>
                <w:sz w:val="20"/>
              </w:rPr>
            </w:pPr>
            <w:r>
              <w:rPr>
                <w:b/>
                <w:noProof/>
                <w:sz w:val="22"/>
              </w:rPr>
              <w:t>16,550</w:t>
            </w:r>
          </w:p>
        </w:tc>
        <w:tc>
          <w:tcPr>
            <w:tcW w:w="1276" w:type="dxa"/>
            <w:vAlign w:val="center"/>
          </w:tcPr>
          <w:p w:rsidR="00A761A4" w:rsidRDefault="0064189B">
            <w:pPr>
              <w:spacing w:before="0" w:after="0"/>
              <w:jc w:val="center"/>
              <w:rPr>
                <w:b/>
                <w:noProof/>
                <w:sz w:val="20"/>
              </w:rPr>
            </w:pPr>
            <w:r>
              <w:rPr>
                <w:b/>
                <w:noProof/>
                <w:sz w:val="22"/>
              </w:rPr>
              <w:t>20,646</w:t>
            </w:r>
          </w:p>
        </w:tc>
        <w:tc>
          <w:tcPr>
            <w:tcW w:w="1276" w:type="dxa"/>
            <w:vAlign w:val="center"/>
          </w:tcPr>
          <w:p w:rsidR="00A761A4" w:rsidRDefault="0064189B">
            <w:pPr>
              <w:spacing w:before="0" w:after="0"/>
              <w:jc w:val="center"/>
              <w:rPr>
                <w:b/>
                <w:noProof/>
                <w:sz w:val="20"/>
              </w:rPr>
            </w:pPr>
            <w:r>
              <w:rPr>
                <w:b/>
                <w:noProof/>
                <w:sz w:val="22"/>
              </w:rPr>
              <w:t>22,248</w:t>
            </w:r>
          </w:p>
        </w:tc>
        <w:tc>
          <w:tcPr>
            <w:tcW w:w="1276" w:type="dxa"/>
            <w:vAlign w:val="center"/>
          </w:tcPr>
          <w:p w:rsidR="00A761A4" w:rsidRDefault="0064189B">
            <w:pPr>
              <w:spacing w:before="0" w:after="0"/>
              <w:jc w:val="center"/>
              <w:rPr>
                <w:b/>
                <w:noProof/>
                <w:sz w:val="20"/>
              </w:rPr>
            </w:pPr>
            <w:r>
              <w:rPr>
                <w:b/>
                <w:noProof/>
                <w:sz w:val="22"/>
              </w:rPr>
              <w:t>23,023</w:t>
            </w:r>
          </w:p>
        </w:tc>
        <w:tc>
          <w:tcPr>
            <w:tcW w:w="1276" w:type="dxa"/>
            <w:vAlign w:val="center"/>
          </w:tcPr>
          <w:p w:rsidR="00A761A4" w:rsidRDefault="0064189B">
            <w:pPr>
              <w:spacing w:before="0" w:after="0"/>
              <w:jc w:val="center"/>
              <w:rPr>
                <w:b/>
                <w:noProof/>
                <w:sz w:val="20"/>
              </w:rPr>
            </w:pPr>
            <w:r>
              <w:rPr>
                <w:b/>
                <w:noProof/>
                <w:sz w:val="22"/>
              </w:rPr>
              <w:t>82,467</w:t>
            </w:r>
          </w:p>
        </w:tc>
      </w:tr>
    </w:tbl>
    <w:p w:rsidR="00A761A4" w:rsidRDefault="00A761A4">
      <w:pPr>
        <w:rPr>
          <w:noProof/>
        </w:rPr>
      </w:pPr>
    </w:p>
    <w:p w:rsidR="00A761A4" w:rsidRDefault="00A761A4">
      <w:pPr>
        <w:rPr>
          <w:noProof/>
        </w:rPr>
      </w:pPr>
    </w:p>
    <w:p w:rsidR="00A761A4" w:rsidRDefault="00A761A4">
      <w:pPr>
        <w:rPr>
          <w:noProof/>
        </w:rPr>
      </w:pPr>
    </w:p>
    <w:p w:rsidR="00A761A4" w:rsidRDefault="00A761A4">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761A4">
        <w:trPr>
          <w:jc w:val="center"/>
        </w:trPr>
        <w:tc>
          <w:tcPr>
            <w:tcW w:w="4744" w:type="dxa"/>
            <w:shd w:val="thinDiagStripe" w:color="C0C0C0" w:fill="auto"/>
            <w:vAlign w:val="center"/>
          </w:tcPr>
          <w:p w:rsidR="00A761A4" w:rsidRDefault="0064189B">
            <w:pPr>
              <w:spacing w:before="60" w:after="60"/>
              <w:jc w:val="center"/>
              <w:rPr>
                <w:b/>
                <w:noProof/>
              </w:rPr>
            </w:pPr>
            <w:r>
              <w:rPr>
                <w:noProof/>
              </w:rPr>
              <w:br w:type="page"/>
            </w:r>
            <w:r>
              <w:rPr>
                <w:b/>
                <w:noProof/>
                <w:sz w:val="22"/>
              </w:rPr>
              <w:t xml:space="preserve">Naslov višegodišnjeg financijskog </w:t>
            </w:r>
            <w:r>
              <w:rPr>
                <w:noProof/>
                <w:sz w:val="22"/>
              </w:rPr>
              <w:br/>
            </w:r>
            <w:r>
              <w:rPr>
                <w:b/>
                <w:noProof/>
                <w:sz w:val="22"/>
              </w:rPr>
              <w:t xml:space="preserve">okvira </w:t>
            </w:r>
          </w:p>
        </w:tc>
        <w:tc>
          <w:tcPr>
            <w:tcW w:w="1080" w:type="dxa"/>
            <w:shd w:val="thinDiagStripe" w:color="C0C0C0" w:fill="auto"/>
            <w:vAlign w:val="center"/>
          </w:tcPr>
          <w:p w:rsidR="00A761A4" w:rsidRDefault="0064189B">
            <w:pPr>
              <w:spacing w:before="60" w:after="60"/>
              <w:jc w:val="center"/>
              <w:rPr>
                <w:noProof/>
              </w:rPr>
            </w:pPr>
            <w:r>
              <w:rPr>
                <w:b/>
                <w:noProof/>
                <w:sz w:val="22"/>
              </w:rPr>
              <w:t>5</w:t>
            </w:r>
          </w:p>
        </w:tc>
        <w:tc>
          <w:tcPr>
            <w:tcW w:w="7817" w:type="dxa"/>
            <w:vAlign w:val="center"/>
          </w:tcPr>
          <w:p w:rsidR="00A761A4" w:rsidRDefault="0064189B">
            <w:pPr>
              <w:spacing w:before="60" w:after="60"/>
              <w:rPr>
                <w:noProof/>
              </w:rPr>
            </w:pPr>
            <w:r>
              <w:rPr>
                <w:noProof/>
                <w:sz w:val="22"/>
              </w:rPr>
              <w:t>„Administrativni rashodi”</w:t>
            </w:r>
          </w:p>
        </w:tc>
      </w:tr>
    </w:tbl>
    <w:p w:rsidR="00A761A4" w:rsidRDefault="0064189B">
      <w:pPr>
        <w:ind w:left="6480" w:firstLine="720"/>
        <w:jc w:val="center"/>
        <w:rPr>
          <w:noProof/>
          <w:sz w:val="20"/>
        </w:rPr>
      </w:pPr>
      <w:r>
        <w:rPr>
          <w:noProof/>
          <w:sz w:val="20"/>
        </w:rPr>
        <w:t>u milijunima EUR (do tri decimalna mjesta)</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A761A4">
        <w:tc>
          <w:tcPr>
            <w:tcW w:w="3600" w:type="dxa"/>
            <w:tcBorders>
              <w:top w:val="nil"/>
              <w:left w:val="nil"/>
              <w:right w:val="nil"/>
            </w:tcBorders>
            <w:vAlign w:val="center"/>
          </w:tcPr>
          <w:p w:rsidR="00A761A4" w:rsidRDefault="00A761A4">
            <w:pPr>
              <w:jc w:val="center"/>
              <w:rPr>
                <w:noProof/>
              </w:rPr>
            </w:pPr>
          </w:p>
        </w:tc>
        <w:tc>
          <w:tcPr>
            <w:tcW w:w="1560" w:type="dxa"/>
            <w:tcBorders>
              <w:top w:val="nil"/>
              <w:left w:val="nil"/>
              <w:right w:val="nil"/>
            </w:tcBorders>
          </w:tcPr>
          <w:p w:rsidR="00A761A4" w:rsidRDefault="00A761A4">
            <w:pPr>
              <w:rPr>
                <w:noProof/>
                <w:sz w:val="20"/>
              </w:rPr>
            </w:pPr>
          </w:p>
        </w:tc>
        <w:tc>
          <w:tcPr>
            <w:tcW w:w="534" w:type="dxa"/>
            <w:tcBorders>
              <w:top w:val="nil"/>
              <w:left w:val="nil"/>
            </w:tcBorders>
          </w:tcPr>
          <w:p w:rsidR="00A761A4" w:rsidRDefault="00A761A4">
            <w:pPr>
              <w:jc w:val="center"/>
              <w:rPr>
                <w:noProof/>
                <w:sz w:val="20"/>
              </w:rPr>
            </w:pPr>
          </w:p>
        </w:tc>
        <w:tc>
          <w:tcPr>
            <w:tcW w:w="1134" w:type="dxa"/>
            <w:vAlign w:val="center"/>
          </w:tcPr>
          <w:p w:rsidR="00A761A4" w:rsidRDefault="0064189B">
            <w:pPr>
              <w:jc w:val="center"/>
              <w:rPr>
                <w:b/>
                <w:noProof/>
                <w:sz w:val="20"/>
              </w:rPr>
            </w:pPr>
            <w:r>
              <w:rPr>
                <w:b/>
                <w:noProof/>
                <w:sz w:val="20"/>
              </w:rPr>
              <w:t>2019.</w:t>
            </w:r>
          </w:p>
          <w:p w:rsidR="00A761A4" w:rsidRDefault="0064189B">
            <w:pPr>
              <w:jc w:val="center"/>
              <w:rPr>
                <w:i/>
                <w:noProof/>
                <w:sz w:val="20"/>
              </w:rPr>
            </w:pPr>
            <w:r>
              <w:rPr>
                <w:i/>
                <w:noProof/>
                <w:sz w:val="16"/>
              </w:rPr>
              <w:t>(od 01.7.</w:t>
            </w:r>
            <w:r>
              <w:rPr>
                <w:i/>
                <w:noProof/>
                <w:sz w:val="16"/>
              </w:rPr>
              <w:t xml:space="preserve"> 2019.)</w:t>
            </w:r>
          </w:p>
        </w:tc>
        <w:tc>
          <w:tcPr>
            <w:tcW w:w="1110" w:type="dxa"/>
          </w:tcPr>
          <w:p w:rsidR="00A761A4" w:rsidRDefault="0064189B">
            <w:pPr>
              <w:jc w:val="center"/>
              <w:rPr>
                <w:noProof/>
                <w:sz w:val="20"/>
              </w:rPr>
            </w:pPr>
            <w:r>
              <w:rPr>
                <w:b/>
                <w:noProof/>
                <w:sz w:val="20"/>
              </w:rPr>
              <w:t>2020.</w:t>
            </w:r>
          </w:p>
        </w:tc>
        <w:tc>
          <w:tcPr>
            <w:tcW w:w="1276" w:type="dxa"/>
          </w:tcPr>
          <w:p w:rsidR="00A761A4" w:rsidRDefault="0064189B">
            <w:pPr>
              <w:jc w:val="center"/>
              <w:rPr>
                <w:b/>
                <w:noProof/>
                <w:sz w:val="20"/>
              </w:rPr>
            </w:pPr>
            <w:r>
              <w:rPr>
                <w:b/>
                <w:noProof/>
                <w:sz w:val="20"/>
              </w:rPr>
              <w:t>2021.</w:t>
            </w:r>
          </w:p>
        </w:tc>
        <w:tc>
          <w:tcPr>
            <w:tcW w:w="1418" w:type="dxa"/>
          </w:tcPr>
          <w:p w:rsidR="00A761A4" w:rsidRDefault="0064189B">
            <w:pPr>
              <w:jc w:val="center"/>
              <w:rPr>
                <w:b/>
                <w:noProof/>
                <w:sz w:val="20"/>
              </w:rPr>
            </w:pPr>
            <w:r>
              <w:rPr>
                <w:b/>
                <w:noProof/>
                <w:sz w:val="20"/>
              </w:rPr>
              <w:t>2022.</w:t>
            </w:r>
          </w:p>
        </w:tc>
        <w:tc>
          <w:tcPr>
            <w:tcW w:w="3118" w:type="dxa"/>
          </w:tcPr>
          <w:p w:rsidR="00A761A4" w:rsidRDefault="0064189B">
            <w:pPr>
              <w:jc w:val="center"/>
              <w:rPr>
                <w:b/>
                <w:noProof/>
                <w:sz w:val="20"/>
              </w:rPr>
            </w:pPr>
            <w:r>
              <w:rPr>
                <w:b/>
                <w:noProof/>
                <w:sz w:val="20"/>
              </w:rPr>
              <w:t>UKUPNO</w:t>
            </w:r>
          </w:p>
        </w:tc>
      </w:tr>
      <w:tr w:rsidR="00A761A4">
        <w:tc>
          <w:tcPr>
            <w:tcW w:w="3600" w:type="dxa"/>
            <w:vAlign w:val="center"/>
          </w:tcPr>
          <w:p w:rsidR="00A761A4" w:rsidRDefault="0064189B">
            <w:pPr>
              <w:spacing w:before="60" w:after="60"/>
              <w:jc w:val="center"/>
              <w:rPr>
                <w:noProof/>
              </w:rPr>
            </w:pPr>
            <w:r>
              <w:rPr>
                <w:noProof/>
                <w:sz w:val="22"/>
              </w:rPr>
              <w:t xml:space="preserve">GU: </w:t>
            </w:r>
            <w:r>
              <w:rPr>
                <w:noProof/>
              </w:rPr>
              <w:t>CNECT</w:t>
            </w:r>
          </w:p>
        </w:tc>
        <w:tc>
          <w:tcPr>
            <w:tcW w:w="10150" w:type="dxa"/>
            <w:gridSpan w:val="7"/>
          </w:tcPr>
          <w:p w:rsidR="00A761A4" w:rsidRDefault="00A761A4">
            <w:pPr>
              <w:spacing w:before="60" w:after="60"/>
              <w:jc w:val="center"/>
              <w:rPr>
                <w:noProof/>
                <w:sz w:val="22"/>
              </w:rPr>
            </w:pPr>
          </w:p>
        </w:tc>
      </w:tr>
      <w:tr w:rsidR="00A761A4">
        <w:trPr>
          <w:trHeight w:val="313"/>
        </w:trPr>
        <w:tc>
          <w:tcPr>
            <w:tcW w:w="5694" w:type="dxa"/>
            <w:gridSpan w:val="3"/>
            <w:vAlign w:val="center"/>
          </w:tcPr>
          <w:p w:rsidR="00A761A4" w:rsidRDefault="0064189B">
            <w:pPr>
              <w:spacing w:before="20" w:after="20"/>
              <w:rPr>
                <w:noProof/>
              </w:rPr>
            </w:pPr>
            <w:r>
              <w:rPr>
                <w:noProof/>
                <w:sz w:val="22"/>
              </w:rPr>
              <w:sym w:font="Wingdings" w:char="F09F"/>
            </w:r>
            <w:r>
              <w:rPr>
                <w:noProof/>
                <w:sz w:val="22"/>
              </w:rPr>
              <w:t xml:space="preserve"> Ljudski resursi </w:t>
            </w:r>
          </w:p>
        </w:tc>
        <w:tc>
          <w:tcPr>
            <w:tcW w:w="1134" w:type="dxa"/>
            <w:vAlign w:val="center"/>
          </w:tcPr>
          <w:p w:rsidR="00A761A4" w:rsidRDefault="0064189B">
            <w:pPr>
              <w:spacing w:before="20" w:after="20"/>
              <w:jc w:val="center"/>
              <w:rPr>
                <w:noProof/>
                <w:sz w:val="20"/>
              </w:rPr>
            </w:pPr>
            <w:r>
              <w:rPr>
                <w:noProof/>
                <w:sz w:val="20"/>
              </w:rPr>
              <w:t>0,216</w:t>
            </w:r>
          </w:p>
        </w:tc>
        <w:tc>
          <w:tcPr>
            <w:tcW w:w="1110" w:type="dxa"/>
            <w:vAlign w:val="center"/>
          </w:tcPr>
          <w:p w:rsidR="00A761A4" w:rsidRDefault="0064189B">
            <w:pPr>
              <w:spacing w:before="20" w:after="20"/>
              <w:jc w:val="center"/>
              <w:rPr>
                <w:noProof/>
                <w:sz w:val="20"/>
              </w:rPr>
            </w:pPr>
            <w:r>
              <w:rPr>
                <w:noProof/>
                <w:sz w:val="20"/>
              </w:rPr>
              <w:t>0,846</w:t>
            </w:r>
          </w:p>
        </w:tc>
        <w:tc>
          <w:tcPr>
            <w:tcW w:w="1276" w:type="dxa"/>
            <w:vAlign w:val="center"/>
          </w:tcPr>
          <w:p w:rsidR="00A761A4" w:rsidRDefault="0064189B">
            <w:pPr>
              <w:spacing w:before="20" w:after="20"/>
              <w:jc w:val="center"/>
              <w:rPr>
                <w:noProof/>
                <w:sz w:val="20"/>
              </w:rPr>
            </w:pPr>
            <w:r>
              <w:rPr>
                <w:noProof/>
                <w:sz w:val="20"/>
              </w:rPr>
              <w:t>0,846</w:t>
            </w:r>
          </w:p>
        </w:tc>
        <w:tc>
          <w:tcPr>
            <w:tcW w:w="1418" w:type="dxa"/>
            <w:vAlign w:val="center"/>
          </w:tcPr>
          <w:p w:rsidR="00A761A4" w:rsidRDefault="0064189B">
            <w:pPr>
              <w:spacing w:before="20" w:after="20"/>
              <w:jc w:val="center"/>
              <w:rPr>
                <w:noProof/>
                <w:sz w:val="20"/>
              </w:rPr>
            </w:pPr>
            <w:r>
              <w:rPr>
                <w:noProof/>
                <w:sz w:val="20"/>
              </w:rPr>
              <w:t>0,846</w:t>
            </w:r>
          </w:p>
        </w:tc>
        <w:tc>
          <w:tcPr>
            <w:tcW w:w="3118" w:type="dxa"/>
            <w:vAlign w:val="center"/>
          </w:tcPr>
          <w:p w:rsidR="00A761A4" w:rsidRDefault="0064189B">
            <w:pPr>
              <w:spacing w:before="20" w:after="20"/>
              <w:jc w:val="center"/>
              <w:rPr>
                <w:b/>
                <w:noProof/>
                <w:sz w:val="20"/>
              </w:rPr>
            </w:pPr>
            <w:r>
              <w:rPr>
                <w:b/>
                <w:noProof/>
                <w:sz w:val="20"/>
              </w:rPr>
              <w:t>2,754</w:t>
            </w:r>
          </w:p>
        </w:tc>
      </w:tr>
      <w:tr w:rsidR="00A761A4">
        <w:trPr>
          <w:trHeight w:val="351"/>
        </w:trPr>
        <w:tc>
          <w:tcPr>
            <w:tcW w:w="5694" w:type="dxa"/>
            <w:gridSpan w:val="3"/>
            <w:vAlign w:val="center"/>
          </w:tcPr>
          <w:p w:rsidR="00A761A4" w:rsidRDefault="0064189B">
            <w:pPr>
              <w:spacing w:before="20" w:after="20"/>
              <w:rPr>
                <w:noProof/>
              </w:rPr>
            </w:pPr>
            <w:r>
              <w:rPr>
                <w:noProof/>
                <w:sz w:val="22"/>
              </w:rPr>
              <w:sym w:font="Wingdings" w:char="F09F"/>
            </w:r>
            <w:r>
              <w:rPr>
                <w:noProof/>
                <w:sz w:val="22"/>
              </w:rPr>
              <w:t xml:space="preserve"> Ostali administrativni rashodi</w:t>
            </w:r>
          </w:p>
        </w:tc>
        <w:tc>
          <w:tcPr>
            <w:tcW w:w="1134" w:type="dxa"/>
            <w:vAlign w:val="center"/>
          </w:tcPr>
          <w:p w:rsidR="00A761A4" w:rsidRDefault="0064189B">
            <w:pPr>
              <w:spacing w:before="20" w:after="20"/>
              <w:jc w:val="center"/>
              <w:rPr>
                <w:noProof/>
                <w:sz w:val="20"/>
              </w:rPr>
            </w:pPr>
            <w:r>
              <w:rPr>
                <w:noProof/>
                <w:sz w:val="20"/>
              </w:rPr>
              <w:t>0,102</w:t>
            </w:r>
          </w:p>
        </w:tc>
        <w:tc>
          <w:tcPr>
            <w:tcW w:w="1110" w:type="dxa"/>
            <w:vAlign w:val="center"/>
          </w:tcPr>
          <w:p w:rsidR="00A761A4" w:rsidRDefault="0064189B">
            <w:pPr>
              <w:spacing w:before="20" w:after="20"/>
              <w:jc w:val="center"/>
              <w:rPr>
                <w:noProof/>
                <w:sz w:val="20"/>
              </w:rPr>
            </w:pPr>
            <w:r>
              <w:rPr>
                <w:noProof/>
                <w:sz w:val="20"/>
              </w:rPr>
              <w:t>0,235</w:t>
            </w:r>
          </w:p>
        </w:tc>
        <w:tc>
          <w:tcPr>
            <w:tcW w:w="1276" w:type="dxa"/>
            <w:vAlign w:val="center"/>
          </w:tcPr>
          <w:p w:rsidR="00A761A4" w:rsidRDefault="0064189B">
            <w:pPr>
              <w:spacing w:before="20" w:after="20"/>
              <w:jc w:val="center"/>
              <w:rPr>
                <w:noProof/>
                <w:sz w:val="20"/>
              </w:rPr>
            </w:pPr>
            <w:r>
              <w:rPr>
                <w:noProof/>
                <w:sz w:val="20"/>
              </w:rPr>
              <w:t>0,238</w:t>
            </w:r>
          </w:p>
        </w:tc>
        <w:tc>
          <w:tcPr>
            <w:tcW w:w="1418" w:type="dxa"/>
            <w:vAlign w:val="center"/>
          </w:tcPr>
          <w:p w:rsidR="00A761A4" w:rsidRDefault="0064189B">
            <w:pPr>
              <w:spacing w:before="20" w:after="20"/>
              <w:jc w:val="center"/>
              <w:rPr>
                <w:noProof/>
                <w:sz w:val="20"/>
              </w:rPr>
            </w:pPr>
            <w:r>
              <w:rPr>
                <w:noProof/>
                <w:sz w:val="20"/>
              </w:rPr>
              <w:t>0,242</w:t>
            </w:r>
          </w:p>
        </w:tc>
        <w:tc>
          <w:tcPr>
            <w:tcW w:w="3118" w:type="dxa"/>
            <w:vAlign w:val="center"/>
          </w:tcPr>
          <w:p w:rsidR="00A761A4" w:rsidRDefault="0064189B">
            <w:pPr>
              <w:spacing w:before="20" w:after="20"/>
              <w:jc w:val="center"/>
              <w:rPr>
                <w:b/>
                <w:noProof/>
                <w:sz w:val="20"/>
              </w:rPr>
            </w:pPr>
            <w:r>
              <w:rPr>
                <w:b/>
                <w:noProof/>
                <w:sz w:val="20"/>
              </w:rPr>
              <w:t>0,817</w:t>
            </w:r>
          </w:p>
        </w:tc>
      </w:tr>
      <w:tr w:rsidR="00A761A4">
        <w:tc>
          <w:tcPr>
            <w:tcW w:w="3600" w:type="dxa"/>
            <w:vAlign w:val="center"/>
          </w:tcPr>
          <w:p w:rsidR="00A761A4" w:rsidRDefault="0064189B">
            <w:pPr>
              <w:jc w:val="center"/>
              <w:rPr>
                <w:b/>
                <w:noProof/>
              </w:rPr>
            </w:pPr>
            <w:r>
              <w:rPr>
                <w:b/>
                <w:noProof/>
              </w:rPr>
              <w:t>UKUPNO GU</w:t>
            </w:r>
            <w:r>
              <w:rPr>
                <w:noProof/>
              </w:rPr>
              <w:t xml:space="preserve"> CNECT</w:t>
            </w:r>
          </w:p>
        </w:tc>
        <w:tc>
          <w:tcPr>
            <w:tcW w:w="2094" w:type="dxa"/>
            <w:gridSpan w:val="2"/>
            <w:vAlign w:val="center"/>
          </w:tcPr>
          <w:p w:rsidR="00A761A4" w:rsidRDefault="0064189B">
            <w:pPr>
              <w:rPr>
                <w:noProof/>
                <w:sz w:val="14"/>
              </w:rPr>
            </w:pPr>
            <w:r>
              <w:rPr>
                <w:noProof/>
                <w:sz w:val="18"/>
              </w:rPr>
              <w:t xml:space="preserve">Odobrena sredstva </w:t>
            </w:r>
          </w:p>
        </w:tc>
        <w:tc>
          <w:tcPr>
            <w:tcW w:w="1134" w:type="dxa"/>
            <w:vAlign w:val="center"/>
          </w:tcPr>
          <w:p w:rsidR="00A761A4" w:rsidRDefault="0064189B">
            <w:pPr>
              <w:spacing w:before="20" w:after="20"/>
              <w:jc w:val="center"/>
              <w:rPr>
                <w:noProof/>
                <w:sz w:val="20"/>
              </w:rPr>
            </w:pPr>
            <w:r>
              <w:rPr>
                <w:noProof/>
                <w:sz w:val="20"/>
              </w:rPr>
              <w:t>0,318</w:t>
            </w:r>
          </w:p>
        </w:tc>
        <w:tc>
          <w:tcPr>
            <w:tcW w:w="1110" w:type="dxa"/>
            <w:vAlign w:val="center"/>
          </w:tcPr>
          <w:p w:rsidR="00A761A4" w:rsidRDefault="0064189B">
            <w:pPr>
              <w:spacing w:before="20" w:after="20"/>
              <w:jc w:val="center"/>
              <w:rPr>
                <w:noProof/>
                <w:sz w:val="20"/>
              </w:rPr>
            </w:pPr>
            <w:r>
              <w:rPr>
                <w:noProof/>
                <w:sz w:val="20"/>
              </w:rPr>
              <w:t>1,081</w:t>
            </w:r>
          </w:p>
        </w:tc>
        <w:tc>
          <w:tcPr>
            <w:tcW w:w="1276" w:type="dxa"/>
            <w:vAlign w:val="center"/>
          </w:tcPr>
          <w:p w:rsidR="00A761A4" w:rsidRDefault="0064189B">
            <w:pPr>
              <w:spacing w:before="20" w:after="20"/>
              <w:jc w:val="center"/>
              <w:rPr>
                <w:noProof/>
                <w:sz w:val="20"/>
              </w:rPr>
            </w:pPr>
            <w:r>
              <w:rPr>
                <w:noProof/>
                <w:sz w:val="20"/>
              </w:rPr>
              <w:t>1,084</w:t>
            </w:r>
          </w:p>
        </w:tc>
        <w:tc>
          <w:tcPr>
            <w:tcW w:w="1418" w:type="dxa"/>
            <w:vAlign w:val="center"/>
          </w:tcPr>
          <w:p w:rsidR="00A761A4" w:rsidRDefault="0064189B">
            <w:pPr>
              <w:spacing w:before="20" w:after="20"/>
              <w:jc w:val="center"/>
              <w:rPr>
                <w:noProof/>
                <w:sz w:val="20"/>
              </w:rPr>
            </w:pPr>
            <w:r>
              <w:rPr>
                <w:noProof/>
                <w:sz w:val="20"/>
              </w:rPr>
              <w:t>1,088</w:t>
            </w:r>
          </w:p>
        </w:tc>
        <w:tc>
          <w:tcPr>
            <w:tcW w:w="3118" w:type="dxa"/>
            <w:vAlign w:val="center"/>
          </w:tcPr>
          <w:p w:rsidR="00A761A4" w:rsidRDefault="0064189B">
            <w:pPr>
              <w:spacing w:before="20" w:after="20"/>
              <w:jc w:val="center"/>
              <w:rPr>
                <w:b/>
                <w:noProof/>
                <w:sz w:val="20"/>
              </w:rPr>
            </w:pPr>
            <w:r>
              <w:rPr>
                <w:b/>
                <w:noProof/>
                <w:sz w:val="20"/>
              </w:rPr>
              <w:t>3,571</w:t>
            </w:r>
          </w:p>
        </w:tc>
      </w:tr>
    </w:tbl>
    <w:p w:rsidR="00A761A4" w:rsidRDefault="0064189B">
      <w:pPr>
        <w:rPr>
          <w:noProof/>
          <w:sz w:val="20"/>
          <w:u w:val="single"/>
        </w:rPr>
      </w:pPr>
      <w:r>
        <w:rPr>
          <w:noProof/>
          <w:sz w:val="20"/>
          <w:u w:val="single"/>
        </w:rPr>
        <w:t xml:space="preserve">Troškovi osoblja izračunani su u skladu s planiranim datumom zapošljavanja (zapošljavanje je predviđeno od 1. srpnja 2019.) </w:t>
      </w:r>
    </w:p>
    <w:p w:rsidR="00A761A4" w:rsidRDefault="0064189B">
      <w:pPr>
        <w:rPr>
          <w:noProof/>
          <w:sz w:val="20"/>
          <w:u w:val="single"/>
        </w:rPr>
      </w:pPr>
      <w:r>
        <w:rPr>
          <w:noProof/>
          <w:sz w:val="20"/>
          <w:u w:val="single"/>
        </w:rPr>
        <w:t xml:space="preserve">Planirana sredstva nakon 2020. okvirna su i njima se ne dovode u pitanje prijedlozi Komisije za višegodišnji financijski okvir </w:t>
      </w:r>
      <w:r>
        <w:rPr>
          <w:noProof/>
          <w:sz w:val="20"/>
          <w:u w:val="single"/>
        </w:rPr>
        <w:t>nakon 2020.</w:t>
      </w:r>
    </w:p>
    <w:p w:rsidR="00A761A4" w:rsidRDefault="00A761A4">
      <w:pPr>
        <w:rPr>
          <w:noProof/>
        </w:rPr>
      </w:pPr>
    </w:p>
    <w:p w:rsidR="00A761A4" w:rsidRDefault="00A761A4">
      <w:pPr>
        <w:rPr>
          <w:noProof/>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094"/>
        <w:gridCol w:w="1110"/>
        <w:gridCol w:w="1134"/>
        <w:gridCol w:w="1276"/>
        <w:gridCol w:w="1418"/>
        <w:gridCol w:w="3118"/>
      </w:tblGrid>
      <w:tr w:rsidR="00A761A4">
        <w:tc>
          <w:tcPr>
            <w:tcW w:w="3600" w:type="dxa"/>
            <w:shd w:val="thinDiagStripe" w:color="C0C0C0" w:fill="auto"/>
            <w:vAlign w:val="center"/>
          </w:tcPr>
          <w:p w:rsidR="00A761A4" w:rsidRDefault="0064189B">
            <w:pPr>
              <w:jc w:val="center"/>
              <w:rPr>
                <w:b/>
                <w:noProof/>
              </w:rPr>
            </w:pPr>
            <w:r>
              <w:rPr>
                <w:b/>
                <w:noProof/>
              </w:rPr>
              <w:t>UKUPNA odobrena sredstva</w:t>
            </w:r>
            <w:r>
              <w:rPr>
                <w:noProof/>
                <w:sz w:val="22"/>
              </w:rPr>
              <w:br/>
            </w:r>
            <w:r>
              <w:rPr>
                <w:b/>
                <w:noProof/>
                <w:sz w:val="22"/>
              </w:rPr>
              <w:t>iz NASLOVA 5</w:t>
            </w:r>
            <w:r>
              <w:rPr>
                <w:noProof/>
                <w:sz w:val="22"/>
              </w:rPr>
              <w:br/>
              <w:t>višegodišnjeg financijskog okvira</w:t>
            </w:r>
            <w:r>
              <w:rPr>
                <w:b/>
                <w:noProof/>
                <w:sz w:val="22"/>
              </w:rPr>
              <w:t xml:space="preserve"> </w:t>
            </w:r>
          </w:p>
        </w:tc>
        <w:tc>
          <w:tcPr>
            <w:tcW w:w="2094" w:type="dxa"/>
            <w:vAlign w:val="center"/>
          </w:tcPr>
          <w:p w:rsidR="00A761A4" w:rsidRDefault="0064189B">
            <w:pPr>
              <w:spacing w:before="40" w:after="40"/>
              <w:rPr>
                <w:noProof/>
              </w:rPr>
            </w:pPr>
            <w:r>
              <w:rPr>
                <w:noProof/>
                <w:sz w:val="18"/>
              </w:rPr>
              <w:t>(Ukupne preuzete obveze = ukupna plaćanja)</w:t>
            </w:r>
          </w:p>
        </w:tc>
        <w:tc>
          <w:tcPr>
            <w:tcW w:w="1110" w:type="dxa"/>
            <w:vAlign w:val="center"/>
          </w:tcPr>
          <w:p w:rsidR="00A761A4" w:rsidRDefault="0064189B">
            <w:pPr>
              <w:spacing w:before="20" w:after="20"/>
              <w:jc w:val="center"/>
              <w:rPr>
                <w:noProof/>
                <w:sz w:val="20"/>
              </w:rPr>
            </w:pPr>
            <w:r>
              <w:rPr>
                <w:noProof/>
                <w:sz w:val="20"/>
              </w:rPr>
              <w:t>0,318</w:t>
            </w:r>
          </w:p>
        </w:tc>
        <w:tc>
          <w:tcPr>
            <w:tcW w:w="1134" w:type="dxa"/>
            <w:vAlign w:val="center"/>
          </w:tcPr>
          <w:p w:rsidR="00A761A4" w:rsidRDefault="0064189B">
            <w:pPr>
              <w:spacing w:before="20" w:after="20"/>
              <w:jc w:val="center"/>
              <w:rPr>
                <w:noProof/>
                <w:sz w:val="20"/>
              </w:rPr>
            </w:pPr>
            <w:r>
              <w:rPr>
                <w:noProof/>
                <w:sz w:val="20"/>
              </w:rPr>
              <w:t>1,081</w:t>
            </w:r>
          </w:p>
        </w:tc>
        <w:tc>
          <w:tcPr>
            <w:tcW w:w="1276" w:type="dxa"/>
            <w:vAlign w:val="center"/>
          </w:tcPr>
          <w:p w:rsidR="00A761A4" w:rsidRDefault="0064189B">
            <w:pPr>
              <w:spacing w:before="20" w:after="20"/>
              <w:jc w:val="center"/>
              <w:rPr>
                <w:noProof/>
                <w:sz w:val="20"/>
              </w:rPr>
            </w:pPr>
            <w:r>
              <w:rPr>
                <w:noProof/>
                <w:sz w:val="20"/>
              </w:rPr>
              <w:t>1,084</w:t>
            </w:r>
          </w:p>
        </w:tc>
        <w:tc>
          <w:tcPr>
            <w:tcW w:w="1418" w:type="dxa"/>
            <w:vAlign w:val="center"/>
          </w:tcPr>
          <w:p w:rsidR="00A761A4" w:rsidRDefault="0064189B">
            <w:pPr>
              <w:spacing w:before="20" w:after="20"/>
              <w:jc w:val="center"/>
              <w:rPr>
                <w:noProof/>
                <w:sz w:val="20"/>
              </w:rPr>
            </w:pPr>
            <w:r>
              <w:rPr>
                <w:noProof/>
                <w:sz w:val="20"/>
              </w:rPr>
              <w:t>1,088</w:t>
            </w:r>
          </w:p>
        </w:tc>
        <w:tc>
          <w:tcPr>
            <w:tcW w:w="3118" w:type="dxa"/>
            <w:vAlign w:val="center"/>
          </w:tcPr>
          <w:p w:rsidR="00A761A4" w:rsidRDefault="0064189B">
            <w:pPr>
              <w:spacing w:before="20" w:after="20"/>
              <w:jc w:val="center"/>
              <w:rPr>
                <w:b/>
                <w:noProof/>
                <w:sz w:val="20"/>
              </w:rPr>
            </w:pPr>
            <w:r>
              <w:rPr>
                <w:b/>
                <w:noProof/>
                <w:sz w:val="20"/>
              </w:rPr>
              <w:t>3,571</w:t>
            </w:r>
          </w:p>
        </w:tc>
      </w:tr>
    </w:tbl>
    <w:p w:rsidR="00A761A4" w:rsidRDefault="00A761A4">
      <w:pPr>
        <w:ind w:left="6480" w:firstLine="720"/>
        <w:jc w:val="center"/>
        <w:rPr>
          <w:noProof/>
          <w:sz w:val="20"/>
        </w:rPr>
      </w:pPr>
    </w:p>
    <w:p w:rsidR="00A761A4" w:rsidRDefault="0064189B">
      <w:pPr>
        <w:ind w:left="6480" w:firstLine="720"/>
        <w:jc w:val="center"/>
        <w:rPr>
          <w:noProof/>
          <w:sz w:val="20"/>
        </w:rPr>
      </w:pPr>
      <w:r>
        <w:rPr>
          <w:noProof/>
          <w:sz w:val="20"/>
        </w:rPr>
        <w:t>u milijunima EUR (do tri decimalna mjesta)</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A761A4">
        <w:tc>
          <w:tcPr>
            <w:tcW w:w="3600" w:type="dxa"/>
            <w:tcBorders>
              <w:top w:val="nil"/>
              <w:left w:val="nil"/>
              <w:right w:val="nil"/>
            </w:tcBorders>
            <w:vAlign w:val="center"/>
          </w:tcPr>
          <w:p w:rsidR="00A761A4" w:rsidRDefault="00A761A4">
            <w:pPr>
              <w:jc w:val="center"/>
              <w:rPr>
                <w:noProof/>
              </w:rPr>
            </w:pPr>
          </w:p>
        </w:tc>
        <w:tc>
          <w:tcPr>
            <w:tcW w:w="1560" w:type="dxa"/>
            <w:tcBorders>
              <w:top w:val="nil"/>
              <w:left w:val="nil"/>
              <w:right w:val="nil"/>
            </w:tcBorders>
          </w:tcPr>
          <w:p w:rsidR="00A761A4" w:rsidRDefault="00A761A4">
            <w:pPr>
              <w:rPr>
                <w:noProof/>
                <w:sz w:val="20"/>
              </w:rPr>
            </w:pPr>
          </w:p>
        </w:tc>
        <w:tc>
          <w:tcPr>
            <w:tcW w:w="534" w:type="dxa"/>
            <w:tcBorders>
              <w:top w:val="nil"/>
              <w:left w:val="nil"/>
            </w:tcBorders>
          </w:tcPr>
          <w:p w:rsidR="00A761A4" w:rsidRDefault="00A761A4">
            <w:pPr>
              <w:jc w:val="center"/>
              <w:rPr>
                <w:noProof/>
                <w:sz w:val="20"/>
              </w:rPr>
            </w:pPr>
          </w:p>
        </w:tc>
        <w:tc>
          <w:tcPr>
            <w:tcW w:w="1134" w:type="dxa"/>
            <w:vAlign w:val="center"/>
          </w:tcPr>
          <w:p w:rsidR="00A761A4" w:rsidRDefault="0064189B">
            <w:pPr>
              <w:jc w:val="center"/>
              <w:rPr>
                <w:noProof/>
                <w:sz w:val="20"/>
              </w:rPr>
            </w:pPr>
            <w:r>
              <w:rPr>
                <w:b/>
                <w:noProof/>
                <w:sz w:val="20"/>
              </w:rPr>
              <w:t>2019.</w:t>
            </w:r>
          </w:p>
        </w:tc>
        <w:tc>
          <w:tcPr>
            <w:tcW w:w="1110" w:type="dxa"/>
          </w:tcPr>
          <w:p w:rsidR="00A761A4" w:rsidRDefault="0064189B">
            <w:pPr>
              <w:jc w:val="center"/>
              <w:rPr>
                <w:b/>
                <w:noProof/>
                <w:sz w:val="20"/>
              </w:rPr>
            </w:pPr>
            <w:r>
              <w:rPr>
                <w:b/>
                <w:noProof/>
                <w:sz w:val="20"/>
              </w:rPr>
              <w:t>2020.</w:t>
            </w:r>
          </w:p>
        </w:tc>
        <w:tc>
          <w:tcPr>
            <w:tcW w:w="1276" w:type="dxa"/>
          </w:tcPr>
          <w:p w:rsidR="00A761A4" w:rsidRDefault="0064189B">
            <w:pPr>
              <w:jc w:val="center"/>
              <w:rPr>
                <w:b/>
                <w:noProof/>
                <w:sz w:val="20"/>
              </w:rPr>
            </w:pPr>
            <w:r>
              <w:rPr>
                <w:b/>
                <w:noProof/>
                <w:sz w:val="20"/>
              </w:rPr>
              <w:t>2021.</w:t>
            </w:r>
          </w:p>
        </w:tc>
        <w:tc>
          <w:tcPr>
            <w:tcW w:w="1418" w:type="dxa"/>
            <w:vAlign w:val="center"/>
          </w:tcPr>
          <w:p w:rsidR="00A761A4" w:rsidRDefault="0064189B">
            <w:pPr>
              <w:jc w:val="center"/>
              <w:rPr>
                <w:noProof/>
                <w:sz w:val="20"/>
              </w:rPr>
            </w:pPr>
            <w:r>
              <w:rPr>
                <w:b/>
                <w:noProof/>
                <w:sz w:val="20"/>
              </w:rPr>
              <w:t>2022.</w:t>
            </w:r>
          </w:p>
        </w:tc>
        <w:tc>
          <w:tcPr>
            <w:tcW w:w="3118" w:type="dxa"/>
            <w:vAlign w:val="center"/>
          </w:tcPr>
          <w:p w:rsidR="00A761A4" w:rsidRDefault="0064189B">
            <w:pPr>
              <w:jc w:val="center"/>
              <w:rPr>
                <w:b/>
                <w:noProof/>
                <w:sz w:val="20"/>
              </w:rPr>
            </w:pPr>
            <w:r>
              <w:rPr>
                <w:b/>
                <w:noProof/>
                <w:sz w:val="20"/>
              </w:rPr>
              <w:t>UKUPNO</w:t>
            </w:r>
          </w:p>
        </w:tc>
      </w:tr>
      <w:tr w:rsidR="00A761A4">
        <w:tc>
          <w:tcPr>
            <w:tcW w:w="3600" w:type="dxa"/>
            <w:vMerge w:val="restart"/>
            <w:shd w:val="clear" w:color="auto" w:fill="C0C0C0"/>
            <w:vAlign w:val="center"/>
          </w:tcPr>
          <w:p w:rsidR="00A761A4" w:rsidRDefault="0064189B">
            <w:pPr>
              <w:jc w:val="center"/>
              <w:rPr>
                <w:b/>
                <w:noProof/>
              </w:rPr>
            </w:pPr>
            <w:r>
              <w:rPr>
                <w:b/>
                <w:noProof/>
                <w:sz w:val="22"/>
              </w:rPr>
              <w:t xml:space="preserve">UKUPNA odobrena </w:t>
            </w:r>
            <w:r>
              <w:rPr>
                <w:b/>
                <w:noProof/>
                <w:sz w:val="22"/>
              </w:rPr>
              <w:t>sredstva</w:t>
            </w:r>
            <w:r>
              <w:rPr>
                <w:noProof/>
                <w:sz w:val="22"/>
              </w:rPr>
              <w:br/>
            </w:r>
            <w:r>
              <w:rPr>
                <w:b/>
                <w:noProof/>
                <w:sz w:val="22"/>
              </w:rPr>
              <w:t>iz NASLOVA 1. – 5.</w:t>
            </w:r>
            <w:r>
              <w:rPr>
                <w:noProof/>
                <w:sz w:val="22"/>
              </w:rPr>
              <w:br/>
              <w:t>višegodišnjeg financijskog okvira</w:t>
            </w:r>
            <w:r>
              <w:rPr>
                <w:b/>
                <w:noProof/>
                <w:sz w:val="22"/>
              </w:rPr>
              <w:t xml:space="preserve"> </w:t>
            </w:r>
          </w:p>
        </w:tc>
        <w:tc>
          <w:tcPr>
            <w:tcW w:w="2094" w:type="dxa"/>
            <w:gridSpan w:val="2"/>
            <w:vAlign w:val="center"/>
          </w:tcPr>
          <w:p w:rsidR="00A761A4" w:rsidRDefault="0064189B">
            <w:pPr>
              <w:rPr>
                <w:noProof/>
                <w:sz w:val="14"/>
              </w:rPr>
            </w:pPr>
            <w:r>
              <w:rPr>
                <w:noProof/>
                <w:sz w:val="18"/>
              </w:rPr>
              <w:t>Preuzete obveze</w:t>
            </w:r>
          </w:p>
        </w:tc>
        <w:tc>
          <w:tcPr>
            <w:tcW w:w="1134" w:type="dxa"/>
            <w:vAlign w:val="center"/>
          </w:tcPr>
          <w:p w:rsidR="00A761A4" w:rsidRDefault="0064189B">
            <w:pPr>
              <w:spacing w:before="60" w:after="60"/>
              <w:jc w:val="center"/>
              <w:rPr>
                <w:noProof/>
                <w:sz w:val="20"/>
              </w:rPr>
            </w:pPr>
            <w:r>
              <w:rPr>
                <w:noProof/>
                <w:sz w:val="20"/>
              </w:rPr>
              <w:t>16,868</w:t>
            </w:r>
          </w:p>
        </w:tc>
        <w:tc>
          <w:tcPr>
            <w:tcW w:w="1110" w:type="dxa"/>
            <w:vAlign w:val="center"/>
          </w:tcPr>
          <w:p w:rsidR="00A761A4" w:rsidRDefault="0064189B">
            <w:pPr>
              <w:spacing w:before="60" w:after="60"/>
              <w:jc w:val="center"/>
              <w:rPr>
                <w:noProof/>
                <w:sz w:val="20"/>
              </w:rPr>
            </w:pPr>
            <w:r>
              <w:rPr>
                <w:noProof/>
                <w:sz w:val="20"/>
              </w:rPr>
              <w:t>21,727</w:t>
            </w:r>
          </w:p>
        </w:tc>
        <w:tc>
          <w:tcPr>
            <w:tcW w:w="1276" w:type="dxa"/>
            <w:vAlign w:val="center"/>
          </w:tcPr>
          <w:p w:rsidR="00A761A4" w:rsidRDefault="0064189B">
            <w:pPr>
              <w:spacing w:before="60" w:after="60"/>
              <w:jc w:val="center"/>
              <w:rPr>
                <w:noProof/>
                <w:sz w:val="20"/>
              </w:rPr>
            </w:pPr>
            <w:r>
              <w:rPr>
                <w:noProof/>
                <w:sz w:val="20"/>
              </w:rPr>
              <w:t>23,332</w:t>
            </w:r>
          </w:p>
        </w:tc>
        <w:tc>
          <w:tcPr>
            <w:tcW w:w="1418" w:type="dxa"/>
            <w:vAlign w:val="center"/>
          </w:tcPr>
          <w:p w:rsidR="00A761A4" w:rsidRDefault="0064189B">
            <w:pPr>
              <w:spacing w:before="60" w:after="60"/>
              <w:jc w:val="center"/>
              <w:rPr>
                <w:noProof/>
                <w:sz w:val="20"/>
              </w:rPr>
            </w:pPr>
            <w:r>
              <w:rPr>
                <w:noProof/>
                <w:sz w:val="20"/>
              </w:rPr>
              <w:t>24,11</w:t>
            </w:r>
          </w:p>
        </w:tc>
        <w:tc>
          <w:tcPr>
            <w:tcW w:w="3118" w:type="dxa"/>
            <w:vAlign w:val="center"/>
          </w:tcPr>
          <w:p w:rsidR="00A761A4" w:rsidRDefault="0064189B">
            <w:pPr>
              <w:spacing w:before="60" w:after="60"/>
              <w:jc w:val="center"/>
              <w:rPr>
                <w:b/>
                <w:noProof/>
                <w:sz w:val="20"/>
              </w:rPr>
            </w:pPr>
            <w:r>
              <w:rPr>
                <w:b/>
                <w:noProof/>
                <w:sz w:val="20"/>
              </w:rPr>
              <w:t>86,038</w:t>
            </w:r>
          </w:p>
        </w:tc>
      </w:tr>
      <w:tr w:rsidR="00A761A4">
        <w:tc>
          <w:tcPr>
            <w:tcW w:w="3600" w:type="dxa"/>
            <w:vMerge/>
            <w:vAlign w:val="center"/>
          </w:tcPr>
          <w:p w:rsidR="00A761A4" w:rsidRDefault="00A761A4">
            <w:pPr>
              <w:rPr>
                <w:b/>
                <w:noProof/>
              </w:rPr>
            </w:pPr>
          </w:p>
        </w:tc>
        <w:tc>
          <w:tcPr>
            <w:tcW w:w="2094" w:type="dxa"/>
            <w:gridSpan w:val="2"/>
            <w:vAlign w:val="center"/>
          </w:tcPr>
          <w:p w:rsidR="00A761A4" w:rsidRDefault="0064189B">
            <w:pPr>
              <w:rPr>
                <w:noProof/>
                <w:sz w:val="14"/>
              </w:rPr>
            </w:pPr>
            <w:r>
              <w:rPr>
                <w:noProof/>
                <w:sz w:val="18"/>
              </w:rPr>
              <w:t>Plaćanja</w:t>
            </w:r>
          </w:p>
        </w:tc>
        <w:tc>
          <w:tcPr>
            <w:tcW w:w="1134" w:type="dxa"/>
            <w:vAlign w:val="center"/>
          </w:tcPr>
          <w:p w:rsidR="00A761A4" w:rsidRDefault="0064189B">
            <w:pPr>
              <w:spacing w:before="60" w:after="60"/>
              <w:jc w:val="center"/>
              <w:rPr>
                <w:noProof/>
                <w:sz w:val="20"/>
              </w:rPr>
            </w:pPr>
            <w:r>
              <w:rPr>
                <w:noProof/>
                <w:sz w:val="20"/>
              </w:rPr>
              <w:t>16,868</w:t>
            </w:r>
          </w:p>
        </w:tc>
        <w:tc>
          <w:tcPr>
            <w:tcW w:w="1110" w:type="dxa"/>
            <w:vAlign w:val="center"/>
          </w:tcPr>
          <w:p w:rsidR="00A761A4" w:rsidRDefault="0064189B">
            <w:pPr>
              <w:spacing w:before="60" w:after="60"/>
              <w:jc w:val="center"/>
              <w:rPr>
                <w:noProof/>
                <w:sz w:val="20"/>
              </w:rPr>
            </w:pPr>
            <w:r>
              <w:rPr>
                <w:noProof/>
                <w:sz w:val="20"/>
              </w:rPr>
              <w:t>21,727</w:t>
            </w:r>
          </w:p>
        </w:tc>
        <w:tc>
          <w:tcPr>
            <w:tcW w:w="1276" w:type="dxa"/>
            <w:vAlign w:val="center"/>
          </w:tcPr>
          <w:p w:rsidR="00A761A4" w:rsidRDefault="0064189B">
            <w:pPr>
              <w:spacing w:before="60" w:after="60"/>
              <w:jc w:val="center"/>
              <w:rPr>
                <w:noProof/>
                <w:sz w:val="20"/>
              </w:rPr>
            </w:pPr>
            <w:r>
              <w:rPr>
                <w:noProof/>
                <w:sz w:val="20"/>
              </w:rPr>
              <w:t>23,332</w:t>
            </w:r>
          </w:p>
        </w:tc>
        <w:tc>
          <w:tcPr>
            <w:tcW w:w="1418" w:type="dxa"/>
            <w:vAlign w:val="center"/>
          </w:tcPr>
          <w:p w:rsidR="00A761A4" w:rsidRDefault="0064189B">
            <w:pPr>
              <w:spacing w:before="60" w:after="60"/>
              <w:jc w:val="center"/>
              <w:rPr>
                <w:noProof/>
                <w:sz w:val="20"/>
              </w:rPr>
            </w:pPr>
            <w:r>
              <w:rPr>
                <w:noProof/>
                <w:sz w:val="20"/>
              </w:rPr>
              <w:t>24,11</w:t>
            </w:r>
          </w:p>
        </w:tc>
        <w:tc>
          <w:tcPr>
            <w:tcW w:w="3118" w:type="dxa"/>
            <w:vAlign w:val="center"/>
          </w:tcPr>
          <w:p w:rsidR="00A761A4" w:rsidRDefault="0064189B">
            <w:pPr>
              <w:spacing w:before="60" w:after="60"/>
              <w:jc w:val="center"/>
              <w:rPr>
                <w:b/>
                <w:noProof/>
                <w:sz w:val="20"/>
              </w:rPr>
            </w:pPr>
            <w:r>
              <w:rPr>
                <w:b/>
                <w:noProof/>
                <w:sz w:val="20"/>
              </w:rPr>
              <w:t>86,038</w:t>
            </w:r>
          </w:p>
        </w:tc>
      </w:tr>
    </w:tbl>
    <w:p w:rsidR="00A761A4" w:rsidRDefault="00A761A4">
      <w:pPr>
        <w:rPr>
          <w:noProof/>
        </w:rPr>
        <w:sectPr w:rsidR="00A761A4" w:rsidSect="0064189B">
          <w:headerReference w:type="default" r:id="rId22"/>
          <w:footerReference w:type="default" r:id="rId23"/>
          <w:headerReference w:type="first" r:id="rId24"/>
          <w:footerReference w:type="first" r:id="rId25"/>
          <w:pgSz w:w="15840" w:h="12240" w:orient="landscape"/>
          <w:pgMar w:top="1134" w:right="1077" w:bottom="902" w:left="1247" w:header="709" w:footer="510" w:gutter="0"/>
          <w:cols w:space="720"/>
          <w:docGrid w:linePitch="326"/>
        </w:sectPr>
      </w:pPr>
    </w:p>
    <w:p w:rsidR="00A761A4" w:rsidRDefault="0064189B">
      <w:pPr>
        <w:pStyle w:val="ManualHeading3"/>
        <w:rPr>
          <w:bCs/>
          <w:noProof/>
          <w:szCs w:val="24"/>
        </w:rPr>
      </w:pPr>
      <w:r>
        <w:t>3.2.2.</w:t>
      </w:r>
      <w:r>
        <w:tab/>
      </w:r>
      <w:r>
        <w:rPr>
          <w:noProof/>
        </w:rPr>
        <w:t xml:space="preserve">Procijenjeni utjecaj na odobrena sredstva Agencije </w:t>
      </w:r>
    </w:p>
    <w:p w:rsidR="00A761A4" w:rsidRDefault="0064189B">
      <w:pPr>
        <w:pStyle w:val="Tiret1"/>
        <w:rPr>
          <w:noProof/>
        </w:rPr>
      </w:pPr>
      <w:r>
        <w:rPr>
          <w:noProof/>
        </w:rPr>
        <w:sym w:font="Wingdings" w:char="F0A8"/>
      </w:r>
      <w:r>
        <w:rPr>
          <w:noProof/>
        </w:rPr>
        <w:tab/>
        <w:t xml:space="preserve">Za prijedlog/inicijativu nisu potrebna odobrena sredstva za poslovanje </w:t>
      </w:r>
    </w:p>
    <w:p w:rsidR="00A761A4" w:rsidRDefault="0064189B">
      <w:pPr>
        <w:pStyle w:val="Tiret1"/>
        <w:rPr>
          <w:noProof/>
        </w:rPr>
      </w:pPr>
      <w:r>
        <w:rPr>
          <w:noProof/>
        </w:rPr>
        <w:sym w:font="Wingdings" w:char="F078"/>
      </w:r>
      <w:r>
        <w:rPr>
          <w:noProof/>
        </w:rPr>
        <w:tab/>
        <w:t>Za prijedlog/inicijativu potrebna su odobrena sredstva za poslovanje kako je navedeno u nastavku:</w:t>
      </w:r>
    </w:p>
    <w:p w:rsidR="00A761A4" w:rsidRDefault="0064189B">
      <w:pPr>
        <w:jc w:val="right"/>
        <w:rPr>
          <w:noProof/>
          <w:sz w:val="20"/>
        </w:rPr>
      </w:pPr>
      <w:r>
        <w:rPr>
          <w:noProof/>
          <w:sz w:val="20"/>
        </w:rPr>
        <w:t>Odobrena sredstva za preuzete obveze u milijunima EUR (do tri decimalna mjesta)</w:t>
      </w:r>
    </w:p>
    <w:p w:rsidR="00A761A4" w:rsidRDefault="00A761A4">
      <w:pPr>
        <w:jc w:val="right"/>
        <w:rPr>
          <w:noProof/>
          <w:sz w:val="20"/>
        </w:rPr>
      </w:pPr>
    </w:p>
    <w:tbl>
      <w:tblPr>
        <w:tblW w:w="4340" w:type="pct"/>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1117"/>
        <w:gridCol w:w="1112"/>
        <w:gridCol w:w="1109"/>
        <w:gridCol w:w="1109"/>
        <w:gridCol w:w="1109"/>
      </w:tblGrid>
      <w:tr w:rsidR="00A761A4">
        <w:trPr>
          <w:cantSplit/>
          <w:jc w:val="center"/>
        </w:trPr>
        <w:tc>
          <w:tcPr>
            <w:tcW w:w="2806" w:type="pct"/>
            <w:vAlign w:val="center"/>
          </w:tcPr>
          <w:p w:rsidR="00A761A4" w:rsidRDefault="0064189B">
            <w:pPr>
              <w:keepNext/>
              <w:keepLines/>
              <w:widowControl w:val="0"/>
              <w:ind w:right="-29"/>
              <w:jc w:val="center"/>
              <w:rPr>
                <w:noProof/>
                <w:sz w:val="20"/>
                <w:szCs w:val="20"/>
              </w:rPr>
            </w:pPr>
            <w:r>
              <w:rPr>
                <w:b/>
                <w:noProof/>
                <w:sz w:val="20"/>
              </w:rPr>
              <w:t>Navesti ciljeve i rezultate</w:t>
            </w:r>
            <w:r>
              <w:rPr>
                <w:rStyle w:val="FootnoteReference"/>
                <w:noProof/>
              </w:rPr>
              <w:footnoteReference w:id="56"/>
            </w:r>
          </w:p>
          <w:p w:rsidR="00A761A4" w:rsidRDefault="0064189B">
            <w:pPr>
              <w:keepNext/>
              <w:keepLines/>
              <w:widowControl w:val="0"/>
              <w:ind w:right="-29"/>
              <w:jc w:val="center"/>
              <w:rPr>
                <w:noProof/>
                <w:sz w:val="20"/>
                <w:szCs w:val="20"/>
              </w:rPr>
            </w:pPr>
            <w:r>
              <w:rPr>
                <w:noProof/>
                <w:sz w:val="20"/>
                <w:szCs w:val="20"/>
              </w:rPr>
              <w:sym w:font="Wingdings" w:char="F0F2"/>
            </w:r>
          </w:p>
        </w:tc>
        <w:tc>
          <w:tcPr>
            <w:tcW w:w="441" w:type="pct"/>
            <w:vAlign w:val="center"/>
          </w:tcPr>
          <w:p w:rsidR="00A761A4" w:rsidRDefault="0064189B">
            <w:pPr>
              <w:keepNext/>
              <w:keepLines/>
              <w:widowControl w:val="0"/>
              <w:ind w:right="-29"/>
              <w:jc w:val="center"/>
              <w:rPr>
                <w:noProof/>
                <w:sz w:val="20"/>
                <w:szCs w:val="20"/>
              </w:rPr>
            </w:pPr>
            <w:r>
              <w:rPr>
                <w:b/>
                <w:noProof/>
                <w:sz w:val="20"/>
              </w:rPr>
              <w:t>2019.</w:t>
            </w:r>
          </w:p>
        </w:tc>
        <w:tc>
          <w:tcPr>
            <w:tcW w:w="439" w:type="pct"/>
            <w:tcBorders>
              <w:right w:val="single" w:sz="4" w:space="0" w:color="auto"/>
            </w:tcBorders>
            <w:vAlign w:val="center"/>
          </w:tcPr>
          <w:p w:rsidR="00A761A4" w:rsidRDefault="0064189B">
            <w:pPr>
              <w:keepNext/>
              <w:keepLines/>
              <w:widowControl w:val="0"/>
              <w:ind w:right="-29"/>
              <w:jc w:val="center"/>
              <w:rPr>
                <w:noProof/>
                <w:sz w:val="20"/>
                <w:szCs w:val="20"/>
              </w:rPr>
            </w:pPr>
            <w:r>
              <w:rPr>
                <w:b/>
                <w:noProof/>
                <w:sz w:val="20"/>
              </w:rPr>
              <w:t>2020.</w:t>
            </w:r>
          </w:p>
        </w:tc>
        <w:tc>
          <w:tcPr>
            <w:tcW w:w="438" w:type="pct"/>
            <w:vAlign w:val="center"/>
          </w:tcPr>
          <w:p w:rsidR="00A761A4" w:rsidRDefault="0064189B">
            <w:pPr>
              <w:keepNext/>
              <w:keepLines/>
              <w:widowControl w:val="0"/>
              <w:ind w:right="-29"/>
              <w:jc w:val="center"/>
              <w:rPr>
                <w:b/>
                <w:noProof/>
                <w:sz w:val="20"/>
              </w:rPr>
            </w:pPr>
            <w:r>
              <w:rPr>
                <w:b/>
                <w:noProof/>
                <w:sz w:val="20"/>
              </w:rPr>
              <w:t>2021.</w:t>
            </w:r>
          </w:p>
        </w:tc>
        <w:tc>
          <w:tcPr>
            <w:tcW w:w="438" w:type="pct"/>
            <w:tcBorders>
              <w:right w:val="single" w:sz="4" w:space="0" w:color="auto"/>
            </w:tcBorders>
            <w:vAlign w:val="center"/>
          </w:tcPr>
          <w:p w:rsidR="00A761A4" w:rsidRDefault="0064189B">
            <w:pPr>
              <w:keepNext/>
              <w:keepLines/>
              <w:widowControl w:val="0"/>
              <w:ind w:right="-29"/>
              <w:jc w:val="center"/>
              <w:rPr>
                <w:b/>
                <w:noProof/>
                <w:sz w:val="20"/>
              </w:rPr>
            </w:pPr>
            <w:r>
              <w:rPr>
                <w:b/>
                <w:noProof/>
                <w:sz w:val="20"/>
              </w:rPr>
              <w:t>2022.</w:t>
            </w:r>
          </w:p>
        </w:tc>
        <w:tc>
          <w:tcPr>
            <w:tcW w:w="438" w:type="pct"/>
            <w:tcBorders>
              <w:left w:val="single" w:sz="4" w:space="0" w:color="auto"/>
              <w:bottom w:val="nil"/>
            </w:tcBorders>
            <w:vAlign w:val="center"/>
          </w:tcPr>
          <w:p w:rsidR="00A761A4" w:rsidRDefault="00A761A4">
            <w:pPr>
              <w:keepNext/>
              <w:keepLines/>
              <w:widowControl w:val="0"/>
              <w:ind w:right="-29"/>
              <w:jc w:val="center"/>
              <w:rPr>
                <w:b/>
                <w:noProof/>
                <w:sz w:val="20"/>
                <w:szCs w:val="20"/>
              </w:rPr>
            </w:pPr>
          </w:p>
          <w:p w:rsidR="00A761A4" w:rsidRDefault="0064189B">
            <w:pPr>
              <w:keepNext/>
              <w:keepLines/>
              <w:widowControl w:val="0"/>
              <w:ind w:right="-29"/>
              <w:jc w:val="center"/>
              <w:rPr>
                <w:b/>
                <w:noProof/>
                <w:sz w:val="20"/>
                <w:szCs w:val="20"/>
              </w:rPr>
            </w:pPr>
            <w:r>
              <w:rPr>
                <w:b/>
                <w:noProof/>
                <w:sz w:val="20"/>
              </w:rPr>
              <w:t>UKUPNO</w:t>
            </w:r>
          </w:p>
          <w:p w:rsidR="00A761A4" w:rsidRDefault="00A761A4">
            <w:pPr>
              <w:keepNext/>
              <w:keepLines/>
              <w:widowControl w:val="0"/>
              <w:ind w:right="-29"/>
              <w:jc w:val="center"/>
              <w:rPr>
                <w:noProof/>
                <w:sz w:val="20"/>
                <w:szCs w:val="20"/>
              </w:rPr>
            </w:pPr>
          </w:p>
        </w:tc>
      </w:tr>
      <w:tr w:rsidR="00A761A4">
        <w:trPr>
          <w:trHeight w:val="425"/>
          <w:jc w:val="center"/>
        </w:trPr>
        <w:tc>
          <w:tcPr>
            <w:tcW w:w="2806" w:type="pct"/>
            <w:vAlign w:val="bottom"/>
          </w:tcPr>
          <w:p w:rsidR="00A761A4" w:rsidRDefault="0064189B">
            <w:pPr>
              <w:keepNext/>
              <w:keepLines/>
              <w:widowControl w:val="0"/>
              <w:rPr>
                <w:b/>
                <w:bCs/>
                <w:noProof/>
                <w:sz w:val="20"/>
                <w:szCs w:val="20"/>
              </w:rPr>
            </w:pPr>
            <w:r>
              <w:rPr>
                <w:noProof/>
                <w:sz w:val="20"/>
              </w:rPr>
              <w:t>Jačanje sposobnosti i pripravnosti država članica i poduzeća</w:t>
            </w:r>
          </w:p>
        </w:tc>
        <w:tc>
          <w:tcPr>
            <w:tcW w:w="441" w:type="pct"/>
            <w:vAlign w:val="center"/>
          </w:tcPr>
          <w:p w:rsidR="00A761A4" w:rsidRDefault="0064189B">
            <w:pPr>
              <w:keepNext/>
              <w:keepLines/>
              <w:widowControl w:val="0"/>
              <w:jc w:val="center"/>
              <w:rPr>
                <w:noProof/>
                <w:sz w:val="20"/>
                <w:szCs w:val="20"/>
              </w:rPr>
            </w:pPr>
            <w:r>
              <w:rPr>
                <w:noProof/>
                <w:sz w:val="20"/>
              </w:rPr>
              <w:t xml:space="preserve">               1,408 </w:t>
            </w:r>
          </w:p>
        </w:tc>
        <w:tc>
          <w:tcPr>
            <w:tcW w:w="439" w:type="pct"/>
            <w:tcBorders>
              <w:right w:val="single" w:sz="4" w:space="0" w:color="auto"/>
            </w:tcBorders>
            <w:vAlign w:val="center"/>
          </w:tcPr>
          <w:p w:rsidR="00A761A4" w:rsidRDefault="0064189B">
            <w:pPr>
              <w:keepNext/>
              <w:keepLines/>
              <w:widowControl w:val="0"/>
              <w:jc w:val="center"/>
              <w:rPr>
                <w:noProof/>
                <w:sz w:val="20"/>
                <w:szCs w:val="20"/>
              </w:rPr>
            </w:pPr>
            <w:r>
              <w:rPr>
                <w:noProof/>
                <w:sz w:val="20"/>
              </w:rPr>
              <w:t xml:space="preserve">              1,900 </w:t>
            </w:r>
          </w:p>
        </w:tc>
        <w:tc>
          <w:tcPr>
            <w:tcW w:w="438" w:type="pct"/>
            <w:vAlign w:val="center"/>
          </w:tcPr>
          <w:p w:rsidR="00A761A4" w:rsidRDefault="0064189B">
            <w:pPr>
              <w:jc w:val="center"/>
              <w:rPr>
                <w:noProof/>
                <w:sz w:val="20"/>
                <w:szCs w:val="20"/>
              </w:rPr>
            </w:pPr>
            <w:r>
              <w:rPr>
                <w:noProof/>
                <w:sz w:val="20"/>
              </w:rPr>
              <w:t xml:space="preserve">              1,931 </w:t>
            </w:r>
          </w:p>
        </w:tc>
        <w:tc>
          <w:tcPr>
            <w:tcW w:w="438" w:type="pct"/>
            <w:tcBorders>
              <w:right w:val="single" w:sz="4" w:space="0" w:color="auto"/>
            </w:tcBorders>
            <w:vAlign w:val="center"/>
          </w:tcPr>
          <w:p w:rsidR="00A761A4" w:rsidRDefault="0064189B">
            <w:pPr>
              <w:jc w:val="center"/>
              <w:rPr>
                <w:noProof/>
                <w:sz w:val="20"/>
                <w:szCs w:val="20"/>
              </w:rPr>
            </w:pPr>
            <w:r>
              <w:rPr>
                <w:noProof/>
                <w:sz w:val="20"/>
              </w:rPr>
              <w:t xml:space="preserve">              1,969 </w:t>
            </w:r>
          </w:p>
        </w:tc>
        <w:tc>
          <w:tcPr>
            <w:tcW w:w="438" w:type="pct"/>
            <w:tcBorders>
              <w:left w:val="single" w:sz="4" w:space="0" w:color="auto"/>
              <w:bottom w:val="nil"/>
            </w:tcBorders>
            <w:vAlign w:val="center"/>
          </w:tcPr>
          <w:p w:rsidR="00A761A4" w:rsidRDefault="0064189B">
            <w:pPr>
              <w:jc w:val="center"/>
              <w:rPr>
                <w:b/>
                <w:noProof/>
                <w:sz w:val="20"/>
                <w:szCs w:val="20"/>
                <w:highlight w:val="yellow"/>
              </w:rPr>
            </w:pPr>
            <w:r>
              <w:rPr>
                <w:noProof/>
                <w:sz w:val="20"/>
              </w:rPr>
              <w:t xml:space="preserve">                 7,208 </w:t>
            </w:r>
          </w:p>
        </w:tc>
      </w:tr>
      <w:tr w:rsidR="00A761A4">
        <w:trPr>
          <w:jc w:val="center"/>
        </w:trPr>
        <w:tc>
          <w:tcPr>
            <w:tcW w:w="2806" w:type="pct"/>
            <w:vAlign w:val="bottom"/>
          </w:tcPr>
          <w:p w:rsidR="00A761A4" w:rsidRDefault="0064189B">
            <w:pPr>
              <w:keepNext/>
              <w:keepLines/>
              <w:widowControl w:val="0"/>
              <w:rPr>
                <w:noProof/>
                <w:sz w:val="20"/>
                <w:szCs w:val="20"/>
              </w:rPr>
            </w:pPr>
            <w:r>
              <w:rPr>
                <w:noProof/>
                <w:sz w:val="20"/>
              </w:rPr>
              <w:t>Poboljšanje suradnje i koordinacija među državama članicama i institucijama, agencijama i tijelima EU-a</w:t>
            </w:r>
          </w:p>
        </w:tc>
        <w:tc>
          <w:tcPr>
            <w:tcW w:w="441" w:type="pct"/>
            <w:vAlign w:val="center"/>
          </w:tcPr>
          <w:p w:rsidR="00A761A4" w:rsidRDefault="0064189B">
            <w:pPr>
              <w:jc w:val="center"/>
              <w:rPr>
                <w:noProof/>
                <w:sz w:val="20"/>
                <w:szCs w:val="20"/>
              </w:rPr>
            </w:pPr>
            <w:r>
              <w:rPr>
                <w:noProof/>
                <w:sz w:val="20"/>
              </w:rPr>
              <w:t xml:space="preserve">                  0,939 </w:t>
            </w:r>
          </w:p>
        </w:tc>
        <w:tc>
          <w:tcPr>
            <w:tcW w:w="439" w:type="pct"/>
            <w:tcBorders>
              <w:right w:val="single" w:sz="4" w:space="0" w:color="auto"/>
            </w:tcBorders>
            <w:vAlign w:val="center"/>
          </w:tcPr>
          <w:p w:rsidR="00A761A4" w:rsidRDefault="0064189B">
            <w:pPr>
              <w:jc w:val="center"/>
              <w:rPr>
                <w:b/>
                <w:noProof/>
                <w:sz w:val="20"/>
                <w:szCs w:val="20"/>
              </w:rPr>
            </w:pPr>
            <w:r>
              <w:rPr>
                <w:noProof/>
                <w:sz w:val="20"/>
              </w:rPr>
              <w:t xml:space="preserve">              1,266 </w:t>
            </w:r>
          </w:p>
        </w:tc>
        <w:tc>
          <w:tcPr>
            <w:tcW w:w="438" w:type="pct"/>
            <w:vAlign w:val="center"/>
          </w:tcPr>
          <w:p w:rsidR="00A761A4" w:rsidRDefault="0064189B">
            <w:pPr>
              <w:jc w:val="center"/>
              <w:rPr>
                <w:noProof/>
                <w:sz w:val="20"/>
                <w:szCs w:val="20"/>
              </w:rPr>
            </w:pPr>
            <w:r>
              <w:rPr>
                <w:noProof/>
                <w:sz w:val="20"/>
              </w:rPr>
              <w:t xml:space="preserve">              1,288</w:t>
            </w:r>
          </w:p>
        </w:tc>
        <w:tc>
          <w:tcPr>
            <w:tcW w:w="438" w:type="pct"/>
            <w:tcBorders>
              <w:right w:val="single" w:sz="4" w:space="0" w:color="auto"/>
            </w:tcBorders>
            <w:vAlign w:val="center"/>
          </w:tcPr>
          <w:p w:rsidR="00A761A4" w:rsidRDefault="0064189B">
            <w:pPr>
              <w:jc w:val="center"/>
              <w:rPr>
                <w:noProof/>
                <w:sz w:val="20"/>
                <w:szCs w:val="20"/>
              </w:rPr>
            </w:pPr>
            <w:r>
              <w:rPr>
                <w:noProof/>
                <w:sz w:val="20"/>
              </w:rPr>
              <w:t xml:space="preserve">              1,313</w:t>
            </w:r>
          </w:p>
        </w:tc>
        <w:tc>
          <w:tcPr>
            <w:tcW w:w="438" w:type="pct"/>
            <w:tcBorders>
              <w:left w:val="single" w:sz="4" w:space="0" w:color="auto"/>
              <w:bottom w:val="nil"/>
            </w:tcBorders>
            <w:shd w:val="clear" w:color="auto" w:fill="auto"/>
            <w:vAlign w:val="center"/>
          </w:tcPr>
          <w:p w:rsidR="00A761A4" w:rsidRDefault="0064189B">
            <w:pPr>
              <w:jc w:val="center"/>
              <w:rPr>
                <w:b/>
                <w:noProof/>
                <w:sz w:val="20"/>
                <w:szCs w:val="20"/>
                <w:highlight w:val="yellow"/>
              </w:rPr>
            </w:pPr>
            <w:r>
              <w:rPr>
                <w:noProof/>
                <w:sz w:val="20"/>
              </w:rPr>
              <w:t xml:space="preserve">                 4,806 </w:t>
            </w:r>
          </w:p>
        </w:tc>
      </w:tr>
      <w:tr w:rsidR="00A761A4">
        <w:trPr>
          <w:jc w:val="center"/>
        </w:trPr>
        <w:tc>
          <w:tcPr>
            <w:tcW w:w="2806" w:type="pct"/>
            <w:vAlign w:val="bottom"/>
          </w:tcPr>
          <w:p w:rsidR="00A761A4" w:rsidRDefault="0064189B">
            <w:pPr>
              <w:keepNext/>
              <w:keepLines/>
              <w:widowControl w:val="0"/>
              <w:rPr>
                <w:noProof/>
                <w:sz w:val="20"/>
                <w:szCs w:val="20"/>
              </w:rPr>
            </w:pPr>
            <w:r>
              <w:rPr>
                <w:noProof/>
                <w:sz w:val="20"/>
              </w:rPr>
              <w:t xml:space="preserve">Jačanje sposobnosti na razini EU-a za dopunu djelovanja država članica, </w:t>
            </w:r>
            <w:r>
              <w:rPr>
                <w:noProof/>
                <w:sz w:val="20"/>
              </w:rPr>
              <w:br/>
              <w:t>posebno u slučaju prekograničnih kiberkriza</w:t>
            </w:r>
          </w:p>
        </w:tc>
        <w:tc>
          <w:tcPr>
            <w:tcW w:w="441" w:type="pct"/>
            <w:vAlign w:val="center"/>
          </w:tcPr>
          <w:p w:rsidR="00A761A4" w:rsidRDefault="0064189B">
            <w:pPr>
              <w:jc w:val="center"/>
              <w:rPr>
                <w:noProof/>
                <w:sz w:val="20"/>
                <w:szCs w:val="20"/>
              </w:rPr>
            </w:pPr>
            <w:r>
              <w:rPr>
                <w:noProof/>
                <w:sz w:val="20"/>
              </w:rPr>
              <w:t xml:space="preserve">                  0,704 </w:t>
            </w:r>
          </w:p>
        </w:tc>
        <w:tc>
          <w:tcPr>
            <w:tcW w:w="439" w:type="pct"/>
            <w:tcBorders>
              <w:right w:val="single" w:sz="4" w:space="0" w:color="auto"/>
            </w:tcBorders>
            <w:vAlign w:val="center"/>
          </w:tcPr>
          <w:p w:rsidR="00A761A4" w:rsidRDefault="0064189B">
            <w:pPr>
              <w:jc w:val="center"/>
              <w:rPr>
                <w:b/>
                <w:noProof/>
                <w:sz w:val="20"/>
                <w:szCs w:val="20"/>
              </w:rPr>
            </w:pPr>
            <w:r>
              <w:rPr>
                <w:noProof/>
                <w:sz w:val="20"/>
              </w:rPr>
              <w:t xml:space="preserve">                 0,950 </w:t>
            </w:r>
          </w:p>
        </w:tc>
        <w:tc>
          <w:tcPr>
            <w:tcW w:w="438" w:type="pct"/>
            <w:vAlign w:val="center"/>
          </w:tcPr>
          <w:p w:rsidR="00A761A4" w:rsidRDefault="0064189B">
            <w:pPr>
              <w:jc w:val="center"/>
              <w:rPr>
                <w:noProof/>
                <w:sz w:val="20"/>
                <w:szCs w:val="20"/>
              </w:rPr>
            </w:pPr>
            <w:r>
              <w:rPr>
                <w:noProof/>
                <w:sz w:val="20"/>
              </w:rPr>
              <w:t xml:space="preserve">                 0,965</w:t>
            </w:r>
          </w:p>
        </w:tc>
        <w:tc>
          <w:tcPr>
            <w:tcW w:w="438" w:type="pct"/>
            <w:tcBorders>
              <w:right w:val="single" w:sz="4" w:space="0" w:color="auto"/>
            </w:tcBorders>
            <w:vAlign w:val="center"/>
          </w:tcPr>
          <w:p w:rsidR="00A761A4" w:rsidRDefault="0064189B">
            <w:pPr>
              <w:jc w:val="center"/>
              <w:rPr>
                <w:noProof/>
                <w:sz w:val="20"/>
                <w:szCs w:val="20"/>
              </w:rPr>
            </w:pPr>
            <w:r>
              <w:rPr>
                <w:noProof/>
                <w:sz w:val="20"/>
              </w:rPr>
              <w:t xml:space="preserve">                 0,985 </w:t>
            </w:r>
          </w:p>
        </w:tc>
        <w:tc>
          <w:tcPr>
            <w:tcW w:w="438" w:type="pct"/>
            <w:tcBorders>
              <w:left w:val="single" w:sz="4" w:space="0" w:color="auto"/>
              <w:bottom w:val="nil"/>
            </w:tcBorders>
            <w:shd w:val="clear" w:color="auto" w:fill="auto"/>
            <w:vAlign w:val="center"/>
          </w:tcPr>
          <w:p w:rsidR="00A761A4" w:rsidRDefault="0064189B">
            <w:pPr>
              <w:jc w:val="center"/>
              <w:rPr>
                <w:b/>
                <w:noProof/>
                <w:sz w:val="20"/>
                <w:szCs w:val="20"/>
                <w:highlight w:val="yellow"/>
              </w:rPr>
            </w:pPr>
            <w:r>
              <w:rPr>
                <w:noProof/>
                <w:sz w:val="20"/>
              </w:rPr>
              <w:t xml:space="preserve">                 3,604 </w:t>
            </w:r>
          </w:p>
        </w:tc>
      </w:tr>
      <w:tr w:rsidR="00A761A4">
        <w:trPr>
          <w:jc w:val="center"/>
        </w:trPr>
        <w:tc>
          <w:tcPr>
            <w:tcW w:w="2806" w:type="pct"/>
            <w:vAlign w:val="bottom"/>
          </w:tcPr>
          <w:p w:rsidR="00A761A4" w:rsidRDefault="0064189B">
            <w:pPr>
              <w:keepNext/>
              <w:keepLines/>
              <w:widowControl w:val="0"/>
              <w:rPr>
                <w:noProof/>
                <w:sz w:val="20"/>
                <w:szCs w:val="20"/>
              </w:rPr>
            </w:pPr>
            <w:r>
              <w:rPr>
                <w:noProof/>
                <w:sz w:val="20"/>
              </w:rPr>
              <w:t xml:space="preserve">Povećanje osviještenosti građana i poduzeća o pitanjima kibersigurnosti </w:t>
            </w:r>
          </w:p>
        </w:tc>
        <w:tc>
          <w:tcPr>
            <w:tcW w:w="441" w:type="pct"/>
            <w:vAlign w:val="center"/>
          </w:tcPr>
          <w:p w:rsidR="00A761A4" w:rsidRDefault="0064189B">
            <w:pPr>
              <w:jc w:val="center"/>
              <w:rPr>
                <w:noProof/>
                <w:sz w:val="20"/>
                <w:szCs w:val="20"/>
              </w:rPr>
            </w:pPr>
            <w:r>
              <w:rPr>
                <w:noProof/>
                <w:sz w:val="20"/>
              </w:rPr>
              <w:t xml:space="preserve">                  0,704 </w:t>
            </w:r>
          </w:p>
        </w:tc>
        <w:tc>
          <w:tcPr>
            <w:tcW w:w="439" w:type="pct"/>
            <w:tcBorders>
              <w:right w:val="single" w:sz="4" w:space="0" w:color="auto"/>
            </w:tcBorders>
            <w:vAlign w:val="center"/>
          </w:tcPr>
          <w:p w:rsidR="00A761A4" w:rsidRDefault="0064189B">
            <w:pPr>
              <w:jc w:val="center"/>
              <w:rPr>
                <w:b/>
                <w:noProof/>
                <w:sz w:val="20"/>
                <w:szCs w:val="20"/>
              </w:rPr>
            </w:pPr>
            <w:r>
              <w:rPr>
                <w:noProof/>
                <w:sz w:val="20"/>
              </w:rPr>
              <w:t xml:space="preserve">                 0,950 </w:t>
            </w:r>
          </w:p>
        </w:tc>
        <w:tc>
          <w:tcPr>
            <w:tcW w:w="438" w:type="pct"/>
            <w:vAlign w:val="center"/>
          </w:tcPr>
          <w:p w:rsidR="00A761A4" w:rsidRDefault="0064189B">
            <w:pPr>
              <w:jc w:val="center"/>
              <w:rPr>
                <w:noProof/>
                <w:sz w:val="20"/>
                <w:szCs w:val="20"/>
              </w:rPr>
            </w:pPr>
            <w:r>
              <w:rPr>
                <w:noProof/>
                <w:sz w:val="20"/>
              </w:rPr>
              <w:t xml:space="preserve">                 0,965 </w:t>
            </w:r>
          </w:p>
        </w:tc>
        <w:tc>
          <w:tcPr>
            <w:tcW w:w="438" w:type="pct"/>
            <w:tcBorders>
              <w:right w:val="single" w:sz="4" w:space="0" w:color="auto"/>
            </w:tcBorders>
            <w:vAlign w:val="center"/>
          </w:tcPr>
          <w:p w:rsidR="00A761A4" w:rsidRDefault="0064189B">
            <w:pPr>
              <w:jc w:val="center"/>
              <w:rPr>
                <w:noProof/>
                <w:sz w:val="20"/>
                <w:szCs w:val="20"/>
              </w:rPr>
            </w:pPr>
            <w:r>
              <w:rPr>
                <w:noProof/>
                <w:sz w:val="20"/>
              </w:rPr>
              <w:t xml:space="preserve">                 0,985 </w:t>
            </w:r>
          </w:p>
        </w:tc>
        <w:tc>
          <w:tcPr>
            <w:tcW w:w="438" w:type="pct"/>
            <w:tcBorders>
              <w:left w:val="single" w:sz="4" w:space="0" w:color="auto"/>
              <w:bottom w:val="nil"/>
            </w:tcBorders>
            <w:shd w:val="clear" w:color="auto" w:fill="auto"/>
            <w:vAlign w:val="center"/>
          </w:tcPr>
          <w:p w:rsidR="00A761A4" w:rsidRDefault="0064189B">
            <w:pPr>
              <w:jc w:val="center"/>
              <w:rPr>
                <w:b/>
                <w:noProof/>
                <w:sz w:val="20"/>
                <w:szCs w:val="20"/>
                <w:highlight w:val="yellow"/>
              </w:rPr>
            </w:pPr>
            <w:r>
              <w:rPr>
                <w:noProof/>
                <w:sz w:val="20"/>
              </w:rPr>
              <w:t xml:space="preserve">                 3,604 </w:t>
            </w:r>
          </w:p>
        </w:tc>
      </w:tr>
      <w:tr w:rsidR="00A761A4">
        <w:trPr>
          <w:jc w:val="center"/>
        </w:trPr>
        <w:tc>
          <w:tcPr>
            <w:tcW w:w="2806" w:type="pct"/>
            <w:vAlign w:val="bottom"/>
          </w:tcPr>
          <w:p w:rsidR="00A761A4" w:rsidRDefault="0064189B">
            <w:pPr>
              <w:keepNext/>
              <w:keepLines/>
              <w:widowControl w:val="0"/>
              <w:rPr>
                <w:noProof/>
                <w:sz w:val="20"/>
                <w:szCs w:val="20"/>
              </w:rPr>
            </w:pPr>
            <w:r>
              <w:rPr>
                <w:noProof/>
                <w:sz w:val="20"/>
              </w:rPr>
              <w:t xml:space="preserve">Jačanje povjerenja u jedinstveno </w:t>
            </w:r>
            <w:r>
              <w:rPr>
                <w:noProof/>
                <w:sz w:val="20"/>
              </w:rPr>
              <w:t>digitalno tržište i u digitalne inovacije povećanjem opće transparentnosti kibersigurnosnog jamstva IKT proizvoda i usluga</w:t>
            </w:r>
          </w:p>
        </w:tc>
        <w:tc>
          <w:tcPr>
            <w:tcW w:w="441" w:type="pct"/>
            <w:vAlign w:val="center"/>
          </w:tcPr>
          <w:p w:rsidR="00A761A4" w:rsidRDefault="0064189B">
            <w:pPr>
              <w:jc w:val="center"/>
              <w:rPr>
                <w:noProof/>
                <w:sz w:val="20"/>
                <w:szCs w:val="20"/>
              </w:rPr>
            </w:pPr>
            <w:r>
              <w:rPr>
                <w:noProof/>
                <w:sz w:val="20"/>
              </w:rPr>
              <w:t xml:space="preserve">                  0,939 </w:t>
            </w:r>
          </w:p>
        </w:tc>
        <w:tc>
          <w:tcPr>
            <w:tcW w:w="439" w:type="pct"/>
            <w:tcBorders>
              <w:right w:val="single" w:sz="4" w:space="0" w:color="auto"/>
            </w:tcBorders>
            <w:vAlign w:val="center"/>
          </w:tcPr>
          <w:p w:rsidR="00A761A4" w:rsidRDefault="0064189B">
            <w:pPr>
              <w:jc w:val="center"/>
              <w:rPr>
                <w:b/>
                <w:noProof/>
                <w:sz w:val="20"/>
                <w:szCs w:val="20"/>
              </w:rPr>
            </w:pPr>
            <w:r>
              <w:rPr>
                <w:noProof/>
                <w:sz w:val="20"/>
              </w:rPr>
              <w:t xml:space="preserve">              1,266 </w:t>
            </w:r>
          </w:p>
        </w:tc>
        <w:tc>
          <w:tcPr>
            <w:tcW w:w="438" w:type="pct"/>
            <w:vAlign w:val="center"/>
          </w:tcPr>
          <w:p w:rsidR="00A761A4" w:rsidRDefault="0064189B">
            <w:pPr>
              <w:jc w:val="center"/>
              <w:rPr>
                <w:noProof/>
                <w:sz w:val="20"/>
                <w:szCs w:val="20"/>
              </w:rPr>
            </w:pPr>
            <w:r>
              <w:rPr>
                <w:noProof/>
                <w:sz w:val="20"/>
              </w:rPr>
              <w:t xml:space="preserve">              1,288 </w:t>
            </w:r>
          </w:p>
        </w:tc>
        <w:tc>
          <w:tcPr>
            <w:tcW w:w="438" w:type="pct"/>
            <w:tcBorders>
              <w:right w:val="single" w:sz="4" w:space="0" w:color="auto"/>
            </w:tcBorders>
            <w:vAlign w:val="center"/>
          </w:tcPr>
          <w:p w:rsidR="00A761A4" w:rsidRDefault="0064189B">
            <w:pPr>
              <w:jc w:val="center"/>
              <w:rPr>
                <w:noProof/>
                <w:sz w:val="20"/>
                <w:szCs w:val="20"/>
              </w:rPr>
            </w:pPr>
            <w:r>
              <w:rPr>
                <w:noProof/>
                <w:sz w:val="20"/>
              </w:rPr>
              <w:t xml:space="preserve">              1,313 </w:t>
            </w:r>
          </w:p>
        </w:tc>
        <w:tc>
          <w:tcPr>
            <w:tcW w:w="438" w:type="pct"/>
            <w:tcBorders>
              <w:left w:val="single" w:sz="4" w:space="0" w:color="auto"/>
              <w:bottom w:val="nil"/>
            </w:tcBorders>
            <w:shd w:val="clear" w:color="auto" w:fill="auto"/>
            <w:vAlign w:val="center"/>
          </w:tcPr>
          <w:p w:rsidR="00A761A4" w:rsidRDefault="0064189B">
            <w:pPr>
              <w:jc w:val="center"/>
              <w:rPr>
                <w:b/>
                <w:noProof/>
                <w:sz w:val="20"/>
                <w:szCs w:val="20"/>
                <w:highlight w:val="yellow"/>
              </w:rPr>
            </w:pPr>
            <w:r>
              <w:rPr>
                <w:noProof/>
                <w:sz w:val="20"/>
              </w:rPr>
              <w:t xml:space="preserve">                 4,806 </w:t>
            </w:r>
          </w:p>
        </w:tc>
      </w:tr>
      <w:tr w:rsidR="00A761A4">
        <w:trPr>
          <w:jc w:val="center"/>
        </w:trPr>
        <w:tc>
          <w:tcPr>
            <w:tcW w:w="2806" w:type="pct"/>
            <w:vAlign w:val="center"/>
          </w:tcPr>
          <w:p w:rsidR="00A761A4" w:rsidRDefault="0064189B">
            <w:pPr>
              <w:keepNext/>
              <w:keepLines/>
              <w:widowControl w:val="0"/>
              <w:ind w:right="-29"/>
              <w:rPr>
                <w:b/>
                <w:noProof/>
                <w:sz w:val="20"/>
                <w:szCs w:val="20"/>
              </w:rPr>
            </w:pPr>
            <w:r>
              <w:rPr>
                <w:b/>
                <w:noProof/>
                <w:sz w:val="20"/>
              </w:rPr>
              <w:t>UKUPNI TROŠAK</w:t>
            </w:r>
          </w:p>
        </w:tc>
        <w:tc>
          <w:tcPr>
            <w:tcW w:w="441" w:type="pct"/>
            <w:vAlign w:val="center"/>
          </w:tcPr>
          <w:p w:rsidR="00A761A4" w:rsidRDefault="0064189B">
            <w:pPr>
              <w:jc w:val="center"/>
              <w:rPr>
                <w:b/>
                <w:noProof/>
                <w:sz w:val="20"/>
                <w:szCs w:val="20"/>
              </w:rPr>
            </w:pPr>
            <w:r>
              <w:rPr>
                <w:noProof/>
                <w:sz w:val="20"/>
              </w:rPr>
              <w:t xml:space="preserve">               4,694 </w:t>
            </w:r>
          </w:p>
        </w:tc>
        <w:tc>
          <w:tcPr>
            <w:tcW w:w="439" w:type="pct"/>
            <w:tcBorders>
              <w:right w:val="single" w:sz="4" w:space="0" w:color="auto"/>
            </w:tcBorders>
            <w:vAlign w:val="center"/>
          </w:tcPr>
          <w:p w:rsidR="00A761A4" w:rsidRDefault="0064189B">
            <w:pPr>
              <w:jc w:val="center"/>
              <w:rPr>
                <w:b/>
                <w:noProof/>
                <w:sz w:val="20"/>
                <w:szCs w:val="20"/>
              </w:rPr>
            </w:pPr>
            <w:r>
              <w:rPr>
                <w:noProof/>
                <w:sz w:val="20"/>
              </w:rPr>
              <w:t xml:space="preserve">              6,332</w:t>
            </w:r>
          </w:p>
        </w:tc>
        <w:tc>
          <w:tcPr>
            <w:tcW w:w="438" w:type="pct"/>
            <w:vAlign w:val="center"/>
          </w:tcPr>
          <w:p w:rsidR="00A761A4" w:rsidRDefault="0064189B">
            <w:pPr>
              <w:jc w:val="center"/>
              <w:rPr>
                <w:noProof/>
                <w:sz w:val="20"/>
                <w:szCs w:val="20"/>
              </w:rPr>
            </w:pPr>
            <w:r>
              <w:rPr>
                <w:noProof/>
                <w:sz w:val="20"/>
              </w:rPr>
              <w:t xml:space="preserve">              6,437</w:t>
            </w:r>
          </w:p>
        </w:tc>
        <w:tc>
          <w:tcPr>
            <w:tcW w:w="438" w:type="pct"/>
            <w:tcBorders>
              <w:right w:val="single" w:sz="4" w:space="0" w:color="auto"/>
            </w:tcBorders>
            <w:vAlign w:val="center"/>
          </w:tcPr>
          <w:p w:rsidR="00A761A4" w:rsidRDefault="0064189B">
            <w:pPr>
              <w:jc w:val="center"/>
              <w:rPr>
                <w:noProof/>
                <w:sz w:val="20"/>
                <w:szCs w:val="20"/>
              </w:rPr>
            </w:pPr>
            <w:r>
              <w:rPr>
                <w:noProof/>
                <w:sz w:val="20"/>
              </w:rPr>
              <w:t xml:space="preserve">              6,565 </w:t>
            </w:r>
          </w:p>
        </w:tc>
        <w:tc>
          <w:tcPr>
            <w:tcW w:w="438" w:type="pct"/>
            <w:tcBorders>
              <w:left w:val="single" w:sz="4" w:space="0" w:color="auto"/>
              <w:bottom w:val="single" w:sz="4" w:space="0" w:color="auto"/>
            </w:tcBorders>
            <w:shd w:val="clear" w:color="auto" w:fill="auto"/>
            <w:vAlign w:val="center"/>
          </w:tcPr>
          <w:p w:rsidR="00A761A4" w:rsidRDefault="0064189B">
            <w:pPr>
              <w:jc w:val="center"/>
              <w:rPr>
                <w:b/>
                <w:noProof/>
                <w:sz w:val="20"/>
                <w:szCs w:val="20"/>
              </w:rPr>
            </w:pPr>
            <w:r>
              <w:rPr>
                <w:noProof/>
                <w:sz w:val="20"/>
              </w:rPr>
              <w:t xml:space="preserve">               24,028</w:t>
            </w:r>
          </w:p>
        </w:tc>
      </w:tr>
    </w:tbl>
    <w:p w:rsidR="00A761A4" w:rsidRDefault="00A761A4">
      <w:pPr>
        <w:jc w:val="right"/>
        <w:rPr>
          <w:noProof/>
          <w:sz w:val="20"/>
        </w:rPr>
      </w:pPr>
    </w:p>
    <w:p w:rsidR="00A761A4" w:rsidRDefault="00A761A4">
      <w:pPr>
        <w:rPr>
          <w:noProof/>
        </w:rPr>
        <w:sectPr w:rsidR="00A761A4" w:rsidSect="0064189B">
          <w:pgSz w:w="15840" w:h="12240" w:orient="landscape"/>
          <w:pgMar w:top="1418" w:right="902" w:bottom="902" w:left="567" w:header="709" w:footer="709" w:gutter="0"/>
          <w:cols w:space="720"/>
          <w:docGrid w:linePitch="326"/>
        </w:sectPr>
      </w:pPr>
    </w:p>
    <w:p w:rsidR="00A761A4" w:rsidRDefault="0064189B">
      <w:pPr>
        <w:pStyle w:val="ManualHeading3"/>
        <w:rPr>
          <w:bCs/>
          <w:noProof/>
          <w:szCs w:val="24"/>
        </w:rPr>
      </w:pPr>
      <w:r>
        <w:t>3.2.3.</w:t>
      </w:r>
      <w:r>
        <w:tab/>
      </w:r>
      <w:r>
        <w:rPr>
          <w:noProof/>
        </w:rPr>
        <w:t xml:space="preserve">Procijenjen utjecaj na ljudske resurse Agencije </w:t>
      </w:r>
    </w:p>
    <w:p w:rsidR="00A761A4" w:rsidRDefault="0064189B">
      <w:pPr>
        <w:pStyle w:val="ManualHeading4"/>
        <w:rPr>
          <w:bCs/>
          <w:noProof/>
          <w:szCs w:val="24"/>
        </w:rPr>
      </w:pPr>
      <w:r>
        <w:t>3.2.3.1.</w:t>
      </w:r>
      <w:r>
        <w:tab/>
      </w:r>
      <w:r>
        <w:rPr>
          <w:noProof/>
        </w:rPr>
        <w:t xml:space="preserve">Sažetak </w:t>
      </w:r>
    </w:p>
    <w:p w:rsidR="00A761A4" w:rsidRDefault="0064189B">
      <w:pPr>
        <w:pStyle w:val="Tiret1"/>
        <w:rPr>
          <w:noProof/>
        </w:rPr>
      </w:pPr>
      <w:r>
        <w:rPr>
          <w:noProof/>
        </w:rPr>
        <w:sym w:font="Wingdings" w:char="F0A8"/>
      </w:r>
      <w:r>
        <w:rPr>
          <w:noProof/>
        </w:rPr>
        <w:tab/>
      </w:r>
      <w:r>
        <w:rPr>
          <w:noProof/>
        </w:rPr>
        <w:t xml:space="preserve">Za prijedlog/inicijativu nisu potrebna odobrena administrativna sredstva </w:t>
      </w:r>
    </w:p>
    <w:p w:rsidR="00A761A4" w:rsidRDefault="0064189B">
      <w:pPr>
        <w:pStyle w:val="Tiret1"/>
        <w:rPr>
          <w:noProof/>
        </w:rPr>
      </w:pPr>
      <w:r>
        <w:rPr>
          <w:noProof/>
        </w:rPr>
        <w:sym w:font="Wingdings" w:char="F078"/>
      </w:r>
      <w:r>
        <w:rPr>
          <w:noProof/>
        </w:rPr>
        <w:tab/>
        <w:t>Za prijedlog/inicijativu potrebna su sljedeća odobrena administrativna sredstva:</w:t>
      </w:r>
    </w:p>
    <w:p w:rsidR="00A761A4" w:rsidRDefault="0064189B">
      <w:pPr>
        <w:rPr>
          <w:noProof/>
          <w:sz w:val="20"/>
        </w:rPr>
      </w:pPr>
      <w:r>
        <w:rPr>
          <w:noProof/>
          <w:sz w:val="20"/>
        </w:rPr>
        <w:t>u milijunima EUR (do tri decimalna mjesta)</w:t>
      </w:r>
    </w:p>
    <w:tbl>
      <w:tblPr>
        <w:tblW w:w="8767" w:type="dxa"/>
        <w:tblInd w:w="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17"/>
        <w:gridCol w:w="1144"/>
        <w:gridCol w:w="1302"/>
        <w:gridCol w:w="1302"/>
        <w:gridCol w:w="1302"/>
      </w:tblGrid>
      <w:tr w:rsidR="00A761A4">
        <w:trPr>
          <w:trHeight w:val="585"/>
        </w:trPr>
        <w:tc>
          <w:tcPr>
            <w:tcW w:w="3717" w:type="dxa"/>
          </w:tcPr>
          <w:p w:rsidR="00A761A4" w:rsidRDefault="00A761A4">
            <w:pPr>
              <w:rPr>
                <w:noProof/>
              </w:rPr>
            </w:pPr>
          </w:p>
        </w:tc>
        <w:tc>
          <w:tcPr>
            <w:tcW w:w="1144" w:type="dxa"/>
            <w:vAlign w:val="center"/>
          </w:tcPr>
          <w:p w:rsidR="00A761A4" w:rsidRDefault="0064189B">
            <w:pPr>
              <w:jc w:val="center"/>
              <w:rPr>
                <w:noProof/>
              </w:rPr>
            </w:pPr>
            <w:r>
              <w:rPr>
                <w:b/>
                <w:noProof/>
                <w:sz w:val="20"/>
              </w:rPr>
              <w:t>T3/4 2019.</w:t>
            </w:r>
          </w:p>
        </w:tc>
        <w:tc>
          <w:tcPr>
            <w:tcW w:w="1302" w:type="dxa"/>
            <w:vAlign w:val="center"/>
          </w:tcPr>
          <w:p w:rsidR="00A761A4" w:rsidRDefault="0064189B">
            <w:pPr>
              <w:jc w:val="center"/>
              <w:rPr>
                <w:b/>
                <w:noProof/>
                <w:sz w:val="20"/>
              </w:rPr>
            </w:pPr>
            <w:r>
              <w:rPr>
                <w:b/>
                <w:noProof/>
                <w:sz w:val="20"/>
              </w:rPr>
              <w:t>2020.</w:t>
            </w:r>
          </w:p>
        </w:tc>
        <w:tc>
          <w:tcPr>
            <w:tcW w:w="1302" w:type="dxa"/>
            <w:vAlign w:val="center"/>
          </w:tcPr>
          <w:p w:rsidR="00A761A4" w:rsidRDefault="0064189B">
            <w:pPr>
              <w:jc w:val="center"/>
              <w:rPr>
                <w:b/>
                <w:noProof/>
                <w:sz w:val="20"/>
              </w:rPr>
            </w:pPr>
            <w:r>
              <w:rPr>
                <w:b/>
                <w:noProof/>
                <w:sz w:val="20"/>
              </w:rPr>
              <w:t>2021.</w:t>
            </w:r>
          </w:p>
        </w:tc>
        <w:tc>
          <w:tcPr>
            <w:tcW w:w="1302" w:type="dxa"/>
            <w:vAlign w:val="center"/>
          </w:tcPr>
          <w:p w:rsidR="00A761A4" w:rsidRDefault="0064189B">
            <w:pPr>
              <w:jc w:val="center"/>
              <w:rPr>
                <w:noProof/>
              </w:rPr>
            </w:pPr>
            <w:r>
              <w:rPr>
                <w:b/>
                <w:noProof/>
                <w:sz w:val="20"/>
              </w:rPr>
              <w:t>2022.</w:t>
            </w:r>
          </w:p>
        </w:tc>
      </w:tr>
      <w:tr w:rsidR="00A761A4">
        <w:trPr>
          <w:trHeight w:val="585"/>
        </w:trPr>
        <w:tc>
          <w:tcPr>
            <w:tcW w:w="3717" w:type="dxa"/>
            <w:shd w:val="clear" w:color="auto" w:fill="CCCCCC"/>
            <w:vAlign w:val="center"/>
          </w:tcPr>
          <w:p w:rsidR="00A761A4" w:rsidRDefault="0064189B">
            <w:pPr>
              <w:rPr>
                <w:noProof/>
              </w:rPr>
            </w:pPr>
            <w:r>
              <w:rPr>
                <w:noProof/>
              </w:rPr>
              <w:t>Privremeni dužnosnici (ra</w:t>
            </w:r>
            <w:r>
              <w:rPr>
                <w:noProof/>
              </w:rPr>
              <w:t>zred AD)</w:t>
            </w:r>
          </w:p>
        </w:tc>
        <w:tc>
          <w:tcPr>
            <w:tcW w:w="1144" w:type="dxa"/>
          </w:tcPr>
          <w:p w:rsidR="00A761A4" w:rsidRDefault="0064189B">
            <w:pPr>
              <w:jc w:val="center"/>
              <w:rPr>
                <w:noProof/>
              </w:rPr>
            </w:pPr>
            <w:r>
              <w:rPr>
                <w:noProof/>
                <w:sz w:val="22"/>
              </w:rPr>
              <w:t>4,242</w:t>
            </w:r>
          </w:p>
        </w:tc>
        <w:tc>
          <w:tcPr>
            <w:tcW w:w="1302" w:type="dxa"/>
          </w:tcPr>
          <w:p w:rsidR="00A761A4" w:rsidRDefault="0064189B">
            <w:pPr>
              <w:jc w:val="center"/>
              <w:rPr>
                <w:noProof/>
              </w:rPr>
            </w:pPr>
            <w:r>
              <w:rPr>
                <w:noProof/>
                <w:sz w:val="22"/>
              </w:rPr>
              <w:t>5,695</w:t>
            </w:r>
          </w:p>
        </w:tc>
        <w:tc>
          <w:tcPr>
            <w:tcW w:w="1302" w:type="dxa"/>
          </w:tcPr>
          <w:p w:rsidR="00A761A4" w:rsidRDefault="0064189B">
            <w:pPr>
              <w:jc w:val="center"/>
              <w:rPr>
                <w:noProof/>
              </w:rPr>
            </w:pPr>
            <w:r>
              <w:rPr>
                <w:noProof/>
                <w:sz w:val="22"/>
              </w:rPr>
              <w:t>6,381</w:t>
            </w:r>
          </w:p>
        </w:tc>
        <w:tc>
          <w:tcPr>
            <w:tcW w:w="1302" w:type="dxa"/>
          </w:tcPr>
          <w:p w:rsidR="00A761A4" w:rsidRDefault="0064189B">
            <w:pPr>
              <w:jc w:val="center"/>
              <w:rPr>
                <w:noProof/>
              </w:rPr>
            </w:pPr>
            <w:r>
              <w:rPr>
                <w:noProof/>
                <w:sz w:val="22"/>
              </w:rPr>
              <w:t>6,709</w:t>
            </w:r>
          </w:p>
        </w:tc>
      </w:tr>
      <w:tr w:rsidR="00A761A4">
        <w:trPr>
          <w:trHeight w:val="585"/>
        </w:trPr>
        <w:tc>
          <w:tcPr>
            <w:tcW w:w="3717" w:type="dxa"/>
            <w:vAlign w:val="center"/>
          </w:tcPr>
          <w:p w:rsidR="00A761A4" w:rsidRDefault="0064189B">
            <w:pPr>
              <w:rPr>
                <w:noProof/>
              </w:rPr>
            </w:pPr>
            <w:r>
              <w:rPr>
                <w:noProof/>
              </w:rPr>
              <w:t>Privremeni dužnosnici (razred AST)</w:t>
            </w:r>
          </w:p>
        </w:tc>
        <w:tc>
          <w:tcPr>
            <w:tcW w:w="1144" w:type="dxa"/>
          </w:tcPr>
          <w:p w:rsidR="00A761A4" w:rsidRDefault="0064189B">
            <w:pPr>
              <w:jc w:val="center"/>
              <w:rPr>
                <w:noProof/>
              </w:rPr>
            </w:pPr>
            <w:r>
              <w:rPr>
                <w:noProof/>
                <w:sz w:val="22"/>
              </w:rPr>
              <w:t>1,601</w:t>
            </w:r>
          </w:p>
        </w:tc>
        <w:tc>
          <w:tcPr>
            <w:tcW w:w="1302" w:type="dxa"/>
          </w:tcPr>
          <w:p w:rsidR="00A761A4" w:rsidRDefault="0064189B">
            <w:pPr>
              <w:jc w:val="center"/>
              <w:rPr>
                <w:noProof/>
              </w:rPr>
            </w:pPr>
            <w:r>
              <w:rPr>
                <w:noProof/>
                <w:sz w:val="22"/>
              </w:rPr>
              <w:t>1,998</w:t>
            </w:r>
          </w:p>
        </w:tc>
        <w:tc>
          <w:tcPr>
            <w:tcW w:w="1302" w:type="dxa"/>
          </w:tcPr>
          <w:p w:rsidR="00A761A4" w:rsidRDefault="0064189B">
            <w:pPr>
              <w:jc w:val="center"/>
              <w:rPr>
                <w:noProof/>
              </w:rPr>
            </w:pPr>
            <w:r>
              <w:rPr>
                <w:noProof/>
                <w:sz w:val="22"/>
              </w:rPr>
              <w:t>2,217</w:t>
            </w:r>
          </w:p>
        </w:tc>
        <w:tc>
          <w:tcPr>
            <w:tcW w:w="1302" w:type="dxa"/>
          </w:tcPr>
          <w:p w:rsidR="00A761A4" w:rsidRDefault="0064189B">
            <w:pPr>
              <w:jc w:val="center"/>
              <w:rPr>
                <w:noProof/>
              </w:rPr>
            </w:pPr>
            <w:r>
              <w:rPr>
                <w:noProof/>
                <w:sz w:val="22"/>
              </w:rPr>
              <w:t>2,217</w:t>
            </w:r>
          </w:p>
        </w:tc>
      </w:tr>
      <w:tr w:rsidR="00A761A4">
        <w:trPr>
          <w:trHeight w:val="585"/>
        </w:trPr>
        <w:tc>
          <w:tcPr>
            <w:tcW w:w="3717" w:type="dxa"/>
            <w:vAlign w:val="center"/>
          </w:tcPr>
          <w:p w:rsidR="00A761A4" w:rsidRDefault="0064189B">
            <w:pPr>
              <w:rPr>
                <w:noProof/>
              </w:rPr>
            </w:pPr>
            <w:r>
              <w:rPr>
                <w:noProof/>
              </w:rPr>
              <w:t>Ugovorni djelatnici</w:t>
            </w:r>
          </w:p>
        </w:tc>
        <w:tc>
          <w:tcPr>
            <w:tcW w:w="1144" w:type="dxa"/>
          </w:tcPr>
          <w:p w:rsidR="00A761A4" w:rsidRDefault="0064189B">
            <w:pPr>
              <w:jc w:val="center"/>
              <w:rPr>
                <w:noProof/>
              </w:rPr>
            </w:pPr>
            <w:r>
              <w:rPr>
                <w:noProof/>
                <w:sz w:val="22"/>
              </w:rPr>
              <w:t>2,041</w:t>
            </w:r>
          </w:p>
        </w:tc>
        <w:tc>
          <w:tcPr>
            <w:tcW w:w="1302" w:type="dxa"/>
          </w:tcPr>
          <w:p w:rsidR="00A761A4" w:rsidRDefault="0064189B">
            <w:pPr>
              <w:jc w:val="center"/>
              <w:rPr>
                <w:noProof/>
              </w:rPr>
            </w:pPr>
            <w:r>
              <w:rPr>
                <w:noProof/>
                <w:sz w:val="22"/>
              </w:rPr>
              <w:t>2,041</w:t>
            </w:r>
          </w:p>
        </w:tc>
        <w:tc>
          <w:tcPr>
            <w:tcW w:w="1302" w:type="dxa"/>
          </w:tcPr>
          <w:p w:rsidR="00A761A4" w:rsidRDefault="0064189B">
            <w:pPr>
              <w:jc w:val="center"/>
              <w:rPr>
                <w:noProof/>
              </w:rPr>
            </w:pPr>
            <w:r>
              <w:rPr>
                <w:noProof/>
                <w:sz w:val="22"/>
              </w:rPr>
              <w:t>2,041</w:t>
            </w:r>
          </w:p>
        </w:tc>
        <w:tc>
          <w:tcPr>
            <w:tcW w:w="1302" w:type="dxa"/>
          </w:tcPr>
          <w:p w:rsidR="00A761A4" w:rsidRDefault="0064189B">
            <w:pPr>
              <w:jc w:val="center"/>
              <w:rPr>
                <w:noProof/>
              </w:rPr>
            </w:pPr>
            <w:r>
              <w:rPr>
                <w:noProof/>
                <w:sz w:val="22"/>
              </w:rPr>
              <w:t>2,041</w:t>
            </w:r>
          </w:p>
        </w:tc>
      </w:tr>
      <w:tr w:rsidR="00A761A4">
        <w:trPr>
          <w:trHeight w:val="585"/>
        </w:trPr>
        <w:tc>
          <w:tcPr>
            <w:tcW w:w="3717" w:type="dxa"/>
            <w:shd w:val="clear" w:color="auto" w:fill="CCCCCC"/>
            <w:vAlign w:val="center"/>
          </w:tcPr>
          <w:p w:rsidR="00A761A4" w:rsidRDefault="0064189B">
            <w:pPr>
              <w:rPr>
                <w:noProof/>
              </w:rPr>
            </w:pPr>
            <w:r>
              <w:rPr>
                <w:noProof/>
              </w:rPr>
              <w:t>Upućeni nacionalni stručnjaci</w:t>
            </w:r>
          </w:p>
        </w:tc>
        <w:tc>
          <w:tcPr>
            <w:tcW w:w="1144" w:type="dxa"/>
          </w:tcPr>
          <w:p w:rsidR="00A761A4" w:rsidRDefault="0064189B">
            <w:pPr>
              <w:jc w:val="center"/>
              <w:rPr>
                <w:noProof/>
              </w:rPr>
            </w:pPr>
            <w:r>
              <w:rPr>
                <w:noProof/>
                <w:sz w:val="22"/>
              </w:rPr>
              <w:t>0,306</w:t>
            </w:r>
          </w:p>
        </w:tc>
        <w:tc>
          <w:tcPr>
            <w:tcW w:w="1302" w:type="dxa"/>
          </w:tcPr>
          <w:p w:rsidR="00A761A4" w:rsidRDefault="0064189B">
            <w:pPr>
              <w:jc w:val="center"/>
              <w:rPr>
                <w:noProof/>
              </w:rPr>
            </w:pPr>
            <w:r>
              <w:rPr>
                <w:noProof/>
                <w:sz w:val="22"/>
              </w:rPr>
              <w:t>0,447</w:t>
            </w:r>
          </w:p>
        </w:tc>
        <w:tc>
          <w:tcPr>
            <w:tcW w:w="1302" w:type="dxa"/>
          </w:tcPr>
          <w:p w:rsidR="00A761A4" w:rsidRDefault="0064189B">
            <w:pPr>
              <w:jc w:val="center"/>
              <w:rPr>
                <w:noProof/>
              </w:rPr>
            </w:pPr>
            <w:r>
              <w:rPr>
                <w:noProof/>
                <w:sz w:val="22"/>
              </w:rPr>
              <w:t>0,656</w:t>
            </w:r>
          </w:p>
        </w:tc>
        <w:tc>
          <w:tcPr>
            <w:tcW w:w="1302" w:type="dxa"/>
          </w:tcPr>
          <w:p w:rsidR="00A761A4" w:rsidRDefault="0064189B">
            <w:pPr>
              <w:jc w:val="center"/>
              <w:rPr>
                <w:noProof/>
              </w:rPr>
            </w:pPr>
            <w:r>
              <w:rPr>
                <w:noProof/>
                <w:sz w:val="22"/>
              </w:rPr>
              <w:t>0,796</w:t>
            </w:r>
          </w:p>
        </w:tc>
      </w:tr>
      <w:tr w:rsidR="00A76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717" w:type="dxa"/>
            <w:tcBorders>
              <w:top w:val="single" w:sz="12" w:space="0" w:color="auto"/>
              <w:left w:val="single" w:sz="12" w:space="0" w:color="auto"/>
              <w:bottom w:val="single" w:sz="12" w:space="0" w:color="auto"/>
              <w:right w:val="single" w:sz="2" w:space="0" w:color="auto"/>
            </w:tcBorders>
            <w:vAlign w:val="center"/>
          </w:tcPr>
          <w:p w:rsidR="00A761A4" w:rsidRDefault="0064189B">
            <w:pPr>
              <w:rPr>
                <w:b/>
                <w:noProof/>
              </w:rPr>
            </w:pPr>
            <w:r>
              <w:rPr>
                <w:b/>
                <w:noProof/>
              </w:rPr>
              <w:t>UKUPNO</w:t>
            </w:r>
          </w:p>
        </w:tc>
        <w:tc>
          <w:tcPr>
            <w:tcW w:w="1144" w:type="dxa"/>
            <w:tcBorders>
              <w:top w:val="single" w:sz="12" w:space="0" w:color="auto"/>
              <w:left w:val="single" w:sz="2" w:space="0" w:color="auto"/>
              <w:bottom w:val="single" w:sz="12" w:space="0" w:color="auto"/>
              <w:right w:val="single" w:sz="2" w:space="0" w:color="auto"/>
            </w:tcBorders>
            <w:vAlign w:val="center"/>
          </w:tcPr>
          <w:p w:rsidR="00A761A4" w:rsidRDefault="0064189B">
            <w:pPr>
              <w:jc w:val="center"/>
              <w:rPr>
                <w:b/>
                <w:noProof/>
                <w:sz w:val="22"/>
              </w:rPr>
            </w:pPr>
            <w:r>
              <w:rPr>
                <w:b/>
                <w:noProof/>
                <w:sz w:val="22"/>
              </w:rPr>
              <w:t>8,190</w:t>
            </w:r>
          </w:p>
        </w:tc>
        <w:tc>
          <w:tcPr>
            <w:tcW w:w="1302" w:type="dxa"/>
            <w:tcBorders>
              <w:top w:val="single" w:sz="12" w:space="0" w:color="auto"/>
              <w:left w:val="single" w:sz="2" w:space="0" w:color="auto"/>
              <w:bottom w:val="single" w:sz="12" w:space="0" w:color="auto"/>
              <w:right w:val="single" w:sz="2" w:space="0" w:color="auto"/>
            </w:tcBorders>
            <w:vAlign w:val="center"/>
          </w:tcPr>
          <w:p w:rsidR="00A761A4" w:rsidRDefault="00A761A4">
            <w:pPr>
              <w:jc w:val="center"/>
              <w:rPr>
                <w:b/>
                <w:noProof/>
                <w:sz w:val="22"/>
              </w:rPr>
            </w:pPr>
          </w:p>
          <w:p w:rsidR="00A761A4" w:rsidRDefault="0064189B">
            <w:pPr>
              <w:jc w:val="center"/>
              <w:rPr>
                <w:b/>
                <w:noProof/>
                <w:sz w:val="22"/>
              </w:rPr>
            </w:pPr>
            <w:r>
              <w:rPr>
                <w:b/>
                <w:noProof/>
                <w:sz w:val="22"/>
              </w:rPr>
              <w:t>10,181</w:t>
            </w:r>
          </w:p>
          <w:p w:rsidR="00A761A4" w:rsidRDefault="00A761A4">
            <w:pPr>
              <w:jc w:val="center"/>
              <w:rPr>
                <w:b/>
                <w:noProof/>
              </w:rPr>
            </w:pPr>
          </w:p>
        </w:tc>
        <w:tc>
          <w:tcPr>
            <w:tcW w:w="1302" w:type="dxa"/>
            <w:tcBorders>
              <w:top w:val="single" w:sz="12" w:space="0" w:color="auto"/>
              <w:left w:val="single" w:sz="2" w:space="0" w:color="auto"/>
              <w:bottom w:val="single" w:sz="12" w:space="0" w:color="auto"/>
              <w:right w:val="single" w:sz="2" w:space="0" w:color="auto"/>
            </w:tcBorders>
            <w:vAlign w:val="center"/>
          </w:tcPr>
          <w:p w:rsidR="00A761A4" w:rsidRDefault="0064189B">
            <w:pPr>
              <w:jc w:val="center"/>
              <w:rPr>
                <w:b/>
                <w:noProof/>
                <w:sz w:val="22"/>
              </w:rPr>
            </w:pPr>
            <w:r>
              <w:rPr>
                <w:b/>
                <w:noProof/>
                <w:sz w:val="22"/>
              </w:rPr>
              <w:t>11,295</w:t>
            </w:r>
          </w:p>
        </w:tc>
        <w:tc>
          <w:tcPr>
            <w:tcW w:w="1302" w:type="dxa"/>
            <w:tcBorders>
              <w:top w:val="single" w:sz="12" w:space="0" w:color="auto"/>
              <w:left w:val="single" w:sz="2" w:space="0" w:color="auto"/>
              <w:bottom w:val="single" w:sz="12" w:space="0" w:color="auto"/>
              <w:right w:val="single" w:sz="2" w:space="0" w:color="auto"/>
            </w:tcBorders>
            <w:vAlign w:val="center"/>
          </w:tcPr>
          <w:p w:rsidR="00A761A4" w:rsidRDefault="00A761A4">
            <w:pPr>
              <w:jc w:val="center"/>
              <w:rPr>
                <w:b/>
                <w:noProof/>
                <w:sz w:val="22"/>
              </w:rPr>
            </w:pPr>
          </w:p>
          <w:p w:rsidR="00A761A4" w:rsidRDefault="0064189B">
            <w:pPr>
              <w:jc w:val="center"/>
              <w:rPr>
                <w:b/>
                <w:noProof/>
                <w:sz w:val="22"/>
              </w:rPr>
            </w:pPr>
            <w:r>
              <w:rPr>
                <w:b/>
                <w:noProof/>
                <w:sz w:val="22"/>
              </w:rPr>
              <w:t>11,763</w:t>
            </w:r>
          </w:p>
          <w:p w:rsidR="00A761A4" w:rsidRDefault="00A761A4">
            <w:pPr>
              <w:jc w:val="center"/>
              <w:rPr>
                <w:b/>
                <w:noProof/>
              </w:rPr>
            </w:pPr>
          </w:p>
        </w:tc>
      </w:tr>
    </w:tbl>
    <w:p w:rsidR="00A761A4" w:rsidRDefault="0064189B">
      <w:pPr>
        <w:rPr>
          <w:noProof/>
          <w:sz w:val="20"/>
          <w:u w:val="single"/>
        </w:rPr>
      </w:pPr>
      <w:r>
        <w:rPr>
          <w:noProof/>
          <w:sz w:val="20"/>
          <w:u w:val="single"/>
        </w:rPr>
        <w:t xml:space="preserve">Troškovi osoblja </w:t>
      </w:r>
      <w:r>
        <w:rPr>
          <w:noProof/>
          <w:sz w:val="20"/>
          <w:u w:val="single"/>
        </w:rPr>
        <w:t>izračunani su u skladu s planiranim datumom zapošljavanja (za sadašnje zaposlenike ENISA-e puno zaposlenje predviđa se od 1. siječnja 2019.) U pogledu novih zaposlenika predviđeno je postupno zapošljavanje počevši od 1. srpnja 2019. do potpune zaposlenosti</w:t>
      </w:r>
      <w:r>
        <w:rPr>
          <w:noProof/>
          <w:sz w:val="20"/>
          <w:u w:val="single"/>
        </w:rPr>
        <w:t xml:space="preserve"> 2022. Planirana sredstva nakon 2020. okvirna su i njima se ne dovode u pitanje prijedlozi Komisije za višegodišnji financijski okvir nakon 2020.</w:t>
      </w:r>
    </w:p>
    <w:p w:rsidR="00A761A4" w:rsidRDefault="00A761A4">
      <w:pPr>
        <w:rPr>
          <w:noProof/>
          <w:sz w:val="20"/>
          <w:u w:val="single"/>
        </w:rPr>
      </w:pPr>
    </w:p>
    <w:p w:rsidR="00A761A4" w:rsidRDefault="0064189B">
      <w:pPr>
        <w:rPr>
          <w:noProof/>
          <w:u w:val="single"/>
        </w:rPr>
      </w:pPr>
      <w:r>
        <w:rPr>
          <w:noProof/>
          <w:u w:val="single"/>
        </w:rPr>
        <w:t>Očekivani utjecaj na osoblje (dodatni ekvivalenti punog radnog vremena) – plan radnih mjesta</w:t>
      </w:r>
    </w:p>
    <w:tbl>
      <w:tblPr>
        <w:tblW w:w="5000" w:type="pct"/>
        <w:tblCellMar>
          <w:left w:w="0" w:type="dxa"/>
          <w:right w:w="0" w:type="dxa"/>
        </w:tblCellMar>
        <w:tblLook w:val="04A0" w:firstRow="1" w:lastRow="0" w:firstColumn="1" w:lastColumn="0" w:noHBand="0" w:noVBand="1"/>
      </w:tblPr>
      <w:tblGrid>
        <w:gridCol w:w="2862"/>
        <w:gridCol w:w="1836"/>
        <w:gridCol w:w="1040"/>
        <w:gridCol w:w="1106"/>
        <w:gridCol w:w="1067"/>
        <w:gridCol w:w="1278"/>
      </w:tblGrid>
      <w:tr w:rsidR="00A761A4">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A761A4" w:rsidRDefault="0064189B">
            <w:pPr>
              <w:jc w:val="center"/>
              <w:rPr>
                <w:rFonts w:ascii="Calibri" w:eastAsia="Calibri" w:hAnsi="Calibri" w:cs="Calibri"/>
                <w:noProof/>
                <w:sz w:val="22"/>
              </w:rPr>
            </w:pPr>
            <w:r>
              <w:rPr>
                <w:noProof/>
              </w:rPr>
              <w:t>Funkcijska skupi</w:t>
            </w:r>
            <w:r>
              <w:rPr>
                <w:noProof/>
              </w:rPr>
              <w:t>na i razred</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A761A4" w:rsidRDefault="0064189B">
            <w:pPr>
              <w:jc w:val="center"/>
              <w:rPr>
                <w:rFonts w:eastAsia="Calibri"/>
                <w:noProof/>
                <w:sz w:val="22"/>
              </w:rPr>
            </w:pPr>
            <w:r>
              <w:rPr>
                <w:noProof/>
                <w:sz w:val="22"/>
              </w:rPr>
              <w:t>2017.</w:t>
            </w:r>
          </w:p>
          <w:p w:rsidR="00A761A4" w:rsidRDefault="0064189B">
            <w:pPr>
              <w:jc w:val="center"/>
              <w:rPr>
                <w:rFonts w:eastAsia="Calibri"/>
                <w:b/>
                <w:noProof/>
                <w:sz w:val="22"/>
              </w:rPr>
            </w:pPr>
            <w:r>
              <w:rPr>
                <w:b/>
                <w:noProof/>
                <w:sz w:val="22"/>
              </w:rPr>
              <w:t>Postojeća ENISA</w:t>
            </w:r>
          </w:p>
        </w:tc>
        <w:tc>
          <w:tcPr>
            <w:tcW w:w="606" w:type="pct"/>
            <w:tcBorders>
              <w:top w:val="single" w:sz="8" w:space="0" w:color="auto"/>
              <w:left w:val="single" w:sz="8" w:space="0" w:color="auto"/>
              <w:bottom w:val="single" w:sz="8" w:space="0" w:color="auto"/>
              <w:right w:val="single" w:sz="8" w:space="0" w:color="auto"/>
            </w:tcBorders>
            <w:vAlign w:val="center"/>
          </w:tcPr>
          <w:p w:rsidR="00A761A4" w:rsidRDefault="00A761A4">
            <w:pPr>
              <w:spacing w:before="0" w:after="0"/>
              <w:jc w:val="center"/>
              <w:rPr>
                <w:rFonts w:eastAsia="Calibri"/>
                <w:noProof/>
                <w:sz w:val="22"/>
              </w:rPr>
            </w:pPr>
          </w:p>
          <w:p w:rsidR="00A761A4" w:rsidRDefault="0064189B">
            <w:pPr>
              <w:spacing w:before="0" w:after="0"/>
              <w:jc w:val="center"/>
              <w:rPr>
                <w:rFonts w:eastAsia="Calibri"/>
                <w:noProof/>
                <w:sz w:val="22"/>
              </w:rPr>
            </w:pPr>
            <w:r>
              <w:rPr>
                <w:noProof/>
                <w:sz w:val="22"/>
              </w:rPr>
              <w:t>T3/4 2019.</w:t>
            </w:r>
          </w:p>
          <w:p w:rsidR="00A761A4" w:rsidRDefault="00A761A4">
            <w:pPr>
              <w:spacing w:before="0" w:after="0"/>
              <w:jc w:val="center"/>
              <w:rPr>
                <w:rFonts w:eastAsia="Calibri"/>
                <w:noProof/>
                <w:sz w:val="22"/>
              </w:rPr>
            </w:pPr>
          </w:p>
        </w:tc>
        <w:tc>
          <w:tcPr>
            <w:tcW w:w="642" w:type="pct"/>
            <w:tcBorders>
              <w:top w:val="single" w:sz="8" w:space="0" w:color="auto"/>
              <w:left w:val="single" w:sz="8" w:space="0" w:color="auto"/>
              <w:bottom w:val="single" w:sz="8" w:space="0" w:color="auto"/>
              <w:right w:val="single" w:sz="8" w:space="0" w:color="auto"/>
            </w:tcBorders>
            <w:vAlign w:val="center"/>
          </w:tcPr>
          <w:p w:rsidR="00A761A4" w:rsidRDefault="0064189B">
            <w:pPr>
              <w:spacing w:before="0" w:after="0"/>
              <w:jc w:val="center"/>
              <w:rPr>
                <w:rFonts w:eastAsia="Calibri"/>
                <w:noProof/>
                <w:sz w:val="22"/>
              </w:rPr>
            </w:pPr>
            <w:r>
              <w:rPr>
                <w:noProof/>
                <w:sz w:val="22"/>
              </w:rPr>
              <w:t>2020.</w:t>
            </w:r>
          </w:p>
        </w:tc>
        <w:tc>
          <w:tcPr>
            <w:tcW w:w="621" w:type="pct"/>
            <w:tcBorders>
              <w:top w:val="single" w:sz="8" w:space="0" w:color="auto"/>
              <w:left w:val="single" w:sz="8" w:space="0" w:color="auto"/>
              <w:bottom w:val="single" w:sz="8" w:space="0" w:color="auto"/>
              <w:right w:val="single" w:sz="8" w:space="0" w:color="auto"/>
            </w:tcBorders>
            <w:vAlign w:val="center"/>
          </w:tcPr>
          <w:p w:rsidR="00A761A4" w:rsidRDefault="0064189B">
            <w:pPr>
              <w:spacing w:before="0" w:after="0"/>
              <w:jc w:val="center"/>
              <w:rPr>
                <w:rFonts w:eastAsia="Calibri"/>
                <w:noProof/>
                <w:sz w:val="22"/>
              </w:rPr>
            </w:pPr>
            <w:r>
              <w:rPr>
                <w:noProof/>
                <w:sz w:val="22"/>
              </w:rPr>
              <w:t>2021.</w:t>
            </w:r>
          </w:p>
        </w:tc>
        <w:tc>
          <w:tcPr>
            <w:tcW w:w="735" w:type="pct"/>
            <w:tcBorders>
              <w:top w:val="single" w:sz="8" w:space="0" w:color="auto"/>
              <w:left w:val="single" w:sz="8" w:space="0" w:color="auto"/>
              <w:bottom w:val="single" w:sz="8" w:space="0" w:color="auto"/>
              <w:right w:val="single" w:sz="8" w:space="0" w:color="auto"/>
            </w:tcBorders>
          </w:tcPr>
          <w:p w:rsidR="00A761A4" w:rsidRDefault="00A761A4">
            <w:pPr>
              <w:spacing w:before="0" w:after="0"/>
              <w:jc w:val="center"/>
              <w:rPr>
                <w:rFonts w:eastAsia="Calibri"/>
                <w:noProof/>
                <w:sz w:val="22"/>
              </w:rPr>
            </w:pPr>
          </w:p>
          <w:p w:rsidR="00A761A4" w:rsidRDefault="0064189B">
            <w:pPr>
              <w:spacing w:before="0" w:after="0"/>
              <w:jc w:val="center"/>
              <w:rPr>
                <w:rFonts w:eastAsia="Calibri"/>
                <w:noProof/>
                <w:sz w:val="22"/>
              </w:rPr>
            </w:pPr>
            <w:r>
              <w:rPr>
                <w:noProof/>
                <w:sz w:val="22"/>
              </w:rPr>
              <w:t>2022.</w:t>
            </w: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AD16</w:t>
            </w:r>
          </w:p>
        </w:tc>
        <w:tc>
          <w:tcPr>
            <w:tcW w:w="933" w:type="pct"/>
            <w:tcBorders>
              <w:top w:val="single" w:sz="8" w:space="0" w:color="auto"/>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A761A4" w:rsidRDefault="00A761A4">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AD15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A761A4" w:rsidRDefault="0064189B">
            <w:pPr>
              <w:spacing w:before="0" w:after="0"/>
              <w:jc w:val="center"/>
              <w:rPr>
                <w:rFonts w:eastAsia="Calibri"/>
                <w:noProof/>
                <w:szCs w:val="24"/>
              </w:rPr>
            </w:pPr>
            <w:r>
              <w:rPr>
                <w:noProof/>
              </w:rPr>
              <w:t>1</w:t>
            </w: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szCs w:val="24"/>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AD14</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A761A4" w:rsidRDefault="00A761A4">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szCs w:val="24"/>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AD13</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A761A4" w:rsidRDefault="00A761A4">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szCs w:val="24"/>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AD12</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A761A4" w:rsidRDefault="0064189B">
            <w:pPr>
              <w:spacing w:before="0" w:after="0"/>
              <w:jc w:val="center"/>
              <w:rPr>
                <w:rFonts w:eastAsia="Calibri"/>
                <w:noProof/>
                <w:szCs w:val="24"/>
              </w:rPr>
            </w:pPr>
            <w:r>
              <w:rPr>
                <w:noProof/>
              </w:rPr>
              <w:t>3</w:t>
            </w:r>
          </w:p>
        </w:tc>
        <w:tc>
          <w:tcPr>
            <w:tcW w:w="606" w:type="pct"/>
            <w:tcBorders>
              <w:top w:val="nil"/>
              <w:left w:val="single" w:sz="8" w:space="0" w:color="auto"/>
              <w:bottom w:val="nil"/>
              <w:right w:val="single" w:sz="8" w:space="0" w:color="auto"/>
            </w:tcBorders>
            <w:vAlign w:val="center"/>
          </w:tcPr>
          <w:p w:rsidR="00A761A4" w:rsidRDefault="0064189B">
            <w:pPr>
              <w:spacing w:before="0" w:after="0"/>
              <w:jc w:val="center"/>
              <w:rPr>
                <w:noProof/>
                <w:szCs w:val="24"/>
              </w:rPr>
            </w:pPr>
            <w:r>
              <w:rPr>
                <w:noProof/>
              </w:rPr>
              <w:t>3</w:t>
            </w: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szCs w:val="24"/>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AD11</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A761A4" w:rsidRDefault="00A761A4">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szCs w:val="24"/>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AD10</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A761A4" w:rsidRDefault="0064189B">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szCs w:val="24"/>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AD9</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A761A4" w:rsidRDefault="0064189B">
            <w:pPr>
              <w:spacing w:before="0" w:after="0"/>
              <w:jc w:val="center"/>
              <w:rPr>
                <w:rFonts w:eastAsia="Calibri"/>
                <w:noProof/>
                <w:szCs w:val="24"/>
              </w:rPr>
            </w:pPr>
            <w:r>
              <w:rPr>
                <w:noProof/>
              </w:rPr>
              <w:t>10</w:t>
            </w:r>
          </w:p>
        </w:tc>
        <w:tc>
          <w:tcPr>
            <w:tcW w:w="606" w:type="pct"/>
            <w:tcBorders>
              <w:top w:val="nil"/>
              <w:left w:val="single" w:sz="8" w:space="0" w:color="auto"/>
              <w:bottom w:val="nil"/>
              <w:right w:val="single" w:sz="8" w:space="0" w:color="auto"/>
            </w:tcBorders>
            <w:vAlign w:val="center"/>
          </w:tcPr>
          <w:p w:rsidR="00A761A4" w:rsidRDefault="0064189B">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szCs w:val="24"/>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AD8</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A761A4" w:rsidRDefault="0064189B">
            <w:pPr>
              <w:spacing w:before="0" w:after="0"/>
              <w:jc w:val="center"/>
              <w:rPr>
                <w:rFonts w:eastAsia="Calibri"/>
                <w:noProof/>
                <w:szCs w:val="24"/>
              </w:rPr>
            </w:pPr>
            <w:r>
              <w:rPr>
                <w:noProof/>
              </w:rPr>
              <w:t>15</w:t>
            </w:r>
          </w:p>
        </w:tc>
        <w:tc>
          <w:tcPr>
            <w:tcW w:w="606" w:type="pct"/>
            <w:tcBorders>
              <w:top w:val="nil"/>
              <w:left w:val="single" w:sz="8" w:space="0" w:color="auto"/>
              <w:bottom w:val="nil"/>
              <w:right w:val="single" w:sz="8" w:space="0" w:color="auto"/>
            </w:tcBorders>
            <w:vAlign w:val="center"/>
          </w:tcPr>
          <w:p w:rsidR="00A761A4" w:rsidRDefault="0064189B">
            <w:pPr>
              <w:spacing w:before="0" w:after="0"/>
              <w:jc w:val="center"/>
              <w:rPr>
                <w:noProof/>
                <w:szCs w:val="24"/>
              </w:rPr>
            </w:pPr>
            <w:r>
              <w:rPr>
                <w:noProof/>
              </w:rPr>
              <w:t>4</w:t>
            </w:r>
          </w:p>
        </w:tc>
        <w:tc>
          <w:tcPr>
            <w:tcW w:w="642" w:type="pct"/>
            <w:tcBorders>
              <w:top w:val="nil"/>
              <w:left w:val="single" w:sz="8" w:space="0" w:color="auto"/>
              <w:bottom w:val="nil"/>
              <w:right w:val="single" w:sz="8" w:space="0" w:color="auto"/>
            </w:tcBorders>
            <w:vAlign w:val="center"/>
          </w:tcPr>
          <w:p w:rsidR="00A761A4" w:rsidRDefault="0064189B">
            <w:pPr>
              <w:spacing w:before="0" w:after="0"/>
              <w:jc w:val="center"/>
              <w:rPr>
                <w:noProof/>
                <w:szCs w:val="24"/>
              </w:rPr>
            </w:pPr>
            <w:r>
              <w:rPr>
                <w:noProof/>
              </w:rPr>
              <w:t>2</w:t>
            </w: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735" w:type="pct"/>
            <w:tcBorders>
              <w:top w:val="nil"/>
              <w:left w:val="single" w:sz="8" w:space="0" w:color="auto"/>
              <w:bottom w:val="nil"/>
              <w:right w:val="single" w:sz="8" w:space="0" w:color="auto"/>
            </w:tcBorders>
          </w:tcPr>
          <w:p w:rsidR="00A761A4" w:rsidRDefault="0064189B">
            <w:pPr>
              <w:spacing w:before="0" w:after="0"/>
              <w:jc w:val="center"/>
              <w:rPr>
                <w:noProof/>
                <w:szCs w:val="24"/>
              </w:rPr>
            </w:pPr>
            <w:r>
              <w:rPr>
                <w:noProof/>
              </w:rPr>
              <w:t>1</w:t>
            </w: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AD7</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A761A4" w:rsidRDefault="00A761A4">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A761A4" w:rsidRDefault="0064189B">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A761A4" w:rsidRDefault="0064189B">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A761A4" w:rsidRDefault="0064189B">
            <w:pPr>
              <w:spacing w:before="0" w:after="0"/>
              <w:jc w:val="center"/>
              <w:rPr>
                <w:noProof/>
                <w:szCs w:val="24"/>
              </w:rPr>
            </w:pPr>
            <w:r>
              <w:rPr>
                <w:noProof/>
              </w:rPr>
              <w:t>2</w:t>
            </w: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AD6</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A761A4" w:rsidRDefault="00A761A4">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A761A4" w:rsidRDefault="0064189B">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A761A4" w:rsidRDefault="0064189B">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szCs w:val="24"/>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AD5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A761A4" w:rsidRDefault="00A761A4">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szCs w:val="24"/>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A761A4">
            <w:pPr>
              <w:spacing w:before="0" w:after="0"/>
              <w:jc w:val="center"/>
              <w:rPr>
                <w:rFonts w:ascii="Calibri" w:eastAsia="Calibri" w:hAnsi="Calibri" w:cs="Calibri"/>
                <w:noProof/>
                <w:sz w:val="22"/>
              </w:rPr>
            </w:pP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A761A4" w:rsidRDefault="00A761A4">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szCs w:val="24"/>
              </w:rPr>
            </w:pPr>
          </w:p>
        </w:tc>
      </w:tr>
      <w:tr w:rsidR="00A761A4">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AD ukupno</w:t>
            </w:r>
          </w:p>
        </w:tc>
        <w:tc>
          <w:tcPr>
            <w:tcW w:w="933" w:type="pc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761A4" w:rsidRDefault="0064189B">
            <w:pPr>
              <w:spacing w:before="0" w:after="0"/>
              <w:jc w:val="center"/>
              <w:rPr>
                <w:noProof/>
                <w:szCs w:val="24"/>
              </w:rPr>
            </w:pPr>
            <w:r>
              <w:rPr>
                <w:noProof/>
              </w:rPr>
              <w:t>34</w:t>
            </w:r>
          </w:p>
        </w:tc>
        <w:tc>
          <w:tcPr>
            <w:tcW w:w="606" w:type="pct"/>
            <w:tcBorders>
              <w:top w:val="single" w:sz="8" w:space="0" w:color="auto"/>
              <w:left w:val="single" w:sz="8" w:space="0" w:color="auto"/>
              <w:bottom w:val="single" w:sz="8" w:space="0" w:color="auto"/>
              <w:right w:val="single" w:sz="8" w:space="0" w:color="auto"/>
            </w:tcBorders>
            <w:vAlign w:val="center"/>
          </w:tcPr>
          <w:p w:rsidR="00A761A4" w:rsidRDefault="0064189B">
            <w:pPr>
              <w:spacing w:before="0" w:after="0"/>
              <w:jc w:val="center"/>
              <w:rPr>
                <w:noProof/>
                <w:szCs w:val="24"/>
              </w:rPr>
            </w:pPr>
            <w:r>
              <w:rPr>
                <w:noProof/>
              </w:rPr>
              <w:t>9</w:t>
            </w:r>
          </w:p>
        </w:tc>
        <w:tc>
          <w:tcPr>
            <w:tcW w:w="642" w:type="pct"/>
            <w:tcBorders>
              <w:top w:val="single" w:sz="8" w:space="0" w:color="auto"/>
              <w:left w:val="single" w:sz="8" w:space="0" w:color="auto"/>
              <w:bottom w:val="single" w:sz="8" w:space="0" w:color="auto"/>
              <w:right w:val="single" w:sz="8" w:space="0" w:color="auto"/>
            </w:tcBorders>
            <w:vAlign w:val="center"/>
          </w:tcPr>
          <w:p w:rsidR="00A761A4" w:rsidRDefault="0064189B">
            <w:pPr>
              <w:spacing w:before="0" w:after="0"/>
              <w:jc w:val="center"/>
              <w:rPr>
                <w:noProof/>
                <w:szCs w:val="24"/>
              </w:rPr>
            </w:pPr>
            <w:r>
              <w:rPr>
                <w:noProof/>
              </w:rPr>
              <w:t>8</w:t>
            </w:r>
          </w:p>
        </w:tc>
        <w:tc>
          <w:tcPr>
            <w:tcW w:w="621" w:type="pct"/>
            <w:tcBorders>
              <w:top w:val="single" w:sz="8" w:space="0" w:color="auto"/>
              <w:left w:val="single" w:sz="8" w:space="0" w:color="auto"/>
              <w:bottom w:val="single" w:sz="8" w:space="0" w:color="auto"/>
              <w:right w:val="single" w:sz="8" w:space="0" w:color="auto"/>
            </w:tcBorders>
            <w:vAlign w:val="center"/>
          </w:tcPr>
          <w:p w:rsidR="00A761A4" w:rsidRDefault="0064189B">
            <w:pPr>
              <w:spacing w:before="0" w:after="0"/>
              <w:jc w:val="center"/>
              <w:rPr>
                <w:noProof/>
                <w:szCs w:val="24"/>
              </w:rPr>
            </w:pPr>
            <w:r>
              <w:rPr>
                <w:noProof/>
              </w:rPr>
              <w:t>6</w:t>
            </w:r>
          </w:p>
        </w:tc>
        <w:tc>
          <w:tcPr>
            <w:tcW w:w="735" w:type="pct"/>
            <w:tcBorders>
              <w:top w:val="single" w:sz="8" w:space="0" w:color="auto"/>
              <w:left w:val="single" w:sz="8" w:space="0" w:color="auto"/>
              <w:bottom w:val="single" w:sz="8" w:space="0" w:color="auto"/>
              <w:right w:val="single" w:sz="8" w:space="0" w:color="auto"/>
            </w:tcBorders>
          </w:tcPr>
          <w:p w:rsidR="00A761A4" w:rsidRDefault="0064189B">
            <w:pPr>
              <w:spacing w:before="0" w:after="0"/>
              <w:jc w:val="center"/>
              <w:rPr>
                <w:noProof/>
                <w:szCs w:val="24"/>
              </w:rPr>
            </w:pPr>
            <w:r>
              <w:rPr>
                <w:noProof/>
              </w:rPr>
              <w:t>3</w:t>
            </w: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AST11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A761A4" w:rsidRDefault="00A761A4">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AST10</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A761A4" w:rsidRDefault="00A761A4">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A761A4" w:rsidRDefault="0064189B">
            <w:pPr>
              <w:spacing w:before="0" w:after="0"/>
              <w:jc w:val="center"/>
              <w:rPr>
                <w:rFonts w:ascii="Calibri" w:eastAsia="Calibri" w:hAnsi="Calibri" w:cs="Calibri"/>
                <w:noProof/>
                <w:sz w:val="22"/>
              </w:rPr>
            </w:pPr>
            <w:r>
              <w:rPr>
                <w:noProof/>
              </w:rPr>
              <w:t>AST9</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A761A4" w:rsidRDefault="00A761A4">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szCs w:val="24"/>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AST8</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A761A4" w:rsidRDefault="00A761A4">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szCs w:val="24"/>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AST7</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A761A4" w:rsidRDefault="0064189B">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A761A4" w:rsidRDefault="0064189B">
            <w:pPr>
              <w:spacing w:before="0" w:after="0"/>
              <w:jc w:val="center"/>
              <w:rPr>
                <w:noProof/>
                <w:szCs w:val="24"/>
              </w:rPr>
            </w:pPr>
            <w:r>
              <w:rPr>
                <w:noProof/>
              </w:rPr>
              <w:t>1</w:t>
            </w:r>
          </w:p>
        </w:tc>
        <w:tc>
          <w:tcPr>
            <w:tcW w:w="642" w:type="pct"/>
            <w:tcBorders>
              <w:top w:val="nil"/>
              <w:left w:val="single" w:sz="8" w:space="0" w:color="auto"/>
              <w:bottom w:val="nil"/>
              <w:right w:val="single" w:sz="8" w:space="0" w:color="auto"/>
            </w:tcBorders>
            <w:vAlign w:val="center"/>
          </w:tcPr>
          <w:p w:rsidR="00A761A4" w:rsidRDefault="0064189B">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A761A4" w:rsidRDefault="0064189B">
            <w:pPr>
              <w:spacing w:before="0" w:after="0"/>
              <w:jc w:val="center"/>
              <w:rPr>
                <w:noProof/>
                <w:szCs w:val="24"/>
              </w:rPr>
            </w:pPr>
            <w:r>
              <w:rPr>
                <w:noProof/>
              </w:rPr>
              <w:t>1</w:t>
            </w: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szCs w:val="24"/>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AST6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A761A4" w:rsidRDefault="0064189B">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A761A4" w:rsidRDefault="0064189B">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A761A4" w:rsidRDefault="0064189B">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szCs w:val="24"/>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AST5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A761A4" w:rsidRDefault="0064189B">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szCs w:val="24"/>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AST4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A761A4" w:rsidRDefault="0064189B">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szCs w:val="24"/>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AST3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A761A4" w:rsidRDefault="00A761A4">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szCs w:val="24"/>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AST2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A761A4" w:rsidRDefault="00A761A4">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szCs w:val="24"/>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AST1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A761A4" w:rsidRDefault="00A761A4">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szCs w:val="24"/>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szCs w:val="24"/>
              </w:rPr>
            </w:pPr>
          </w:p>
        </w:tc>
      </w:tr>
      <w:tr w:rsidR="00A761A4">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AST ukupno</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761A4" w:rsidRDefault="0064189B">
            <w:pPr>
              <w:spacing w:before="0" w:after="0"/>
              <w:jc w:val="center"/>
              <w:rPr>
                <w:noProof/>
                <w:szCs w:val="24"/>
              </w:rPr>
            </w:pPr>
            <w:r>
              <w:rPr>
                <w:noProof/>
              </w:rPr>
              <w:t>14</w:t>
            </w:r>
          </w:p>
        </w:tc>
        <w:tc>
          <w:tcPr>
            <w:tcW w:w="606" w:type="pct"/>
            <w:tcBorders>
              <w:top w:val="single" w:sz="8" w:space="0" w:color="auto"/>
              <w:left w:val="single" w:sz="8" w:space="0" w:color="auto"/>
              <w:bottom w:val="single" w:sz="8" w:space="0" w:color="auto"/>
              <w:right w:val="single" w:sz="8" w:space="0" w:color="auto"/>
            </w:tcBorders>
            <w:vAlign w:val="center"/>
          </w:tcPr>
          <w:p w:rsidR="00A761A4" w:rsidRDefault="0064189B">
            <w:pPr>
              <w:spacing w:before="0" w:after="0"/>
              <w:jc w:val="center"/>
              <w:rPr>
                <w:noProof/>
                <w:szCs w:val="24"/>
              </w:rPr>
            </w:pPr>
            <w:r>
              <w:rPr>
                <w:noProof/>
              </w:rPr>
              <w:t>3</w:t>
            </w:r>
          </w:p>
        </w:tc>
        <w:tc>
          <w:tcPr>
            <w:tcW w:w="642" w:type="pct"/>
            <w:tcBorders>
              <w:top w:val="single" w:sz="8" w:space="0" w:color="auto"/>
              <w:left w:val="single" w:sz="8" w:space="0" w:color="auto"/>
              <w:bottom w:val="single" w:sz="8" w:space="0" w:color="auto"/>
              <w:right w:val="single" w:sz="8" w:space="0" w:color="auto"/>
            </w:tcBorders>
            <w:vAlign w:val="center"/>
          </w:tcPr>
          <w:p w:rsidR="00A761A4" w:rsidRDefault="0064189B">
            <w:pPr>
              <w:spacing w:before="0" w:after="0"/>
              <w:jc w:val="center"/>
              <w:rPr>
                <w:noProof/>
                <w:szCs w:val="24"/>
              </w:rPr>
            </w:pPr>
            <w:r>
              <w:rPr>
                <w:noProof/>
              </w:rPr>
              <w:t>2</w:t>
            </w:r>
          </w:p>
        </w:tc>
        <w:tc>
          <w:tcPr>
            <w:tcW w:w="621" w:type="pct"/>
            <w:tcBorders>
              <w:top w:val="single" w:sz="8" w:space="0" w:color="auto"/>
              <w:left w:val="single" w:sz="8" w:space="0" w:color="auto"/>
              <w:bottom w:val="single" w:sz="8" w:space="0" w:color="auto"/>
              <w:right w:val="single" w:sz="8" w:space="0" w:color="auto"/>
            </w:tcBorders>
            <w:vAlign w:val="center"/>
          </w:tcPr>
          <w:p w:rsidR="00A761A4" w:rsidRDefault="0064189B">
            <w:pPr>
              <w:spacing w:before="0" w:after="0"/>
              <w:jc w:val="center"/>
              <w:rPr>
                <w:noProof/>
                <w:szCs w:val="24"/>
              </w:rPr>
            </w:pPr>
            <w:r>
              <w:rPr>
                <w:noProof/>
              </w:rPr>
              <w:t>1</w:t>
            </w:r>
          </w:p>
        </w:tc>
        <w:tc>
          <w:tcPr>
            <w:tcW w:w="735" w:type="pct"/>
            <w:tcBorders>
              <w:top w:val="single" w:sz="8" w:space="0" w:color="auto"/>
              <w:left w:val="single" w:sz="8" w:space="0" w:color="auto"/>
              <w:bottom w:val="single" w:sz="8" w:space="0" w:color="auto"/>
              <w:right w:val="single" w:sz="8" w:space="0" w:color="auto"/>
            </w:tcBorders>
          </w:tcPr>
          <w:p w:rsidR="00A761A4" w:rsidRDefault="00A761A4">
            <w:pPr>
              <w:spacing w:before="0" w:after="0"/>
              <w:jc w:val="center"/>
              <w:rPr>
                <w:noProof/>
                <w:szCs w:val="24"/>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AST/SC 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A761A4" w:rsidRDefault="00A761A4">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AST/SC 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A761A4" w:rsidRDefault="00A761A4">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A761A4" w:rsidRDefault="0064189B">
            <w:pPr>
              <w:spacing w:before="0" w:after="0"/>
              <w:jc w:val="center"/>
              <w:rPr>
                <w:rFonts w:ascii="Calibri" w:eastAsia="Calibri" w:hAnsi="Calibri" w:cs="Calibri"/>
                <w:noProof/>
                <w:sz w:val="22"/>
              </w:rPr>
            </w:pPr>
            <w:r>
              <w:rPr>
                <w:noProof/>
              </w:rPr>
              <w:t>AST/SC 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A761A4" w:rsidRDefault="00A761A4">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AST/SC 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A761A4" w:rsidRDefault="00A761A4">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AST/SC 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A761A4" w:rsidRDefault="00A761A4">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rPr>
            </w:pPr>
          </w:p>
        </w:tc>
      </w:tr>
      <w:tr w:rsidR="00A761A4">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AST/SC 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A761A4" w:rsidRDefault="00A761A4">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642"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621" w:type="pct"/>
            <w:tcBorders>
              <w:top w:val="nil"/>
              <w:left w:val="single" w:sz="8" w:space="0" w:color="auto"/>
              <w:bottom w:val="nil"/>
              <w:right w:val="single" w:sz="8" w:space="0" w:color="auto"/>
            </w:tcBorders>
            <w:vAlign w:val="center"/>
          </w:tcPr>
          <w:p w:rsidR="00A761A4" w:rsidRDefault="00A761A4">
            <w:pPr>
              <w:spacing w:before="0" w:after="0"/>
              <w:jc w:val="center"/>
              <w:rPr>
                <w:noProof/>
              </w:rPr>
            </w:pPr>
          </w:p>
        </w:tc>
        <w:tc>
          <w:tcPr>
            <w:tcW w:w="735" w:type="pct"/>
            <w:tcBorders>
              <w:top w:val="nil"/>
              <w:left w:val="single" w:sz="8" w:space="0" w:color="auto"/>
              <w:bottom w:val="nil"/>
              <w:right w:val="single" w:sz="8" w:space="0" w:color="auto"/>
            </w:tcBorders>
          </w:tcPr>
          <w:p w:rsidR="00A761A4" w:rsidRDefault="00A761A4">
            <w:pPr>
              <w:spacing w:before="0" w:after="0"/>
              <w:jc w:val="center"/>
              <w:rPr>
                <w:noProof/>
              </w:rPr>
            </w:pPr>
          </w:p>
        </w:tc>
      </w:tr>
      <w:tr w:rsidR="00A761A4">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A761A4" w:rsidRDefault="0064189B">
            <w:pPr>
              <w:spacing w:before="0" w:after="0"/>
              <w:jc w:val="center"/>
              <w:rPr>
                <w:rFonts w:ascii="Calibri" w:eastAsia="Calibri" w:hAnsi="Calibri" w:cs="Calibri"/>
                <w:noProof/>
                <w:sz w:val="22"/>
              </w:rPr>
            </w:pPr>
            <w:r>
              <w:rPr>
                <w:noProof/>
              </w:rPr>
              <w:t>AST/SC ukupno</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761A4" w:rsidRDefault="00A761A4">
            <w:pPr>
              <w:spacing w:before="0" w:after="0"/>
              <w:jc w:val="center"/>
              <w:rPr>
                <w:noProof/>
                <w:sz w:val="20"/>
                <w:szCs w:val="20"/>
              </w:rPr>
            </w:pPr>
          </w:p>
        </w:tc>
        <w:tc>
          <w:tcPr>
            <w:tcW w:w="606" w:type="pct"/>
            <w:tcBorders>
              <w:top w:val="single" w:sz="8" w:space="0" w:color="auto"/>
              <w:left w:val="single" w:sz="8" w:space="0" w:color="auto"/>
              <w:bottom w:val="single" w:sz="8" w:space="0" w:color="auto"/>
              <w:right w:val="single" w:sz="8" w:space="0" w:color="auto"/>
            </w:tcBorders>
            <w:vAlign w:val="center"/>
          </w:tcPr>
          <w:p w:rsidR="00A761A4" w:rsidRDefault="00A761A4">
            <w:pPr>
              <w:spacing w:before="0" w:after="0"/>
              <w:jc w:val="center"/>
              <w:rPr>
                <w:noProof/>
                <w:sz w:val="20"/>
                <w:szCs w:val="20"/>
              </w:rPr>
            </w:pPr>
          </w:p>
        </w:tc>
        <w:tc>
          <w:tcPr>
            <w:tcW w:w="642" w:type="pct"/>
            <w:tcBorders>
              <w:top w:val="single" w:sz="8" w:space="0" w:color="auto"/>
              <w:left w:val="single" w:sz="8" w:space="0" w:color="auto"/>
              <w:bottom w:val="single" w:sz="8" w:space="0" w:color="auto"/>
              <w:right w:val="single" w:sz="8" w:space="0" w:color="auto"/>
            </w:tcBorders>
            <w:vAlign w:val="center"/>
          </w:tcPr>
          <w:p w:rsidR="00A761A4" w:rsidRDefault="00A761A4">
            <w:pPr>
              <w:spacing w:before="0" w:after="0"/>
              <w:jc w:val="center"/>
              <w:rPr>
                <w:noProof/>
                <w:sz w:val="20"/>
                <w:szCs w:val="20"/>
              </w:rPr>
            </w:pPr>
          </w:p>
        </w:tc>
        <w:tc>
          <w:tcPr>
            <w:tcW w:w="621" w:type="pct"/>
            <w:tcBorders>
              <w:top w:val="single" w:sz="8" w:space="0" w:color="auto"/>
              <w:left w:val="single" w:sz="8" w:space="0" w:color="auto"/>
              <w:bottom w:val="single" w:sz="8" w:space="0" w:color="auto"/>
              <w:right w:val="single" w:sz="8" w:space="0" w:color="auto"/>
            </w:tcBorders>
            <w:vAlign w:val="center"/>
          </w:tcPr>
          <w:p w:rsidR="00A761A4" w:rsidRDefault="00A761A4">
            <w:pPr>
              <w:spacing w:before="0" w:after="0"/>
              <w:jc w:val="center"/>
              <w:rPr>
                <w:noProof/>
                <w:sz w:val="20"/>
                <w:szCs w:val="20"/>
              </w:rPr>
            </w:pPr>
          </w:p>
        </w:tc>
        <w:tc>
          <w:tcPr>
            <w:tcW w:w="735" w:type="pct"/>
            <w:tcBorders>
              <w:top w:val="single" w:sz="8" w:space="0" w:color="auto"/>
              <w:left w:val="single" w:sz="8" w:space="0" w:color="auto"/>
              <w:bottom w:val="single" w:sz="8" w:space="0" w:color="auto"/>
              <w:right w:val="single" w:sz="8" w:space="0" w:color="auto"/>
            </w:tcBorders>
          </w:tcPr>
          <w:p w:rsidR="00A761A4" w:rsidRDefault="00A761A4">
            <w:pPr>
              <w:spacing w:before="0" w:after="0"/>
              <w:jc w:val="center"/>
              <w:rPr>
                <w:noProof/>
                <w:sz w:val="20"/>
                <w:szCs w:val="20"/>
              </w:rPr>
            </w:pPr>
          </w:p>
        </w:tc>
      </w:tr>
      <w:tr w:rsidR="00A761A4">
        <w:trPr>
          <w:trHeight w:val="300"/>
        </w:trPr>
        <w:tc>
          <w:tcPr>
            <w:tcW w:w="1463" w:type="pct"/>
            <w:tcBorders>
              <w:top w:val="single" w:sz="8" w:space="0" w:color="auto"/>
              <w:left w:val="single" w:sz="8" w:space="0" w:color="auto"/>
              <w:bottom w:val="single" w:sz="8" w:space="0" w:color="auto"/>
              <w:right w:val="nil"/>
            </w:tcBorders>
            <w:shd w:val="clear" w:color="auto" w:fill="BFBFBF" w:themeFill="background1" w:themeFillShade="BF"/>
            <w:noWrap/>
            <w:tcMar>
              <w:top w:w="0" w:type="dxa"/>
              <w:left w:w="108" w:type="dxa"/>
              <w:bottom w:w="0" w:type="dxa"/>
              <w:right w:w="108" w:type="dxa"/>
            </w:tcMar>
            <w:vAlign w:val="center"/>
          </w:tcPr>
          <w:p w:rsidR="00A761A4" w:rsidRDefault="0064189B">
            <w:pPr>
              <w:spacing w:before="0" w:after="0"/>
              <w:jc w:val="center"/>
              <w:rPr>
                <w:noProof/>
              </w:rPr>
            </w:pPr>
            <w:r>
              <w:rPr>
                <w:noProof/>
              </w:rPr>
              <w:t>SVEUKUPNO</w:t>
            </w:r>
          </w:p>
        </w:tc>
        <w:tc>
          <w:tcPr>
            <w:tcW w:w="933"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rsidR="00A761A4" w:rsidRDefault="0064189B">
            <w:pPr>
              <w:spacing w:before="0" w:after="0"/>
              <w:jc w:val="center"/>
              <w:rPr>
                <w:noProof/>
                <w:szCs w:val="20"/>
              </w:rPr>
            </w:pPr>
            <w:r>
              <w:rPr>
                <w:noProof/>
              </w:rPr>
              <w:t>48</w:t>
            </w:r>
          </w:p>
        </w:tc>
        <w:tc>
          <w:tcPr>
            <w:tcW w:w="60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A761A4" w:rsidRDefault="0064189B">
            <w:pPr>
              <w:spacing w:before="0" w:after="0"/>
              <w:jc w:val="center"/>
              <w:rPr>
                <w:noProof/>
                <w:szCs w:val="20"/>
              </w:rPr>
            </w:pPr>
            <w:r>
              <w:rPr>
                <w:noProof/>
              </w:rPr>
              <w:t>12</w:t>
            </w:r>
          </w:p>
        </w:tc>
        <w:tc>
          <w:tcPr>
            <w:tcW w:w="64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A761A4" w:rsidRDefault="0064189B">
            <w:pPr>
              <w:spacing w:before="0" w:after="0"/>
              <w:jc w:val="center"/>
              <w:rPr>
                <w:noProof/>
                <w:szCs w:val="20"/>
              </w:rPr>
            </w:pPr>
            <w:r>
              <w:rPr>
                <w:noProof/>
              </w:rPr>
              <w:t>10</w:t>
            </w:r>
          </w:p>
        </w:tc>
        <w:tc>
          <w:tcPr>
            <w:tcW w:w="62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A761A4" w:rsidRDefault="0064189B">
            <w:pPr>
              <w:spacing w:before="0" w:after="0"/>
              <w:jc w:val="center"/>
              <w:rPr>
                <w:noProof/>
                <w:szCs w:val="20"/>
              </w:rPr>
            </w:pPr>
            <w:r>
              <w:rPr>
                <w:noProof/>
              </w:rPr>
              <w:t>7</w:t>
            </w:r>
          </w:p>
        </w:tc>
        <w:tc>
          <w:tcPr>
            <w:tcW w:w="73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A761A4" w:rsidRDefault="0064189B">
            <w:pPr>
              <w:spacing w:before="0" w:after="0"/>
              <w:jc w:val="center"/>
              <w:rPr>
                <w:noProof/>
                <w:szCs w:val="20"/>
              </w:rPr>
            </w:pPr>
            <w:r>
              <w:rPr>
                <w:noProof/>
              </w:rPr>
              <w:t>3</w:t>
            </w:r>
          </w:p>
        </w:tc>
      </w:tr>
    </w:tbl>
    <w:p w:rsidR="00A761A4" w:rsidRDefault="00A761A4">
      <w:pPr>
        <w:rPr>
          <w:noProof/>
        </w:rPr>
      </w:pPr>
    </w:p>
    <w:p w:rsidR="00A761A4" w:rsidRDefault="0064189B">
      <w:pPr>
        <w:spacing w:before="0" w:after="0"/>
        <w:rPr>
          <w:noProof/>
        </w:rPr>
      </w:pPr>
      <w:r>
        <w:rPr>
          <w:noProof/>
        </w:rPr>
        <w:t xml:space="preserve">Zadaće dodatnih zaposlenika razreda AD/AST za ostvarivanje ciljeva instrumenta opisanih u odjeljku 1.4.2.: </w:t>
      </w:r>
    </w:p>
    <w:p w:rsidR="00A761A4" w:rsidRDefault="00A761A4">
      <w:pPr>
        <w:spacing w:before="0" w:after="0"/>
        <w:jc w:val="left"/>
        <w:rPr>
          <w:noProof/>
        </w:rPr>
      </w:pPr>
    </w:p>
    <w:tbl>
      <w:tblPr>
        <w:tblStyle w:val="TableGrid"/>
        <w:tblW w:w="0" w:type="auto"/>
        <w:tblInd w:w="108" w:type="dxa"/>
        <w:tblLayout w:type="fixed"/>
        <w:tblLook w:val="04A0" w:firstRow="1" w:lastRow="0" w:firstColumn="1" w:lastColumn="0" w:noHBand="0" w:noVBand="1"/>
      </w:tblPr>
      <w:tblGrid>
        <w:gridCol w:w="4253"/>
        <w:gridCol w:w="992"/>
        <w:gridCol w:w="992"/>
        <w:gridCol w:w="851"/>
        <w:gridCol w:w="1384"/>
      </w:tblGrid>
      <w:tr w:rsidR="00A761A4">
        <w:tc>
          <w:tcPr>
            <w:tcW w:w="4253" w:type="dxa"/>
          </w:tcPr>
          <w:p w:rsidR="00A761A4" w:rsidRDefault="0064189B">
            <w:pPr>
              <w:spacing w:before="0" w:after="0"/>
              <w:jc w:val="center"/>
              <w:rPr>
                <w:b/>
                <w:noProof/>
              </w:rPr>
            </w:pPr>
            <w:r>
              <w:rPr>
                <w:b/>
                <w:noProof/>
              </w:rPr>
              <w:t>Zadaće</w:t>
            </w:r>
          </w:p>
        </w:tc>
        <w:tc>
          <w:tcPr>
            <w:tcW w:w="992" w:type="dxa"/>
          </w:tcPr>
          <w:p w:rsidR="00A761A4" w:rsidRDefault="0064189B">
            <w:pPr>
              <w:spacing w:before="0" w:after="0"/>
              <w:jc w:val="center"/>
              <w:rPr>
                <w:noProof/>
              </w:rPr>
            </w:pPr>
            <w:r>
              <w:rPr>
                <w:noProof/>
              </w:rPr>
              <w:t>AD</w:t>
            </w:r>
          </w:p>
        </w:tc>
        <w:tc>
          <w:tcPr>
            <w:tcW w:w="992" w:type="dxa"/>
          </w:tcPr>
          <w:p w:rsidR="00A761A4" w:rsidRDefault="0064189B">
            <w:pPr>
              <w:spacing w:before="0" w:after="0"/>
              <w:jc w:val="center"/>
              <w:rPr>
                <w:noProof/>
              </w:rPr>
            </w:pPr>
            <w:r>
              <w:rPr>
                <w:noProof/>
              </w:rPr>
              <w:t>AST</w:t>
            </w:r>
          </w:p>
        </w:tc>
        <w:tc>
          <w:tcPr>
            <w:tcW w:w="851" w:type="dxa"/>
          </w:tcPr>
          <w:p w:rsidR="00A761A4" w:rsidRDefault="0064189B">
            <w:pPr>
              <w:spacing w:before="0" w:after="0"/>
              <w:jc w:val="center"/>
              <w:rPr>
                <w:noProof/>
              </w:rPr>
            </w:pPr>
            <w:r>
              <w:rPr>
                <w:noProof/>
              </w:rPr>
              <w:t>UNS</w:t>
            </w:r>
          </w:p>
        </w:tc>
        <w:tc>
          <w:tcPr>
            <w:tcW w:w="1384" w:type="dxa"/>
          </w:tcPr>
          <w:p w:rsidR="00A761A4" w:rsidRDefault="0064189B">
            <w:pPr>
              <w:spacing w:before="0" w:after="0"/>
              <w:jc w:val="center"/>
              <w:rPr>
                <w:noProof/>
              </w:rPr>
            </w:pPr>
            <w:r>
              <w:rPr>
                <w:noProof/>
              </w:rPr>
              <w:t xml:space="preserve">Ukupno </w:t>
            </w:r>
          </w:p>
        </w:tc>
      </w:tr>
      <w:tr w:rsidR="00A761A4">
        <w:tc>
          <w:tcPr>
            <w:tcW w:w="4253" w:type="dxa"/>
          </w:tcPr>
          <w:p w:rsidR="00A761A4" w:rsidRDefault="0064189B">
            <w:pPr>
              <w:spacing w:before="0" w:after="0"/>
              <w:jc w:val="left"/>
              <w:rPr>
                <w:noProof/>
              </w:rPr>
            </w:pPr>
            <w:r>
              <w:rPr>
                <w:noProof/>
              </w:rPr>
              <w:t xml:space="preserve">Politika i jačanje kapaciteta </w:t>
            </w:r>
          </w:p>
        </w:tc>
        <w:tc>
          <w:tcPr>
            <w:tcW w:w="992" w:type="dxa"/>
          </w:tcPr>
          <w:p w:rsidR="00A761A4" w:rsidRDefault="0064189B">
            <w:pPr>
              <w:spacing w:before="0" w:after="0"/>
              <w:jc w:val="center"/>
              <w:rPr>
                <w:noProof/>
              </w:rPr>
            </w:pPr>
            <w:r>
              <w:rPr>
                <w:noProof/>
              </w:rPr>
              <w:t>8</w:t>
            </w:r>
          </w:p>
        </w:tc>
        <w:tc>
          <w:tcPr>
            <w:tcW w:w="992" w:type="dxa"/>
          </w:tcPr>
          <w:p w:rsidR="00A761A4" w:rsidRDefault="0064189B">
            <w:pPr>
              <w:spacing w:before="0" w:after="0"/>
              <w:jc w:val="center"/>
              <w:rPr>
                <w:noProof/>
              </w:rPr>
            </w:pPr>
            <w:r>
              <w:rPr>
                <w:noProof/>
              </w:rPr>
              <w:t>1</w:t>
            </w:r>
          </w:p>
        </w:tc>
        <w:tc>
          <w:tcPr>
            <w:tcW w:w="851" w:type="dxa"/>
          </w:tcPr>
          <w:p w:rsidR="00A761A4" w:rsidRDefault="00A761A4">
            <w:pPr>
              <w:spacing w:before="0" w:after="0"/>
              <w:jc w:val="center"/>
              <w:rPr>
                <w:noProof/>
              </w:rPr>
            </w:pPr>
          </w:p>
        </w:tc>
        <w:tc>
          <w:tcPr>
            <w:tcW w:w="1384" w:type="dxa"/>
          </w:tcPr>
          <w:p w:rsidR="00A761A4" w:rsidRDefault="0064189B">
            <w:pPr>
              <w:spacing w:before="0" w:after="0"/>
              <w:jc w:val="center"/>
              <w:rPr>
                <w:noProof/>
              </w:rPr>
            </w:pPr>
            <w:r>
              <w:rPr>
                <w:noProof/>
              </w:rPr>
              <w:t>9</w:t>
            </w:r>
          </w:p>
        </w:tc>
      </w:tr>
      <w:tr w:rsidR="00A761A4">
        <w:tc>
          <w:tcPr>
            <w:tcW w:w="4253" w:type="dxa"/>
          </w:tcPr>
          <w:p w:rsidR="00A761A4" w:rsidRDefault="0064189B">
            <w:pPr>
              <w:spacing w:before="0" w:after="0"/>
              <w:jc w:val="left"/>
              <w:rPr>
                <w:noProof/>
              </w:rPr>
            </w:pPr>
            <w:r>
              <w:rPr>
                <w:noProof/>
              </w:rPr>
              <w:t>Operativna suradnja</w:t>
            </w:r>
          </w:p>
        </w:tc>
        <w:tc>
          <w:tcPr>
            <w:tcW w:w="992" w:type="dxa"/>
          </w:tcPr>
          <w:p w:rsidR="00A761A4" w:rsidRDefault="0064189B">
            <w:pPr>
              <w:spacing w:before="0" w:after="0"/>
              <w:jc w:val="center"/>
              <w:rPr>
                <w:noProof/>
              </w:rPr>
            </w:pPr>
            <w:r>
              <w:rPr>
                <w:noProof/>
              </w:rPr>
              <w:t>8</w:t>
            </w:r>
          </w:p>
        </w:tc>
        <w:tc>
          <w:tcPr>
            <w:tcW w:w="992" w:type="dxa"/>
          </w:tcPr>
          <w:p w:rsidR="00A761A4" w:rsidRDefault="0064189B">
            <w:pPr>
              <w:spacing w:before="0" w:after="0"/>
              <w:jc w:val="center"/>
              <w:rPr>
                <w:noProof/>
              </w:rPr>
            </w:pPr>
            <w:r>
              <w:rPr>
                <w:noProof/>
              </w:rPr>
              <w:t>1</w:t>
            </w:r>
          </w:p>
        </w:tc>
        <w:tc>
          <w:tcPr>
            <w:tcW w:w="851" w:type="dxa"/>
          </w:tcPr>
          <w:p w:rsidR="00A761A4" w:rsidRDefault="0064189B">
            <w:pPr>
              <w:spacing w:before="0" w:after="0"/>
              <w:jc w:val="center"/>
              <w:rPr>
                <w:noProof/>
              </w:rPr>
            </w:pPr>
            <w:r>
              <w:rPr>
                <w:noProof/>
              </w:rPr>
              <w:t>7</w:t>
            </w:r>
          </w:p>
        </w:tc>
        <w:tc>
          <w:tcPr>
            <w:tcW w:w="1384" w:type="dxa"/>
          </w:tcPr>
          <w:p w:rsidR="00A761A4" w:rsidRDefault="0064189B">
            <w:pPr>
              <w:spacing w:before="0" w:after="0"/>
              <w:jc w:val="center"/>
              <w:rPr>
                <w:noProof/>
              </w:rPr>
            </w:pPr>
            <w:r>
              <w:rPr>
                <w:noProof/>
              </w:rPr>
              <w:t>16</w:t>
            </w:r>
          </w:p>
        </w:tc>
      </w:tr>
      <w:tr w:rsidR="00A761A4">
        <w:tc>
          <w:tcPr>
            <w:tcW w:w="4253" w:type="dxa"/>
          </w:tcPr>
          <w:p w:rsidR="00A761A4" w:rsidRDefault="0064189B">
            <w:pPr>
              <w:spacing w:before="0" w:after="0"/>
              <w:jc w:val="left"/>
              <w:rPr>
                <w:noProof/>
              </w:rPr>
            </w:pPr>
            <w:r>
              <w:rPr>
                <w:noProof/>
              </w:rPr>
              <w:t xml:space="preserve">Certificiranje (zadaće </w:t>
            </w:r>
            <w:r>
              <w:rPr>
                <w:noProof/>
              </w:rPr>
              <w:t>povezane s tržištem)</w:t>
            </w:r>
          </w:p>
        </w:tc>
        <w:tc>
          <w:tcPr>
            <w:tcW w:w="992" w:type="dxa"/>
          </w:tcPr>
          <w:p w:rsidR="00A761A4" w:rsidRDefault="0064189B">
            <w:pPr>
              <w:spacing w:before="0" w:after="0"/>
              <w:jc w:val="center"/>
              <w:rPr>
                <w:noProof/>
              </w:rPr>
            </w:pPr>
            <w:r>
              <w:rPr>
                <w:noProof/>
              </w:rPr>
              <w:t>9</w:t>
            </w:r>
          </w:p>
        </w:tc>
        <w:tc>
          <w:tcPr>
            <w:tcW w:w="992" w:type="dxa"/>
          </w:tcPr>
          <w:p w:rsidR="00A761A4" w:rsidRDefault="0064189B">
            <w:pPr>
              <w:spacing w:before="0" w:after="0"/>
              <w:jc w:val="center"/>
              <w:rPr>
                <w:noProof/>
              </w:rPr>
            </w:pPr>
            <w:r>
              <w:rPr>
                <w:noProof/>
              </w:rPr>
              <w:t>3</w:t>
            </w:r>
          </w:p>
        </w:tc>
        <w:tc>
          <w:tcPr>
            <w:tcW w:w="851" w:type="dxa"/>
          </w:tcPr>
          <w:p w:rsidR="00A761A4" w:rsidRDefault="0064189B">
            <w:pPr>
              <w:spacing w:before="0" w:after="0"/>
              <w:jc w:val="center"/>
              <w:rPr>
                <w:noProof/>
              </w:rPr>
            </w:pPr>
            <w:r>
              <w:rPr>
                <w:noProof/>
              </w:rPr>
              <w:t>2</w:t>
            </w:r>
          </w:p>
        </w:tc>
        <w:tc>
          <w:tcPr>
            <w:tcW w:w="1384" w:type="dxa"/>
          </w:tcPr>
          <w:p w:rsidR="00A761A4" w:rsidRDefault="0064189B">
            <w:pPr>
              <w:spacing w:before="0" w:after="0"/>
              <w:jc w:val="center"/>
              <w:rPr>
                <w:noProof/>
              </w:rPr>
            </w:pPr>
            <w:r>
              <w:rPr>
                <w:noProof/>
              </w:rPr>
              <w:t>14</w:t>
            </w:r>
          </w:p>
        </w:tc>
      </w:tr>
      <w:tr w:rsidR="00A761A4">
        <w:tc>
          <w:tcPr>
            <w:tcW w:w="4253" w:type="dxa"/>
          </w:tcPr>
          <w:p w:rsidR="00A761A4" w:rsidRDefault="0064189B">
            <w:pPr>
              <w:spacing w:before="0" w:after="0"/>
              <w:jc w:val="left"/>
              <w:rPr>
                <w:noProof/>
              </w:rPr>
            </w:pPr>
            <w:r>
              <w:rPr>
                <w:noProof/>
              </w:rPr>
              <w:t xml:space="preserve">Znanje, informiranje i podizanje razine osviještenosti </w:t>
            </w:r>
          </w:p>
        </w:tc>
        <w:tc>
          <w:tcPr>
            <w:tcW w:w="992" w:type="dxa"/>
          </w:tcPr>
          <w:p w:rsidR="00A761A4" w:rsidRDefault="0064189B">
            <w:pPr>
              <w:spacing w:before="0" w:after="0"/>
              <w:jc w:val="center"/>
              <w:rPr>
                <w:noProof/>
              </w:rPr>
            </w:pPr>
            <w:r>
              <w:rPr>
                <w:noProof/>
              </w:rPr>
              <w:t>1</w:t>
            </w:r>
          </w:p>
        </w:tc>
        <w:tc>
          <w:tcPr>
            <w:tcW w:w="992" w:type="dxa"/>
          </w:tcPr>
          <w:p w:rsidR="00A761A4" w:rsidRDefault="0064189B">
            <w:pPr>
              <w:spacing w:before="0" w:after="0"/>
              <w:jc w:val="center"/>
              <w:rPr>
                <w:noProof/>
              </w:rPr>
            </w:pPr>
            <w:r>
              <w:rPr>
                <w:noProof/>
              </w:rPr>
              <w:t>1</w:t>
            </w:r>
          </w:p>
        </w:tc>
        <w:tc>
          <w:tcPr>
            <w:tcW w:w="851" w:type="dxa"/>
          </w:tcPr>
          <w:p w:rsidR="00A761A4" w:rsidRDefault="00A761A4">
            <w:pPr>
              <w:spacing w:before="0" w:after="0"/>
              <w:jc w:val="center"/>
              <w:rPr>
                <w:noProof/>
              </w:rPr>
            </w:pPr>
          </w:p>
        </w:tc>
        <w:tc>
          <w:tcPr>
            <w:tcW w:w="1384" w:type="dxa"/>
          </w:tcPr>
          <w:p w:rsidR="00A761A4" w:rsidRDefault="0064189B">
            <w:pPr>
              <w:spacing w:before="0" w:after="0"/>
              <w:jc w:val="center"/>
              <w:rPr>
                <w:noProof/>
              </w:rPr>
            </w:pPr>
            <w:r>
              <w:rPr>
                <w:noProof/>
              </w:rPr>
              <w:t>2</w:t>
            </w:r>
          </w:p>
        </w:tc>
      </w:tr>
      <w:tr w:rsidR="00A761A4">
        <w:tc>
          <w:tcPr>
            <w:tcW w:w="4253" w:type="dxa"/>
            <w:shd w:val="clear" w:color="auto" w:fill="BFBFBF" w:themeFill="background1" w:themeFillShade="BF"/>
          </w:tcPr>
          <w:p w:rsidR="00A761A4" w:rsidRDefault="0064189B">
            <w:pPr>
              <w:spacing w:before="0" w:after="0"/>
              <w:jc w:val="left"/>
              <w:rPr>
                <w:noProof/>
              </w:rPr>
            </w:pPr>
            <w:r>
              <w:rPr>
                <w:noProof/>
              </w:rPr>
              <w:t xml:space="preserve">UKUPNO </w:t>
            </w:r>
          </w:p>
        </w:tc>
        <w:tc>
          <w:tcPr>
            <w:tcW w:w="992" w:type="dxa"/>
            <w:shd w:val="clear" w:color="auto" w:fill="BFBFBF" w:themeFill="background1" w:themeFillShade="BF"/>
          </w:tcPr>
          <w:p w:rsidR="00A761A4" w:rsidRDefault="0064189B">
            <w:pPr>
              <w:spacing w:before="0" w:after="0"/>
              <w:jc w:val="center"/>
              <w:rPr>
                <w:noProof/>
              </w:rPr>
            </w:pPr>
            <w:r>
              <w:rPr>
                <w:noProof/>
              </w:rPr>
              <w:t>26</w:t>
            </w:r>
          </w:p>
        </w:tc>
        <w:tc>
          <w:tcPr>
            <w:tcW w:w="992" w:type="dxa"/>
            <w:shd w:val="clear" w:color="auto" w:fill="BFBFBF" w:themeFill="background1" w:themeFillShade="BF"/>
          </w:tcPr>
          <w:p w:rsidR="00A761A4" w:rsidRDefault="0064189B">
            <w:pPr>
              <w:spacing w:before="0" w:after="0"/>
              <w:jc w:val="center"/>
              <w:rPr>
                <w:noProof/>
              </w:rPr>
            </w:pPr>
            <w:r>
              <w:rPr>
                <w:noProof/>
              </w:rPr>
              <w:t>6</w:t>
            </w:r>
          </w:p>
        </w:tc>
        <w:tc>
          <w:tcPr>
            <w:tcW w:w="851" w:type="dxa"/>
            <w:shd w:val="clear" w:color="auto" w:fill="BFBFBF" w:themeFill="background1" w:themeFillShade="BF"/>
          </w:tcPr>
          <w:p w:rsidR="00A761A4" w:rsidRDefault="0064189B">
            <w:pPr>
              <w:spacing w:before="0" w:after="0"/>
              <w:jc w:val="center"/>
              <w:rPr>
                <w:noProof/>
              </w:rPr>
            </w:pPr>
            <w:r>
              <w:rPr>
                <w:noProof/>
              </w:rPr>
              <w:t>9</w:t>
            </w:r>
          </w:p>
        </w:tc>
        <w:tc>
          <w:tcPr>
            <w:tcW w:w="1384" w:type="dxa"/>
            <w:shd w:val="clear" w:color="auto" w:fill="BFBFBF" w:themeFill="background1" w:themeFillShade="BF"/>
          </w:tcPr>
          <w:p w:rsidR="00A761A4" w:rsidRDefault="0064189B">
            <w:pPr>
              <w:spacing w:before="0" w:after="0"/>
              <w:jc w:val="center"/>
              <w:rPr>
                <w:noProof/>
              </w:rPr>
            </w:pPr>
            <w:r>
              <w:rPr>
                <w:noProof/>
              </w:rPr>
              <w:t>41</w:t>
            </w:r>
          </w:p>
        </w:tc>
      </w:tr>
    </w:tbl>
    <w:p w:rsidR="00A761A4" w:rsidRDefault="00A761A4">
      <w:pPr>
        <w:spacing w:before="0" w:after="0"/>
        <w:jc w:val="left"/>
        <w:rPr>
          <w:noProof/>
        </w:rPr>
      </w:pPr>
    </w:p>
    <w:p w:rsidR="00A761A4" w:rsidRDefault="0064189B">
      <w:pPr>
        <w:rPr>
          <w:noProof/>
        </w:rPr>
      </w:pPr>
      <w:r>
        <w:rPr>
          <w:noProof/>
        </w:rPr>
        <w:t>Opis zadaća koje treba obaviti:</w:t>
      </w:r>
    </w:p>
    <w:p w:rsidR="00A761A4" w:rsidRDefault="00A761A4">
      <w:pPr>
        <w:spacing w:before="0" w:after="0"/>
        <w:jc w:val="left"/>
        <w:rPr>
          <w:noProof/>
        </w:rPr>
      </w:pPr>
    </w:p>
    <w:tbl>
      <w:tblPr>
        <w:tblStyle w:val="TableGrid"/>
        <w:tblW w:w="4942" w:type="pct"/>
        <w:tblInd w:w="108" w:type="dxa"/>
        <w:tblLook w:val="04A0" w:firstRow="1" w:lastRow="0" w:firstColumn="1" w:lastColumn="0" w:noHBand="0" w:noVBand="1"/>
      </w:tblPr>
      <w:tblGrid>
        <w:gridCol w:w="4138"/>
        <w:gridCol w:w="5041"/>
      </w:tblGrid>
      <w:tr w:rsidR="00A761A4">
        <w:tc>
          <w:tcPr>
            <w:tcW w:w="2254" w:type="pct"/>
          </w:tcPr>
          <w:p w:rsidR="00A761A4" w:rsidRDefault="0064189B">
            <w:pPr>
              <w:rPr>
                <w:b/>
                <w:noProof/>
              </w:rPr>
            </w:pPr>
            <w:r>
              <w:rPr>
                <w:b/>
                <w:noProof/>
              </w:rPr>
              <w:t>Zadaće</w:t>
            </w:r>
          </w:p>
        </w:tc>
        <w:tc>
          <w:tcPr>
            <w:tcW w:w="2746" w:type="pct"/>
          </w:tcPr>
          <w:p w:rsidR="00A761A4" w:rsidRDefault="0064189B">
            <w:pPr>
              <w:rPr>
                <w:b/>
                <w:noProof/>
              </w:rPr>
            </w:pPr>
            <w:r>
              <w:rPr>
                <w:b/>
                <w:noProof/>
              </w:rPr>
              <w:t>Potrebna dodatna sredstva</w:t>
            </w:r>
          </w:p>
        </w:tc>
      </w:tr>
      <w:tr w:rsidR="00A761A4">
        <w:tc>
          <w:tcPr>
            <w:tcW w:w="2254" w:type="pct"/>
          </w:tcPr>
          <w:p w:rsidR="00A761A4" w:rsidRDefault="0064189B">
            <w:pPr>
              <w:rPr>
                <w:noProof/>
              </w:rPr>
            </w:pPr>
            <w:r>
              <w:rPr>
                <w:b/>
                <w:noProof/>
              </w:rPr>
              <w:t>Razvoj i provedba politike EU-a i jačanje kapaciteta</w:t>
            </w:r>
          </w:p>
          <w:p w:rsidR="00A761A4" w:rsidRDefault="00A761A4">
            <w:pPr>
              <w:rPr>
                <w:noProof/>
              </w:rPr>
            </w:pPr>
          </w:p>
        </w:tc>
        <w:tc>
          <w:tcPr>
            <w:tcW w:w="2746" w:type="pct"/>
          </w:tcPr>
          <w:p w:rsidR="00A761A4" w:rsidRDefault="0064189B">
            <w:pPr>
              <w:rPr>
                <w:noProof/>
              </w:rPr>
            </w:pPr>
            <w:r>
              <w:rPr>
                <w:noProof/>
              </w:rPr>
              <w:t>Zadaće bi uključivale pomaganje Skupini za suradnju, podupiranje dosljedne prekogranične provedbe mrežne i informacijske sigurnosti, redovito izvješćivanje o stanju provedbe pravnog okvira EU-a; savjetovanje i koordinaciju sektorskih kibersigurnosnih inici</w:t>
            </w:r>
            <w:r>
              <w:rPr>
                <w:noProof/>
              </w:rPr>
              <w:t xml:space="preserve">jativa, uključujući u području energetike, prometa (npr. zrakoplovni /cestovni /pomorski /povezana vozila), zdravstva, financija; pružanje potpore za uspostavu centara za razmjenu informacija i analizu (ISAC) u različitim sektorima. </w:t>
            </w:r>
          </w:p>
        </w:tc>
      </w:tr>
      <w:tr w:rsidR="00A761A4">
        <w:tc>
          <w:tcPr>
            <w:tcW w:w="2254" w:type="pct"/>
          </w:tcPr>
          <w:p w:rsidR="00A761A4" w:rsidRDefault="0064189B">
            <w:pPr>
              <w:rPr>
                <w:b/>
                <w:noProof/>
              </w:rPr>
            </w:pPr>
            <w:r>
              <w:rPr>
                <w:b/>
                <w:noProof/>
              </w:rPr>
              <w:t>Operativna suradnja i</w:t>
            </w:r>
            <w:r>
              <w:rPr>
                <w:b/>
                <w:noProof/>
              </w:rPr>
              <w:t xml:space="preserve"> upravljanje krizama</w:t>
            </w:r>
            <w:r>
              <w:rPr>
                <w:noProof/>
              </w:rPr>
              <w:t xml:space="preserve"> </w:t>
            </w:r>
          </w:p>
        </w:tc>
        <w:tc>
          <w:tcPr>
            <w:tcW w:w="2746" w:type="pct"/>
          </w:tcPr>
          <w:p w:rsidR="00A761A4" w:rsidRDefault="0064189B">
            <w:pPr>
              <w:rPr>
                <w:noProof/>
              </w:rPr>
            </w:pPr>
            <w:r>
              <w:rPr>
                <w:b/>
                <w:noProof/>
              </w:rPr>
              <w:t xml:space="preserve">Zadaće bi uključivale sljedeće: </w:t>
            </w:r>
          </w:p>
          <w:p w:rsidR="00A761A4" w:rsidRDefault="0064189B">
            <w:pPr>
              <w:rPr>
                <w:noProof/>
              </w:rPr>
            </w:pPr>
            <w:r>
              <w:rPr>
                <w:noProof/>
              </w:rPr>
              <w:t xml:space="preserve">osiguravanje tajništva za mrežu CSIRT-ova osiguravanjem, među ostalim, dobrog funkcioniranja IT infrastrukture i komunikacijskih kanala mreže CSIRT-ova; osiguravanje strukturirane suradnje s CERT-EU-om, EC3-om i ostalim relevantnim tijelima EU-a; </w:t>
            </w:r>
          </w:p>
          <w:p w:rsidR="00A761A4" w:rsidRDefault="0064189B">
            <w:pPr>
              <w:rPr>
                <w:noProof/>
              </w:rPr>
            </w:pPr>
            <w:r>
              <w:rPr>
                <w:noProof/>
              </w:rPr>
              <w:t>organizi</w:t>
            </w:r>
            <w:r>
              <w:rPr>
                <w:noProof/>
              </w:rPr>
              <w:t xml:space="preserve">ranje </w:t>
            </w:r>
            <w:r>
              <w:rPr>
                <w:b/>
                <w:noProof/>
              </w:rPr>
              <w:t>vježbi Cyber Europe</w:t>
            </w:r>
            <w:r>
              <w:rPr>
                <w:rStyle w:val="FootnoteReference"/>
                <w:noProof/>
              </w:rPr>
              <w:footnoteReference w:id="57"/>
            </w:r>
            <w:r>
              <w:rPr>
                <w:noProof/>
              </w:rPr>
              <w:t xml:space="preserve"> – zadaće povezane s povećanjem učestalosti vježbe, koja bi se umjesto svake dvije godine održavala svake godine, i osiguravanjem da se tijekom vježbe incident promatra od početka do kraja;  </w:t>
            </w:r>
          </w:p>
          <w:p w:rsidR="00A761A4" w:rsidRDefault="0064189B">
            <w:pPr>
              <w:rPr>
                <w:noProof/>
              </w:rPr>
            </w:pPr>
            <w:r>
              <w:rPr>
                <w:b/>
                <w:noProof/>
              </w:rPr>
              <w:t>tehničku pomoć</w:t>
            </w:r>
            <w:r>
              <w:rPr>
                <w:noProof/>
              </w:rPr>
              <w:t xml:space="preserve"> </w:t>
            </w:r>
            <w:r>
              <w:rPr>
                <w:b/>
                <w:noProof/>
              </w:rPr>
              <w:t>–</w:t>
            </w:r>
            <w:r>
              <w:rPr>
                <w:noProof/>
              </w:rPr>
              <w:t xml:space="preserve"> zadaće bi uključivale</w:t>
            </w:r>
            <w:r>
              <w:rPr>
                <w:noProof/>
              </w:rPr>
              <w:t xml:space="preserve"> strukturiranu suradnju s CERT-EU-om u cilju pružanja tehničke pomoći u slučaju znatnih incidenata i podupiranja analize incidenata. To bi uključivalo pružanje pomoći državama članicama za rješavanje incidenata i analizu ranjivosti, tragova i incidenata. O</w:t>
            </w:r>
            <w:r>
              <w:rPr>
                <w:noProof/>
              </w:rPr>
              <w:t>lakšavanje suradnje među pojedinim državama članicama u slučaju hitnih odgovora analizom i objedinjavanjem nacionalnih izvješća o stanju na temelju informacija koje joj dobrovoljno dostavljaju države članice i ostali subjekti;</w:t>
            </w:r>
          </w:p>
          <w:p w:rsidR="00A761A4" w:rsidRDefault="0064189B">
            <w:pPr>
              <w:rPr>
                <w:noProof/>
              </w:rPr>
            </w:pPr>
            <w:r>
              <w:rPr>
                <w:b/>
                <w:noProof/>
              </w:rPr>
              <w:t xml:space="preserve">plan za koordinirani odgovor </w:t>
            </w:r>
            <w:r>
              <w:rPr>
                <w:b/>
                <w:noProof/>
              </w:rPr>
              <w:t xml:space="preserve">na prekogranične kiberincidente velikih razmjera – </w:t>
            </w:r>
            <w:r>
              <w:rPr>
                <w:noProof/>
              </w:rPr>
              <w:t>Agencija će pridonijeti razvoju usklađenog odgovora, na razini Unije i država članica, na prekogranične incidente ili krize velikih razmjera povezane s kibersigurnošću s pomoću niza zadaća koje uključuju s</w:t>
            </w:r>
            <w:r>
              <w:rPr>
                <w:noProof/>
              </w:rPr>
              <w:t xml:space="preserve">ve od doprinosa informiranosti o stanju na razini Unije do testiranja planova suradnje u slučaju incidenata.  </w:t>
            </w:r>
          </w:p>
          <w:p w:rsidR="00A761A4" w:rsidRDefault="0064189B">
            <w:pPr>
              <w:spacing w:before="0" w:after="0"/>
              <w:rPr>
                <w:noProof/>
              </w:rPr>
            </w:pPr>
            <w:r>
              <w:rPr>
                <w:b/>
                <w:i/>
                <w:noProof/>
              </w:rPr>
              <w:t>ex post</w:t>
            </w:r>
            <w:r>
              <w:rPr>
                <w:b/>
                <w:noProof/>
              </w:rPr>
              <w:t xml:space="preserve"> tehničke istrage incidenata </w:t>
            </w:r>
            <w:r>
              <w:rPr>
                <w:noProof/>
              </w:rPr>
              <w:t xml:space="preserve">– provoditi </w:t>
            </w:r>
            <w:r>
              <w:rPr>
                <w:i/>
                <w:noProof/>
              </w:rPr>
              <w:t>ex post</w:t>
            </w:r>
            <w:r>
              <w:rPr>
                <w:noProof/>
              </w:rPr>
              <w:t xml:space="preserve"> tehničke istrage incidenata ili im pridonositi u suradnji s mrežom CSIRT-ova u cilju izda</w:t>
            </w:r>
            <w:r>
              <w:rPr>
                <w:noProof/>
              </w:rPr>
              <w:t xml:space="preserve">vanja preporuka i jačanja sposobnosti u obliku javnih izvješća kako bi se budući incidenti mogli lakše spriječiti. </w:t>
            </w:r>
          </w:p>
          <w:p w:rsidR="00A761A4" w:rsidRDefault="00A761A4">
            <w:pPr>
              <w:spacing w:before="0" w:after="0"/>
              <w:rPr>
                <w:noProof/>
              </w:rPr>
            </w:pPr>
          </w:p>
          <w:p w:rsidR="00A761A4" w:rsidRDefault="00A761A4">
            <w:pPr>
              <w:spacing w:before="0" w:after="0"/>
              <w:rPr>
                <w:noProof/>
              </w:rPr>
            </w:pPr>
          </w:p>
        </w:tc>
      </w:tr>
      <w:tr w:rsidR="00A761A4">
        <w:tc>
          <w:tcPr>
            <w:tcW w:w="2254" w:type="pct"/>
          </w:tcPr>
          <w:p w:rsidR="00A761A4" w:rsidRDefault="0064189B">
            <w:pPr>
              <w:rPr>
                <w:b/>
                <w:noProof/>
              </w:rPr>
            </w:pPr>
            <w:r>
              <w:rPr>
                <w:b/>
                <w:noProof/>
              </w:rPr>
              <w:t xml:space="preserve">Zadaće povezane s tržištem (normizacija, certifikacija): </w:t>
            </w:r>
          </w:p>
        </w:tc>
        <w:tc>
          <w:tcPr>
            <w:tcW w:w="2746" w:type="pct"/>
          </w:tcPr>
          <w:p w:rsidR="00A761A4" w:rsidRDefault="0064189B">
            <w:pPr>
              <w:spacing w:before="0" w:after="0"/>
              <w:rPr>
                <w:noProof/>
              </w:rPr>
            </w:pPr>
            <w:r>
              <w:rPr>
                <w:noProof/>
              </w:rPr>
              <w:t>Zadaće bi uključivale aktivno podupiranje aktivnosti unutar okvira za certifika</w:t>
            </w:r>
            <w:r>
              <w:rPr>
                <w:noProof/>
              </w:rPr>
              <w:t>ciju, uključujući pružanje tehničkih savjeta u izradi prijedloga europskih programa kibersigurnosne certifikacije. Zadaće će uključivati i potporu razvoju i provedbi politika Unije u području normizacije, certifikacije i opservatorija tržišta – to će zahti</w:t>
            </w:r>
            <w:r>
              <w:rPr>
                <w:noProof/>
              </w:rPr>
              <w:t xml:space="preserve">jevati olakšavanje prihvaćanja normi za upravljanje rizikom elektroničkih proizvoda, mreža i usluga i savjetovanje operatora ključnih usluga i pružatelja digitalnih usluga o zahtjevima u pogledu tehničke sigurnosti. Zadaće će uključivati i analizu glavnih </w:t>
            </w:r>
            <w:r>
              <w:rPr>
                <w:noProof/>
              </w:rPr>
              <w:t xml:space="preserve">trendova na kibersigurnosnom tržištu. </w:t>
            </w:r>
          </w:p>
        </w:tc>
      </w:tr>
      <w:tr w:rsidR="00A761A4">
        <w:tc>
          <w:tcPr>
            <w:tcW w:w="2254" w:type="pct"/>
          </w:tcPr>
          <w:p w:rsidR="00A761A4" w:rsidRDefault="0064189B">
            <w:pPr>
              <w:rPr>
                <w:noProof/>
              </w:rPr>
            </w:pPr>
            <w:r>
              <w:rPr>
                <w:b/>
                <w:noProof/>
              </w:rPr>
              <w:t>znanje i informacije, podizanje razine osviještenosti:</w:t>
            </w:r>
            <w:r>
              <w:rPr>
                <w:noProof/>
              </w:rPr>
              <w:t xml:space="preserve"> </w:t>
            </w:r>
          </w:p>
        </w:tc>
        <w:tc>
          <w:tcPr>
            <w:tcW w:w="2746" w:type="pct"/>
          </w:tcPr>
          <w:p w:rsidR="00A761A4" w:rsidRDefault="0064189B">
            <w:pPr>
              <w:spacing w:before="0" w:after="0"/>
              <w:rPr>
                <w:noProof/>
              </w:rPr>
            </w:pPr>
            <w:r>
              <w:rPr>
                <w:noProof/>
              </w:rPr>
              <w:t>Kako bi se osigurao lakši pristup bolje strukturiranim informacijama o kibersigurnosnim rizicima i mogućim mjerama za njihovo uklanjanje, prijedlogom se Agencij</w:t>
            </w:r>
            <w:r>
              <w:rPr>
                <w:noProof/>
              </w:rPr>
              <w:t>i dodjeljuje nova zadaća razvoja i održavanja „informativnog centra” Unije. Zadaće bi uključivale prikupljanje, analizu i objavu, na posebnom portalu, informacija o sigurnosti mrežnih i informacijskih sustava, posebno o kibersigurnosti, koje pružaju instit</w:t>
            </w:r>
            <w:r>
              <w:rPr>
                <w:noProof/>
              </w:rPr>
              <w:t xml:space="preserve">ucije, agencije i tijela EU-a. Zadaće bi uključivale i podupiranje aktivnosti ENISA-e u području podizanja razine osviještenosti kako bi se Agenciji omogućilo da pojača svoje napore. </w:t>
            </w:r>
          </w:p>
        </w:tc>
      </w:tr>
    </w:tbl>
    <w:p w:rsidR="00A761A4" w:rsidRDefault="0064189B">
      <w:pPr>
        <w:spacing w:before="0" w:after="0"/>
        <w:jc w:val="left"/>
        <w:rPr>
          <w:noProof/>
        </w:rPr>
      </w:pPr>
      <w:r>
        <w:rPr>
          <w:noProof/>
        </w:rPr>
        <w:br w:type="page"/>
      </w:r>
    </w:p>
    <w:p w:rsidR="00A761A4" w:rsidRDefault="00A761A4">
      <w:pPr>
        <w:rPr>
          <w:noProof/>
        </w:rPr>
      </w:pPr>
    </w:p>
    <w:p w:rsidR="00A761A4" w:rsidRDefault="0064189B">
      <w:pPr>
        <w:pStyle w:val="ManualHeading4"/>
        <w:rPr>
          <w:bCs/>
          <w:noProof/>
          <w:szCs w:val="24"/>
        </w:rPr>
      </w:pPr>
      <w:r>
        <w:t>3.2.3.2.</w:t>
      </w:r>
      <w:r>
        <w:tab/>
      </w:r>
      <w:r>
        <w:rPr>
          <w:noProof/>
        </w:rPr>
        <w:t>Procjena potrebnih ljudskih resursa za matičnu glavnu uprav</w:t>
      </w:r>
      <w:r>
        <w:rPr>
          <w:noProof/>
        </w:rPr>
        <w:t>u</w:t>
      </w:r>
    </w:p>
    <w:p w:rsidR="00A761A4" w:rsidRDefault="0064189B">
      <w:pPr>
        <w:pStyle w:val="Tiret1"/>
        <w:rPr>
          <w:noProof/>
        </w:rPr>
      </w:pPr>
      <w:r>
        <w:rPr>
          <w:noProof/>
        </w:rPr>
        <w:sym w:font="Wingdings" w:char="F0A8"/>
      </w:r>
      <w:r>
        <w:rPr>
          <w:noProof/>
        </w:rPr>
        <w:tab/>
        <w:t xml:space="preserve">Za prijedlog/inicijativu nisu potrebni ljudski resursi. </w:t>
      </w:r>
    </w:p>
    <w:p w:rsidR="00A761A4" w:rsidRDefault="0064189B">
      <w:pPr>
        <w:pStyle w:val="Tiret1"/>
        <w:rPr>
          <w:noProof/>
        </w:rPr>
      </w:pPr>
      <w:r>
        <w:rPr>
          <w:noProof/>
        </w:rPr>
        <w:sym w:font="Wingdings" w:char="F078"/>
      </w:r>
      <w:r>
        <w:rPr>
          <w:noProof/>
        </w:rPr>
        <w:tab/>
        <w:t>Za prijedlog/inicijativu potrebni su sljedeći ljudski resursi:</w:t>
      </w:r>
    </w:p>
    <w:p w:rsidR="00A761A4" w:rsidRDefault="00A761A4">
      <w:pPr>
        <w:rPr>
          <w:noProof/>
        </w:rPr>
      </w:pPr>
    </w:p>
    <w:p w:rsidR="00A761A4" w:rsidRDefault="0064189B">
      <w:pPr>
        <w:spacing w:after="60"/>
        <w:jc w:val="right"/>
        <w:rPr>
          <w:i/>
          <w:noProof/>
          <w:sz w:val="20"/>
        </w:rPr>
      </w:pPr>
      <w:r>
        <w:rPr>
          <w:i/>
          <w:noProof/>
          <w:sz w:val="20"/>
        </w:rPr>
        <w:t>Procjenu treba izraziti u cijelom iznosu (ili najviše s jednim decimalnim mjestom)</w:t>
      </w:r>
    </w:p>
    <w:tbl>
      <w:tblPr>
        <w:tblW w:w="4689" w:type="pct"/>
        <w:jc w:val="center"/>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38"/>
        <w:gridCol w:w="991"/>
        <w:gridCol w:w="1136"/>
        <w:gridCol w:w="1136"/>
        <w:gridCol w:w="1273"/>
        <w:gridCol w:w="1235"/>
      </w:tblGrid>
      <w:tr w:rsidR="00A761A4">
        <w:trPr>
          <w:trHeight w:val="289"/>
          <w:jc w:val="center"/>
        </w:trPr>
        <w:tc>
          <w:tcPr>
            <w:tcW w:w="1687" w:type="pct"/>
            <w:shd w:val="clear" w:color="auto" w:fill="auto"/>
            <w:vAlign w:val="center"/>
          </w:tcPr>
          <w:p w:rsidR="00A761A4" w:rsidRDefault="00A761A4">
            <w:pPr>
              <w:pStyle w:val="Text1"/>
              <w:spacing w:before="40" w:after="40"/>
              <w:ind w:left="0"/>
              <w:jc w:val="center"/>
              <w:rPr>
                <w:i/>
                <w:noProof/>
                <w:sz w:val="20"/>
              </w:rPr>
            </w:pPr>
          </w:p>
        </w:tc>
        <w:tc>
          <w:tcPr>
            <w:tcW w:w="569" w:type="pct"/>
            <w:vAlign w:val="center"/>
          </w:tcPr>
          <w:p w:rsidR="00A761A4" w:rsidRDefault="00A761A4">
            <w:pPr>
              <w:spacing w:before="0" w:after="0"/>
              <w:jc w:val="center"/>
              <w:rPr>
                <w:rFonts w:eastAsia="Calibri"/>
                <w:noProof/>
                <w:sz w:val="22"/>
              </w:rPr>
            </w:pPr>
          </w:p>
        </w:tc>
        <w:tc>
          <w:tcPr>
            <w:tcW w:w="2744" w:type="pct"/>
            <w:gridSpan w:val="4"/>
            <w:shd w:val="clear" w:color="auto" w:fill="auto"/>
            <w:vAlign w:val="center"/>
          </w:tcPr>
          <w:p w:rsidR="00A761A4" w:rsidRDefault="0064189B">
            <w:pPr>
              <w:spacing w:before="20" w:after="20"/>
              <w:jc w:val="center"/>
              <w:rPr>
                <w:rFonts w:eastAsia="Calibri"/>
                <w:noProof/>
                <w:sz w:val="22"/>
              </w:rPr>
            </w:pPr>
            <w:r>
              <w:rPr>
                <w:noProof/>
                <w:sz w:val="22"/>
              </w:rPr>
              <w:t xml:space="preserve">Dodatno osoblje </w:t>
            </w:r>
          </w:p>
        </w:tc>
      </w:tr>
      <w:tr w:rsidR="00A761A4">
        <w:trPr>
          <w:trHeight w:val="289"/>
          <w:jc w:val="center"/>
        </w:trPr>
        <w:tc>
          <w:tcPr>
            <w:tcW w:w="1687" w:type="pct"/>
            <w:shd w:val="clear" w:color="auto" w:fill="auto"/>
            <w:vAlign w:val="center"/>
          </w:tcPr>
          <w:p w:rsidR="00A761A4" w:rsidRDefault="00A761A4">
            <w:pPr>
              <w:pStyle w:val="Text1"/>
              <w:spacing w:before="40" w:after="40"/>
              <w:ind w:left="0"/>
              <w:jc w:val="center"/>
              <w:rPr>
                <w:i/>
                <w:noProof/>
                <w:sz w:val="20"/>
              </w:rPr>
            </w:pPr>
          </w:p>
        </w:tc>
        <w:tc>
          <w:tcPr>
            <w:tcW w:w="569" w:type="pct"/>
            <w:vAlign w:val="center"/>
          </w:tcPr>
          <w:p w:rsidR="00A761A4" w:rsidRDefault="0064189B">
            <w:pPr>
              <w:spacing w:before="0" w:after="0"/>
              <w:jc w:val="center"/>
              <w:rPr>
                <w:rFonts w:eastAsia="Calibri"/>
                <w:noProof/>
                <w:sz w:val="22"/>
              </w:rPr>
            </w:pPr>
            <w:r>
              <w:rPr>
                <w:noProof/>
                <w:sz w:val="22"/>
              </w:rPr>
              <w:t>Početno stanje 2017.</w:t>
            </w:r>
          </w:p>
        </w:tc>
        <w:tc>
          <w:tcPr>
            <w:tcW w:w="652" w:type="pct"/>
            <w:shd w:val="clear" w:color="auto" w:fill="auto"/>
            <w:vAlign w:val="center"/>
          </w:tcPr>
          <w:p w:rsidR="00A761A4" w:rsidRDefault="0064189B">
            <w:pPr>
              <w:spacing w:before="20" w:after="20"/>
              <w:jc w:val="center"/>
              <w:rPr>
                <w:rFonts w:eastAsia="Calibri"/>
                <w:noProof/>
                <w:sz w:val="22"/>
              </w:rPr>
            </w:pPr>
            <w:r>
              <w:rPr>
                <w:noProof/>
                <w:sz w:val="22"/>
              </w:rPr>
              <w:t>T3/4</w:t>
            </w:r>
          </w:p>
          <w:p w:rsidR="00A761A4" w:rsidRDefault="0064189B">
            <w:pPr>
              <w:spacing w:before="20" w:after="20"/>
              <w:jc w:val="center"/>
              <w:rPr>
                <w:noProof/>
                <w:sz w:val="20"/>
              </w:rPr>
            </w:pPr>
            <w:r>
              <w:rPr>
                <w:noProof/>
                <w:sz w:val="22"/>
              </w:rPr>
              <w:t>2019.</w:t>
            </w:r>
          </w:p>
        </w:tc>
        <w:tc>
          <w:tcPr>
            <w:tcW w:w="652" w:type="pct"/>
            <w:shd w:val="clear" w:color="auto" w:fill="auto"/>
            <w:vAlign w:val="center"/>
          </w:tcPr>
          <w:p w:rsidR="00A761A4" w:rsidRDefault="0064189B">
            <w:pPr>
              <w:spacing w:before="20" w:after="20"/>
              <w:jc w:val="center"/>
              <w:rPr>
                <w:noProof/>
                <w:sz w:val="20"/>
              </w:rPr>
            </w:pPr>
            <w:r>
              <w:rPr>
                <w:noProof/>
                <w:sz w:val="22"/>
              </w:rPr>
              <w:t>2020.</w:t>
            </w:r>
          </w:p>
        </w:tc>
        <w:tc>
          <w:tcPr>
            <w:tcW w:w="731" w:type="pct"/>
            <w:shd w:val="clear" w:color="auto" w:fill="auto"/>
            <w:vAlign w:val="center"/>
          </w:tcPr>
          <w:p w:rsidR="00A761A4" w:rsidRDefault="0064189B">
            <w:pPr>
              <w:spacing w:before="20" w:after="20"/>
              <w:jc w:val="center"/>
              <w:rPr>
                <w:noProof/>
                <w:sz w:val="20"/>
              </w:rPr>
            </w:pPr>
            <w:r>
              <w:rPr>
                <w:noProof/>
                <w:sz w:val="22"/>
              </w:rPr>
              <w:t>2021.</w:t>
            </w:r>
          </w:p>
        </w:tc>
        <w:tc>
          <w:tcPr>
            <w:tcW w:w="709" w:type="pct"/>
            <w:vAlign w:val="center"/>
          </w:tcPr>
          <w:p w:rsidR="00A761A4" w:rsidRDefault="0064189B">
            <w:pPr>
              <w:spacing w:before="20" w:after="20"/>
              <w:jc w:val="center"/>
              <w:rPr>
                <w:rFonts w:eastAsia="Calibri"/>
                <w:noProof/>
                <w:sz w:val="22"/>
              </w:rPr>
            </w:pPr>
            <w:r>
              <w:rPr>
                <w:noProof/>
                <w:sz w:val="22"/>
              </w:rPr>
              <w:t>2020.</w:t>
            </w:r>
          </w:p>
        </w:tc>
      </w:tr>
      <w:tr w:rsidR="00A761A4">
        <w:trPr>
          <w:trHeight w:val="289"/>
          <w:jc w:val="center"/>
        </w:trPr>
        <w:tc>
          <w:tcPr>
            <w:tcW w:w="1687" w:type="pct"/>
            <w:shd w:val="clear" w:color="auto" w:fill="auto"/>
            <w:vAlign w:val="center"/>
          </w:tcPr>
          <w:p w:rsidR="00A761A4" w:rsidRDefault="0064189B">
            <w:pPr>
              <w:pStyle w:val="Text1"/>
              <w:numPr>
                <w:ilvl w:val="0"/>
                <w:numId w:val="13"/>
              </w:numPr>
              <w:tabs>
                <w:tab w:val="left" w:pos="208"/>
              </w:tabs>
              <w:spacing w:beforeLines="20" w:before="48" w:afterLines="20" w:after="48"/>
              <w:ind w:left="208" w:hanging="120"/>
              <w:jc w:val="left"/>
              <w:rPr>
                <w:b/>
                <w:noProof/>
                <w:sz w:val="20"/>
              </w:rPr>
            </w:pPr>
            <w:r>
              <w:rPr>
                <w:b/>
                <w:noProof/>
                <w:sz w:val="20"/>
              </w:rPr>
              <w:t>Radna mjesta prema planu radnih mjesta (dužnosnici i privremeni djelatnici)</w:t>
            </w:r>
          </w:p>
        </w:tc>
        <w:tc>
          <w:tcPr>
            <w:tcW w:w="569" w:type="pct"/>
            <w:shd w:val="clear" w:color="auto" w:fill="D9D9D9" w:themeFill="background1" w:themeFillShade="D9"/>
          </w:tcPr>
          <w:p w:rsidR="00A761A4" w:rsidRDefault="00A761A4">
            <w:pPr>
              <w:spacing w:beforeLines="20" w:before="48" w:afterLines="20" w:after="48"/>
              <w:jc w:val="center"/>
              <w:rPr>
                <w:noProof/>
                <w:sz w:val="20"/>
              </w:rPr>
            </w:pPr>
          </w:p>
        </w:tc>
        <w:tc>
          <w:tcPr>
            <w:tcW w:w="652" w:type="pct"/>
            <w:shd w:val="clear" w:color="auto" w:fill="auto"/>
            <w:vAlign w:val="center"/>
          </w:tcPr>
          <w:p w:rsidR="00A761A4" w:rsidRDefault="00A761A4">
            <w:pPr>
              <w:spacing w:beforeLines="20" w:before="48" w:afterLines="20" w:after="48"/>
              <w:jc w:val="center"/>
              <w:rPr>
                <w:noProof/>
                <w:sz w:val="20"/>
              </w:rPr>
            </w:pPr>
          </w:p>
        </w:tc>
        <w:tc>
          <w:tcPr>
            <w:tcW w:w="652" w:type="pct"/>
            <w:shd w:val="clear" w:color="auto" w:fill="auto"/>
            <w:vAlign w:val="center"/>
          </w:tcPr>
          <w:p w:rsidR="00A761A4" w:rsidRDefault="00A761A4">
            <w:pPr>
              <w:spacing w:beforeLines="20" w:before="48" w:afterLines="20" w:after="48"/>
              <w:jc w:val="center"/>
              <w:rPr>
                <w:noProof/>
                <w:sz w:val="20"/>
              </w:rPr>
            </w:pPr>
          </w:p>
        </w:tc>
        <w:tc>
          <w:tcPr>
            <w:tcW w:w="731" w:type="pct"/>
            <w:shd w:val="clear" w:color="auto" w:fill="auto"/>
            <w:vAlign w:val="center"/>
          </w:tcPr>
          <w:p w:rsidR="00A761A4" w:rsidRDefault="00A761A4">
            <w:pPr>
              <w:spacing w:beforeLines="20" w:before="48" w:afterLines="20" w:after="48"/>
              <w:jc w:val="center"/>
              <w:rPr>
                <w:noProof/>
                <w:sz w:val="20"/>
              </w:rPr>
            </w:pPr>
          </w:p>
        </w:tc>
        <w:tc>
          <w:tcPr>
            <w:tcW w:w="709" w:type="pct"/>
          </w:tcPr>
          <w:p w:rsidR="00A761A4" w:rsidRDefault="00A761A4">
            <w:pPr>
              <w:spacing w:beforeLines="20" w:before="48" w:afterLines="20" w:after="48"/>
              <w:jc w:val="center"/>
              <w:rPr>
                <w:noProof/>
                <w:sz w:val="20"/>
              </w:rPr>
            </w:pPr>
          </w:p>
        </w:tc>
      </w:tr>
      <w:tr w:rsidR="00A761A4">
        <w:trPr>
          <w:trHeight w:val="289"/>
          <w:jc w:val="center"/>
        </w:trPr>
        <w:tc>
          <w:tcPr>
            <w:tcW w:w="1687" w:type="pct"/>
            <w:shd w:val="clear" w:color="auto" w:fill="auto"/>
            <w:vAlign w:val="center"/>
          </w:tcPr>
          <w:p w:rsidR="00A761A4" w:rsidRDefault="0064189B">
            <w:pPr>
              <w:pStyle w:val="Text1"/>
              <w:spacing w:beforeLines="20" w:before="48" w:afterLines="20" w:after="48"/>
              <w:ind w:left="984"/>
              <w:jc w:val="left"/>
              <w:rPr>
                <w:b/>
                <w:noProof/>
                <w:sz w:val="20"/>
              </w:rPr>
            </w:pPr>
            <w:r>
              <w:rPr>
                <w:noProof/>
                <w:sz w:val="20"/>
              </w:rPr>
              <w:t>09 01 01 01 (Sjedište i predstavništva Komisije)</w:t>
            </w:r>
          </w:p>
        </w:tc>
        <w:tc>
          <w:tcPr>
            <w:tcW w:w="569" w:type="pct"/>
            <w:shd w:val="clear" w:color="auto" w:fill="D9D9D9" w:themeFill="background1" w:themeFillShade="D9"/>
            <w:vAlign w:val="center"/>
          </w:tcPr>
          <w:p w:rsidR="00A761A4" w:rsidRDefault="00A761A4">
            <w:pPr>
              <w:spacing w:before="0" w:after="0"/>
              <w:jc w:val="center"/>
              <w:rPr>
                <w:noProof/>
                <w:sz w:val="20"/>
              </w:rPr>
            </w:pPr>
          </w:p>
          <w:p w:rsidR="00A761A4" w:rsidRDefault="0064189B">
            <w:pPr>
              <w:spacing w:before="0" w:after="0"/>
              <w:jc w:val="center"/>
              <w:rPr>
                <w:noProof/>
                <w:sz w:val="20"/>
              </w:rPr>
            </w:pPr>
            <w:r>
              <w:rPr>
                <w:noProof/>
                <w:sz w:val="20"/>
              </w:rPr>
              <w:t>1</w:t>
            </w:r>
          </w:p>
        </w:tc>
        <w:tc>
          <w:tcPr>
            <w:tcW w:w="652" w:type="pct"/>
            <w:shd w:val="clear" w:color="auto" w:fill="auto"/>
            <w:vAlign w:val="center"/>
          </w:tcPr>
          <w:p w:rsidR="00A761A4" w:rsidRDefault="0064189B">
            <w:pPr>
              <w:spacing w:before="0" w:after="0"/>
              <w:jc w:val="center"/>
              <w:rPr>
                <w:noProof/>
                <w:sz w:val="20"/>
              </w:rPr>
            </w:pPr>
            <w:r>
              <w:rPr>
                <w:noProof/>
                <w:sz w:val="20"/>
              </w:rPr>
              <w:t>2</w:t>
            </w:r>
          </w:p>
        </w:tc>
        <w:tc>
          <w:tcPr>
            <w:tcW w:w="652" w:type="pct"/>
            <w:shd w:val="clear" w:color="auto" w:fill="auto"/>
            <w:vAlign w:val="center"/>
          </w:tcPr>
          <w:p w:rsidR="00A761A4" w:rsidRDefault="0064189B">
            <w:pPr>
              <w:spacing w:before="0" w:after="0"/>
              <w:jc w:val="center"/>
              <w:rPr>
                <w:noProof/>
                <w:sz w:val="20"/>
              </w:rPr>
            </w:pPr>
            <w:r>
              <w:rPr>
                <w:noProof/>
                <w:sz w:val="20"/>
              </w:rPr>
              <w:t>3</w:t>
            </w:r>
          </w:p>
        </w:tc>
        <w:tc>
          <w:tcPr>
            <w:tcW w:w="731" w:type="pct"/>
            <w:shd w:val="clear" w:color="auto" w:fill="auto"/>
            <w:vAlign w:val="center"/>
          </w:tcPr>
          <w:p w:rsidR="00A761A4" w:rsidRDefault="00A761A4">
            <w:pPr>
              <w:spacing w:before="0" w:after="0"/>
              <w:jc w:val="center"/>
              <w:rPr>
                <w:noProof/>
                <w:sz w:val="20"/>
              </w:rPr>
            </w:pPr>
          </w:p>
        </w:tc>
        <w:tc>
          <w:tcPr>
            <w:tcW w:w="709" w:type="pct"/>
            <w:vAlign w:val="center"/>
          </w:tcPr>
          <w:p w:rsidR="00A761A4" w:rsidRDefault="00A761A4">
            <w:pPr>
              <w:spacing w:before="0" w:after="0"/>
              <w:jc w:val="center"/>
              <w:rPr>
                <w:noProof/>
                <w:sz w:val="20"/>
              </w:rPr>
            </w:pPr>
          </w:p>
        </w:tc>
      </w:tr>
      <w:tr w:rsidR="00A761A4">
        <w:trPr>
          <w:trHeight w:val="289"/>
          <w:jc w:val="center"/>
        </w:trPr>
        <w:tc>
          <w:tcPr>
            <w:tcW w:w="1687" w:type="pct"/>
            <w:shd w:val="clear" w:color="auto" w:fill="auto"/>
            <w:vAlign w:val="center"/>
          </w:tcPr>
          <w:p w:rsidR="00A761A4" w:rsidRDefault="0064189B">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Vanjsko osoblje (u ekvivalentu punog radnog vremena: EPRV)</w:t>
            </w:r>
            <w:r>
              <w:rPr>
                <w:rStyle w:val="FootnoteReference"/>
                <w:noProof/>
              </w:rPr>
              <w:footnoteReference w:id="58"/>
            </w:r>
          </w:p>
        </w:tc>
        <w:tc>
          <w:tcPr>
            <w:tcW w:w="569" w:type="pct"/>
            <w:shd w:val="clear" w:color="auto" w:fill="D9D9D9" w:themeFill="background1" w:themeFillShade="D9"/>
            <w:vAlign w:val="center"/>
          </w:tcPr>
          <w:p w:rsidR="00A761A4" w:rsidRDefault="00A761A4">
            <w:pPr>
              <w:spacing w:before="0" w:after="0"/>
              <w:jc w:val="center"/>
              <w:rPr>
                <w:noProof/>
                <w:sz w:val="20"/>
              </w:rPr>
            </w:pPr>
          </w:p>
        </w:tc>
        <w:tc>
          <w:tcPr>
            <w:tcW w:w="652" w:type="pct"/>
            <w:shd w:val="clear" w:color="auto" w:fill="auto"/>
            <w:vAlign w:val="center"/>
          </w:tcPr>
          <w:p w:rsidR="00A761A4" w:rsidRDefault="00A761A4">
            <w:pPr>
              <w:spacing w:before="0" w:after="0"/>
              <w:jc w:val="center"/>
              <w:rPr>
                <w:noProof/>
                <w:sz w:val="20"/>
              </w:rPr>
            </w:pPr>
          </w:p>
        </w:tc>
        <w:tc>
          <w:tcPr>
            <w:tcW w:w="652" w:type="pct"/>
            <w:shd w:val="clear" w:color="auto" w:fill="auto"/>
            <w:vAlign w:val="center"/>
          </w:tcPr>
          <w:p w:rsidR="00A761A4" w:rsidRDefault="00A761A4">
            <w:pPr>
              <w:spacing w:before="0" w:after="0"/>
              <w:jc w:val="center"/>
              <w:rPr>
                <w:noProof/>
                <w:sz w:val="20"/>
              </w:rPr>
            </w:pPr>
          </w:p>
        </w:tc>
        <w:tc>
          <w:tcPr>
            <w:tcW w:w="731" w:type="pct"/>
            <w:shd w:val="clear" w:color="auto" w:fill="auto"/>
            <w:vAlign w:val="center"/>
          </w:tcPr>
          <w:p w:rsidR="00A761A4" w:rsidRDefault="00A761A4">
            <w:pPr>
              <w:spacing w:before="0" w:after="0"/>
              <w:jc w:val="center"/>
              <w:rPr>
                <w:noProof/>
                <w:sz w:val="20"/>
              </w:rPr>
            </w:pPr>
          </w:p>
        </w:tc>
        <w:tc>
          <w:tcPr>
            <w:tcW w:w="709" w:type="pct"/>
            <w:vAlign w:val="center"/>
          </w:tcPr>
          <w:p w:rsidR="00A761A4" w:rsidRDefault="00A761A4">
            <w:pPr>
              <w:spacing w:before="0" w:after="0"/>
              <w:jc w:val="center"/>
              <w:rPr>
                <w:noProof/>
                <w:sz w:val="20"/>
              </w:rPr>
            </w:pPr>
          </w:p>
        </w:tc>
      </w:tr>
      <w:tr w:rsidR="00A761A4">
        <w:trPr>
          <w:trHeight w:val="289"/>
          <w:jc w:val="center"/>
        </w:trPr>
        <w:tc>
          <w:tcPr>
            <w:tcW w:w="1687" w:type="pct"/>
            <w:shd w:val="clear" w:color="auto" w:fill="auto"/>
            <w:vAlign w:val="center"/>
          </w:tcPr>
          <w:p w:rsidR="00A761A4" w:rsidRDefault="0064189B">
            <w:pPr>
              <w:pStyle w:val="Text1"/>
              <w:spacing w:beforeLines="20" w:before="48" w:afterLines="20" w:after="48"/>
              <w:ind w:left="986"/>
              <w:jc w:val="left"/>
              <w:rPr>
                <w:b/>
                <w:noProof/>
                <w:sz w:val="20"/>
              </w:rPr>
            </w:pPr>
            <w:r>
              <w:rPr>
                <w:noProof/>
                <w:sz w:val="20"/>
              </w:rPr>
              <w:t>09 01 02 01 (UO, UNS,</w:t>
            </w:r>
            <w:r>
              <w:rPr>
                <w:noProof/>
                <w:sz w:val="20"/>
              </w:rPr>
              <w:t xml:space="preserve"> UsO iz „globalne omotnice”)</w:t>
            </w:r>
          </w:p>
        </w:tc>
        <w:tc>
          <w:tcPr>
            <w:tcW w:w="569" w:type="pct"/>
            <w:shd w:val="clear" w:color="auto" w:fill="D9D9D9" w:themeFill="background1" w:themeFillShade="D9"/>
            <w:vAlign w:val="center"/>
          </w:tcPr>
          <w:p w:rsidR="00A761A4" w:rsidRDefault="00A761A4">
            <w:pPr>
              <w:spacing w:before="0" w:after="0"/>
              <w:jc w:val="center"/>
              <w:rPr>
                <w:noProof/>
                <w:sz w:val="20"/>
              </w:rPr>
            </w:pPr>
          </w:p>
          <w:p w:rsidR="00A761A4" w:rsidRDefault="0064189B">
            <w:pPr>
              <w:spacing w:before="0" w:after="0"/>
              <w:jc w:val="center"/>
              <w:rPr>
                <w:noProof/>
                <w:sz w:val="20"/>
              </w:rPr>
            </w:pPr>
            <w:r>
              <w:rPr>
                <w:noProof/>
                <w:sz w:val="20"/>
              </w:rPr>
              <w:t>1</w:t>
            </w:r>
          </w:p>
          <w:p w:rsidR="00A761A4" w:rsidRDefault="00A761A4">
            <w:pPr>
              <w:spacing w:before="0" w:after="0"/>
              <w:jc w:val="center"/>
              <w:rPr>
                <w:noProof/>
                <w:sz w:val="20"/>
              </w:rPr>
            </w:pPr>
          </w:p>
        </w:tc>
        <w:tc>
          <w:tcPr>
            <w:tcW w:w="652" w:type="pct"/>
            <w:shd w:val="clear" w:color="auto" w:fill="auto"/>
            <w:vAlign w:val="center"/>
          </w:tcPr>
          <w:p w:rsidR="00A761A4" w:rsidRDefault="0064189B">
            <w:pPr>
              <w:spacing w:before="0" w:after="0"/>
              <w:jc w:val="center"/>
              <w:rPr>
                <w:noProof/>
                <w:sz w:val="20"/>
              </w:rPr>
            </w:pPr>
            <w:r>
              <w:rPr>
                <w:noProof/>
                <w:sz w:val="20"/>
              </w:rPr>
              <w:t>2</w:t>
            </w:r>
          </w:p>
        </w:tc>
        <w:tc>
          <w:tcPr>
            <w:tcW w:w="652" w:type="pct"/>
            <w:shd w:val="clear" w:color="auto" w:fill="auto"/>
            <w:vAlign w:val="center"/>
          </w:tcPr>
          <w:p w:rsidR="00A761A4" w:rsidRDefault="00A761A4">
            <w:pPr>
              <w:spacing w:before="0" w:after="0"/>
              <w:jc w:val="center"/>
              <w:rPr>
                <w:noProof/>
                <w:sz w:val="20"/>
              </w:rPr>
            </w:pPr>
          </w:p>
        </w:tc>
        <w:tc>
          <w:tcPr>
            <w:tcW w:w="731" w:type="pct"/>
            <w:shd w:val="clear" w:color="auto" w:fill="auto"/>
            <w:vAlign w:val="center"/>
          </w:tcPr>
          <w:p w:rsidR="00A761A4" w:rsidRDefault="00A761A4">
            <w:pPr>
              <w:spacing w:before="0" w:after="0"/>
              <w:jc w:val="center"/>
              <w:rPr>
                <w:noProof/>
                <w:sz w:val="20"/>
              </w:rPr>
            </w:pPr>
          </w:p>
        </w:tc>
        <w:tc>
          <w:tcPr>
            <w:tcW w:w="709" w:type="pct"/>
            <w:vAlign w:val="center"/>
          </w:tcPr>
          <w:p w:rsidR="00A761A4" w:rsidRDefault="00A761A4">
            <w:pPr>
              <w:spacing w:before="0" w:after="0"/>
              <w:jc w:val="center"/>
              <w:rPr>
                <w:noProof/>
                <w:sz w:val="20"/>
              </w:rPr>
            </w:pPr>
          </w:p>
        </w:tc>
      </w:tr>
      <w:tr w:rsidR="00A761A4">
        <w:trPr>
          <w:trHeight w:val="289"/>
          <w:jc w:val="center"/>
        </w:trPr>
        <w:tc>
          <w:tcPr>
            <w:tcW w:w="1687" w:type="pct"/>
            <w:tcBorders>
              <w:top w:val="double" w:sz="4" w:space="0" w:color="auto"/>
            </w:tcBorders>
            <w:shd w:val="clear" w:color="auto" w:fill="auto"/>
            <w:vAlign w:val="center"/>
          </w:tcPr>
          <w:p w:rsidR="00A761A4" w:rsidRDefault="0064189B">
            <w:pPr>
              <w:pStyle w:val="Text1"/>
              <w:spacing w:beforeLines="20" w:before="48" w:afterLines="20" w:after="48"/>
              <w:ind w:left="986"/>
              <w:jc w:val="left"/>
              <w:rPr>
                <w:noProof/>
                <w:sz w:val="20"/>
              </w:rPr>
            </w:pPr>
            <w:r>
              <w:rPr>
                <w:b/>
                <w:noProof/>
                <w:sz w:val="20"/>
              </w:rPr>
              <w:t>UKUPNO</w:t>
            </w:r>
          </w:p>
        </w:tc>
        <w:tc>
          <w:tcPr>
            <w:tcW w:w="569" w:type="pct"/>
            <w:tcBorders>
              <w:top w:val="double" w:sz="4" w:space="0" w:color="auto"/>
            </w:tcBorders>
            <w:shd w:val="clear" w:color="auto" w:fill="D9D9D9" w:themeFill="background1" w:themeFillShade="D9"/>
            <w:vAlign w:val="center"/>
          </w:tcPr>
          <w:p w:rsidR="00A761A4" w:rsidRDefault="00A761A4">
            <w:pPr>
              <w:spacing w:before="0" w:after="0"/>
              <w:jc w:val="center"/>
              <w:rPr>
                <w:b/>
                <w:noProof/>
                <w:sz w:val="20"/>
              </w:rPr>
            </w:pPr>
          </w:p>
        </w:tc>
        <w:tc>
          <w:tcPr>
            <w:tcW w:w="652" w:type="pct"/>
            <w:tcBorders>
              <w:top w:val="double" w:sz="4" w:space="0" w:color="auto"/>
            </w:tcBorders>
            <w:shd w:val="clear" w:color="auto" w:fill="auto"/>
            <w:vAlign w:val="center"/>
          </w:tcPr>
          <w:p w:rsidR="00A761A4" w:rsidRDefault="0064189B">
            <w:pPr>
              <w:spacing w:before="0" w:after="0"/>
              <w:jc w:val="center"/>
              <w:rPr>
                <w:b/>
                <w:noProof/>
                <w:sz w:val="20"/>
              </w:rPr>
            </w:pPr>
            <w:r>
              <w:rPr>
                <w:b/>
                <w:noProof/>
                <w:sz w:val="20"/>
              </w:rPr>
              <w:t>4</w:t>
            </w:r>
          </w:p>
        </w:tc>
        <w:tc>
          <w:tcPr>
            <w:tcW w:w="652" w:type="pct"/>
            <w:tcBorders>
              <w:top w:val="double" w:sz="4" w:space="0" w:color="auto"/>
            </w:tcBorders>
            <w:shd w:val="clear" w:color="auto" w:fill="auto"/>
            <w:vAlign w:val="center"/>
          </w:tcPr>
          <w:p w:rsidR="00A761A4" w:rsidRDefault="0064189B">
            <w:pPr>
              <w:spacing w:before="0" w:after="0"/>
              <w:jc w:val="center"/>
              <w:rPr>
                <w:b/>
                <w:noProof/>
                <w:sz w:val="20"/>
              </w:rPr>
            </w:pPr>
            <w:r>
              <w:rPr>
                <w:b/>
                <w:noProof/>
                <w:sz w:val="20"/>
              </w:rPr>
              <w:t>3</w:t>
            </w:r>
          </w:p>
        </w:tc>
        <w:tc>
          <w:tcPr>
            <w:tcW w:w="731" w:type="pct"/>
            <w:tcBorders>
              <w:top w:val="double" w:sz="4" w:space="0" w:color="auto"/>
            </w:tcBorders>
            <w:shd w:val="clear" w:color="auto" w:fill="auto"/>
            <w:vAlign w:val="center"/>
          </w:tcPr>
          <w:p w:rsidR="00A761A4" w:rsidRDefault="00A761A4">
            <w:pPr>
              <w:spacing w:before="0" w:after="0"/>
              <w:jc w:val="center"/>
              <w:rPr>
                <w:b/>
                <w:noProof/>
                <w:sz w:val="20"/>
              </w:rPr>
            </w:pPr>
          </w:p>
        </w:tc>
        <w:tc>
          <w:tcPr>
            <w:tcW w:w="709" w:type="pct"/>
            <w:tcBorders>
              <w:top w:val="double" w:sz="4" w:space="0" w:color="auto"/>
            </w:tcBorders>
            <w:vAlign w:val="center"/>
          </w:tcPr>
          <w:p w:rsidR="00A761A4" w:rsidRDefault="00A761A4">
            <w:pPr>
              <w:spacing w:before="0" w:after="0"/>
              <w:jc w:val="center"/>
              <w:rPr>
                <w:b/>
                <w:noProof/>
                <w:sz w:val="20"/>
              </w:rPr>
            </w:pPr>
          </w:p>
        </w:tc>
      </w:tr>
    </w:tbl>
    <w:p w:rsidR="00A761A4" w:rsidRDefault="00A761A4">
      <w:pPr>
        <w:rPr>
          <w:noProof/>
        </w:rPr>
      </w:pPr>
    </w:p>
    <w:p w:rsidR="00A761A4" w:rsidRDefault="0064189B">
      <w:pPr>
        <w:rPr>
          <w:noProof/>
        </w:rPr>
      </w:pPr>
      <w:r>
        <w:rPr>
          <w:noProof/>
        </w:rPr>
        <w:t>Opis zadaća koje treba obaviti:</w:t>
      </w:r>
    </w:p>
    <w:tbl>
      <w:tblPr>
        <w:tblW w:w="8221"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2"/>
        <w:gridCol w:w="6379"/>
      </w:tblGrid>
      <w:tr w:rsidR="00A761A4">
        <w:tc>
          <w:tcPr>
            <w:tcW w:w="1842" w:type="dxa"/>
            <w:vAlign w:val="center"/>
          </w:tcPr>
          <w:p w:rsidR="00A761A4" w:rsidRDefault="0064189B">
            <w:pPr>
              <w:jc w:val="center"/>
              <w:rPr>
                <w:noProof/>
                <w:szCs w:val="24"/>
              </w:rPr>
            </w:pPr>
            <w:r>
              <w:rPr>
                <w:noProof/>
              </w:rPr>
              <w:t>Dužnosnici i privremeno osoblje</w:t>
            </w:r>
          </w:p>
        </w:tc>
        <w:tc>
          <w:tcPr>
            <w:tcW w:w="6379" w:type="dxa"/>
            <w:vAlign w:val="center"/>
          </w:tcPr>
          <w:p w:rsidR="00A761A4" w:rsidRDefault="0064189B">
            <w:pPr>
              <w:rPr>
                <w:noProof/>
                <w:szCs w:val="24"/>
              </w:rPr>
            </w:pPr>
            <w:r>
              <w:rPr>
                <w:noProof/>
              </w:rPr>
              <w:t>predstavljanje Komisije u Upravljačkom odboru Agencije; izrada mišljenja Komisije o jedinstvenom programskom dokumentu BEREC-a i praćenje</w:t>
            </w:r>
            <w:r>
              <w:rPr>
                <w:noProof/>
              </w:rPr>
              <w:t xml:space="preserve"> njegove provedbe; nadzor pripreme proračuna agencije i praćenje njegova izvršenja; pružanje pomoći Agenciji u razvoju aktivnosti u skladu s politikama Unije, među ostalim sudjelovanjem na relevantnim sastancima;</w:t>
            </w:r>
          </w:p>
          <w:p w:rsidR="00A761A4" w:rsidRDefault="0064189B">
            <w:pPr>
              <w:rPr>
                <w:noProof/>
                <w:szCs w:val="24"/>
              </w:rPr>
            </w:pPr>
            <w:r>
              <w:rPr>
                <w:noProof/>
              </w:rPr>
              <w:t>nadzor provedbe okvira za europske programe</w:t>
            </w:r>
            <w:r>
              <w:rPr>
                <w:noProof/>
              </w:rPr>
              <w:t xml:space="preserve"> kibersigurnosne certifikacije IKT proizvoda i usluga; održavanje kontakata s državama članicama i ostalim važnim dionicima u pogledu napora u području certificiranja; suradnja s ENISA-om u pogledu prijedloga programa; izrada prijedloga europskih programa </w:t>
            </w:r>
            <w:r>
              <w:rPr>
                <w:noProof/>
              </w:rPr>
              <w:t>kibersigurnosti.</w:t>
            </w:r>
          </w:p>
        </w:tc>
      </w:tr>
      <w:tr w:rsidR="00A761A4">
        <w:tc>
          <w:tcPr>
            <w:tcW w:w="1842" w:type="dxa"/>
            <w:vAlign w:val="center"/>
          </w:tcPr>
          <w:p w:rsidR="00A761A4" w:rsidRDefault="0064189B">
            <w:pPr>
              <w:spacing w:before="60" w:after="60"/>
              <w:jc w:val="center"/>
              <w:rPr>
                <w:noProof/>
                <w:szCs w:val="24"/>
              </w:rPr>
            </w:pPr>
            <w:r>
              <w:rPr>
                <w:noProof/>
              </w:rPr>
              <w:t>Vanjsko osoblje</w:t>
            </w:r>
          </w:p>
        </w:tc>
        <w:tc>
          <w:tcPr>
            <w:tcW w:w="6379" w:type="dxa"/>
            <w:vAlign w:val="center"/>
          </w:tcPr>
          <w:p w:rsidR="00A761A4" w:rsidRDefault="0064189B">
            <w:pPr>
              <w:jc w:val="left"/>
              <w:rPr>
                <w:noProof/>
                <w:szCs w:val="24"/>
              </w:rPr>
            </w:pPr>
            <w:r>
              <w:rPr>
                <w:noProof/>
              </w:rPr>
              <w:t>Isto kao gore navedeno.</w:t>
            </w:r>
          </w:p>
        </w:tc>
      </w:tr>
    </w:tbl>
    <w:p w:rsidR="00A761A4" w:rsidRDefault="00A761A4">
      <w:pPr>
        <w:rPr>
          <w:bCs/>
          <w:noProof/>
          <w:szCs w:val="24"/>
        </w:rPr>
      </w:pPr>
    </w:p>
    <w:p w:rsidR="00A761A4" w:rsidRDefault="0064189B">
      <w:pPr>
        <w:pStyle w:val="ManualHeading3"/>
        <w:rPr>
          <w:bCs/>
          <w:noProof/>
          <w:szCs w:val="24"/>
        </w:rPr>
      </w:pPr>
      <w:r>
        <w:t>3.2.4.</w:t>
      </w:r>
      <w:r>
        <w:tab/>
      </w:r>
      <w:r>
        <w:rPr>
          <w:noProof/>
        </w:rPr>
        <w:t xml:space="preserve">Usklađenost s važećim višegodišnjim financijskim okvirom </w:t>
      </w:r>
    </w:p>
    <w:p w:rsidR="00A761A4" w:rsidRDefault="0064189B">
      <w:pPr>
        <w:pStyle w:val="Tiret1"/>
        <w:rPr>
          <w:noProof/>
        </w:rPr>
      </w:pPr>
      <w:r>
        <w:rPr>
          <w:noProof/>
        </w:rPr>
        <w:sym w:font="Wingdings" w:char="F0A8"/>
      </w:r>
      <w:r>
        <w:rPr>
          <w:noProof/>
        </w:rPr>
        <w:tab/>
        <w:t>Prijedlog/inicijativa u skladu je s postojećim višegodišnjim financijskim okvirom.</w:t>
      </w:r>
    </w:p>
    <w:p w:rsidR="00A761A4" w:rsidRDefault="0064189B">
      <w:pPr>
        <w:pStyle w:val="Tiret1"/>
        <w:rPr>
          <w:noProof/>
        </w:rPr>
      </w:pPr>
      <w:r>
        <w:rPr>
          <w:noProof/>
        </w:rPr>
        <w:sym w:font="Wingdings" w:char="F078"/>
      </w:r>
      <w:r>
        <w:rPr>
          <w:noProof/>
        </w:rPr>
        <w:tab/>
        <w:t xml:space="preserve">Prijedlog/inicijativa povlači za sobom </w:t>
      </w:r>
      <w:r>
        <w:rPr>
          <w:noProof/>
        </w:rPr>
        <w:t>reprogramiranje relevantnog naslova višegodišnjeg financijskog okvira.</w:t>
      </w:r>
    </w:p>
    <w:p w:rsidR="00A761A4" w:rsidRDefault="0064189B">
      <w:pPr>
        <w:pStyle w:val="Text1"/>
        <w:pBdr>
          <w:top w:val="single" w:sz="4" w:space="1" w:color="auto"/>
          <w:left w:val="single" w:sz="4" w:space="4" w:color="auto"/>
          <w:bottom w:val="single" w:sz="4" w:space="1" w:color="auto"/>
          <w:right w:val="single" w:sz="4" w:space="4" w:color="auto"/>
        </w:pBdr>
        <w:rPr>
          <w:noProof/>
        </w:rPr>
      </w:pPr>
      <w:r>
        <w:rPr>
          <w:noProof/>
        </w:rPr>
        <w:t>Prijedlog će zahtijevati reprogramiranje članka 09 02 03 zbog revizije mandata ENISA-e kojom se Agenciji dodjeljuju nove zadaće povezane, među ostalim, s provedbom Direktive NIS i europ</w:t>
      </w:r>
      <w:r>
        <w:rPr>
          <w:noProof/>
        </w:rPr>
        <w:t xml:space="preserve">skim okvirom za kibersigurnosnu certifikaciju. Odgovarajući iznosi: </w:t>
      </w:r>
    </w:p>
    <w:tbl>
      <w:tblPr>
        <w:tblStyle w:val="TableGrid"/>
        <w:tblW w:w="0" w:type="auto"/>
        <w:tblInd w:w="850" w:type="dxa"/>
        <w:tblLook w:val="04A0" w:firstRow="1" w:lastRow="0" w:firstColumn="1" w:lastColumn="0" w:noHBand="0" w:noVBand="1"/>
      </w:tblPr>
      <w:tblGrid>
        <w:gridCol w:w="1243"/>
        <w:gridCol w:w="3684"/>
        <w:gridCol w:w="3510"/>
      </w:tblGrid>
      <w:tr w:rsidR="00A761A4">
        <w:tc>
          <w:tcPr>
            <w:tcW w:w="1243" w:type="dxa"/>
          </w:tcPr>
          <w:p w:rsidR="00A761A4" w:rsidRDefault="0064189B">
            <w:pPr>
              <w:pStyle w:val="Text1"/>
              <w:ind w:left="0"/>
              <w:rPr>
                <w:noProof/>
              </w:rPr>
            </w:pPr>
            <w:r>
              <w:rPr>
                <w:noProof/>
              </w:rPr>
              <w:t xml:space="preserve">Godina </w:t>
            </w:r>
          </w:p>
        </w:tc>
        <w:tc>
          <w:tcPr>
            <w:tcW w:w="3684" w:type="dxa"/>
          </w:tcPr>
          <w:p w:rsidR="00A761A4" w:rsidRDefault="0064189B">
            <w:pPr>
              <w:pStyle w:val="Text1"/>
              <w:ind w:left="0"/>
              <w:jc w:val="center"/>
              <w:rPr>
                <w:noProof/>
              </w:rPr>
            </w:pPr>
            <w:r>
              <w:rPr>
                <w:noProof/>
              </w:rPr>
              <w:t>Predviđeno</w:t>
            </w:r>
          </w:p>
        </w:tc>
        <w:tc>
          <w:tcPr>
            <w:tcW w:w="3510" w:type="dxa"/>
          </w:tcPr>
          <w:p w:rsidR="00A761A4" w:rsidRDefault="0064189B">
            <w:pPr>
              <w:pStyle w:val="Text1"/>
              <w:ind w:left="0"/>
              <w:jc w:val="center"/>
              <w:rPr>
                <w:noProof/>
              </w:rPr>
            </w:pPr>
            <w:r>
              <w:rPr>
                <w:noProof/>
              </w:rPr>
              <w:t>Zahtjev</w:t>
            </w:r>
          </w:p>
        </w:tc>
      </w:tr>
      <w:tr w:rsidR="00A761A4">
        <w:tc>
          <w:tcPr>
            <w:tcW w:w="1243" w:type="dxa"/>
          </w:tcPr>
          <w:p w:rsidR="00A761A4" w:rsidRDefault="0064189B">
            <w:pPr>
              <w:pStyle w:val="Text1"/>
              <w:ind w:left="0"/>
              <w:rPr>
                <w:noProof/>
              </w:rPr>
            </w:pPr>
            <w:r>
              <w:rPr>
                <w:noProof/>
              </w:rPr>
              <w:t>2019.</w:t>
            </w:r>
          </w:p>
        </w:tc>
        <w:tc>
          <w:tcPr>
            <w:tcW w:w="3684" w:type="dxa"/>
          </w:tcPr>
          <w:p w:rsidR="00A761A4" w:rsidRDefault="0064189B">
            <w:pPr>
              <w:pStyle w:val="Text1"/>
              <w:ind w:left="0"/>
              <w:jc w:val="center"/>
              <w:rPr>
                <w:noProof/>
              </w:rPr>
            </w:pPr>
            <w:r>
              <w:rPr>
                <w:noProof/>
              </w:rPr>
              <w:t>10,739</w:t>
            </w:r>
          </w:p>
        </w:tc>
        <w:tc>
          <w:tcPr>
            <w:tcW w:w="3510" w:type="dxa"/>
          </w:tcPr>
          <w:p w:rsidR="00A761A4" w:rsidRDefault="0064189B">
            <w:pPr>
              <w:pStyle w:val="Text1"/>
              <w:ind w:left="0"/>
              <w:jc w:val="center"/>
              <w:rPr>
                <w:noProof/>
              </w:rPr>
            </w:pPr>
            <w:r>
              <w:rPr>
                <w:noProof/>
              </w:rPr>
              <w:t>16,550</w:t>
            </w:r>
          </w:p>
        </w:tc>
      </w:tr>
      <w:tr w:rsidR="00A761A4">
        <w:tc>
          <w:tcPr>
            <w:tcW w:w="1243" w:type="dxa"/>
          </w:tcPr>
          <w:p w:rsidR="00A761A4" w:rsidRDefault="0064189B">
            <w:pPr>
              <w:pStyle w:val="Text1"/>
              <w:ind w:left="0"/>
              <w:rPr>
                <w:noProof/>
              </w:rPr>
            </w:pPr>
            <w:r>
              <w:rPr>
                <w:noProof/>
              </w:rPr>
              <w:t>2020.</w:t>
            </w:r>
          </w:p>
        </w:tc>
        <w:tc>
          <w:tcPr>
            <w:tcW w:w="3684" w:type="dxa"/>
          </w:tcPr>
          <w:p w:rsidR="00A761A4" w:rsidRDefault="0064189B">
            <w:pPr>
              <w:pStyle w:val="Text1"/>
              <w:ind w:left="0"/>
              <w:jc w:val="center"/>
              <w:rPr>
                <w:noProof/>
              </w:rPr>
            </w:pPr>
            <w:r>
              <w:rPr>
                <w:noProof/>
              </w:rPr>
              <w:t>10,954</w:t>
            </w:r>
          </w:p>
        </w:tc>
        <w:tc>
          <w:tcPr>
            <w:tcW w:w="3510" w:type="dxa"/>
          </w:tcPr>
          <w:p w:rsidR="00A761A4" w:rsidRDefault="0064189B">
            <w:pPr>
              <w:pStyle w:val="Text1"/>
              <w:rPr>
                <w:noProof/>
              </w:rPr>
            </w:pPr>
            <w:r>
              <w:rPr>
                <w:noProof/>
              </w:rPr>
              <w:t xml:space="preserve"> 20,646</w:t>
            </w:r>
          </w:p>
        </w:tc>
      </w:tr>
      <w:tr w:rsidR="00A761A4">
        <w:tc>
          <w:tcPr>
            <w:tcW w:w="1243" w:type="dxa"/>
          </w:tcPr>
          <w:p w:rsidR="00A761A4" w:rsidRDefault="0064189B">
            <w:pPr>
              <w:pStyle w:val="Text1"/>
              <w:ind w:left="0"/>
              <w:rPr>
                <w:noProof/>
              </w:rPr>
            </w:pPr>
            <w:r>
              <w:rPr>
                <w:noProof/>
              </w:rPr>
              <w:t>2021.</w:t>
            </w:r>
          </w:p>
        </w:tc>
        <w:tc>
          <w:tcPr>
            <w:tcW w:w="3684" w:type="dxa"/>
          </w:tcPr>
          <w:p w:rsidR="00A761A4" w:rsidRDefault="0064189B">
            <w:pPr>
              <w:pStyle w:val="Text1"/>
              <w:ind w:left="0"/>
              <w:jc w:val="center"/>
              <w:rPr>
                <w:noProof/>
              </w:rPr>
            </w:pPr>
            <w:r>
              <w:rPr>
                <w:noProof/>
              </w:rPr>
              <w:t>Nije primjenjivo</w:t>
            </w:r>
          </w:p>
        </w:tc>
        <w:tc>
          <w:tcPr>
            <w:tcW w:w="3510" w:type="dxa"/>
          </w:tcPr>
          <w:p w:rsidR="00A761A4" w:rsidRDefault="0064189B">
            <w:pPr>
              <w:pStyle w:val="Text1"/>
              <w:ind w:left="0"/>
              <w:jc w:val="center"/>
              <w:rPr>
                <w:noProof/>
              </w:rPr>
            </w:pPr>
            <w:r>
              <w:rPr>
                <w:noProof/>
              </w:rPr>
              <w:t>22,248*</w:t>
            </w:r>
          </w:p>
        </w:tc>
      </w:tr>
      <w:tr w:rsidR="00A761A4">
        <w:tc>
          <w:tcPr>
            <w:tcW w:w="1243" w:type="dxa"/>
          </w:tcPr>
          <w:p w:rsidR="00A761A4" w:rsidRDefault="0064189B">
            <w:pPr>
              <w:pStyle w:val="Text1"/>
              <w:ind w:left="0"/>
              <w:rPr>
                <w:noProof/>
              </w:rPr>
            </w:pPr>
            <w:r>
              <w:rPr>
                <w:noProof/>
              </w:rPr>
              <w:t>2022.</w:t>
            </w:r>
          </w:p>
        </w:tc>
        <w:tc>
          <w:tcPr>
            <w:tcW w:w="3684" w:type="dxa"/>
          </w:tcPr>
          <w:p w:rsidR="00A761A4" w:rsidRDefault="0064189B">
            <w:pPr>
              <w:pStyle w:val="Text1"/>
              <w:ind w:left="0"/>
              <w:jc w:val="center"/>
              <w:rPr>
                <w:noProof/>
              </w:rPr>
            </w:pPr>
            <w:r>
              <w:rPr>
                <w:noProof/>
              </w:rPr>
              <w:t>Nije primjenjivo</w:t>
            </w:r>
          </w:p>
        </w:tc>
        <w:tc>
          <w:tcPr>
            <w:tcW w:w="3510" w:type="dxa"/>
          </w:tcPr>
          <w:p w:rsidR="00A761A4" w:rsidRDefault="0064189B">
            <w:pPr>
              <w:pStyle w:val="Text1"/>
              <w:ind w:left="0"/>
              <w:jc w:val="center"/>
              <w:rPr>
                <w:noProof/>
              </w:rPr>
            </w:pPr>
            <w:r>
              <w:rPr>
                <w:noProof/>
              </w:rPr>
              <w:t>23,023*</w:t>
            </w:r>
          </w:p>
        </w:tc>
      </w:tr>
    </w:tbl>
    <w:p w:rsidR="00A761A4" w:rsidRDefault="0064189B">
      <w:pPr>
        <w:pStyle w:val="Text1"/>
        <w:pBdr>
          <w:top w:val="single" w:sz="4" w:space="1" w:color="auto"/>
          <w:left w:val="single" w:sz="4" w:space="4" w:color="auto"/>
          <w:bottom w:val="single" w:sz="4" w:space="1" w:color="auto"/>
          <w:right w:val="single" w:sz="4" w:space="4" w:color="auto"/>
        </w:pBdr>
        <w:rPr>
          <w:noProof/>
          <w:sz w:val="20"/>
        </w:rPr>
      </w:pPr>
      <w:r>
        <w:rPr>
          <w:noProof/>
        </w:rPr>
        <w:t xml:space="preserve">* Ovo je procjena. Financiranje EU-a nakon 2020. </w:t>
      </w:r>
      <w:r>
        <w:rPr>
          <w:noProof/>
        </w:rPr>
        <w:t>ispitat će se u kontekstu rasprave u Komisiji o svim prijedlozima za razdoblje nakon 2020. To znači da će Komisija nakon što podnese prijedlog sljedećeg višegodišnjeg financijskog okvira predstaviti izmijenjeni zakonodavni financijski izvještaj uzimajući u</w:t>
      </w:r>
      <w:r>
        <w:rPr>
          <w:noProof/>
        </w:rPr>
        <w:t xml:space="preserve"> obzir zaključke procjene učinka</w:t>
      </w:r>
      <w:r>
        <w:rPr>
          <w:rStyle w:val="FootnoteReference"/>
          <w:noProof/>
        </w:rPr>
        <w:footnoteReference w:id="59"/>
      </w:r>
      <w:r>
        <w:rPr>
          <w:noProof/>
        </w:rPr>
        <w:t>.</w:t>
      </w:r>
    </w:p>
    <w:p w:rsidR="00A761A4" w:rsidRDefault="0064189B">
      <w:pPr>
        <w:pStyle w:val="Tiret1"/>
        <w:rPr>
          <w:noProof/>
        </w:rPr>
      </w:pPr>
      <w:r>
        <w:rPr>
          <w:noProof/>
        </w:rPr>
        <w:sym w:font="Wingdings" w:char="F0A8"/>
      </w:r>
      <w:r>
        <w:rPr>
          <w:noProof/>
        </w:rPr>
        <w:tab/>
        <w:t>Za prijedlog/inicijativu potrebna je primjena instrumenta za financijsku fleksibilnost ili revizija višegodišnjeg financijskog okvira</w:t>
      </w:r>
      <w:r>
        <w:rPr>
          <w:rStyle w:val="FootnoteReference"/>
          <w:noProof/>
        </w:rPr>
        <w:footnoteReference w:id="60"/>
      </w:r>
      <w:r>
        <w:rPr>
          <w:noProof/>
        </w:rPr>
        <w:t>.</w:t>
      </w:r>
    </w:p>
    <w:p w:rsidR="00A761A4" w:rsidRDefault="00A761A4">
      <w:pPr>
        <w:rPr>
          <w:bCs/>
          <w:noProof/>
          <w:szCs w:val="24"/>
        </w:rPr>
      </w:pPr>
    </w:p>
    <w:p w:rsidR="00A761A4" w:rsidRDefault="0064189B">
      <w:pPr>
        <w:pStyle w:val="ManualHeading3"/>
        <w:rPr>
          <w:bCs/>
          <w:noProof/>
          <w:szCs w:val="24"/>
        </w:rPr>
      </w:pPr>
      <w:r>
        <w:t>3.2.5.</w:t>
      </w:r>
      <w:r>
        <w:tab/>
      </w:r>
      <w:r>
        <w:rPr>
          <w:noProof/>
        </w:rPr>
        <w:t xml:space="preserve">Doprinosi trećih strana </w:t>
      </w:r>
    </w:p>
    <w:p w:rsidR="00A761A4" w:rsidRDefault="0064189B">
      <w:pPr>
        <w:pStyle w:val="Tiret1"/>
        <w:rPr>
          <w:noProof/>
        </w:rPr>
      </w:pPr>
      <w:r>
        <w:rPr>
          <w:noProof/>
        </w:rPr>
        <w:sym w:font="Wingdings" w:char="F0A8"/>
      </w:r>
      <w:r>
        <w:rPr>
          <w:noProof/>
        </w:rPr>
        <w:t xml:space="preserve"> Prijedlogom/inicijativom ne predviđa se sudjelov</w:t>
      </w:r>
      <w:r>
        <w:rPr>
          <w:noProof/>
        </w:rPr>
        <w:t>anje trećih strana u financiranju.</w:t>
      </w:r>
    </w:p>
    <w:p w:rsidR="00A761A4" w:rsidRDefault="0064189B">
      <w:pPr>
        <w:pStyle w:val="Tiret1"/>
        <w:rPr>
          <w:noProof/>
        </w:rPr>
      </w:pPr>
      <w:r>
        <w:rPr>
          <w:noProof/>
        </w:rPr>
        <w:sym w:font="Wingdings" w:char="F078"/>
      </w:r>
      <w:r>
        <w:rPr>
          <w:noProof/>
        </w:rPr>
        <w:t xml:space="preserve"> Prijedlogom/inicijativom predviđa se sufinanciranje prema sljedećoj procjeni:</w:t>
      </w:r>
    </w:p>
    <w:tbl>
      <w:tblPr>
        <w:tblW w:w="4560" w:type="pct"/>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59"/>
        <w:gridCol w:w="1587"/>
        <w:gridCol w:w="1909"/>
        <w:gridCol w:w="1909"/>
        <w:gridCol w:w="1906"/>
      </w:tblGrid>
      <w:tr w:rsidR="00A761A4">
        <w:trPr>
          <w:cantSplit/>
        </w:trPr>
        <w:tc>
          <w:tcPr>
            <w:tcW w:w="684" w:type="pct"/>
          </w:tcPr>
          <w:p w:rsidR="00A761A4" w:rsidRDefault="00A761A4">
            <w:pPr>
              <w:keepNext/>
              <w:keepLines/>
              <w:spacing w:before="60" w:after="60"/>
              <w:rPr>
                <w:noProof/>
                <w:sz w:val="20"/>
              </w:rPr>
            </w:pPr>
          </w:p>
        </w:tc>
        <w:tc>
          <w:tcPr>
            <w:tcW w:w="937" w:type="pct"/>
            <w:vAlign w:val="center"/>
          </w:tcPr>
          <w:p w:rsidR="00A761A4" w:rsidRDefault="0064189B">
            <w:pPr>
              <w:keepNext/>
              <w:keepLines/>
              <w:jc w:val="center"/>
              <w:rPr>
                <w:noProof/>
              </w:rPr>
            </w:pPr>
            <w:r>
              <w:rPr>
                <w:noProof/>
                <w:sz w:val="20"/>
              </w:rPr>
              <w:t>Godina</w:t>
            </w:r>
            <w:r>
              <w:rPr>
                <w:noProof/>
                <w:sz w:val="20"/>
              </w:rPr>
              <w:br/>
            </w:r>
            <w:r>
              <w:rPr>
                <w:b/>
                <w:noProof/>
                <w:sz w:val="20"/>
              </w:rPr>
              <w:t>2019.</w:t>
            </w:r>
          </w:p>
        </w:tc>
        <w:tc>
          <w:tcPr>
            <w:tcW w:w="1127" w:type="pct"/>
            <w:vAlign w:val="center"/>
          </w:tcPr>
          <w:p w:rsidR="00A761A4" w:rsidRDefault="0064189B">
            <w:pPr>
              <w:keepNext/>
              <w:keepLines/>
              <w:jc w:val="center"/>
              <w:rPr>
                <w:noProof/>
              </w:rPr>
            </w:pPr>
            <w:r>
              <w:rPr>
                <w:noProof/>
                <w:sz w:val="20"/>
              </w:rPr>
              <w:t>Godina</w:t>
            </w:r>
            <w:r>
              <w:rPr>
                <w:noProof/>
                <w:sz w:val="20"/>
              </w:rPr>
              <w:br/>
            </w:r>
            <w:r>
              <w:rPr>
                <w:b/>
                <w:noProof/>
                <w:sz w:val="20"/>
              </w:rPr>
              <w:t>2020.</w:t>
            </w:r>
          </w:p>
        </w:tc>
        <w:tc>
          <w:tcPr>
            <w:tcW w:w="1127" w:type="pct"/>
            <w:vAlign w:val="center"/>
          </w:tcPr>
          <w:p w:rsidR="00A761A4" w:rsidRDefault="0064189B">
            <w:pPr>
              <w:keepNext/>
              <w:keepLines/>
              <w:jc w:val="center"/>
              <w:rPr>
                <w:noProof/>
                <w:sz w:val="20"/>
              </w:rPr>
            </w:pPr>
            <w:r>
              <w:rPr>
                <w:noProof/>
                <w:sz w:val="20"/>
              </w:rPr>
              <w:t>Godina</w:t>
            </w:r>
            <w:r>
              <w:rPr>
                <w:noProof/>
                <w:sz w:val="20"/>
              </w:rPr>
              <w:br/>
            </w:r>
            <w:r>
              <w:rPr>
                <w:b/>
                <w:noProof/>
                <w:sz w:val="20"/>
              </w:rPr>
              <w:t>2021.</w:t>
            </w:r>
          </w:p>
        </w:tc>
        <w:tc>
          <w:tcPr>
            <w:tcW w:w="1125" w:type="pct"/>
            <w:vAlign w:val="center"/>
          </w:tcPr>
          <w:p w:rsidR="00A761A4" w:rsidRDefault="0064189B">
            <w:pPr>
              <w:keepNext/>
              <w:keepLines/>
              <w:jc w:val="center"/>
              <w:rPr>
                <w:noProof/>
                <w:sz w:val="20"/>
              </w:rPr>
            </w:pPr>
            <w:r>
              <w:rPr>
                <w:noProof/>
                <w:sz w:val="20"/>
              </w:rPr>
              <w:t>Godina</w:t>
            </w:r>
            <w:r>
              <w:rPr>
                <w:noProof/>
                <w:sz w:val="20"/>
              </w:rPr>
              <w:br/>
            </w:r>
            <w:r>
              <w:rPr>
                <w:b/>
                <w:noProof/>
                <w:sz w:val="20"/>
              </w:rPr>
              <w:t>2022.</w:t>
            </w:r>
          </w:p>
        </w:tc>
      </w:tr>
      <w:tr w:rsidR="00A761A4">
        <w:trPr>
          <w:cantSplit/>
        </w:trPr>
        <w:tc>
          <w:tcPr>
            <w:tcW w:w="684" w:type="pct"/>
          </w:tcPr>
          <w:p w:rsidR="00A761A4" w:rsidRDefault="0064189B">
            <w:pPr>
              <w:keepNext/>
              <w:keepLines/>
              <w:rPr>
                <w:noProof/>
              </w:rPr>
            </w:pPr>
            <w:r>
              <w:rPr>
                <w:noProof/>
                <w:sz w:val="20"/>
              </w:rPr>
              <w:t>EFTA</w:t>
            </w:r>
            <w:r>
              <w:rPr>
                <w:i/>
                <w:noProof/>
                <w:sz w:val="20"/>
              </w:rPr>
              <w:t xml:space="preserve"> </w:t>
            </w:r>
          </w:p>
        </w:tc>
        <w:tc>
          <w:tcPr>
            <w:tcW w:w="937" w:type="pct"/>
            <w:vAlign w:val="center"/>
          </w:tcPr>
          <w:p w:rsidR="00A761A4" w:rsidRDefault="0064189B">
            <w:pPr>
              <w:keepNext/>
              <w:keepLines/>
              <w:spacing w:before="60" w:after="60"/>
              <w:jc w:val="center"/>
              <w:rPr>
                <w:noProof/>
                <w:sz w:val="20"/>
              </w:rPr>
            </w:pPr>
            <w:r>
              <w:rPr>
                <w:noProof/>
                <w:sz w:val="20"/>
              </w:rPr>
              <w:t>p.m</w:t>
            </w:r>
            <w:r>
              <w:rPr>
                <w:rStyle w:val="FootnoteReference"/>
                <w:noProof/>
              </w:rPr>
              <w:footnoteReference w:id="61"/>
            </w:r>
            <w:r>
              <w:rPr>
                <w:noProof/>
              </w:rPr>
              <w:t>.</w:t>
            </w:r>
          </w:p>
        </w:tc>
        <w:tc>
          <w:tcPr>
            <w:tcW w:w="1127" w:type="pct"/>
            <w:vAlign w:val="center"/>
          </w:tcPr>
          <w:p w:rsidR="00A761A4" w:rsidRDefault="0064189B">
            <w:pPr>
              <w:keepNext/>
              <w:keepLines/>
              <w:spacing w:before="60" w:after="60"/>
              <w:jc w:val="center"/>
              <w:rPr>
                <w:noProof/>
                <w:sz w:val="20"/>
              </w:rPr>
            </w:pPr>
            <w:r>
              <w:rPr>
                <w:noProof/>
                <w:sz w:val="20"/>
              </w:rPr>
              <w:t>p.m.</w:t>
            </w:r>
          </w:p>
        </w:tc>
        <w:tc>
          <w:tcPr>
            <w:tcW w:w="1127" w:type="pct"/>
            <w:vAlign w:val="center"/>
          </w:tcPr>
          <w:p w:rsidR="00A761A4" w:rsidRDefault="0064189B">
            <w:pPr>
              <w:keepNext/>
              <w:keepLines/>
              <w:spacing w:before="60" w:after="60"/>
              <w:jc w:val="center"/>
              <w:rPr>
                <w:noProof/>
                <w:sz w:val="20"/>
              </w:rPr>
            </w:pPr>
            <w:r>
              <w:rPr>
                <w:noProof/>
                <w:sz w:val="20"/>
              </w:rPr>
              <w:t>p.m.</w:t>
            </w:r>
          </w:p>
        </w:tc>
        <w:tc>
          <w:tcPr>
            <w:tcW w:w="1125" w:type="pct"/>
            <w:vAlign w:val="center"/>
          </w:tcPr>
          <w:p w:rsidR="00A761A4" w:rsidRDefault="0064189B">
            <w:pPr>
              <w:keepNext/>
              <w:keepLines/>
              <w:spacing w:before="60" w:after="60"/>
              <w:jc w:val="center"/>
              <w:rPr>
                <w:noProof/>
                <w:sz w:val="20"/>
              </w:rPr>
            </w:pPr>
            <w:r>
              <w:rPr>
                <w:noProof/>
                <w:sz w:val="20"/>
              </w:rPr>
              <w:t>p.m.</w:t>
            </w:r>
          </w:p>
        </w:tc>
      </w:tr>
    </w:tbl>
    <w:p w:rsidR="00A761A4" w:rsidRDefault="00A761A4">
      <w:pPr>
        <w:rPr>
          <w:noProof/>
        </w:rPr>
      </w:pPr>
    </w:p>
    <w:p w:rsidR="00A761A4" w:rsidRDefault="0064189B">
      <w:pPr>
        <w:pStyle w:val="ManualHeading2"/>
        <w:rPr>
          <w:bCs/>
          <w:noProof/>
          <w:szCs w:val="24"/>
        </w:rPr>
      </w:pPr>
      <w:r>
        <w:t>3.3.</w:t>
      </w:r>
      <w:r>
        <w:tab/>
      </w:r>
      <w:r>
        <w:rPr>
          <w:noProof/>
        </w:rPr>
        <w:t xml:space="preserve">Procijenjeni utjecaj na prihode </w:t>
      </w:r>
    </w:p>
    <w:p w:rsidR="00A761A4" w:rsidRDefault="0064189B">
      <w:pPr>
        <w:pStyle w:val="Tiret1"/>
        <w:rPr>
          <w:noProof/>
        </w:rPr>
      </w:pPr>
      <w:r>
        <w:rPr>
          <w:noProof/>
        </w:rPr>
        <w:sym w:font="Wingdings" w:char="F078"/>
      </w:r>
      <w:r>
        <w:rPr>
          <w:noProof/>
        </w:rPr>
        <w:tab/>
      </w:r>
      <w:r>
        <w:rPr>
          <w:noProof/>
        </w:rPr>
        <w:t>Prijedlog/inicijativa nema financijski utjecaj na prihode.</w:t>
      </w:r>
    </w:p>
    <w:p w:rsidR="00A761A4" w:rsidRDefault="0064189B">
      <w:pPr>
        <w:pStyle w:val="Tiret1"/>
        <w:rPr>
          <w:noProof/>
        </w:rPr>
      </w:pPr>
      <w:r>
        <w:rPr>
          <w:noProof/>
        </w:rPr>
        <w:sym w:font="Wingdings" w:char="F0A8"/>
      </w:r>
      <w:r>
        <w:rPr>
          <w:noProof/>
        </w:rPr>
        <w:tab/>
        <w:t>Prijedlog/inicijativa ima sljedeći financijski utjecaj:</w:t>
      </w:r>
    </w:p>
    <w:p w:rsidR="00A761A4" w:rsidRDefault="0064189B">
      <w:pPr>
        <w:pStyle w:val="Tiret2"/>
        <w:numPr>
          <w:ilvl w:val="0"/>
          <w:numId w:val="91"/>
        </w:numPr>
        <w:rPr>
          <w:noProof/>
        </w:rPr>
      </w:pPr>
      <w:r>
        <w:rPr>
          <w:noProof/>
        </w:rPr>
        <w:sym w:font="Wingdings" w:char="F0A8"/>
      </w:r>
      <w:r>
        <w:rPr>
          <w:noProof/>
        </w:rPr>
        <w:tab/>
        <w:t xml:space="preserve">na vlastita sredstva </w:t>
      </w:r>
    </w:p>
    <w:p w:rsidR="00A761A4" w:rsidRDefault="0064189B">
      <w:pPr>
        <w:pStyle w:val="Tiret2"/>
        <w:rPr>
          <w:noProof/>
        </w:rPr>
      </w:pPr>
      <w:r>
        <w:rPr>
          <w:noProof/>
        </w:rPr>
        <w:sym w:font="Wingdings" w:char="F0A8"/>
      </w:r>
      <w:r>
        <w:rPr>
          <w:noProof/>
        </w:rPr>
        <w:tab/>
        <w:t>na razno</w:t>
      </w:r>
    </w:p>
    <w:sectPr w:rsidR="00A761A4" w:rsidSect="0064189B">
      <w:headerReference w:type="default" r:id="rId26"/>
      <w:footerReference w:type="default" r:id="rId27"/>
      <w:headerReference w:type="first" r:id="rId28"/>
      <w:footerReference w:type="first" r:id="rId29"/>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1A4" w:rsidRDefault="0064189B">
      <w:pPr>
        <w:spacing w:before="0" w:after="0"/>
      </w:pPr>
      <w:r>
        <w:separator/>
      </w:r>
    </w:p>
  </w:endnote>
  <w:endnote w:type="continuationSeparator" w:id="0">
    <w:p w:rsidR="00A761A4" w:rsidRDefault="0064189B">
      <w:pPr>
        <w:spacing w:before="0" w:after="0"/>
      </w:pPr>
      <w:r>
        <w:continuationSeparator/>
      </w:r>
    </w:p>
  </w:endnote>
  <w:endnote w:type="continuationNotice" w:id="1">
    <w:p w:rsidR="00A761A4" w:rsidRDefault="00A761A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9B" w:rsidRPr="0064189B" w:rsidRDefault="0064189B" w:rsidP="00641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9B" w:rsidRPr="0064189B" w:rsidRDefault="0064189B" w:rsidP="0064189B">
    <w:pPr>
      <w:pStyle w:val="Footer"/>
      <w:rPr>
        <w:rFonts w:ascii="Arial" w:hAnsi="Arial" w:cs="Arial"/>
        <w:b/>
        <w:sz w:val="48"/>
      </w:rPr>
    </w:pPr>
    <w:r w:rsidRPr="0064189B">
      <w:rPr>
        <w:rFonts w:ascii="Arial" w:hAnsi="Arial" w:cs="Arial"/>
        <w:b/>
        <w:sz w:val="48"/>
      </w:rPr>
      <w:t>HR</w:t>
    </w:r>
    <w:r w:rsidRPr="0064189B">
      <w:rPr>
        <w:rFonts w:ascii="Arial" w:hAnsi="Arial" w:cs="Arial"/>
        <w:b/>
        <w:sz w:val="48"/>
      </w:rPr>
      <w:tab/>
    </w:r>
    <w:r w:rsidRPr="0064189B">
      <w:rPr>
        <w:rFonts w:ascii="Arial" w:hAnsi="Arial" w:cs="Arial"/>
        <w:b/>
        <w:sz w:val="48"/>
      </w:rPr>
      <w:tab/>
    </w:r>
    <w:fldSimple w:instr=" DOCVARIABLE &quot;LW_Confidence&quot; \* MERGEFORMAT ">
      <w:r>
        <w:t xml:space="preserve"> </w:t>
      </w:r>
    </w:fldSimple>
    <w:r w:rsidRPr="0064189B">
      <w:tab/>
    </w:r>
    <w:r w:rsidRPr="0064189B">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9B" w:rsidRPr="0064189B" w:rsidRDefault="0064189B" w:rsidP="006418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9B" w:rsidRPr="0064189B" w:rsidRDefault="0064189B" w:rsidP="0064189B">
    <w:pPr>
      <w:pStyle w:val="Footer"/>
      <w:rPr>
        <w:rFonts w:ascii="Arial" w:hAnsi="Arial" w:cs="Arial"/>
        <w:b/>
        <w:sz w:val="48"/>
      </w:rPr>
    </w:pPr>
    <w:r w:rsidRPr="0064189B">
      <w:rPr>
        <w:rFonts w:ascii="Arial" w:hAnsi="Arial" w:cs="Arial"/>
        <w:b/>
        <w:sz w:val="48"/>
      </w:rPr>
      <w:t>HR</w:t>
    </w:r>
    <w:r w:rsidRPr="0064189B">
      <w:rPr>
        <w:rFonts w:ascii="Arial" w:hAnsi="Arial" w:cs="Arial"/>
        <w:b/>
        <w:sz w:val="48"/>
      </w:rPr>
      <w:tab/>
    </w:r>
    <w:r>
      <w:fldChar w:fldCharType="begin"/>
    </w:r>
    <w:r>
      <w:instrText xml:space="preserve"> PAGE  \* MERGEFORMAT </w:instrText>
    </w:r>
    <w:r>
      <w:fldChar w:fldCharType="separate"/>
    </w:r>
    <w:r>
      <w:rPr>
        <w:noProof/>
      </w:rPr>
      <w:t>77</w:t>
    </w:r>
    <w:r>
      <w:fldChar w:fldCharType="end"/>
    </w:r>
    <w:r>
      <w:tab/>
    </w:r>
    <w:fldSimple w:instr=" DOCVARIABLE &quot;LW_Confidence&quot; \* MERGEFORMAT ">
      <w:r>
        <w:t xml:space="preserve"> </w:t>
      </w:r>
    </w:fldSimple>
    <w:r w:rsidRPr="0064189B">
      <w:tab/>
    </w:r>
    <w:r w:rsidRPr="0064189B">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9B" w:rsidRPr="0064189B" w:rsidRDefault="0064189B" w:rsidP="0064189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A4" w:rsidRPr="0064189B" w:rsidRDefault="0064189B" w:rsidP="0064189B">
    <w:pPr>
      <w:pStyle w:val="FooterLandscape"/>
      <w:rPr>
        <w:rFonts w:ascii="Arial" w:hAnsi="Arial" w:cs="Arial"/>
        <w:b/>
        <w:sz w:val="48"/>
      </w:rPr>
    </w:pPr>
    <w:r w:rsidRPr="0064189B">
      <w:rPr>
        <w:rFonts w:ascii="Arial" w:hAnsi="Arial" w:cs="Arial"/>
        <w:b/>
        <w:sz w:val="48"/>
      </w:rPr>
      <w:t>HR</w:t>
    </w:r>
    <w:r w:rsidRPr="0064189B">
      <w:rPr>
        <w:rFonts w:ascii="Arial" w:hAnsi="Arial" w:cs="Arial"/>
        <w:b/>
        <w:sz w:val="48"/>
      </w:rPr>
      <w:tab/>
    </w:r>
    <w:r>
      <w:fldChar w:fldCharType="begin"/>
    </w:r>
    <w:r>
      <w:instrText xml:space="preserve"> PAGE  \* MERGEFORMAT </w:instrText>
    </w:r>
    <w:r>
      <w:fldChar w:fldCharType="separate"/>
    </w:r>
    <w:r>
      <w:rPr>
        <w:noProof/>
      </w:rPr>
      <w:t>82</w:t>
    </w:r>
    <w:r>
      <w:fldChar w:fldCharType="end"/>
    </w:r>
    <w:r>
      <w:tab/>
    </w:r>
    <w:fldSimple w:instr=" DOCVARIABLE &quot;LW_Confidence&quot; \* MERGEFORMAT ">
      <w:r>
        <w:t xml:space="preserve"> </w:t>
      </w:r>
    </w:fldSimple>
    <w:r w:rsidRPr="0064189B">
      <w:tab/>
    </w:r>
    <w:r w:rsidRPr="0064189B">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9B" w:rsidRPr="0064189B" w:rsidRDefault="0064189B" w:rsidP="0064189B">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9B" w:rsidRPr="0064189B" w:rsidRDefault="0064189B" w:rsidP="0064189B">
    <w:pPr>
      <w:pStyle w:val="Footer"/>
      <w:rPr>
        <w:rFonts w:ascii="Arial" w:hAnsi="Arial" w:cs="Arial"/>
        <w:b/>
        <w:sz w:val="48"/>
      </w:rPr>
    </w:pPr>
    <w:r w:rsidRPr="0064189B">
      <w:rPr>
        <w:rFonts w:ascii="Arial" w:hAnsi="Arial" w:cs="Arial"/>
        <w:b/>
        <w:sz w:val="48"/>
      </w:rPr>
      <w:t>HR</w:t>
    </w:r>
    <w:r w:rsidRPr="0064189B">
      <w:rPr>
        <w:rFonts w:ascii="Arial" w:hAnsi="Arial" w:cs="Arial"/>
        <w:b/>
        <w:sz w:val="48"/>
      </w:rPr>
      <w:tab/>
    </w:r>
    <w:r>
      <w:fldChar w:fldCharType="begin"/>
    </w:r>
    <w:r>
      <w:instrText xml:space="preserve"> PAGE  \* MERGEFORMAT </w:instrText>
    </w:r>
    <w:r>
      <w:fldChar w:fldCharType="separate"/>
    </w:r>
    <w:r>
      <w:rPr>
        <w:noProof/>
      </w:rPr>
      <w:t>84</w:t>
    </w:r>
    <w:r>
      <w:fldChar w:fldCharType="end"/>
    </w:r>
    <w:r>
      <w:tab/>
    </w:r>
    <w:fldSimple w:instr=" DOCVARIABLE &quot;LW_Confidence&quot; \* MERGEFORMAT ">
      <w:r>
        <w:t xml:space="preserve"> </w:t>
      </w:r>
    </w:fldSimple>
    <w:r w:rsidRPr="0064189B">
      <w:tab/>
    </w:r>
    <w:r w:rsidRPr="0064189B">
      <w:rPr>
        <w:rFonts w:ascii="Arial" w:hAnsi="Arial" w:cs="Arial"/>
        <w:b/>
        <w:sz w:val="48"/>
      </w:rPr>
      <w:t>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9B" w:rsidRPr="0064189B" w:rsidRDefault="0064189B" w:rsidP="00641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1A4" w:rsidRDefault="0064189B">
      <w:pPr>
        <w:spacing w:before="0" w:after="0"/>
      </w:pPr>
      <w:r>
        <w:separator/>
      </w:r>
    </w:p>
  </w:footnote>
  <w:footnote w:type="continuationSeparator" w:id="0">
    <w:p w:rsidR="00A761A4" w:rsidRDefault="0064189B">
      <w:pPr>
        <w:spacing w:before="0" w:after="0"/>
      </w:pPr>
      <w:r>
        <w:continuationSeparator/>
      </w:r>
    </w:p>
  </w:footnote>
  <w:footnote w:type="continuationNotice" w:id="1">
    <w:p w:rsidR="00A761A4" w:rsidRDefault="00A761A4">
      <w:pPr>
        <w:spacing w:before="0" w:after="0"/>
      </w:pPr>
    </w:p>
  </w:footnote>
  <w:footnote w:id="2">
    <w:p w:rsidR="00A761A4" w:rsidRDefault="0064189B">
      <w:pPr>
        <w:pStyle w:val="FootnoteText"/>
        <w:spacing w:after="40"/>
      </w:pPr>
      <w:r>
        <w:rPr>
          <w:rStyle w:val="FootnoteReference"/>
        </w:rPr>
        <w:footnoteRef/>
      </w:r>
      <w:r>
        <w:tab/>
        <w:t>Zajednička</w:t>
      </w:r>
      <w:r>
        <w:t xml:space="preserve"> komunikacija Europske komisije i Europske službe za vanjsko djelovanje: Strategija Europske unije za kibernetičku sigurnost: otvoren, siguran i zaštićen kibernetički prostor”, JOIN(2013) final</w:t>
      </w:r>
    </w:p>
  </w:footnote>
  <w:footnote w:id="3">
    <w:p w:rsidR="00A761A4" w:rsidRDefault="0064189B">
      <w:pPr>
        <w:pStyle w:val="FootnoteText"/>
        <w:spacing w:after="40"/>
      </w:pPr>
      <w:r>
        <w:rPr>
          <w:rStyle w:val="FootnoteReference"/>
        </w:rPr>
        <w:footnoteRef/>
      </w:r>
      <w:r>
        <w:tab/>
        <w:t>Uredba (EU) br. 526/2013 o Agenciji Europske unije za mrežnu</w:t>
      </w:r>
      <w:r>
        <w:t xml:space="preserve"> i informacijsku sigurnost (ENISA) i o stavljanju izvan snage Uredbe (EZ) br. 460/2004.</w:t>
      </w:r>
    </w:p>
  </w:footnote>
  <w:footnote w:id="4">
    <w:p w:rsidR="00A761A4" w:rsidRDefault="0064189B">
      <w:pPr>
        <w:pStyle w:val="FootnoteText"/>
        <w:spacing w:after="40"/>
      </w:pPr>
      <w:r>
        <w:rPr>
          <w:rStyle w:val="FootnoteReference"/>
        </w:rPr>
        <w:footnoteRef/>
      </w:r>
      <w:r>
        <w:tab/>
        <w:t>Direktiva (EU) 2016/1148 o mjerama za visoku zajedničku razinu sigurnosti mrežnih i informacijskih sustava širom Unije.</w:t>
      </w:r>
    </w:p>
  </w:footnote>
  <w:footnote w:id="5">
    <w:p w:rsidR="00A761A4" w:rsidRDefault="0064189B">
      <w:pPr>
        <w:pStyle w:val="FootnoteText"/>
        <w:spacing w:after="40"/>
      </w:pPr>
      <w:r>
        <w:rPr>
          <w:rStyle w:val="FootnoteReference"/>
        </w:rPr>
        <w:footnoteRef/>
      </w:r>
      <w:r>
        <w:tab/>
        <w:t>Komunikacija Komisije o jačanju europskog su</w:t>
      </w:r>
      <w:r>
        <w:t>stava kibernetičke sigurnosti i poticanju konkurentne i inovativne industrije kibernetičke sigurnosti, COM/2016/0410 final.</w:t>
      </w:r>
    </w:p>
  </w:footnote>
  <w:footnote w:id="6">
    <w:p w:rsidR="00A761A4" w:rsidRDefault="0064189B">
      <w:pPr>
        <w:pStyle w:val="FootnoteText"/>
        <w:spacing w:after="40"/>
      </w:pPr>
      <w:r>
        <w:rPr>
          <w:rStyle w:val="FootnoteReference"/>
        </w:rPr>
        <w:footnoteRef/>
      </w:r>
      <w:r>
        <w:tab/>
        <w:t>Zaključci Vijeća o jačanju europskog sustava kiberotpornosti i poticanju konkurentne i inovativne industrije kibersigurnosti – 15.</w:t>
      </w:r>
      <w:r>
        <w:t> studenoga 2016.</w:t>
      </w:r>
    </w:p>
  </w:footnote>
  <w:footnote w:id="7">
    <w:p w:rsidR="00A761A4" w:rsidRDefault="0064189B">
      <w:pPr>
        <w:pStyle w:val="FootnoteText"/>
        <w:spacing w:after="40"/>
      </w:pPr>
      <w:r>
        <w:rPr>
          <w:rStyle w:val="FootnoteReference"/>
        </w:rPr>
        <w:footnoteRef/>
      </w:r>
      <w:r>
        <w:tab/>
        <w:t xml:space="preserve">Komunikacija Komisije o preispitivanju provedbe Strategije jedinstvenog digitalnog tržišta na sredini provedbenog razdoblja – COM(2017) 228. </w:t>
      </w:r>
    </w:p>
  </w:footnote>
  <w:footnote w:id="8">
    <w:p w:rsidR="00A761A4" w:rsidRDefault="0064189B">
      <w:pPr>
        <w:pStyle w:val="FootnoteText"/>
      </w:pPr>
      <w:r>
        <w:rPr>
          <w:rStyle w:val="FootnoteReference"/>
        </w:rPr>
        <w:footnoteRef/>
      </w:r>
      <w:r>
        <w:tab/>
        <w:t>Sastanak Europskog vijeća (22. i 23. lipnja 2017.) – Zaključci EUCO 8/17.</w:t>
      </w:r>
    </w:p>
  </w:footnote>
  <w:footnote w:id="9">
    <w:p w:rsidR="00A761A4" w:rsidRDefault="0064189B">
      <w:pPr>
        <w:pStyle w:val="FootnoteText"/>
        <w:spacing w:after="40"/>
      </w:pPr>
      <w:r>
        <w:rPr>
          <w:rStyle w:val="FootnoteReference"/>
        </w:rPr>
        <w:footnoteRef/>
      </w:r>
      <w:r>
        <w:tab/>
        <w:t>Transparentnost k</w:t>
      </w:r>
      <w:r>
        <w:t>ibersigurnosnog jamstva znači pružanje korisnicima dovoljno informacija o kibersigurnosnim značajkama s pomoću kojih mogu objektivno utvrditi razinu sigurnosti određenog IKT proizvoda, usluge ili postupka.</w:t>
      </w:r>
    </w:p>
  </w:footnote>
  <w:footnote w:id="10">
    <w:p w:rsidR="00A761A4" w:rsidRDefault="0064189B">
      <w:pPr>
        <w:pStyle w:val="FootnoteText"/>
        <w:spacing w:after="40"/>
      </w:pPr>
      <w:r>
        <w:rPr>
          <w:rStyle w:val="FootnoteReference"/>
        </w:rPr>
        <w:footnoteRef/>
      </w:r>
      <w:r>
        <w:tab/>
        <w:t xml:space="preserve">Uredba (EZ) br. 460/2004 Europskog parlamenta i </w:t>
      </w:r>
      <w:r>
        <w:t>Vijeća od 10. ožujka 2004. o osnivanju Europske agencije za mrežnu i informacijsku sigurnost, SL L 77, 13.3.2004., str. 1.</w:t>
      </w:r>
    </w:p>
  </w:footnote>
  <w:footnote w:id="11">
    <w:p w:rsidR="00A761A4" w:rsidRDefault="0064189B">
      <w:pPr>
        <w:pStyle w:val="FootnoteText"/>
        <w:spacing w:after="40"/>
      </w:pPr>
      <w:r>
        <w:rPr>
          <w:rStyle w:val="FootnoteReference"/>
        </w:rPr>
        <w:footnoteRef/>
      </w:r>
      <w:r>
        <w:tab/>
      </w:r>
      <w:hyperlink r:id="rId1">
        <w:r>
          <w:rPr>
            <w:rStyle w:val="Hyperlink"/>
          </w:rPr>
          <w:t>https://www.enisa.europa.eu/publications/corpo</w:t>
        </w:r>
        <w:r>
          <w:rPr>
            <w:rStyle w:val="Hyperlink"/>
          </w:rPr>
          <w:t>rate/enisa-strategy</w:t>
        </w:r>
      </w:hyperlink>
      <w:r>
        <w:t xml:space="preserve"> </w:t>
      </w:r>
    </w:p>
  </w:footnote>
  <w:footnote w:id="12">
    <w:p w:rsidR="00A761A4" w:rsidRDefault="0064189B">
      <w:pPr>
        <w:pStyle w:val="FootnoteText"/>
        <w:spacing w:after="40"/>
      </w:pPr>
      <w:r>
        <w:rPr>
          <w:rStyle w:val="FootnoteReference"/>
        </w:rPr>
        <w:footnoteRef/>
      </w:r>
      <w:r>
        <w:tab/>
        <w:t>U savjetovanju je sudjelovalo ukupno 90 dionika iz 19 država članica (88 odgovora i 2 stajališta), uključujući nacionalna tijela iz 15 država članica i 8 krovnih organizacija koje predstavljaju znatan broj europskih poduzeća.</w:t>
      </w:r>
    </w:p>
  </w:footnote>
  <w:footnote w:id="13">
    <w:p w:rsidR="00A761A4" w:rsidRDefault="0064189B">
      <w:pPr>
        <w:pStyle w:val="FootnoteText"/>
        <w:spacing w:after="40"/>
      </w:pPr>
      <w:r>
        <w:rPr>
          <w:rStyle w:val="FootnoteReference"/>
        </w:rPr>
        <w:footnoteRef/>
      </w:r>
      <w:r>
        <w:tab/>
        <w:t>Od su</w:t>
      </w:r>
      <w:r>
        <w:t>dionika u javnom savjetovanju tražilo se da navedu što smatraju glavnim postignućima ENISA-e u razdoblju od 2013. do 2016. Ispitanici iz svih skupina (ukupno 55, uključujući 13 iz nacionalnih nadležnih tijela, 20 iz privatnog sektora i 22 iz „ostalih”) sma</w:t>
      </w:r>
      <w:r>
        <w:t>trali su da su glavna postignuća ENISA-e sljedeća: 1) koordinacija vježbi Cyber Europe; 2) pružanje potpore CERT-ovima/CSIRT-ovima organiziranjem osposobljavanja i radionica za poticanje koordinacije i razmjene; 3) publikacije ENISA-e (smjernice i preporuk</w:t>
      </w:r>
      <w:r>
        <w:t>e, izvješća o prijetnjama, strategije za izvješćivanje o incidentima i upravljanje krizom itd.) koje su se smatrale korisnima za izradu i ažuriranje nacionalnih sigurnosnih okvira te kao referenca za kreatore politike i kiberstručnjake;  4) potpora promica</w:t>
      </w:r>
      <w:r>
        <w:t>nju Direktive NIS; 5) napori usmjereni na podizanje razine osviještenosti o kibersigurnosti u okviru mjeseca kibersigurnosti.</w:t>
      </w:r>
    </w:p>
  </w:footnote>
  <w:footnote w:id="14">
    <w:p w:rsidR="00A761A4" w:rsidRDefault="0064189B">
      <w:pPr>
        <w:pStyle w:val="FootnoteText"/>
        <w:spacing w:after="40"/>
      </w:pPr>
      <w:r>
        <w:rPr>
          <w:rStyle w:val="FootnoteReference"/>
        </w:rPr>
        <w:footnoteRef/>
      </w:r>
      <w:r>
        <w:tab/>
        <w:t xml:space="preserve">„Plan” će se primjenjivati na kiberincidente koji uzrokuju poremećaje koje države članice ne mogu same riješiti ili koje utječu </w:t>
      </w:r>
      <w:r>
        <w:t>na više država članica i imaju toliko opsežan i znatan utjecaj ili političku važnost da zahtijevaju pravodobnu koordinaciju politike i odgovor na političkoj razini Unije.</w:t>
      </w:r>
    </w:p>
  </w:footnote>
  <w:footnote w:id="15">
    <w:p w:rsidR="00A761A4" w:rsidRDefault="0064189B">
      <w:pPr>
        <w:pStyle w:val="FootnoteText"/>
        <w:spacing w:after="40"/>
      </w:pPr>
      <w:r>
        <w:rPr>
          <w:rStyle w:val="FootnoteReference"/>
        </w:rPr>
        <w:footnoteRef/>
      </w:r>
      <w:r>
        <w:tab/>
        <w:t>GU JRC objavio je izvješće u kojem se predlaže početni skup zajedničkih europskih z</w:t>
      </w:r>
      <w:r>
        <w:t xml:space="preserve">ahtjeva i općih smjernica povezanih s kibersigurnosnom certifikacijom komponenata IACS-a Dostupno na: </w:t>
      </w:r>
      <w:hyperlink r:id="rId2">
        <w:r>
          <w:rPr>
            <w:rStyle w:val="Hyperlink"/>
          </w:rPr>
          <w:t>http</w:t>
        </w:r>
        <w:r>
          <w:rPr>
            <w:rStyle w:val="Hyperlink"/>
          </w:rPr>
          <w:t>s://erncip-project.jrc.ec.europa.eu/documents/introduction-european-iacs-components-cybersecurity-certification-framework-iccf</w:t>
        </w:r>
      </w:hyperlink>
    </w:p>
  </w:footnote>
  <w:footnote w:id="16">
    <w:p w:rsidR="00A761A4" w:rsidRDefault="0064189B">
      <w:pPr>
        <w:pStyle w:val="FootnoteText"/>
      </w:pPr>
      <w:r>
        <w:rPr>
          <w:rStyle w:val="FootnoteReference"/>
        </w:rPr>
        <w:footnoteRef/>
      </w:r>
      <w:r>
        <w:tab/>
        <w:t>Skupina viših dužnosnika o sigurnosti informacijskih sustava (SOG-IS) uključuje 12 država članica i Norvešku i razvila je nekol</w:t>
      </w:r>
      <w:r>
        <w:t>iko profila za zaštitu na ograničenom broju proizvoda kao što su digitalni potpis, digitalni tahograf i pametne kartice. Sudionici zajedno rade na koordinaciji normizacije profila zaštite CC i koordiniraju razvoj profila zaštite. Države članice često traže</w:t>
      </w:r>
      <w:r>
        <w:t xml:space="preserve"> certificiranje SOG-IS za nacionalne postupke javne nabave.</w:t>
      </w:r>
    </w:p>
  </w:footnote>
  <w:footnote w:id="17">
    <w:p w:rsidR="00A761A4" w:rsidRDefault="0064189B">
      <w:pPr>
        <w:pStyle w:val="FootnoteText"/>
      </w:pPr>
      <w:r>
        <w:rPr>
          <w:rStyle w:val="FootnoteReference"/>
        </w:rPr>
        <w:footnoteRef/>
      </w:r>
      <w:r>
        <w:tab/>
        <w:t>U slučaju europskih normi postupak se provodi preko europskih organizacija za normizaciju i potvrđuje ga Europska komisija objavom u Službenom listu (vidjeti Uredbu 1025/2012).</w:t>
      </w:r>
    </w:p>
  </w:footnote>
  <w:footnote w:id="18">
    <w:p w:rsidR="00A761A4" w:rsidRDefault="0064189B">
      <w:pPr>
        <w:pStyle w:val="FootnoteText"/>
        <w:spacing w:after="40"/>
      </w:pPr>
      <w:r>
        <w:rPr>
          <w:rStyle w:val="FootnoteReference"/>
        </w:rPr>
        <w:footnoteRef/>
      </w:r>
      <w:r>
        <w:tab/>
        <w:t>Uredba (EU) br.</w:t>
      </w:r>
      <w:r>
        <w:t> 910/2014 Europskog parlamenta i Vijeća od 23. srpnja 2014. o elektroničkoj identifikaciji i uslugama povjerenja za elektroničke transakcije na unutarnjem tržištu i stavljanju izvan snage Direktive 1999/93/EZ.</w:t>
      </w:r>
    </w:p>
  </w:footnote>
  <w:footnote w:id="19">
    <w:p w:rsidR="00A761A4" w:rsidRDefault="0064189B">
      <w:pPr>
        <w:pStyle w:val="FootnoteText"/>
        <w:spacing w:after="40"/>
      </w:pPr>
      <w:r>
        <w:rPr>
          <w:rStyle w:val="FootnoteReference"/>
        </w:rPr>
        <w:footnoteRef/>
      </w:r>
      <w:r>
        <w:tab/>
        <w:t xml:space="preserve">Direktiva 2014/53/EU Europskog parlamenta i </w:t>
      </w:r>
      <w:r>
        <w:t>Vijeća od 16. travnja 2014. o usklađivanju zakonodavstava država članica o stavljanju na raspolaganje radijske opreme na tržištu i stavljanju izvan snage Direktive 1999/5/EZ.</w:t>
      </w:r>
    </w:p>
  </w:footnote>
  <w:footnote w:id="20">
    <w:p w:rsidR="00A761A4" w:rsidRDefault="0064189B">
      <w:pPr>
        <w:pStyle w:val="FootnoteText"/>
        <w:spacing w:after="40"/>
      </w:pPr>
      <w:r>
        <w:rPr>
          <w:rStyle w:val="FootnoteReference"/>
        </w:rPr>
        <w:footnoteRef/>
      </w:r>
      <w:r>
        <w:tab/>
        <w:t>Uredba (EU) 2016/679 Europskog parlamenta i Vijeća od 27. travnja 2016. o zašti</w:t>
      </w:r>
      <w:r>
        <w:t>ti pojedinaca u vezi s obradom osobnih podataka i o slobodnom kretanju takvih podataka te o stavljanju izvan snage Direktive 95/46/EZ (Opća uredba o zaštiti podataka) SL L 119, 4.5.2016., str. 1. – 88.</w:t>
      </w:r>
    </w:p>
  </w:footnote>
  <w:footnote w:id="21">
    <w:p w:rsidR="00A761A4" w:rsidRDefault="0064189B">
      <w:pPr>
        <w:autoSpaceDE w:val="0"/>
        <w:autoSpaceDN w:val="0"/>
        <w:adjustRightInd w:val="0"/>
        <w:spacing w:after="40"/>
        <w:ind w:left="720" w:hanging="720"/>
        <w:rPr>
          <w:sz w:val="20"/>
          <w:szCs w:val="20"/>
        </w:rPr>
      </w:pPr>
      <w:r>
        <w:rPr>
          <w:rStyle w:val="FootnoteReference"/>
        </w:rPr>
        <w:footnoteRef/>
      </w:r>
      <w:r>
        <w:tab/>
      </w:r>
      <w:r>
        <w:rPr>
          <w:sz w:val="20"/>
        </w:rPr>
        <w:t xml:space="preserve">Uredba (EZ) br. 765/2008 o utvrđivanju zahtjeva za </w:t>
      </w:r>
      <w:r>
        <w:rPr>
          <w:sz w:val="20"/>
        </w:rPr>
        <w:t>akreditaciju i za nadzor tržišta u odnosu na stavljanje proizvoda na tržište i o stavljanju izvan snage Uredbe (EEZ) br. 339/93.</w:t>
      </w:r>
    </w:p>
  </w:footnote>
  <w:footnote w:id="22">
    <w:p w:rsidR="00A761A4" w:rsidRDefault="0064189B">
      <w:pPr>
        <w:pStyle w:val="FootnoteText"/>
        <w:spacing w:after="40"/>
      </w:pPr>
      <w:r>
        <w:rPr>
          <w:rStyle w:val="FootnoteReference"/>
        </w:rPr>
        <w:footnoteRef/>
      </w:r>
      <w:r>
        <w:tab/>
        <w:t>Uredba (EU) br. 526/2013 Europskog parlamenta i Vijeća od 21. svibnja 2013. o Agenciji Europske unije za mrežnu i informacijs</w:t>
      </w:r>
      <w:r>
        <w:t>ku sigurnost (ENISA) i o stavljanju izvan snage Uredbe (EZ) br. 460/2004.</w:t>
      </w:r>
    </w:p>
  </w:footnote>
  <w:footnote w:id="23">
    <w:p w:rsidR="00A761A4" w:rsidRDefault="0064189B">
      <w:pPr>
        <w:pStyle w:val="FootnoteText"/>
        <w:spacing w:after="40"/>
      </w:pPr>
      <w:r>
        <w:rPr>
          <w:rStyle w:val="FootnoteReference"/>
        </w:rPr>
        <w:footnoteRef/>
      </w:r>
      <w:r>
        <w:tab/>
        <w:t>Zaključci Vijeća o jačanju europskog sustava kiberotpornosti i poticanju konkurentne i inovativne industrije kibersigurnosti – 15. studenoga 2016.</w:t>
      </w:r>
    </w:p>
  </w:footnote>
  <w:footnote w:id="24">
    <w:p w:rsidR="00A761A4" w:rsidRDefault="0064189B">
      <w:pPr>
        <w:pStyle w:val="FootnoteText"/>
        <w:spacing w:after="40"/>
      </w:pPr>
      <w:r>
        <w:rPr>
          <w:rStyle w:val="FootnoteReference"/>
        </w:rPr>
        <w:footnoteRef/>
      </w:r>
      <w:r>
        <w:tab/>
        <w:t>http://ec.europa.eu/smart-regul</w:t>
      </w:r>
      <w:r>
        <w:t>ation/roadmaps/docs/2017_cnect_002_evaluation_enisa_en.pdf</w:t>
      </w:r>
    </w:p>
  </w:footnote>
  <w:footnote w:id="25">
    <w:p w:rsidR="00A761A4" w:rsidRDefault="0064189B">
      <w:pPr>
        <w:pStyle w:val="FootnoteText"/>
        <w:spacing w:after="40"/>
      </w:pPr>
      <w:r>
        <w:rPr>
          <w:rStyle w:val="FootnoteReference"/>
        </w:rPr>
        <w:footnoteRef/>
      </w:r>
      <w:r>
        <w:tab/>
        <w:t>Upućivanje na članke 7., 9., 11., 12. 19. Direktive o sigurnosti mrežnih i informacijskih sustava (Direktiva NIS).</w:t>
      </w:r>
    </w:p>
  </w:footnote>
  <w:footnote w:id="26">
    <w:p w:rsidR="00A761A4" w:rsidRDefault="0064189B">
      <w:pPr>
        <w:pStyle w:val="FootnoteText"/>
        <w:spacing w:after="40"/>
      </w:pPr>
      <w:r>
        <w:rPr>
          <w:rStyle w:val="FootnoteReference"/>
        </w:rPr>
        <w:footnoteRef/>
      </w:r>
      <w:r>
        <w:tab/>
        <w:t>Na savjetovanje je odgovorilo 90 dionika iz 19 država članica (88 odgovora i 2</w:t>
      </w:r>
      <w:r>
        <w:t xml:space="preserve"> stajališta), uključujući nacionalna tijela iz 15 država članica uključujući Francusku, Italiju, Irsku i Grčku i 9 krovnih organizacija koje predstavljaju znatan broj europskih organizacija, na primjer Europsko udruženje banaka, Digitalna Europa (koja pred</w:t>
      </w:r>
      <w:r>
        <w:t>stavlja digitalnu industriju u Europi), Udruženje europskih operatora telekomunikacijskih mreža (ETNO). Javno savjetovanje o ENISA-i dopunjeno je iz nekoliko drugih izvora, uključujući sljedećim: i. detaljnim razgovorima s približno 50 ključnih dionika u z</w:t>
      </w:r>
      <w:r>
        <w:t xml:space="preserve">ajednici kibersigurnosti; ii. anketom u mreži CSIRT-ova; iii. anketom provedenom u upravnom i izvršnom odboru ENISA-e i u Stalnoj interesnoj skupini. </w:t>
      </w:r>
    </w:p>
  </w:footnote>
  <w:footnote w:id="27">
    <w:p w:rsidR="00A761A4" w:rsidRDefault="0064189B">
      <w:pPr>
        <w:pStyle w:val="FootnoteText"/>
        <w:spacing w:after="40"/>
      </w:pPr>
      <w:r>
        <w:rPr>
          <w:rStyle w:val="FootnoteReference"/>
        </w:rPr>
        <w:footnoteRef/>
      </w:r>
      <w:r>
        <w:tab/>
        <w:t>162 doprinosa građana, 33 doprinosa civilnog društva i organizacija potrošača; 186 doprinosa industrije</w:t>
      </w:r>
      <w:r>
        <w:t xml:space="preserve"> i 40 doprinosa javnih tijela, uključujući nadležna tijela koja provode Direktivu o e-privatnosti.</w:t>
      </w:r>
    </w:p>
  </w:footnote>
  <w:footnote w:id="28">
    <w:p w:rsidR="00A761A4" w:rsidRDefault="0064189B">
      <w:pPr>
        <w:pStyle w:val="FootnoteText"/>
        <w:spacing w:after="40"/>
      </w:pPr>
      <w:r>
        <w:rPr>
          <w:rStyle w:val="FootnoteReference"/>
        </w:rPr>
        <w:footnoteRef/>
      </w:r>
      <w:r>
        <w:tab/>
        <w:t>Na odjeljak o certificiranju odgovorilo je 240 dionika iz nacionalnih javnih uprava, velikih poduzeća, MSP-ova, mikropoduzeća i istraživačkih tijela.</w:t>
      </w:r>
    </w:p>
  </w:footnote>
  <w:footnote w:id="29">
    <w:p w:rsidR="00A761A4" w:rsidRDefault="0064189B">
      <w:pPr>
        <w:pStyle w:val="FootnoteText"/>
      </w:pPr>
      <w:r>
        <w:rPr>
          <w:rStyle w:val="FootnoteReference"/>
        </w:rPr>
        <w:footnoteRef/>
      </w:r>
      <w:r>
        <w:tab/>
        <w:t xml:space="preserve">SL </w:t>
      </w:r>
      <w:r>
        <w:t>C , , str...</w:t>
      </w:r>
    </w:p>
  </w:footnote>
  <w:footnote w:id="30">
    <w:p w:rsidR="00A761A4" w:rsidRDefault="0064189B">
      <w:pPr>
        <w:pStyle w:val="FootnoteText"/>
      </w:pPr>
      <w:r>
        <w:rPr>
          <w:rStyle w:val="FootnoteReference"/>
        </w:rPr>
        <w:footnoteRef/>
      </w:r>
      <w:r>
        <w:tab/>
        <w:t>SL C , , str...</w:t>
      </w:r>
    </w:p>
  </w:footnote>
  <w:footnote w:id="31">
    <w:p w:rsidR="00A761A4" w:rsidRDefault="0064189B">
      <w:pPr>
        <w:pStyle w:val="FootnoteText"/>
        <w:spacing w:after="40"/>
      </w:pPr>
      <w:r>
        <w:rPr>
          <w:rStyle w:val="FootnoteReference"/>
        </w:rPr>
        <w:footnoteRef/>
      </w:r>
      <w:r>
        <w:tab/>
        <w:t xml:space="preserve">Uredba (EZ) br. 460/2004 Europskog parlamenta i Vijeća od 10. ožujka 2004. o osnivanju Europske agencije za mrežnu i informacijsku sigurnost (SL L 77, 13.3.2004., str. 1.). </w:t>
      </w:r>
    </w:p>
  </w:footnote>
  <w:footnote w:id="32">
    <w:p w:rsidR="00A761A4" w:rsidRDefault="0064189B">
      <w:pPr>
        <w:pStyle w:val="FootnoteText"/>
        <w:spacing w:after="40"/>
      </w:pPr>
      <w:r>
        <w:rPr>
          <w:rStyle w:val="FootnoteReference"/>
        </w:rPr>
        <w:footnoteRef/>
      </w:r>
      <w:r>
        <w:tab/>
        <w:t xml:space="preserve">Uredba (EZ) br. 1007/2008 Europskog parlamenta </w:t>
      </w:r>
      <w:r>
        <w:t xml:space="preserve">i Vijeća od 24. rujna 2008. o izmjeni Uredbe (EZ) br. 460/2004 o osnivanju Europske agencije za mrežnu i informacijsku sigurnost u pogledu njenog trajanja (SL L 293, 31.10.2008., str. 1.). </w:t>
      </w:r>
    </w:p>
  </w:footnote>
  <w:footnote w:id="33">
    <w:p w:rsidR="00A761A4" w:rsidRDefault="0064189B">
      <w:pPr>
        <w:pStyle w:val="FootnoteText"/>
        <w:spacing w:after="40"/>
      </w:pPr>
      <w:r>
        <w:rPr>
          <w:rStyle w:val="FootnoteReference"/>
        </w:rPr>
        <w:footnoteRef/>
      </w:r>
      <w:r>
        <w:tab/>
        <w:t>Uredba (EU) br. 580/2011 Europskog parlamenta i Vijeća od 8. lip</w:t>
      </w:r>
      <w:r>
        <w:t xml:space="preserve">nja 2011. o izmjeni Uredbe (EZ) br. 460/2004 o osnivanju Europske agencije za mrežnu i informacijsku sigurnost u pogledu njenog trajanja (SL L 165, 24.6.2011., str. 3.). </w:t>
      </w:r>
    </w:p>
  </w:footnote>
  <w:footnote w:id="34">
    <w:p w:rsidR="00A761A4" w:rsidRDefault="0064189B">
      <w:pPr>
        <w:pStyle w:val="FootnoteText"/>
        <w:spacing w:after="40"/>
      </w:pPr>
      <w:r>
        <w:rPr>
          <w:rStyle w:val="FootnoteReference"/>
        </w:rPr>
        <w:footnoteRef/>
      </w:r>
      <w:r>
        <w:tab/>
        <w:t>Uredba (EU) br. 526/2013 Europskog parlamenta i Vijeća od 21. svibnja 2013. o Agenc</w:t>
      </w:r>
      <w:r>
        <w:t>iji Europske unije za mrežnu i informacijsku sigurnost (ENISA) i o stavljanju izvan snage Uredbe (EZ) br. 460/2004 (SL L 165, 18.6.2013., str. 41.).</w:t>
      </w:r>
    </w:p>
  </w:footnote>
  <w:footnote w:id="35">
    <w:p w:rsidR="00A761A4" w:rsidRDefault="0064189B">
      <w:pPr>
        <w:pStyle w:val="FootnoteText"/>
        <w:spacing w:after="40"/>
      </w:pPr>
      <w:r>
        <w:rPr>
          <w:rStyle w:val="FootnoteReference"/>
        </w:rPr>
        <w:footnoteRef/>
      </w:r>
      <w:r>
        <w:tab/>
        <w:t>Uredba (EZ) br. 1049/2001 Europskog parlamenta i Vijeća od 30. svibnja 2001. o javnom pristupu dokumentim</w:t>
      </w:r>
      <w:r>
        <w:t xml:space="preserve">a Europskog parlamenta, Vijeća i Komisije (SL L 145, 31.5.2001., str. 43.). </w:t>
      </w:r>
    </w:p>
  </w:footnote>
  <w:footnote w:id="36">
    <w:p w:rsidR="00A761A4" w:rsidRDefault="0064189B">
      <w:pPr>
        <w:pStyle w:val="FootnoteText"/>
        <w:spacing w:after="40"/>
      </w:pPr>
      <w:r>
        <w:rPr>
          <w:rStyle w:val="FootnoteReference"/>
        </w:rPr>
        <w:footnoteRef/>
      </w:r>
      <w:r>
        <w:tab/>
        <w:t xml:space="preserve">SL L 8, 12.1.2001., str. 1. </w:t>
      </w:r>
    </w:p>
  </w:footnote>
  <w:footnote w:id="37">
    <w:p w:rsidR="00A761A4" w:rsidRDefault="0064189B">
      <w:pPr>
        <w:spacing w:before="100" w:beforeAutospacing="1" w:after="100" w:afterAutospacing="1"/>
        <w:ind w:left="720" w:right="225" w:hanging="720"/>
        <w:outlineLvl w:val="3"/>
      </w:pPr>
      <w:r>
        <w:rPr>
          <w:rStyle w:val="FootnoteReference"/>
        </w:rPr>
        <w:footnoteRef/>
      </w:r>
      <w:r>
        <w:tab/>
      </w:r>
      <w:bookmarkStart w:id="32" w:name="http://eur-lex.europa.eu/legal-content/A"/>
      <w:r>
        <w:fldChar w:fldCharType="begin"/>
      </w:r>
      <w:r>
        <w:instrText>HYPERLINK "http://eur-lex.europa.eu/legal-content/AUTO/?uri=CELEX:32013R1271&amp;amp;qid=1503901726322&amp;amp;rid=1"</w:instrText>
      </w:r>
      <w:r>
        <w:fldChar w:fldCharType="separate"/>
      </w:r>
      <w:r>
        <w:rPr>
          <w:rStyle w:val="FootnoteTextChar"/>
          <w:lang w:val="hr-HR"/>
        </w:rPr>
        <w:t>Delegirana uredba Komisije (EU) br. 1</w:t>
      </w:r>
      <w:r>
        <w:rPr>
          <w:rStyle w:val="FootnoteTextChar"/>
          <w:lang w:val="hr-HR"/>
        </w:rPr>
        <w:t xml:space="preserve">271/2013 od 30. rujna 2013. o Okvirnoj financijskoj uredbi za tijela iz članka 208. Uredbe (EU, Euratom) br. 966/2012 Europskog parlamenta i Vijeća </w:t>
      </w:r>
      <w:r>
        <w:fldChar w:fldCharType="end"/>
      </w:r>
      <w:bookmarkEnd w:id="32"/>
      <w:r>
        <w:rPr>
          <w:rStyle w:val="FootnoteTextChar"/>
          <w:lang w:val="hr-HR"/>
        </w:rPr>
        <w:t xml:space="preserve"> (SL L 328, 7.12.2013., str. 42.).</w:t>
      </w:r>
      <w:r>
        <w:t xml:space="preserve"> </w:t>
      </w:r>
    </w:p>
  </w:footnote>
  <w:footnote w:id="38">
    <w:p w:rsidR="00A761A4" w:rsidRDefault="0064189B">
      <w:pPr>
        <w:pStyle w:val="FootnoteText"/>
      </w:pPr>
      <w:r>
        <w:rPr>
          <w:rStyle w:val="FootnoteReference"/>
        </w:rPr>
        <w:footnoteRef/>
      </w:r>
      <w:r>
        <w:tab/>
      </w:r>
      <w:hyperlink r:id="rId3">
        <w:r>
          <w:rPr>
            <w:color w:val="0000FF"/>
            <w:u w:val="single"/>
          </w:rPr>
          <w:t xml:space="preserve">Odluka Komisije (EU, Euratom) 2015/443 od 13. ožujka 2015. o sigurnosti u Komisiji </w:t>
        </w:r>
      </w:hyperlink>
      <w:r>
        <w:rPr>
          <w:color w:val="444444"/>
        </w:rPr>
        <w:t xml:space="preserve"> (SL L 72, 17.3.2015., str. 41.).</w:t>
      </w:r>
    </w:p>
  </w:footnote>
  <w:footnote w:id="39">
    <w:p w:rsidR="00A761A4" w:rsidRDefault="0064189B">
      <w:pPr>
        <w:pStyle w:val="FootnoteText"/>
      </w:pPr>
      <w:r>
        <w:rPr>
          <w:rStyle w:val="FootnoteReference"/>
        </w:rPr>
        <w:footnoteRef/>
      </w:r>
      <w:r>
        <w:tab/>
      </w:r>
      <w:hyperlink r:id="rId4">
        <w:r>
          <w:rPr>
            <w:color w:val="0000FF"/>
            <w:u w:val="single"/>
          </w:rPr>
          <w:t xml:space="preserve">Odluka Komisije (EU, Euratom) 2015/444 оd 13. ožujka 2015. o sigurnosnim propisima za zaštitu klasificiranih podataka EU-a </w:t>
        </w:r>
      </w:hyperlink>
      <w:r>
        <w:rPr>
          <w:color w:val="444444"/>
        </w:rPr>
        <w:t xml:space="preserve"> (SL L 72, 17.3.2015., str. 53.).</w:t>
      </w:r>
    </w:p>
  </w:footnote>
  <w:footnote w:id="40">
    <w:p w:rsidR="00A761A4" w:rsidRDefault="0064189B">
      <w:pPr>
        <w:pStyle w:val="FootnoteText"/>
      </w:pPr>
      <w:r>
        <w:rPr>
          <w:rStyle w:val="FootnoteReference"/>
        </w:rPr>
        <w:footnoteRef/>
      </w:r>
      <w:r>
        <w:tab/>
      </w:r>
      <w:hyperlink r:id="rId5">
        <w:r>
          <w:rPr>
            <w:color w:val="0000FF"/>
            <w:u w:val="single"/>
          </w:rPr>
          <w:t>Uredba (EU, Euratom) br. 883/2013 Europskog parlamenta i Vijeća od 11. rujna 2013. o istragama koje provodi Europski ured za borbu protiv prijevara (OLAF) i stavljanju izvan snage Uredbe (EZ) br. 1073/1999 Europskog parlamenta i V</w:t>
        </w:r>
        <w:r>
          <w:rPr>
            <w:color w:val="0000FF"/>
            <w:u w:val="single"/>
          </w:rPr>
          <w:t>ijeća te Uredbe Vijeća (Euratom) br. 1074/1999</w:t>
        </w:r>
      </w:hyperlink>
      <w:r>
        <w:rPr>
          <w:color w:val="444444"/>
        </w:rPr>
        <w:t xml:space="preserve"> (SL L 248, 18.9.2013., str. 1.).</w:t>
      </w:r>
      <w:r>
        <w:rPr>
          <w:rFonts w:ascii="Lucida Sans Unicode" w:hAnsi="Lucida Sans Unicode"/>
          <w:b/>
          <w:color w:val="444444"/>
          <w:sz w:val="27"/>
        </w:rPr>
        <w:t xml:space="preserve"> </w:t>
      </w:r>
    </w:p>
  </w:footnote>
  <w:footnote w:id="41">
    <w:p w:rsidR="00A761A4" w:rsidRDefault="0064189B">
      <w:pPr>
        <w:pStyle w:val="FootnoteText"/>
      </w:pPr>
      <w:r>
        <w:rPr>
          <w:rStyle w:val="FootnoteReference"/>
        </w:rPr>
        <w:footnoteRef/>
      </w:r>
      <w:r>
        <w:tab/>
      </w:r>
      <w:hyperlink r:id="rId6">
        <w:r>
          <w:rPr>
            <w:color w:val="0000FF"/>
            <w:u w:val="single"/>
          </w:rPr>
          <w:t>Uredba Vijeća (Euratom, EZ) br. 2185/96 od 11. studenoga 1996. o</w:t>
        </w:r>
        <w:r>
          <w:rPr>
            <w:color w:val="0000FF"/>
            <w:u w:val="single"/>
          </w:rPr>
          <w:t xml:space="preserve"> provjerama i inspekcijama na terenu koje provodi Komisija s ciljem zaštite financijskih interesa Europskih zajednica od prijevara i ostalih nepravilnosti</w:t>
        </w:r>
      </w:hyperlink>
      <w:r>
        <w:rPr>
          <w:color w:val="444444"/>
        </w:rPr>
        <w:t xml:space="preserve"> (SL L 292, 15.11.1996., str. 2.).</w:t>
      </w:r>
    </w:p>
  </w:footnote>
  <w:footnote w:id="42">
    <w:p w:rsidR="00A761A4" w:rsidRDefault="0064189B">
      <w:pPr>
        <w:pStyle w:val="FootnoteText"/>
      </w:pPr>
      <w:r>
        <w:rPr>
          <w:rStyle w:val="FootnoteReference"/>
        </w:rPr>
        <w:footnoteRef/>
      </w:r>
      <w:r>
        <w:tab/>
      </w:r>
      <w:hyperlink r:id="rId7">
        <w:r>
          <w:rPr>
            <w:color w:val="0000FF"/>
            <w:u w:val="single"/>
          </w:rPr>
          <w:t xml:space="preserve">Uredba br. 1 o utvrđivanju jezika koji se koriste u Europskoj zajednici za atomsku energiju </w:t>
        </w:r>
      </w:hyperlink>
      <w:r>
        <w:rPr>
          <w:color w:val="444444"/>
        </w:rPr>
        <w:t xml:space="preserve"> (SL 17, 6.10.1958., str. 401.).</w:t>
      </w:r>
    </w:p>
  </w:footnote>
  <w:footnote w:id="43">
    <w:p w:rsidR="00A761A4" w:rsidRDefault="0064189B">
      <w:pPr>
        <w:pStyle w:val="FootnoteText"/>
      </w:pPr>
      <w:r>
        <w:rPr>
          <w:rStyle w:val="FootnoteReference"/>
        </w:rPr>
        <w:footnoteRef/>
      </w:r>
      <w:r>
        <w:tab/>
      </w:r>
      <w:r>
        <w:rPr>
          <w:color w:val="000000"/>
        </w:rPr>
        <w:t>Uredba (EZ) br. 45/2001 Europskog parlamenta i Vijeća od 18. prosinca 2000. o zaš</w:t>
      </w:r>
      <w:r>
        <w:rPr>
          <w:color w:val="000000"/>
        </w:rPr>
        <w:t>titi pojedinaca u vezi s obradom osobnih podataka u institucijama i tijelima Zajednice i o slobodnom kretanju takvih podataka (</w:t>
      </w:r>
      <w:r>
        <w:t>SL L 8, 12.1.2001., str. 1.).</w:t>
      </w:r>
    </w:p>
  </w:footnote>
  <w:footnote w:id="44">
    <w:p w:rsidR="00A761A4" w:rsidRDefault="0064189B">
      <w:pPr>
        <w:pStyle w:val="FootnoteText"/>
        <w:rPr>
          <w:szCs w:val="24"/>
        </w:rPr>
      </w:pPr>
      <w:r>
        <w:rPr>
          <w:rStyle w:val="FootnoteReference"/>
        </w:rPr>
        <w:footnoteRef/>
      </w:r>
      <w:r>
        <w:tab/>
        <w:t>Kako je navedeno u članku 54. stavku 2. točkama (a) ili (b) Financijske uredbe.</w:t>
      </w:r>
    </w:p>
  </w:footnote>
  <w:footnote w:id="45">
    <w:p w:rsidR="00A761A4" w:rsidRDefault="0064189B">
      <w:pPr>
        <w:pStyle w:val="FootnoteText"/>
      </w:pPr>
      <w:r>
        <w:rPr>
          <w:rStyle w:val="FootnoteReference"/>
        </w:rPr>
        <w:footnoteRef/>
      </w:r>
      <w:r>
        <w:tab/>
        <w:t>Transparentnost</w:t>
      </w:r>
      <w:r>
        <w:t xml:space="preserve"> kibersigurnosnog jamstva znači pružanje korisnicima dovoljno informacija o kibersigurnosnim značajkama s pomoću kojih mogu objektivno utvrditi razinu sigurnosti određenog IKT proizvoda, usluge ili postupka.</w:t>
      </w:r>
    </w:p>
  </w:footnote>
  <w:footnote w:id="46">
    <w:p w:rsidR="00A761A4" w:rsidRDefault="0064189B">
      <w:pPr>
        <w:pStyle w:val="FootnoteText"/>
      </w:pPr>
      <w:r>
        <w:rPr>
          <w:rStyle w:val="FootnoteReference"/>
        </w:rPr>
        <w:footnoteRef/>
      </w:r>
      <w:r>
        <w:tab/>
        <w:t>Transparentnost kibersigurnosnog jamstva znači</w:t>
      </w:r>
      <w:r>
        <w:t xml:space="preserve"> pružanje korisnicima dovoljno informacija o kibersigurnosnim značajkama s pomoću kojih mogu objektivno utvrditi razinu sigurnosti određenog IKT proizvoda, usluge ili postupka.</w:t>
      </w:r>
    </w:p>
  </w:footnote>
  <w:footnote w:id="47">
    <w:p w:rsidR="00A761A4" w:rsidRDefault="0064189B">
      <w:pPr>
        <w:pStyle w:val="FootnoteText"/>
      </w:pPr>
      <w:r>
        <w:rPr>
          <w:rStyle w:val="FootnoteReference"/>
        </w:rPr>
        <w:footnoteRef/>
      </w:r>
      <w:r>
        <w:tab/>
        <w:t xml:space="preserve">Transparentnost kibersigurnosnog jamstva znači pružanje korisnicima dovoljno </w:t>
      </w:r>
      <w:r>
        <w:t>informacija o značajkama kibersigurnosti s pomoću kojih mogu objektivno utvrditi razinu sigurnosti određenog IKT proizvoda, usluge ili postupka.</w:t>
      </w:r>
    </w:p>
  </w:footnote>
  <w:footnote w:id="48">
    <w:p w:rsidR="00A761A4" w:rsidRDefault="0064189B">
      <w:pPr>
        <w:pStyle w:val="FootnoteText"/>
      </w:pPr>
      <w:r>
        <w:rPr>
          <w:rStyle w:val="FootnoteReference"/>
        </w:rPr>
        <w:footnoteRef/>
      </w:r>
      <w:r>
        <w:tab/>
        <w:t>Transparentnost kibersigurnosnog jamstva znači pružanje korisnicima dovoljno informacija o kibersigurnosnim z</w:t>
      </w:r>
      <w:r>
        <w:t>načajkama s pomoću kojih mogu objektivno utvrditi razinu sigurnosti određenog IKT proizvoda, usluge ili postupka.</w:t>
      </w:r>
    </w:p>
  </w:footnote>
  <w:footnote w:id="49">
    <w:p w:rsidR="00A761A4" w:rsidRDefault="0064189B">
      <w:pPr>
        <w:pStyle w:val="FootnoteText"/>
        <w:ind w:left="142" w:hanging="142"/>
      </w:pPr>
      <w:r>
        <w:rPr>
          <w:rStyle w:val="FootnoteReference"/>
        </w:rPr>
        <w:footnoteRef/>
      </w:r>
      <w:r>
        <w:tab/>
        <w:t>Zaključci Vijeća o jačanju europskog sustava kiberotpornosti i poticanju konkurentne i inovativne industrije kibersigurnosti – 15. studenoga</w:t>
      </w:r>
      <w:r>
        <w:t> 2016.</w:t>
      </w:r>
    </w:p>
  </w:footnote>
  <w:footnote w:id="50">
    <w:p w:rsidR="00A761A4" w:rsidRDefault="0064189B">
      <w:pPr>
        <w:pStyle w:val="FootnoteText"/>
      </w:pPr>
      <w:r>
        <w:rPr>
          <w:rStyle w:val="FootnoteReference"/>
        </w:rPr>
        <w:footnoteRef/>
      </w:r>
      <w:r>
        <w:tab/>
        <w:t>Uredba (EU) 2016/679 od 27. travnja 2016. o zaštiti pojedinaca u vezi s obradom osobnih podataka i o slobodnom kretanju takvih podataka te o stavljanju izvan snage Direktive 95/46/EZ (Opća uredba o zaštiti podataka).</w:t>
      </w:r>
    </w:p>
  </w:footnote>
  <w:footnote w:id="51">
    <w:p w:rsidR="00A761A4" w:rsidRDefault="0064189B">
      <w:pPr>
        <w:pStyle w:val="FootnoteText"/>
      </w:pPr>
      <w:r>
        <w:rPr>
          <w:rStyle w:val="FootnoteReference"/>
        </w:rPr>
        <w:footnoteRef/>
      </w:r>
      <w:r>
        <w:tab/>
        <w:t>Na primjer članci 42. (Certi</w:t>
      </w:r>
      <w:r>
        <w:t>ficiranje) i 43. (Certifikacijska tijela) te članci 57., 58. i 70. posebno u pogledu relevantnih zadaća i ovlasti neovisnih nadzornih tijela i zadaća Europskog odbora za zaštitu podataka.</w:t>
      </w:r>
    </w:p>
  </w:footnote>
  <w:footnote w:id="52">
    <w:p w:rsidR="00A761A4" w:rsidRDefault="0064189B">
      <w:pPr>
        <w:pStyle w:val="FootnoteText"/>
        <w:rPr>
          <w:szCs w:val="24"/>
        </w:rPr>
      </w:pPr>
      <w:r>
        <w:rPr>
          <w:rStyle w:val="FootnoteReference"/>
        </w:rPr>
        <w:footnoteRef/>
      </w:r>
      <w:r>
        <w:tab/>
        <w:t>Informacije o načinima upravljanja i upućivanju na Financijsku ure</w:t>
      </w:r>
      <w:r>
        <w:t xml:space="preserve">dbu dostupne su na internetskim stranicama BudgWeb: </w:t>
      </w:r>
      <w:hyperlink r:id="rId8">
        <w:r>
          <w:rPr>
            <w:rStyle w:val="Hyperlink"/>
          </w:rPr>
          <w:t>https://myintracomm.ec.europa.eu/budgweb/EN/man/budgmanag/Pages/budgmanag.aspx</w:t>
        </w:r>
      </w:hyperlink>
      <w:r>
        <w:t>.</w:t>
      </w:r>
    </w:p>
  </w:footnote>
  <w:footnote w:id="53">
    <w:p w:rsidR="00A761A4" w:rsidRDefault="0064189B">
      <w:pPr>
        <w:pStyle w:val="FootnoteText"/>
        <w:rPr>
          <w:szCs w:val="24"/>
        </w:rPr>
      </w:pPr>
      <w:r>
        <w:rPr>
          <w:rStyle w:val="FootnoteReference"/>
        </w:rPr>
        <w:footnoteRef/>
      </w:r>
      <w:r>
        <w:tab/>
        <w:t>Dif. = diferencirana odo</w:t>
      </w:r>
      <w:r>
        <w:t>brena sredstva / nedif. = nediferencirana odobrena sredstva.</w:t>
      </w:r>
    </w:p>
  </w:footnote>
  <w:footnote w:id="54">
    <w:p w:rsidR="00A761A4" w:rsidRDefault="0064189B">
      <w:pPr>
        <w:pStyle w:val="FootnoteText"/>
        <w:rPr>
          <w:szCs w:val="24"/>
        </w:rPr>
      </w:pPr>
      <w:r>
        <w:rPr>
          <w:rStyle w:val="FootnoteReference"/>
        </w:rPr>
        <w:footnoteRef/>
      </w:r>
      <w:r>
        <w:tab/>
        <w:t xml:space="preserve">EFTA: Europsko udruženje slobodne trgovine </w:t>
      </w:r>
    </w:p>
  </w:footnote>
  <w:footnote w:id="55">
    <w:p w:rsidR="00A761A4" w:rsidRDefault="0064189B">
      <w:pPr>
        <w:pStyle w:val="FootnoteText"/>
        <w:rPr>
          <w:szCs w:val="24"/>
        </w:rPr>
      </w:pPr>
      <w:r>
        <w:rPr>
          <w:rStyle w:val="FootnoteReference"/>
        </w:rPr>
        <w:footnoteRef/>
      </w:r>
      <w:r>
        <w:tab/>
        <w:t>Zemlje kandidatkinje i, ako je primjenjivo, potencijalne zemlje kandidatkinje sa zapadnog Balkana.</w:t>
      </w:r>
    </w:p>
  </w:footnote>
  <w:footnote w:id="56">
    <w:p w:rsidR="00A761A4" w:rsidRDefault="0064189B">
      <w:pPr>
        <w:pStyle w:val="FootnoteText"/>
      </w:pPr>
      <w:r>
        <w:rPr>
          <w:rStyle w:val="FootnoteReference"/>
        </w:rPr>
        <w:footnoteRef/>
      </w:r>
      <w:r>
        <w:tab/>
        <w:t>U ovoj su tablici prikazani samo rashodi poslo</w:t>
      </w:r>
      <w:r>
        <w:t>vanja za glavu 3.</w:t>
      </w:r>
    </w:p>
  </w:footnote>
  <w:footnote w:id="57">
    <w:p w:rsidR="00A761A4" w:rsidRDefault="0064189B">
      <w:pPr>
        <w:pStyle w:val="FootnoteText"/>
      </w:pPr>
      <w:r>
        <w:rPr>
          <w:rStyle w:val="FootnoteReference"/>
        </w:rPr>
        <w:footnoteRef/>
      </w:r>
      <w:r>
        <w:tab/>
      </w:r>
      <w:r>
        <w:rPr>
          <w:sz w:val="18"/>
        </w:rPr>
        <w:t>Cyber Europe najveća je i najsveobuhvatnija vježba EU-a u području kibersigurnosti u kojoj sudjeluje više od 700 stručnjaka za kibersigurnost iz svih 28 država članica. Održava se svake dvije godine. U ocjeni ENISA-e i u strategiji EU-a</w:t>
      </w:r>
      <w:r>
        <w:rPr>
          <w:sz w:val="18"/>
        </w:rPr>
        <w:t xml:space="preserve"> za kibersigurnost iz 2013. ističe se da mnogi dionici zbog brzog razvoja kiberprijetnji zagovaraju povećanje učestalosti vježbe Cyber Europe s jednom u dvije godine na jednom svake godine. Međutim, to trenutačno nije moguće jer Agencija ima ograničena sre</w:t>
      </w:r>
      <w:r>
        <w:rPr>
          <w:sz w:val="18"/>
        </w:rPr>
        <w:t>dstva.</w:t>
      </w:r>
    </w:p>
  </w:footnote>
  <w:footnote w:id="58">
    <w:p w:rsidR="00A761A4" w:rsidRDefault="0064189B">
      <w:pPr>
        <w:pStyle w:val="FootnoteText"/>
        <w:rPr>
          <w:szCs w:val="24"/>
        </w:rPr>
      </w:pPr>
      <w:r>
        <w:rPr>
          <w:rStyle w:val="FootnoteReference"/>
        </w:rPr>
        <w:footnoteRef/>
      </w:r>
      <w:r>
        <w:tab/>
        <w:t xml:space="preserve">UO = ugovorno osoblje; LO = lokalno osoblje; UNS = upućeni nacionalni stručnjaci; UsO = ustupljeno osoblje; MSD = mladi stručnjaci u delegacijama. </w:t>
      </w:r>
    </w:p>
  </w:footnote>
  <w:footnote w:id="59">
    <w:p w:rsidR="00A761A4" w:rsidRDefault="0064189B">
      <w:pPr>
        <w:pStyle w:val="FootnoteText"/>
      </w:pPr>
      <w:r>
        <w:rPr>
          <w:rStyle w:val="FootnoteReference"/>
        </w:rPr>
        <w:footnoteRef/>
      </w:r>
      <w:r>
        <w:tab/>
        <w:t xml:space="preserve">Poveznica na stranicu s procjenom učinka. </w:t>
      </w:r>
    </w:p>
  </w:footnote>
  <w:footnote w:id="60">
    <w:p w:rsidR="00A761A4" w:rsidRDefault="0064189B">
      <w:pPr>
        <w:pStyle w:val="FootnoteText"/>
        <w:rPr>
          <w:szCs w:val="24"/>
        </w:rPr>
      </w:pPr>
      <w:r>
        <w:rPr>
          <w:rStyle w:val="FootnoteReference"/>
        </w:rPr>
        <w:footnoteRef/>
      </w:r>
      <w:r>
        <w:tab/>
        <w:t>Vidjeti članke 11. i 17. Uredbe Vijeća (EU, Euratom)</w:t>
      </w:r>
      <w:r>
        <w:t xml:space="preserve"> br. 1311/2013 kojom se uspostavlja višegodišnji financijski okvir za razdoblje 2014. - 2020.</w:t>
      </w:r>
    </w:p>
  </w:footnote>
  <w:footnote w:id="61">
    <w:p w:rsidR="00A761A4" w:rsidRDefault="0064189B">
      <w:pPr>
        <w:pStyle w:val="FootnoteText"/>
      </w:pPr>
      <w:r>
        <w:rPr>
          <w:rStyle w:val="FootnoteReference"/>
        </w:rPr>
        <w:footnoteRef/>
      </w:r>
      <w:r>
        <w:tab/>
        <w:t>Točan iznos za sljedeće godine bit će poznat nakon utvrđivanja faktora proporcionalnosti za EFTA-u za predmetnu godinu.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9B" w:rsidRPr="0064189B" w:rsidRDefault="0064189B" w:rsidP="00641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9B" w:rsidRPr="0064189B" w:rsidRDefault="0064189B" w:rsidP="006418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9B" w:rsidRPr="0064189B" w:rsidRDefault="0064189B" w:rsidP="006418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A4" w:rsidRDefault="00A761A4" w:rsidP="0064189B">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9B" w:rsidRPr="0064189B" w:rsidRDefault="0064189B" w:rsidP="0064189B">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9B" w:rsidRDefault="0064189B" w:rsidP="0064189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9B" w:rsidRPr="0064189B" w:rsidRDefault="0064189B" w:rsidP="00641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52A7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90C8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440834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897051D"/>
    <w:multiLevelType w:val="multilevel"/>
    <w:tmpl w:val="E7FC4010"/>
    <w:numStyleLink w:val="NumbLstTableBullet"/>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E91DED"/>
    <w:multiLevelType w:val="hybridMultilevel"/>
    <w:tmpl w:val="AA168678"/>
    <w:lvl w:ilvl="0" w:tplc="C5DE8CD6">
      <w:start w:val="1"/>
      <w:numFmt w:val="bullet"/>
      <w:lvlText w:val=""/>
      <w:lvlJc w:val="left"/>
      <w:pPr>
        <w:ind w:left="1069" w:hanging="360"/>
      </w:pPr>
      <w:rPr>
        <w:rFonts w:ascii="Wingdings" w:hAnsi="Wingding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97C5E09"/>
    <w:multiLevelType w:val="multilevel"/>
    <w:tmpl w:val="E7FC4010"/>
    <w:styleLink w:val="NumbLstTableBullet"/>
    <w:lvl w:ilvl="0">
      <w:start w:val="1"/>
      <w:numFmt w:val="bullet"/>
      <w:pStyle w:val="Table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1F497D"/>
      </w:rPr>
    </w:lvl>
    <w:lvl w:ilvl="2">
      <w:start w:val="1"/>
      <w:numFmt w:val="bullet"/>
      <w:lvlText w:val="○"/>
      <w:lvlJc w:val="left"/>
      <w:pPr>
        <w:tabs>
          <w:tab w:val="num" w:pos="1077"/>
        </w:tabs>
        <w:ind w:left="1077" w:hanging="340"/>
      </w:pPr>
      <w:rPr>
        <w:rFonts w:ascii="Arial" w:hAnsi="Arial" w:cs="Arial" w:hint="default"/>
        <w:color w:val="1F497D"/>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6FA0DEC2"/>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2A8042C"/>
    <w:multiLevelType w:val="singleLevel"/>
    <w:tmpl w:val="E42E4446"/>
    <w:lvl w:ilvl="0">
      <w:start w:val="1"/>
      <w:numFmt w:val="bullet"/>
      <w:pStyle w:val="Tiret11"/>
      <w:lvlText w:val="–"/>
      <w:lvlJc w:val="left"/>
      <w:pPr>
        <w:tabs>
          <w:tab w:val="num" w:pos="1134"/>
        </w:tabs>
        <w:ind w:left="1134" w:hanging="283"/>
      </w:pPr>
      <w:rPr>
        <w:rFonts w:ascii="Times New Roman" w:hAnsi="Times New Roman"/>
      </w:rPr>
    </w:lvl>
  </w:abstractNum>
  <w:abstractNum w:abstractNumId="27">
    <w:nsid w:val="63563915"/>
    <w:multiLevelType w:val="hybridMultilevel"/>
    <w:tmpl w:val="732AB16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20"/>
  </w:num>
  <w:num w:numId="3">
    <w:abstractNumId w:val="18"/>
  </w:num>
  <w:num w:numId="4">
    <w:abstractNumId w:val="30"/>
  </w:num>
  <w:num w:numId="5">
    <w:abstractNumId w:val="31"/>
  </w:num>
  <w:num w:numId="6">
    <w:abstractNumId w:val="6"/>
  </w:num>
  <w:num w:numId="7">
    <w:abstractNumId w:val="5"/>
  </w:num>
  <w:num w:numId="8">
    <w:abstractNumId w:val="26"/>
  </w:num>
  <w:num w:numId="9">
    <w:abstractNumId w:val="3"/>
  </w:num>
  <w:num w:numId="10">
    <w:abstractNumId w:val="2"/>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7"/>
  </w:num>
  <w:num w:numId="15">
    <w:abstractNumId w:val="19"/>
  </w:num>
  <w:num w:numId="16">
    <w:abstractNumId w:val="9"/>
  </w:num>
  <w:num w:numId="17">
    <w:abstractNumId w:val="15"/>
  </w:num>
  <w:num w:numId="18">
    <w:abstractNumId w:val="0"/>
  </w:num>
  <w:num w:numId="19">
    <w:abstractNumId w:val="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startOverride w:val="1"/>
    </w:lvlOverride>
  </w:num>
  <w:num w:numId="79">
    <w:abstractNumId w:val="22"/>
    <w:lvlOverride w:ilvl="0">
      <w:startOverride w:val="1"/>
    </w:lvlOverride>
  </w:num>
  <w:num w:numId="80">
    <w:abstractNumId w:val="32"/>
    <w:lvlOverride w:ilvl="0">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9"/>
    <w:lvlOverride w:ilvl="0">
      <w:startOverride w:val="1"/>
    </w:lvlOverride>
  </w:num>
  <w:num w:numId="92">
    <w:abstractNumId w:val="7"/>
  </w:num>
  <w:num w:numId="93">
    <w:abstractNumId w:val="24"/>
  </w:num>
  <w:num w:numId="94">
    <w:abstractNumId w:val="14"/>
  </w:num>
  <w:num w:numId="95">
    <w:abstractNumId w:val="29"/>
  </w:num>
  <w:num w:numId="96">
    <w:abstractNumId w:val="13"/>
  </w:num>
  <w:num w:numId="97">
    <w:abstractNumId w:val="16"/>
  </w:num>
  <w:num w:numId="98">
    <w:abstractNumId w:val="11"/>
  </w:num>
  <w:num w:numId="99">
    <w:abstractNumId w:val="28"/>
  </w:num>
  <w:num w:numId="100">
    <w:abstractNumId w:val="10"/>
  </w:num>
  <w:num w:numId="101">
    <w:abstractNumId w:val="17"/>
  </w:num>
  <w:num w:numId="102">
    <w:abstractNumId w:val="22"/>
  </w:num>
  <w:num w:numId="103">
    <w:abstractNumId w:val="23"/>
  </w:num>
  <w:num w:numId="104">
    <w:abstractNumId w:val="12"/>
  </w:num>
  <w:num w:numId="105">
    <w:abstractNumId w:val="21"/>
  </w:num>
  <w:num w:numId="106">
    <w:abstractNumId w:val="3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1 10:42:1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175"/>
    <w:docVar w:name="DQCResult_UnknownFonts" w:val="0;0"/>
    <w:docVar w:name="DQCResult_UnknownStyles" w:val="0;2"/>
    <w:docVar w:name="DQCStatus" w:val="Yellow"/>
    <w:docVar w:name="DQCVersion" w:val="3"/>
    <w:docVar w:name="DQCWithWarnings" w:val="0"/>
    <w:docVar w:name="LW_CONFIDENCE" w:val=" "/>
    <w:docVar w:name="LW_CONST_RESTREINT_UE" w:val="RESTREINT UE/EU RESTRICTED"/>
    <w:docVar w:name="LW_CORRIGENDUM" w:val="NOTE_x000b_This language version reflects the corrections done to the original EN version transmitted under COM(2017) 477 final of 13.9.2017 and retransmitted (with corrections) under COM(2017) 477 final/2 of 4.10.2017"/>
    <w:docVar w:name="LW_COVERPAGE_GUID" w:val="3184960A64684D89B7432647D1E20E11"/>
    <w:docVar w:name="LW_CROSSREFERENCE" w:val="{SWD(2017) 500 final}_x000b_{SWD(2017) 501 final}_x000b_{SWD(2017) 502 final}"/>
    <w:docVar w:name="LW_DocType" w:val="COM"/>
    <w:docVar w:name="LW_EMISSION" w:val="4.10.2017."/>
    <w:docVar w:name="LW_EMISSION_ISODATE" w:val="2017-10-04"/>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kst zna\u269?ajan za EGP)"/>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225"/>
    <w:docVar w:name="LW_REF.II.NEW.CP_YEAR" w:val="2017"/>
    <w:docVar w:name="LW_REF.INST.NEW" w:val="COM"/>
    <w:docVar w:name="LW_REF.INST.NEW_ADOPTED" w:val="final"/>
    <w:docVar w:name="LW_REF.INST.NEW_TEXT" w:val="(2017) 477"/>
    <w:docVar w:name="LW_REF.INTERNE" w:val="&lt;UNUSED&gt;"/>
    <w:docVar w:name="LW_SOUS.TITRE.OBJ.CP" w:val="&lt;UNUSED&gt;"/>
    <w:docVar w:name="LW_STATUT.CP" w:val="Prijedlog"/>
    <w:docVar w:name="LW_SUPERTITRE" w:val="&lt;UNUSED&gt;"/>
    <w:docVar w:name="LW_TITRE.OBJ.CP" w:val="o ENISA-i (agenciji EU-a za kibersigurnost) i stavljanju izvan snage Uredbe (EU) 526/2013 te o kibersigurnosnoj certifikaciji u podru\u269?ju informacijske i komunikacijske tehnologije (\u8222?Akt o kibersigurnosti\u8221?)"/>
    <w:docVar w:name="LW_TYPE.DOC.CP" w:val="UREDBE EUROPSKOG PARLAMENTA I VIJE\u262?A"/>
  </w:docVars>
  <w:rsids>
    <w:rsidRoot w:val="00A761A4"/>
    <w:rsid w:val="0064189B"/>
    <w:rsid w:val="00A7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9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art">
    <w:name w:val="ti-art"/>
    <w:basedOn w:val="Normal"/>
    <w:pPr>
      <w:spacing w:before="360"/>
      <w:jc w:val="center"/>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hr-H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hr-HR"/>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r-HR"/>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norm3">
    <w:name w:val="norm3"/>
    <w:basedOn w:val="Normal"/>
    <w:pPr>
      <w:spacing w:after="0" w:line="312" w:lineRule="atLeast"/>
    </w:pPr>
    <w:rPr>
      <w:rFonts w:eastAsia="Times New Roman"/>
      <w:szCs w:val="24"/>
    </w:rPr>
  </w:style>
  <w:style w:type="paragraph" w:customStyle="1" w:styleId="Normal2">
    <w:name w:val="Normal2"/>
    <w:basedOn w:val="Normal"/>
    <w:pPr>
      <w:spacing w:after="0"/>
    </w:pPr>
    <w:rPr>
      <w:rFonts w:eastAsia="Times New Roman"/>
      <w:szCs w:val="24"/>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9"/>
      </w:numPr>
      <w:contextualSpacing/>
    </w:pPr>
    <w:rPr>
      <w:rFonts w:eastAsia="Times New Roman"/>
    </w:rPr>
  </w:style>
  <w:style w:type="paragraph" w:styleId="ListNumber3">
    <w:name w:val="List Number 3"/>
    <w:basedOn w:val="Normal"/>
    <w:pPr>
      <w:numPr>
        <w:numId w:val="10"/>
      </w:numPr>
      <w:contextualSpacing/>
    </w:pPr>
    <w:rPr>
      <w:rFonts w:eastAsia="Times New Roman"/>
    </w:rPr>
  </w:style>
  <w:style w:type="paragraph" w:styleId="ListNumber4">
    <w:name w:val="List Number 4"/>
    <w:basedOn w:val="Normal"/>
    <w:pPr>
      <w:numPr>
        <w:numId w:val="11"/>
      </w:numPr>
      <w:contextualSpacing/>
    </w:pPr>
    <w:rPr>
      <w:rFonts w:eastAsia="Times New Roman"/>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hr-HR"/>
    </w:rPr>
  </w:style>
  <w:style w:type="paragraph" w:customStyle="1" w:styleId="article">
    <w:name w:val="article"/>
    <w:basedOn w:val="Normal"/>
    <w:pPr>
      <w:spacing w:before="360"/>
      <w:jc w:val="center"/>
    </w:pPr>
    <w:rPr>
      <w:rFonts w:eastAsia="Times New Roman"/>
      <w:i/>
      <w:iCs/>
      <w:color w:val="000000"/>
      <w:szCs w:val="24"/>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92"/>
      </w:numPr>
      <w:contextualSpacing/>
    </w:pPr>
  </w:style>
  <w:style w:type="paragraph" w:styleId="Header">
    <w:name w:val="header"/>
    <w:basedOn w:val="Normal"/>
    <w:link w:val="HeaderChar"/>
    <w:uiPriority w:val="99"/>
    <w:unhideWhenUsed/>
    <w:rsid w:val="0064189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64189B"/>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4189B"/>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3"/>
      </w:numPr>
    </w:pPr>
  </w:style>
  <w:style w:type="paragraph" w:customStyle="1" w:styleId="Tiret1">
    <w:name w:val="Tiret 1"/>
    <w:basedOn w:val="Point1"/>
    <w:pPr>
      <w:numPr>
        <w:numId w:val="94"/>
      </w:numPr>
    </w:pPr>
  </w:style>
  <w:style w:type="paragraph" w:customStyle="1" w:styleId="Tiret2">
    <w:name w:val="Tiret 2"/>
    <w:basedOn w:val="Point2"/>
    <w:pPr>
      <w:numPr>
        <w:numId w:val="95"/>
      </w:numPr>
    </w:pPr>
  </w:style>
  <w:style w:type="paragraph" w:customStyle="1" w:styleId="Tiret3">
    <w:name w:val="Tiret 3"/>
    <w:basedOn w:val="Point3"/>
    <w:pPr>
      <w:numPr>
        <w:numId w:val="96"/>
      </w:numPr>
    </w:pPr>
  </w:style>
  <w:style w:type="paragraph" w:customStyle="1" w:styleId="Tiret4">
    <w:name w:val="Tiret 4"/>
    <w:basedOn w:val="Point4"/>
    <w:pPr>
      <w:numPr>
        <w:numId w:val="9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8"/>
      </w:numPr>
    </w:pPr>
  </w:style>
  <w:style w:type="paragraph" w:customStyle="1" w:styleId="NumPar2">
    <w:name w:val="NumPar 2"/>
    <w:basedOn w:val="Normal"/>
    <w:next w:val="Text1"/>
    <w:pPr>
      <w:numPr>
        <w:ilvl w:val="1"/>
        <w:numId w:val="98"/>
      </w:numPr>
    </w:pPr>
  </w:style>
  <w:style w:type="paragraph" w:customStyle="1" w:styleId="NumPar3">
    <w:name w:val="NumPar 3"/>
    <w:basedOn w:val="Normal"/>
    <w:next w:val="Text1"/>
    <w:pPr>
      <w:numPr>
        <w:ilvl w:val="2"/>
        <w:numId w:val="98"/>
      </w:numPr>
    </w:pPr>
  </w:style>
  <w:style w:type="paragraph" w:customStyle="1" w:styleId="NumPar4">
    <w:name w:val="NumPar 4"/>
    <w:basedOn w:val="Normal"/>
    <w:next w:val="Text1"/>
    <w:pPr>
      <w:numPr>
        <w:ilvl w:val="3"/>
        <w:numId w:val="9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0"/>
      </w:numPr>
    </w:pPr>
  </w:style>
  <w:style w:type="paragraph" w:customStyle="1" w:styleId="Point1number">
    <w:name w:val="Point 1 (number)"/>
    <w:basedOn w:val="Normal"/>
    <w:pPr>
      <w:numPr>
        <w:ilvl w:val="2"/>
        <w:numId w:val="100"/>
      </w:numPr>
    </w:pPr>
  </w:style>
  <w:style w:type="paragraph" w:customStyle="1" w:styleId="Point2number">
    <w:name w:val="Point 2 (number)"/>
    <w:basedOn w:val="Normal"/>
    <w:pPr>
      <w:numPr>
        <w:ilvl w:val="4"/>
        <w:numId w:val="100"/>
      </w:numPr>
    </w:pPr>
  </w:style>
  <w:style w:type="paragraph" w:customStyle="1" w:styleId="Point3number">
    <w:name w:val="Point 3 (number)"/>
    <w:basedOn w:val="Normal"/>
    <w:pPr>
      <w:numPr>
        <w:ilvl w:val="6"/>
        <w:numId w:val="100"/>
      </w:numPr>
    </w:pPr>
  </w:style>
  <w:style w:type="paragraph" w:customStyle="1" w:styleId="Point0letter">
    <w:name w:val="Point 0 (letter)"/>
    <w:basedOn w:val="Normal"/>
    <w:pPr>
      <w:numPr>
        <w:ilvl w:val="1"/>
        <w:numId w:val="100"/>
      </w:numPr>
    </w:pPr>
  </w:style>
  <w:style w:type="paragraph" w:customStyle="1" w:styleId="Point1letter">
    <w:name w:val="Point 1 (letter)"/>
    <w:basedOn w:val="Normal"/>
    <w:pPr>
      <w:numPr>
        <w:ilvl w:val="3"/>
        <w:numId w:val="100"/>
      </w:numPr>
    </w:pPr>
  </w:style>
  <w:style w:type="paragraph" w:customStyle="1" w:styleId="Point2letter">
    <w:name w:val="Point 2 (letter)"/>
    <w:basedOn w:val="Normal"/>
    <w:pPr>
      <w:numPr>
        <w:ilvl w:val="5"/>
        <w:numId w:val="100"/>
      </w:numPr>
    </w:pPr>
  </w:style>
  <w:style w:type="paragraph" w:customStyle="1" w:styleId="Point3letter">
    <w:name w:val="Point 3 (letter)"/>
    <w:basedOn w:val="Normal"/>
    <w:pPr>
      <w:numPr>
        <w:ilvl w:val="7"/>
        <w:numId w:val="100"/>
      </w:numPr>
    </w:pPr>
  </w:style>
  <w:style w:type="paragraph" w:customStyle="1" w:styleId="Point4letter">
    <w:name w:val="Point 4 (letter)"/>
    <w:basedOn w:val="Normal"/>
    <w:pPr>
      <w:numPr>
        <w:ilvl w:val="8"/>
        <w:numId w:val="100"/>
      </w:numPr>
    </w:pPr>
  </w:style>
  <w:style w:type="paragraph" w:customStyle="1" w:styleId="Bullet0">
    <w:name w:val="Bullet 0"/>
    <w:basedOn w:val="Normal"/>
    <w:pPr>
      <w:numPr>
        <w:numId w:val="101"/>
      </w:numPr>
    </w:pPr>
  </w:style>
  <w:style w:type="paragraph" w:customStyle="1" w:styleId="Bullet1">
    <w:name w:val="Bullet 1"/>
    <w:basedOn w:val="Normal"/>
    <w:pPr>
      <w:numPr>
        <w:numId w:val="102"/>
      </w:numPr>
    </w:pPr>
  </w:style>
  <w:style w:type="paragraph" w:customStyle="1" w:styleId="Bullet2">
    <w:name w:val="Bullet 2"/>
    <w:basedOn w:val="Normal"/>
    <w:pPr>
      <w:numPr>
        <w:numId w:val="103"/>
      </w:numPr>
    </w:pPr>
  </w:style>
  <w:style w:type="paragraph" w:customStyle="1" w:styleId="Bullet3">
    <w:name w:val="Bullet 3"/>
    <w:basedOn w:val="Normal"/>
    <w:pPr>
      <w:numPr>
        <w:numId w:val="104"/>
      </w:numPr>
    </w:pPr>
  </w:style>
  <w:style w:type="paragraph" w:customStyle="1" w:styleId="Bullet4">
    <w:name w:val="Bullet 4"/>
    <w:basedOn w:val="Normal"/>
    <w:pPr>
      <w:numPr>
        <w:numId w:val="10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9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art">
    <w:name w:val="ti-art"/>
    <w:basedOn w:val="Normal"/>
    <w:pPr>
      <w:spacing w:before="360"/>
      <w:jc w:val="center"/>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hr-HR"/>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hr-HR"/>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r-HR"/>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norm3">
    <w:name w:val="norm3"/>
    <w:basedOn w:val="Normal"/>
    <w:pPr>
      <w:spacing w:after="0" w:line="312" w:lineRule="atLeast"/>
    </w:pPr>
    <w:rPr>
      <w:rFonts w:eastAsia="Times New Roman"/>
      <w:szCs w:val="24"/>
    </w:rPr>
  </w:style>
  <w:style w:type="paragraph" w:customStyle="1" w:styleId="Normal2">
    <w:name w:val="Normal2"/>
    <w:basedOn w:val="Normal"/>
    <w:pPr>
      <w:spacing w:after="0"/>
    </w:pPr>
    <w:rPr>
      <w:rFonts w:eastAsia="Times New Roman"/>
      <w:szCs w:val="24"/>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9"/>
      </w:numPr>
      <w:contextualSpacing/>
    </w:pPr>
    <w:rPr>
      <w:rFonts w:eastAsia="Times New Roman"/>
    </w:rPr>
  </w:style>
  <w:style w:type="paragraph" w:styleId="ListNumber3">
    <w:name w:val="List Number 3"/>
    <w:basedOn w:val="Normal"/>
    <w:pPr>
      <w:numPr>
        <w:numId w:val="10"/>
      </w:numPr>
      <w:contextualSpacing/>
    </w:pPr>
    <w:rPr>
      <w:rFonts w:eastAsia="Times New Roman"/>
    </w:rPr>
  </w:style>
  <w:style w:type="paragraph" w:styleId="ListNumber4">
    <w:name w:val="List Number 4"/>
    <w:basedOn w:val="Normal"/>
    <w:pPr>
      <w:numPr>
        <w:numId w:val="11"/>
      </w:numPr>
      <w:contextualSpacing/>
    </w:pPr>
    <w:rPr>
      <w:rFonts w:eastAsia="Times New Roman"/>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hr-HR"/>
    </w:rPr>
  </w:style>
  <w:style w:type="paragraph" w:customStyle="1" w:styleId="article">
    <w:name w:val="article"/>
    <w:basedOn w:val="Normal"/>
    <w:pPr>
      <w:spacing w:before="360"/>
      <w:jc w:val="center"/>
    </w:pPr>
    <w:rPr>
      <w:rFonts w:eastAsia="Times New Roman"/>
      <w:i/>
      <w:iCs/>
      <w:color w:val="000000"/>
      <w:szCs w:val="24"/>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92"/>
      </w:numPr>
      <w:contextualSpacing/>
    </w:pPr>
  </w:style>
  <w:style w:type="paragraph" w:styleId="Header">
    <w:name w:val="header"/>
    <w:basedOn w:val="Normal"/>
    <w:link w:val="HeaderChar"/>
    <w:uiPriority w:val="99"/>
    <w:unhideWhenUsed/>
    <w:rsid w:val="0064189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64189B"/>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4189B"/>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3"/>
      </w:numPr>
    </w:pPr>
  </w:style>
  <w:style w:type="paragraph" w:customStyle="1" w:styleId="Tiret1">
    <w:name w:val="Tiret 1"/>
    <w:basedOn w:val="Point1"/>
    <w:pPr>
      <w:numPr>
        <w:numId w:val="94"/>
      </w:numPr>
    </w:pPr>
  </w:style>
  <w:style w:type="paragraph" w:customStyle="1" w:styleId="Tiret2">
    <w:name w:val="Tiret 2"/>
    <w:basedOn w:val="Point2"/>
    <w:pPr>
      <w:numPr>
        <w:numId w:val="95"/>
      </w:numPr>
    </w:pPr>
  </w:style>
  <w:style w:type="paragraph" w:customStyle="1" w:styleId="Tiret3">
    <w:name w:val="Tiret 3"/>
    <w:basedOn w:val="Point3"/>
    <w:pPr>
      <w:numPr>
        <w:numId w:val="96"/>
      </w:numPr>
    </w:pPr>
  </w:style>
  <w:style w:type="paragraph" w:customStyle="1" w:styleId="Tiret4">
    <w:name w:val="Tiret 4"/>
    <w:basedOn w:val="Point4"/>
    <w:pPr>
      <w:numPr>
        <w:numId w:val="9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8"/>
      </w:numPr>
    </w:pPr>
  </w:style>
  <w:style w:type="paragraph" w:customStyle="1" w:styleId="NumPar2">
    <w:name w:val="NumPar 2"/>
    <w:basedOn w:val="Normal"/>
    <w:next w:val="Text1"/>
    <w:pPr>
      <w:numPr>
        <w:ilvl w:val="1"/>
        <w:numId w:val="98"/>
      </w:numPr>
    </w:pPr>
  </w:style>
  <w:style w:type="paragraph" w:customStyle="1" w:styleId="NumPar3">
    <w:name w:val="NumPar 3"/>
    <w:basedOn w:val="Normal"/>
    <w:next w:val="Text1"/>
    <w:pPr>
      <w:numPr>
        <w:ilvl w:val="2"/>
        <w:numId w:val="98"/>
      </w:numPr>
    </w:pPr>
  </w:style>
  <w:style w:type="paragraph" w:customStyle="1" w:styleId="NumPar4">
    <w:name w:val="NumPar 4"/>
    <w:basedOn w:val="Normal"/>
    <w:next w:val="Text1"/>
    <w:pPr>
      <w:numPr>
        <w:ilvl w:val="3"/>
        <w:numId w:val="9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0"/>
      </w:numPr>
    </w:pPr>
  </w:style>
  <w:style w:type="paragraph" w:customStyle="1" w:styleId="Point1number">
    <w:name w:val="Point 1 (number)"/>
    <w:basedOn w:val="Normal"/>
    <w:pPr>
      <w:numPr>
        <w:ilvl w:val="2"/>
        <w:numId w:val="100"/>
      </w:numPr>
    </w:pPr>
  </w:style>
  <w:style w:type="paragraph" w:customStyle="1" w:styleId="Point2number">
    <w:name w:val="Point 2 (number)"/>
    <w:basedOn w:val="Normal"/>
    <w:pPr>
      <w:numPr>
        <w:ilvl w:val="4"/>
        <w:numId w:val="100"/>
      </w:numPr>
    </w:pPr>
  </w:style>
  <w:style w:type="paragraph" w:customStyle="1" w:styleId="Point3number">
    <w:name w:val="Point 3 (number)"/>
    <w:basedOn w:val="Normal"/>
    <w:pPr>
      <w:numPr>
        <w:ilvl w:val="6"/>
        <w:numId w:val="100"/>
      </w:numPr>
    </w:pPr>
  </w:style>
  <w:style w:type="paragraph" w:customStyle="1" w:styleId="Point0letter">
    <w:name w:val="Point 0 (letter)"/>
    <w:basedOn w:val="Normal"/>
    <w:pPr>
      <w:numPr>
        <w:ilvl w:val="1"/>
        <w:numId w:val="100"/>
      </w:numPr>
    </w:pPr>
  </w:style>
  <w:style w:type="paragraph" w:customStyle="1" w:styleId="Point1letter">
    <w:name w:val="Point 1 (letter)"/>
    <w:basedOn w:val="Normal"/>
    <w:pPr>
      <w:numPr>
        <w:ilvl w:val="3"/>
        <w:numId w:val="100"/>
      </w:numPr>
    </w:pPr>
  </w:style>
  <w:style w:type="paragraph" w:customStyle="1" w:styleId="Point2letter">
    <w:name w:val="Point 2 (letter)"/>
    <w:basedOn w:val="Normal"/>
    <w:pPr>
      <w:numPr>
        <w:ilvl w:val="5"/>
        <w:numId w:val="100"/>
      </w:numPr>
    </w:pPr>
  </w:style>
  <w:style w:type="paragraph" w:customStyle="1" w:styleId="Point3letter">
    <w:name w:val="Point 3 (letter)"/>
    <w:basedOn w:val="Normal"/>
    <w:pPr>
      <w:numPr>
        <w:ilvl w:val="7"/>
        <w:numId w:val="100"/>
      </w:numPr>
    </w:pPr>
  </w:style>
  <w:style w:type="paragraph" w:customStyle="1" w:styleId="Point4letter">
    <w:name w:val="Point 4 (letter)"/>
    <w:basedOn w:val="Normal"/>
    <w:pPr>
      <w:numPr>
        <w:ilvl w:val="8"/>
        <w:numId w:val="100"/>
      </w:numPr>
    </w:pPr>
  </w:style>
  <w:style w:type="paragraph" w:customStyle="1" w:styleId="Bullet0">
    <w:name w:val="Bullet 0"/>
    <w:basedOn w:val="Normal"/>
    <w:pPr>
      <w:numPr>
        <w:numId w:val="101"/>
      </w:numPr>
    </w:pPr>
  </w:style>
  <w:style w:type="paragraph" w:customStyle="1" w:styleId="Bullet1">
    <w:name w:val="Bullet 1"/>
    <w:basedOn w:val="Normal"/>
    <w:pPr>
      <w:numPr>
        <w:numId w:val="102"/>
      </w:numPr>
    </w:pPr>
  </w:style>
  <w:style w:type="paragraph" w:customStyle="1" w:styleId="Bullet2">
    <w:name w:val="Bullet 2"/>
    <w:basedOn w:val="Normal"/>
    <w:pPr>
      <w:numPr>
        <w:numId w:val="103"/>
      </w:numPr>
    </w:pPr>
  </w:style>
  <w:style w:type="paragraph" w:customStyle="1" w:styleId="Bullet3">
    <w:name w:val="Bullet 3"/>
    <w:basedOn w:val="Normal"/>
    <w:pPr>
      <w:numPr>
        <w:numId w:val="104"/>
      </w:numPr>
    </w:pPr>
  </w:style>
  <w:style w:type="paragraph" w:customStyle="1" w:styleId="Bullet4">
    <w:name w:val="Bullet 4"/>
    <w:basedOn w:val="Normal"/>
    <w:pPr>
      <w:numPr>
        <w:numId w:val="10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3373">
      <w:bodyDiv w:val="1"/>
      <w:marLeft w:val="0"/>
      <w:marRight w:val="0"/>
      <w:marTop w:val="0"/>
      <w:marBottom w:val="0"/>
      <w:divBdr>
        <w:top w:val="none" w:sz="0" w:space="0" w:color="auto"/>
        <w:left w:val="none" w:sz="0" w:space="0" w:color="auto"/>
        <w:bottom w:val="none" w:sz="0" w:space="0" w:color="auto"/>
        <w:right w:val="none" w:sz="0" w:space="0" w:color="auto"/>
      </w:divBdr>
    </w:div>
    <w:div w:id="2077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yintracomm.ec.europa.eu/budgweb/HR/man/budgmanag/Pages/budgmanag.aspx" TargetMode="External"/><Relationship Id="rId3" Type="http://schemas.openxmlformats.org/officeDocument/2006/relationships/hyperlink" Target="http://eur-lex.europa.eu/legal-content/AUTO/?uri=CELEX:32015D0443&amp;qid=1503904054104&amp;rid=1" TargetMode="External"/><Relationship Id="rId7" Type="http://schemas.openxmlformats.org/officeDocument/2006/relationships/hyperlink" Target="http://eur-lex.europa.eu/legal-content/AUTO/?uri=CELEX:31958R0001(01)&amp;qid=1503903628246&amp;rid=2" TargetMode="External"/><Relationship Id="rId2" Type="http://schemas.openxmlformats.org/officeDocument/2006/relationships/hyperlink" Target="https://erncip-project.jrc.ec.europa.eu/documents/introduction-european-iacs-components-cybersecurity-certification-framework-iccf" TargetMode="External"/><Relationship Id="rId1" Type="http://schemas.openxmlformats.org/officeDocument/2006/relationships/hyperlink" Target="https://www.enisa.europa.eu/publications/corporate/enisa-strategy" TargetMode="External"/><Relationship Id="rId6" Type="http://schemas.openxmlformats.org/officeDocument/2006/relationships/hyperlink" Target="http://eur-lex.europa.eu/legal-content/AUTO/?uri=CELEX:31996R2185&amp;qid=1503903277883&amp;rid=1" TargetMode="External"/><Relationship Id="rId5" Type="http://schemas.openxmlformats.org/officeDocument/2006/relationships/hyperlink" Target="http://eur-lex.europa.eu/legal-content/AUTO/?uri=CELEX:32013R0883&amp;qid=1503902900883&amp;rid=1" TargetMode="External"/><Relationship Id="rId4" Type="http://schemas.openxmlformats.org/officeDocument/2006/relationships/hyperlink" Target="http://eur-lex.europa.eu/legal-content/AUTO/?uri=CELEX:32015D0444&amp;qid=1503904120075&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69896359-b98d-4972-ac24-787626a39a52" xsi:nil="true"/>
    <EC_Collab_DocumentLanguage xmlns="69896359-b98d-4972-ac24-787626a39a52">EN</EC_Collab_DocumentLanguage>
    <_dlc_DocId xmlns="866aabb8-7ec2-447a-a7ff-f911015037e7">UVNUSV5RWJH5-860911943-375</_dlc_DocId>
    <_dlc_DocIdUrl xmlns="866aabb8-7ec2-447a-a7ff-f911015037e7">
      <Url>https://myintracomm-collab.ec.europa.eu/dg/CONNECT/directorateH/UnitH1/_layouts/15/DocIdRedir.aspx?ID=UVNUSV5RWJH5-860911943-375</Url>
      <Description>UVNUSV5RWJH5-860911943-375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16C6D809718154B85A00D8564272987" ma:contentTypeVersion="9" ma:contentTypeDescription="Create a new document." ma:contentTypeScope="" ma:versionID="e400d484b8aebbd8e56d91cb7a208e94">
  <xsd:schema xmlns:xsd="http://www.w3.org/2001/XMLSchema" xmlns:xs="http://www.w3.org/2001/XMLSchema" xmlns:p="http://schemas.microsoft.com/office/2006/metadata/properties" xmlns:ns3="69896359-b98d-4972-ac24-787626a39a52" xmlns:ns4="866aabb8-7ec2-447a-a7ff-f911015037e7" targetNamespace="http://schemas.microsoft.com/office/2006/metadata/properties" ma:root="true" ma:fieldsID="a02399e1f5cc7de95a172560ad66efe5" ns3:_="" ns4:_="">
    <xsd:import namespace="69896359-b98d-4972-ac24-787626a39a52"/>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6359-b98d-4972-ac24-787626a39a5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AB92-7A12-4DC9-A200-7409A51CDB5A}">
  <ds:schemaRefs>
    <ds:schemaRef ds:uri="http://schemas.microsoft.com/sharepoint/events"/>
  </ds:schemaRefs>
</ds:datastoreItem>
</file>

<file path=customXml/itemProps2.xml><?xml version="1.0" encoding="utf-8"?>
<ds:datastoreItem xmlns:ds="http://schemas.openxmlformats.org/officeDocument/2006/customXml" ds:itemID="{03D25583-2FB3-45E8-9B97-3C4DF99B1875}">
  <ds:schemaRefs>
    <ds:schemaRef ds:uri="http://schemas.microsoft.com/sharepoint/v3/contenttype/forms"/>
  </ds:schemaRefs>
</ds:datastoreItem>
</file>

<file path=customXml/itemProps3.xml><?xml version="1.0" encoding="utf-8"?>
<ds:datastoreItem xmlns:ds="http://schemas.openxmlformats.org/officeDocument/2006/customXml" ds:itemID="{77DB0F90-4390-4417-B9C4-0CC002E76AE4}">
  <ds:schemaRefs>
    <ds:schemaRef ds:uri="http://purl.org/dc/elements/1.1/"/>
    <ds:schemaRef ds:uri="http://www.w3.org/XML/1998/namespace"/>
    <ds:schemaRef ds:uri="69896359-b98d-4972-ac24-787626a39a52"/>
    <ds:schemaRef ds:uri="http://schemas.microsoft.com/office/infopath/2007/PartnerControls"/>
    <ds:schemaRef ds:uri="http://purl.org/dc/terms/"/>
    <ds:schemaRef ds:uri="866aabb8-7ec2-447a-a7ff-f911015037e7"/>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361A0D1-1F98-4EE0-92BE-4B8DABC52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6359-b98d-4972-ac24-787626a39a52"/>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F65210-E0A1-4F70-92FB-445B55F8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89</Pages>
  <Words>29434</Words>
  <Characters>186322</Characters>
  <Application>Microsoft Office Word</Application>
  <DocSecurity>0</DocSecurity>
  <Lines>3881</Lines>
  <Paragraphs>1487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2017-10-06T15:28:00Z</dcterms:created>
  <dcterms:modified xsi:type="dcterms:W3CDTF">2017-10-11T10:26:00Z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ContentTypeId">
    <vt:lpwstr>0x010100258AA79CEB83498886A3A0868112325000716C6D809718154B85A00D8564272987</vt:lpwstr>
  </property>
  <property fmtid="{D5CDD505-2E9C-101B-9397-08002B2CF9AE}" pid="6" name="_dlc_DocIdItemGuid">
    <vt:lpwstr>118f61f3-23fb-47cb-9ed2-3a4ced82338d</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