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22A" w:rsidRDefault="003B53DA">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815151C7897945B7AE4B3EB464C633A5" style="width:450.75pt;height:434.25pt">
            <v:imagedata r:id="rId7" o:title=""/>
          </v:shape>
        </w:pict>
      </w:r>
    </w:p>
    <w:bookmarkEnd w:id="0"/>
    <w:p w:rsidR="002F522A" w:rsidRDefault="002F522A">
      <w:pPr>
        <w:rPr>
          <w:noProof/>
        </w:rPr>
        <w:sectPr w:rsidR="002F522A">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rsidR="002F522A" w:rsidRDefault="003B53DA">
      <w:pPr>
        <w:jc w:val="center"/>
        <w:rPr>
          <w:rFonts w:ascii="Times New Roman" w:hAnsi="Times New Roman" w:cs="Times New Roman"/>
          <w:b/>
          <w:noProof/>
          <w:sz w:val="24"/>
        </w:rPr>
      </w:pPr>
      <w:r>
        <w:rPr>
          <w:rFonts w:ascii="Times New Roman" w:hAnsi="Times New Roman"/>
          <w:b/>
          <w:noProof/>
          <w:sz w:val="24"/>
        </w:rPr>
        <w:lastRenderedPageBreak/>
        <w:t>REIKALAVIMAI, KURIUOS TURI ATITIKTI ATITIKTIES VERTINIMO ĮSTAIGOS</w:t>
      </w:r>
    </w:p>
    <w:p w:rsidR="002F522A" w:rsidRDefault="003B53DA">
      <w:pPr>
        <w:jc w:val="both"/>
        <w:rPr>
          <w:rFonts w:ascii="Times New Roman" w:hAnsi="Times New Roman" w:cs="Times New Roman"/>
          <w:noProof/>
          <w:sz w:val="24"/>
        </w:rPr>
      </w:pPr>
      <w:r>
        <w:rPr>
          <w:rFonts w:ascii="Times New Roman" w:hAnsi="Times New Roman"/>
          <w:noProof/>
          <w:sz w:val="24"/>
        </w:rPr>
        <w:t xml:space="preserve">Akreditacijos siekiančios atitikties </w:t>
      </w:r>
      <w:r>
        <w:rPr>
          <w:rFonts w:ascii="Times New Roman" w:hAnsi="Times New Roman"/>
          <w:noProof/>
          <w:sz w:val="24"/>
        </w:rPr>
        <w:t>vertinimo įstaigos turi atitikti šiuos reikalavimus:</w:t>
      </w:r>
    </w:p>
    <w:p w:rsidR="002F522A" w:rsidRDefault="003B53DA">
      <w:pPr>
        <w:jc w:val="both"/>
        <w:rPr>
          <w:rFonts w:ascii="Times New Roman" w:hAnsi="Times New Roman" w:cs="Times New Roman"/>
          <w:noProof/>
          <w:sz w:val="24"/>
        </w:rPr>
      </w:pPr>
      <w:r>
        <w:rPr>
          <w:rFonts w:ascii="Times New Roman" w:hAnsi="Times New Roman"/>
          <w:noProof/>
          <w:sz w:val="24"/>
        </w:rPr>
        <w:t>1. Atitikties vertinimo įstaiga turi būti įsteigta pagal nacionalinę teisę ir turėti teisinį subjektiškumą.</w:t>
      </w:r>
    </w:p>
    <w:p w:rsidR="002F522A" w:rsidRDefault="003B53DA">
      <w:pPr>
        <w:jc w:val="both"/>
        <w:rPr>
          <w:rFonts w:ascii="Times New Roman" w:hAnsi="Times New Roman" w:cs="Times New Roman"/>
          <w:noProof/>
          <w:sz w:val="24"/>
        </w:rPr>
      </w:pPr>
      <w:r>
        <w:rPr>
          <w:rFonts w:ascii="Times New Roman" w:hAnsi="Times New Roman"/>
          <w:noProof/>
          <w:sz w:val="24"/>
        </w:rPr>
        <w:t xml:space="preserve">2. Atitikties vertinimo įstaiga yra trečioji šalis, nepriklausoma nuo vertinamos organizacijos </w:t>
      </w:r>
      <w:r>
        <w:rPr>
          <w:rFonts w:ascii="Times New Roman" w:hAnsi="Times New Roman"/>
          <w:noProof/>
          <w:sz w:val="24"/>
        </w:rPr>
        <w:t>ar IRT produktų ar paslaugų.</w:t>
      </w:r>
    </w:p>
    <w:p w:rsidR="002F522A" w:rsidRDefault="003B53DA">
      <w:pPr>
        <w:jc w:val="both"/>
        <w:rPr>
          <w:rFonts w:ascii="Times New Roman" w:hAnsi="Times New Roman" w:cs="Times New Roman"/>
          <w:noProof/>
          <w:sz w:val="24"/>
        </w:rPr>
      </w:pPr>
      <w:r>
        <w:rPr>
          <w:rFonts w:ascii="Times New Roman" w:hAnsi="Times New Roman"/>
          <w:noProof/>
          <w:sz w:val="24"/>
        </w:rPr>
        <w:t>3. Įstaiga, priklausanti verslo asociacijai arba profesinei federacijai, atstovaujančiai įmonėms, susijusioms su jos vertinamų IRT produktų ar paslaugų projektavimu, gamyba, tiekimu, surinkimu, naudojimu ar priežiūra, gali būti</w:t>
      </w:r>
      <w:r>
        <w:rPr>
          <w:rFonts w:ascii="Times New Roman" w:hAnsi="Times New Roman"/>
          <w:noProof/>
          <w:sz w:val="24"/>
        </w:rPr>
        <w:t xml:space="preserve"> laikoma atitikties vertinimo įstaiga, jeigu įrodoma, kad ji yra nešališka ir nėra jokio interesų konflikto.</w:t>
      </w:r>
    </w:p>
    <w:p w:rsidR="002F522A" w:rsidRDefault="003B53DA">
      <w:pPr>
        <w:jc w:val="both"/>
        <w:rPr>
          <w:rFonts w:ascii="Times New Roman" w:hAnsi="Times New Roman" w:cs="Times New Roman"/>
          <w:noProof/>
          <w:sz w:val="24"/>
        </w:rPr>
      </w:pPr>
      <w:r>
        <w:rPr>
          <w:rFonts w:ascii="Times New Roman" w:hAnsi="Times New Roman"/>
          <w:noProof/>
          <w:sz w:val="24"/>
        </w:rPr>
        <w:t xml:space="preserve">4. Atitikties vertinimo įstaiga, jos aukščiausio lygio vadovai ir už atitikties vertinimo užduotis atsakingi darbuotojai negali būti vertinamo IRT </w:t>
      </w:r>
      <w:r>
        <w:rPr>
          <w:rFonts w:ascii="Times New Roman" w:hAnsi="Times New Roman"/>
          <w:noProof/>
          <w:sz w:val="24"/>
        </w:rPr>
        <w:t>produkto ar paslaugos projektuotojai, gamintojai, tiekėjai, montuotojai, pirkėjai, savininkai, naudotojai ar prižiūrėtojai arba tų šalių įgaliotieji atstovai. Tai netrukdo atitikties vertinimo įstaigai naudoti įvertintų produktų, kurie yra būtini jos veikl</w:t>
      </w:r>
      <w:r>
        <w:rPr>
          <w:rFonts w:ascii="Times New Roman" w:hAnsi="Times New Roman"/>
          <w:noProof/>
          <w:sz w:val="24"/>
        </w:rPr>
        <w:t>ai, arba tokius produktus naudoti asmeniniais tikslais.</w:t>
      </w:r>
    </w:p>
    <w:p w:rsidR="002F522A" w:rsidRDefault="003B53DA">
      <w:pPr>
        <w:jc w:val="both"/>
        <w:rPr>
          <w:rFonts w:ascii="Times New Roman" w:hAnsi="Times New Roman" w:cs="Times New Roman"/>
          <w:noProof/>
          <w:sz w:val="24"/>
        </w:rPr>
      </w:pPr>
      <w:r>
        <w:rPr>
          <w:rFonts w:ascii="Times New Roman" w:hAnsi="Times New Roman"/>
          <w:noProof/>
          <w:sz w:val="24"/>
        </w:rPr>
        <w:t>5. Atitikties vertinimo įstaiga, jos aukščiausiojo lygio vadovai ir už atitikties vertinimo užduočių atlikimą atsakingi darbuotojai tiesiogiai nedalyvauja projektuojant, gaminant ar konstruojant, pard</w:t>
      </w:r>
      <w:r>
        <w:rPr>
          <w:rFonts w:ascii="Times New Roman" w:hAnsi="Times New Roman"/>
          <w:noProof/>
          <w:sz w:val="24"/>
        </w:rPr>
        <w:t>uodant, įrengiant, naudojant ar prižiūrint tuos IRT produktus ar paslaugas, taip pat negali atstovauti toje veikloje dalyvaujančioms šalims. Jie nesiima jokios veiklos, kuri jiems trukdytų nepriklausomai ir sąžiningai priimti sprendimus, susijusius su atit</w:t>
      </w:r>
      <w:r>
        <w:rPr>
          <w:rFonts w:ascii="Times New Roman" w:hAnsi="Times New Roman"/>
          <w:noProof/>
          <w:sz w:val="24"/>
        </w:rPr>
        <w:t>ikties vertinimo veikla, dėl kurios apie juos pranešta. Tai visų pirma taikoma konsultavimo paslaugoms.</w:t>
      </w:r>
    </w:p>
    <w:p w:rsidR="002F522A" w:rsidRDefault="003B53DA">
      <w:pPr>
        <w:jc w:val="both"/>
        <w:rPr>
          <w:rFonts w:ascii="Times New Roman" w:hAnsi="Times New Roman" w:cs="Times New Roman"/>
          <w:noProof/>
          <w:sz w:val="24"/>
        </w:rPr>
      </w:pPr>
      <w:r>
        <w:rPr>
          <w:rFonts w:ascii="Times New Roman" w:hAnsi="Times New Roman"/>
          <w:noProof/>
          <w:sz w:val="24"/>
        </w:rPr>
        <w:t>6. Atitikties vertinimo įstaigos užtikrina, kad joms pavaldžių įstaigų ar subrangovų veikla nedarytų poveikio jų atitikties vertinimo veiklos konfidenci</w:t>
      </w:r>
      <w:r>
        <w:rPr>
          <w:rFonts w:ascii="Times New Roman" w:hAnsi="Times New Roman"/>
          <w:noProof/>
          <w:sz w:val="24"/>
        </w:rPr>
        <w:t>alumui, objektyvumui ar nešališkumui.</w:t>
      </w:r>
    </w:p>
    <w:p w:rsidR="002F522A" w:rsidRDefault="003B53DA">
      <w:pPr>
        <w:jc w:val="both"/>
        <w:rPr>
          <w:rFonts w:ascii="Times New Roman" w:hAnsi="Times New Roman" w:cs="Times New Roman"/>
          <w:noProof/>
          <w:sz w:val="24"/>
        </w:rPr>
      </w:pPr>
      <w:r>
        <w:rPr>
          <w:rFonts w:ascii="Times New Roman" w:hAnsi="Times New Roman"/>
          <w:noProof/>
          <w:sz w:val="24"/>
        </w:rPr>
        <w:t>7. Atitikties vertinimo įstaigos ir jų darbuotojai atitikties vertinimo veiklą vykdo laikydamiesi griežčiausių profesinio sąžiningumo reikalavimų, turi reikiamą konkrečios srities techninę kompetenciją ir jiems nedarom</w:t>
      </w:r>
      <w:r>
        <w:rPr>
          <w:rFonts w:ascii="Times New Roman" w:hAnsi="Times New Roman"/>
          <w:noProof/>
          <w:sz w:val="24"/>
        </w:rPr>
        <w:t>as joks spaudimas ir neteikiamos jokios paskatos, įskaitant finansinio pobūdžio, kurie galėtų paveikti jų sprendimą ar atitikties vertinimo veiklos rezultatus, ypač jei tai susiję su tos veiklos rezultatais suinteresuotais asmenimis ar asmenų grupėmis.</w:t>
      </w:r>
    </w:p>
    <w:p w:rsidR="002F522A" w:rsidRDefault="003B53DA">
      <w:pPr>
        <w:jc w:val="both"/>
        <w:rPr>
          <w:rFonts w:ascii="Times New Roman" w:hAnsi="Times New Roman" w:cs="Times New Roman"/>
          <w:noProof/>
          <w:sz w:val="24"/>
        </w:rPr>
      </w:pPr>
      <w:r>
        <w:rPr>
          <w:rFonts w:ascii="Times New Roman" w:hAnsi="Times New Roman"/>
          <w:noProof/>
          <w:sz w:val="24"/>
        </w:rPr>
        <w:t xml:space="preserve">8. </w:t>
      </w:r>
      <w:r>
        <w:rPr>
          <w:rFonts w:ascii="Times New Roman" w:hAnsi="Times New Roman"/>
          <w:noProof/>
          <w:sz w:val="24"/>
        </w:rPr>
        <w:t>Atitikties vertinimo įstaiga turi pajėgti atlikti visas atitikties vertinimo užduotis, kurios jai paskirtos remiantis šiuo reglamentu, nesvarbu, ar tas užduotis vykdo pati atitikties vertinimo įstaiga, ar jos vykdomos jos vardu ir jos atsakomybe.</w:t>
      </w:r>
    </w:p>
    <w:p w:rsidR="002F522A" w:rsidRDefault="003B53DA">
      <w:pPr>
        <w:jc w:val="both"/>
        <w:rPr>
          <w:rFonts w:ascii="Times New Roman" w:hAnsi="Times New Roman" w:cs="Times New Roman"/>
          <w:noProof/>
          <w:sz w:val="24"/>
        </w:rPr>
      </w:pPr>
      <w:r>
        <w:rPr>
          <w:rFonts w:ascii="Times New Roman" w:hAnsi="Times New Roman"/>
          <w:noProof/>
          <w:sz w:val="24"/>
        </w:rPr>
        <w:lastRenderedPageBreak/>
        <w:t>9. Visais</w:t>
      </w:r>
      <w:r>
        <w:rPr>
          <w:rFonts w:ascii="Times New Roman" w:hAnsi="Times New Roman"/>
          <w:noProof/>
          <w:sz w:val="24"/>
        </w:rPr>
        <w:t xml:space="preserve"> atvejais kiekvienai atitikties vertinimo procedūrai vykdyti ir kiekvienos rūšies, kategorijos ar pakategorės IRT produktų ar paslaugų atitikčiai įvertinti atitikties vertinimo įstaiga turi turėti reikalingų:</w:t>
      </w:r>
    </w:p>
    <w:p w:rsidR="002F522A" w:rsidRDefault="003B53DA">
      <w:pPr>
        <w:ind w:left="720"/>
        <w:jc w:val="both"/>
        <w:rPr>
          <w:rFonts w:ascii="Times New Roman" w:hAnsi="Times New Roman" w:cs="Times New Roman"/>
          <w:noProof/>
          <w:sz w:val="24"/>
        </w:rPr>
      </w:pPr>
      <w:r>
        <w:rPr>
          <w:rFonts w:ascii="Times New Roman" w:hAnsi="Times New Roman"/>
          <w:noProof/>
          <w:sz w:val="24"/>
        </w:rPr>
        <w:t>a) darbuotojų, turinčių techninių žinių ir paka</w:t>
      </w:r>
      <w:r>
        <w:rPr>
          <w:rFonts w:ascii="Times New Roman" w:hAnsi="Times New Roman"/>
          <w:noProof/>
          <w:sz w:val="24"/>
        </w:rPr>
        <w:t>nkamos bei tinkamos patirties atitikties vertinimo užduotims atlikti;</w:t>
      </w:r>
    </w:p>
    <w:p w:rsidR="002F522A" w:rsidRDefault="003B53DA">
      <w:pPr>
        <w:ind w:left="720"/>
        <w:jc w:val="both"/>
        <w:rPr>
          <w:rFonts w:ascii="Times New Roman" w:hAnsi="Times New Roman" w:cs="Times New Roman"/>
          <w:noProof/>
          <w:sz w:val="24"/>
        </w:rPr>
      </w:pPr>
      <w:r>
        <w:rPr>
          <w:rFonts w:ascii="Times New Roman" w:hAnsi="Times New Roman"/>
          <w:noProof/>
          <w:sz w:val="24"/>
        </w:rPr>
        <w:t>b) procedūrų, pagal kurias vertinama atitiktis, aprašymų, taip užtikrinant tų procedūrų skaidrumą ir galimybę jas pakartoti. Ji turi taikyti tinkamą politiką ir procedūras, kuriomis užti</w:t>
      </w:r>
      <w:r>
        <w:rPr>
          <w:rFonts w:ascii="Times New Roman" w:hAnsi="Times New Roman"/>
          <w:noProof/>
          <w:sz w:val="24"/>
        </w:rPr>
        <w:t>krinamas užduočių, kurias ji atlieka kaip notifikuotoji įstaiga, ir kitos veiklos atskyrimas;</w:t>
      </w:r>
    </w:p>
    <w:p w:rsidR="002F522A" w:rsidRDefault="003B53DA">
      <w:pPr>
        <w:ind w:left="720"/>
        <w:jc w:val="both"/>
        <w:rPr>
          <w:rFonts w:ascii="Times New Roman" w:hAnsi="Times New Roman" w:cs="Times New Roman"/>
          <w:noProof/>
          <w:sz w:val="24"/>
        </w:rPr>
      </w:pPr>
      <w:r>
        <w:rPr>
          <w:rFonts w:ascii="Times New Roman" w:hAnsi="Times New Roman"/>
          <w:noProof/>
          <w:sz w:val="24"/>
        </w:rPr>
        <w:t>c) procedūrų, pagal kurias ji galėtų vykdyti savo veiklą tinkamai atsižvelgdama į įmonės dydį, jos veiklos sektorių ir struktūrą, atitinkamo IRT produkto ar pasla</w:t>
      </w:r>
      <w:r>
        <w:rPr>
          <w:rFonts w:ascii="Times New Roman" w:hAnsi="Times New Roman"/>
          <w:noProof/>
          <w:sz w:val="24"/>
        </w:rPr>
        <w:t>ugos technologijos sudėtingumo lygį ir į tai, ar gamybos procesas yra masinis, ar serijinis.</w:t>
      </w:r>
    </w:p>
    <w:p w:rsidR="002F522A" w:rsidRDefault="003B53DA">
      <w:pPr>
        <w:jc w:val="both"/>
        <w:rPr>
          <w:rFonts w:ascii="Times New Roman" w:hAnsi="Times New Roman" w:cs="Times New Roman"/>
          <w:noProof/>
          <w:sz w:val="24"/>
        </w:rPr>
      </w:pPr>
      <w:r>
        <w:rPr>
          <w:rFonts w:ascii="Times New Roman" w:hAnsi="Times New Roman"/>
          <w:noProof/>
          <w:sz w:val="24"/>
        </w:rPr>
        <w:t>10. Atitikties vertinimo įstaiga turi turėti reikiamų priemonių su atitikties vertinimo veikla susijusioms techninėms ir administracinėms užduotims tinkamai atlikt</w:t>
      </w:r>
      <w:r>
        <w:rPr>
          <w:rFonts w:ascii="Times New Roman" w:hAnsi="Times New Roman"/>
          <w:noProof/>
          <w:sz w:val="24"/>
        </w:rPr>
        <w:t>i ir galimybę naudotis visa reikiama įranga ir įrenginiais.</w:t>
      </w:r>
    </w:p>
    <w:p w:rsidR="002F522A" w:rsidRDefault="003B53DA">
      <w:pPr>
        <w:jc w:val="both"/>
        <w:rPr>
          <w:rFonts w:ascii="Times New Roman" w:hAnsi="Times New Roman" w:cs="Times New Roman"/>
          <w:noProof/>
          <w:sz w:val="24"/>
        </w:rPr>
      </w:pPr>
      <w:r>
        <w:rPr>
          <w:rFonts w:ascii="Times New Roman" w:hAnsi="Times New Roman"/>
          <w:noProof/>
          <w:sz w:val="24"/>
        </w:rPr>
        <w:t>11. Už atitikties vertinimo veiklos vykdymą atsakingi darbuotojai turi:</w:t>
      </w:r>
    </w:p>
    <w:p w:rsidR="002F522A" w:rsidRDefault="003B53DA">
      <w:pPr>
        <w:ind w:left="720"/>
        <w:jc w:val="both"/>
        <w:rPr>
          <w:rFonts w:ascii="Times New Roman" w:hAnsi="Times New Roman" w:cs="Times New Roman"/>
          <w:noProof/>
          <w:sz w:val="24"/>
        </w:rPr>
      </w:pPr>
      <w:r>
        <w:rPr>
          <w:rFonts w:ascii="Times New Roman" w:hAnsi="Times New Roman"/>
          <w:noProof/>
          <w:sz w:val="24"/>
        </w:rPr>
        <w:t>a)</w:t>
      </w:r>
      <w:r>
        <w:rPr>
          <w:noProof/>
        </w:rPr>
        <w:t xml:space="preserve"> </w:t>
      </w:r>
      <w:r>
        <w:rPr>
          <w:rFonts w:ascii="Times New Roman" w:hAnsi="Times New Roman"/>
          <w:noProof/>
          <w:sz w:val="24"/>
        </w:rPr>
        <w:t>turėti tinkamą techninį ir profesinį parengimą, apimantį visą atitikties vertinimo veiklą;</w:t>
      </w:r>
    </w:p>
    <w:p w:rsidR="002F522A" w:rsidRDefault="003B53DA">
      <w:pPr>
        <w:ind w:left="720"/>
        <w:jc w:val="both"/>
        <w:rPr>
          <w:rFonts w:ascii="Times New Roman" w:hAnsi="Times New Roman" w:cs="Times New Roman"/>
          <w:noProof/>
          <w:sz w:val="24"/>
        </w:rPr>
      </w:pPr>
      <w:r>
        <w:rPr>
          <w:rFonts w:ascii="Times New Roman" w:hAnsi="Times New Roman"/>
          <w:noProof/>
          <w:sz w:val="24"/>
        </w:rPr>
        <w:t>b) pakankamai gerai išmanyti a</w:t>
      </w:r>
      <w:r>
        <w:rPr>
          <w:rFonts w:ascii="Times New Roman" w:hAnsi="Times New Roman"/>
          <w:noProof/>
          <w:sz w:val="24"/>
        </w:rPr>
        <w:t>tliekamo vertinimo reikalavimus ir turėti reikiamus įgaliojimus jį atlikti;</w:t>
      </w:r>
    </w:p>
    <w:p w:rsidR="002F522A" w:rsidRDefault="003B53DA">
      <w:pPr>
        <w:ind w:left="720"/>
        <w:jc w:val="both"/>
        <w:rPr>
          <w:rFonts w:ascii="Times New Roman" w:hAnsi="Times New Roman" w:cs="Times New Roman"/>
          <w:noProof/>
          <w:sz w:val="24"/>
        </w:rPr>
      </w:pPr>
      <w:r>
        <w:rPr>
          <w:rFonts w:ascii="Times New Roman" w:hAnsi="Times New Roman"/>
          <w:noProof/>
          <w:sz w:val="24"/>
        </w:rPr>
        <w:t>c) turėti reikiamų žinių ir išmanyti taikomus reikalavimus ir bandymo standartus;</w:t>
      </w:r>
    </w:p>
    <w:p w:rsidR="002F522A" w:rsidRDefault="003B53DA">
      <w:pPr>
        <w:ind w:left="720"/>
        <w:jc w:val="both"/>
        <w:rPr>
          <w:rFonts w:ascii="Times New Roman" w:hAnsi="Times New Roman" w:cs="Times New Roman"/>
          <w:noProof/>
          <w:sz w:val="24"/>
        </w:rPr>
      </w:pPr>
      <w:r>
        <w:rPr>
          <w:rFonts w:ascii="Times New Roman" w:hAnsi="Times New Roman"/>
          <w:noProof/>
          <w:sz w:val="24"/>
        </w:rPr>
        <w:t>d) turėti gebėjimų rengti sertifikatus, įrašus ir ataskaitas, kuriais patvirtinama, kad vertinimas</w:t>
      </w:r>
      <w:r>
        <w:rPr>
          <w:rFonts w:ascii="Times New Roman" w:hAnsi="Times New Roman"/>
          <w:noProof/>
          <w:sz w:val="24"/>
        </w:rPr>
        <w:t xml:space="preserve"> atliktas.</w:t>
      </w:r>
    </w:p>
    <w:p w:rsidR="002F522A" w:rsidRDefault="003B53DA">
      <w:pPr>
        <w:jc w:val="both"/>
        <w:rPr>
          <w:rFonts w:ascii="Times New Roman" w:hAnsi="Times New Roman" w:cs="Times New Roman"/>
          <w:noProof/>
          <w:sz w:val="24"/>
        </w:rPr>
      </w:pPr>
      <w:r>
        <w:rPr>
          <w:rFonts w:ascii="Times New Roman" w:hAnsi="Times New Roman"/>
          <w:noProof/>
          <w:sz w:val="24"/>
        </w:rPr>
        <w:t>12. Užtikrinamas atitikties vertinimo įstaigų, jų aukščiausio lygio vadovų ir vertinimą atliekančių darbuotojų nešališkumas.</w:t>
      </w:r>
    </w:p>
    <w:p w:rsidR="002F522A" w:rsidRDefault="003B53DA">
      <w:pPr>
        <w:jc w:val="both"/>
        <w:rPr>
          <w:rFonts w:ascii="Times New Roman" w:hAnsi="Times New Roman" w:cs="Times New Roman"/>
          <w:noProof/>
          <w:sz w:val="24"/>
        </w:rPr>
      </w:pPr>
      <w:r>
        <w:rPr>
          <w:rFonts w:ascii="Times New Roman" w:hAnsi="Times New Roman"/>
          <w:noProof/>
          <w:sz w:val="24"/>
        </w:rPr>
        <w:t xml:space="preserve">13. Atitikties vertinimo įstaigos aukščiausio lygio vadovų ir vertinimą atliekančių darbuotojų atlyginimas nepriklauso </w:t>
      </w:r>
      <w:r>
        <w:rPr>
          <w:rFonts w:ascii="Times New Roman" w:hAnsi="Times New Roman"/>
          <w:noProof/>
          <w:sz w:val="24"/>
        </w:rPr>
        <w:t>nuo atliktų vertinimų skaičiaus ar tų vertinimų rezultatų.</w:t>
      </w:r>
    </w:p>
    <w:p w:rsidR="002F522A" w:rsidRDefault="003B53DA">
      <w:pPr>
        <w:jc w:val="both"/>
        <w:rPr>
          <w:rFonts w:ascii="Times New Roman" w:hAnsi="Times New Roman" w:cs="Times New Roman"/>
          <w:noProof/>
          <w:sz w:val="24"/>
        </w:rPr>
      </w:pPr>
      <w:r>
        <w:rPr>
          <w:rFonts w:ascii="Times New Roman" w:hAnsi="Times New Roman"/>
          <w:noProof/>
          <w:sz w:val="24"/>
        </w:rPr>
        <w:t>14. Atitikties vertinimo įstaigos apsidraudžia atsakomybės draudimu, išskyrus atvejus, kai atsakomybę pagal nacionalinės teisės aktus prisiima valstybė arba kai pati valstybė narė tiesiogiai atsako</w:t>
      </w:r>
      <w:r>
        <w:rPr>
          <w:rFonts w:ascii="Times New Roman" w:hAnsi="Times New Roman"/>
          <w:noProof/>
          <w:sz w:val="24"/>
        </w:rPr>
        <w:t xml:space="preserve"> už atitikties vertinimą.</w:t>
      </w:r>
    </w:p>
    <w:p w:rsidR="002F522A" w:rsidRDefault="003B53DA">
      <w:pPr>
        <w:jc w:val="both"/>
        <w:rPr>
          <w:rFonts w:ascii="Times New Roman" w:hAnsi="Times New Roman" w:cs="Times New Roman"/>
          <w:noProof/>
          <w:sz w:val="24"/>
        </w:rPr>
      </w:pPr>
      <w:r>
        <w:rPr>
          <w:rFonts w:ascii="Times New Roman" w:hAnsi="Times New Roman"/>
          <w:noProof/>
          <w:sz w:val="24"/>
        </w:rPr>
        <w:t xml:space="preserve">15. Atitikties vertinimo įstaigos darbuotojai laikosi profesinio slaptumo reikalavimo, taikomo visai informacijai, kurią jie gauna atlikdami užduotis pagal šį reglamentą arba bet kurią nacionalinės teisės aktų nuostatą, kuria jis </w:t>
      </w:r>
      <w:r>
        <w:rPr>
          <w:rFonts w:ascii="Times New Roman" w:hAnsi="Times New Roman"/>
          <w:noProof/>
          <w:sz w:val="24"/>
        </w:rPr>
        <w:t xml:space="preserve">įgyvendinamas, išskyrus atvejus, susijusius su valstybės narės, kurioje vykdoma veikla, kompetentingomis institucijomis. </w:t>
      </w:r>
    </w:p>
    <w:p w:rsidR="002F522A" w:rsidRDefault="003B53DA">
      <w:pPr>
        <w:jc w:val="both"/>
        <w:rPr>
          <w:rFonts w:ascii="Times New Roman" w:hAnsi="Times New Roman" w:cs="Times New Roman"/>
          <w:noProof/>
          <w:sz w:val="24"/>
        </w:rPr>
      </w:pPr>
      <w:r>
        <w:rPr>
          <w:rFonts w:ascii="Times New Roman" w:hAnsi="Times New Roman"/>
          <w:noProof/>
          <w:sz w:val="24"/>
        </w:rPr>
        <w:t>16. Atitikties vertinimo įstaigos atitinka standarto EN ISO/IEC 17065:2012 reikalavimus.</w:t>
      </w:r>
    </w:p>
    <w:p w:rsidR="002F522A" w:rsidRDefault="003B53DA">
      <w:pPr>
        <w:jc w:val="both"/>
        <w:rPr>
          <w:rFonts w:ascii="Times New Roman" w:hAnsi="Times New Roman" w:cs="Times New Roman"/>
          <w:noProof/>
          <w:sz w:val="24"/>
        </w:rPr>
      </w:pPr>
      <w:r>
        <w:rPr>
          <w:rFonts w:ascii="Times New Roman" w:hAnsi="Times New Roman"/>
          <w:noProof/>
          <w:sz w:val="24"/>
        </w:rPr>
        <w:t xml:space="preserve">17. Atitikties vertinimo įstaigos užtikrina, </w:t>
      </w:r>
      <w:r>
        <w:rPr>
          <w:rFonts w:ascii="Times New Roman" w:hAnsi="Times New Roman"/>
          <w:noProof/>
          <w:sz w:val="24"/>
        </w:rPr>
        <w:t>kad atitikčiai vertinti naudojamos laboratorijos atitiktų standarto EN ISO/IEC 17025:2005 reikalavimus.</w:t>
      </w:r>
    </w:p>
    <w:p w:rsidR="002F522A" w:rsidRDefault="002F522A">
      <w:pPr>
        <w:rPr>
          <w:noProof/>
        </w:rPr>
      </w:pPr>
    </w:p>
    <w:sectPr w:rsidR="002F522A" w:rsidSect="003B53DA">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22A" w:rsidRDefault="003B53DA">
      <w:pPr>
        <w:spacing w:after="0" w:line="240" w:lineRule="auto"/>
      </w:pPr>
      <w:r>
        <w:separator/>
      </w:r>
    </w:p>
  </w:endnote>
  <w:endnote w:type="continuationSeparator" w:id="0">
    <w:p w:rsidR="002F522A" w:rsidRDefault="003B5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DA" w:rsidRDefault="003B53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2A" w:rsidRDefault="003B53DA">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DA" w:rsidRDefault="003B53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2A" w:rsidRDefault="002F522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090946"/>
      <w:docPartObj>
        <w:docPartGallery w:val="Page Numbers (Bottom of Page)"/>
        <w:docPartUnique/>
      </w:docPartObj>
    </w:sdtPr>
    <w:sdtEndPr>
      <w:rPr>
        <w:noProof/>
      </w:rPr>
    </w:sdtEndPr>
    <w:sdtContent>
      <w:p w:rsidR="003B53DA" w:rsidRDefault="003B53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F522A" w:rsidRDefault="002F522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2A" w:rsidRDefault="002F5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22A" w:rsidRDefault="003B53DA">
      <w:pPr>
        <w:spacing w:after="0" w:line="240" w:lineRule="auto"/>
      </w:pPr>
      <w:r>
        <w:separator/>
      </w:r>
    </w:p>
  </w:footnote>
  <w:footnote w:type="continuationSeparator" w:id="0">
    <w:p w:rsidR="002F522A" w:rsidRDefault="003B5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DA" w:rsidRDefault="003B53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DA" w:rsidRDefault="003B53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DA" w:rsidRDefault="003B53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2A" w:rsidRDefault="002F522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2A" w:rsidRDefault="002F522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2A" w:rsidRDefault="002F52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prie "/>
    <w:docVar w:name="LW_ANNEX_NBR_FIRST" w:val="1"/>
    <w:docVar w:name="LW_ANNEX_NBR_LAST" w:val="1"/>
    <w:docVar w:name="LW_CONFIDENCE" w:val=" "/>
    <w:docVar w:name="LW_CONST_RESTREINT_UE" w:val="RESTREINT UE"/>
    <w:docVar w:name="LW_CORRIGENDUM" w:val="&lt;UNUSED&gt;"/>
    <w:docVar w:name="LW_COVERPAGE_GUID" w:val="815151C7897945B7AE4B3EB464C633A5"/>
    <w:docVar w:name="LW_CROSSREFERENCE" w:val="{SWD(2017) 500 final}_x000b_{SWD(2017) 501 final}_x000b_{SWD(2017) 502 final}"/>
    <w:docVar w:name="LW_DocType" w:val="NORMAL"/>
    <w:docVar w:name="LW_EMISSION" w:val="2017 09 13"/>
    <w:docVar w:name="LW_EMISSION_ISODATE" w:val="2017-09-13"/>
    <w:docVar w:name="LW_EMISSION_LOCATION" w:val="BRX"/>
    <w:docVar w:name="LW_EMISSION_PREFIX" w:val="Briuselis, "/>
    <w:docVar w:name="LW_EMISSION_SUFFIX" w:val=" "/>
    <w:docVar w:name="LW_ID_DOCTYPE_NONLW" w:val="CP-036"/>
    <w:docVar w:name="LW_LANGUE" w:val="LT"/>
    <w:docVar w:name="LW_MARKING" w:val="&lt;EMPTY&gt;"/>
    <w:docVar w:name="LW_NOM.INST" w:val="EUROPOS KOMISIJA"/>
    <w:docVar w:name="LW_NOM.INST_JOINTDOC" w:val="&lt;EMPTY&gt;"/>
    <w:docVar w:name="LW_OBJETACTEPRINCIPAL.CP" w:val="d\u279?l ES kibernetinio saugumo agent\u363?ros ENISA ir informacini\u371? ir ry\u353?i\u371? technologij\u371? kibernetinio saugumo sertifikavimo, kuriuo panaikinamas Reglamentas (ES) Nr. 526/2013 (Kibernetinio saugumo aktas)"/>
    <w:docVar w:name="LW_PART_NBR" w:val="1"/>
    <w:docVar w:name="LW_PART_NBR_TOTAL" w:val="1"/>
    <w:docVar w:name="LW_REF.INST.NEW" w:val="COM"/>
    <w:docVar w:name="LW_REF.INST.NEW_ADOPTED" w:val="final"/>
    <w:docVar w:name="LW_REF.INST.NEW_TEXT" w:val="(2017) 477"/>
    <w:docVar w:name="LW_REF.INTERNE" w:val="&lt;UNUSED&gt;"/>
    <w:docVar w:name="LW_SUPERTITRE" w:val="&lt;UNUSED&gt;"/>
    <w:docVar w:name="LW_TITRE.OBJ.CP" w:val="&lt;UNUSED&gt;"/>
    <w:docVar w:name="LW_TYPE.DOC.CP" w:val="PRIEDAS_x000b_"/>
    <w:docVar w:name="LW_TYPEACTEPRINCIPAL.CP" w:val="EUROPOS PARLAMENTO IR TARYBOS REGLAMENTO"/>
  </w:docVars>
  <w:rsids>
    <w:rsidRoot w:val="002F522A"/>
    <w:rsid w:val="002F522A"/>
    <w:rsid w:val="003B5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spacing w:before="480" w:after="0" w:line="240" w:lineRule="auto"/>
      <w:jc w:val="center"/>
      <w:outlineLvl w:val="0"/>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lang w:eastAsia="lt-LT"/>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lang w:eastAsia="lt-LT"/>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color w:val="000000"/>
      <w:sz w:val="24"/>
      <w:szCs w:val="24"/>
    </w:rPr>
  </w:style>
  <w:style w:type="character" w:customStyle="1" w:styleId="FooterCoverPageChar">
    <w:name w:val="Footer Cover Page Char"/>
    <w:basedOn w:val="Heading1Char"/>
    <w:link w:val="FooterCoverPage"/>
    <w:rPr>
      <w:rFonts w:ascii="Times New Roman" w:eastAsia="Times New Roman" w:hAnsi="Times New Roman" w:cs="Times New Roman"/>
      <w:b w:val="0"/>
      <w:bCs w:val="0"/>
      <w:color w:val="000000"/>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color w:val="000000"/>
      <w:sz w:val="24"/>
      <w:szCs w:val="24"/>
    </w:rPr>
  </w:style>
  <w:style w:type="character" w:customStyle="1" w:styleId="HeaderCoverPageChar">
    <w:name w:val="Header Cover Page Char"/>
    <w:basedOn w:val="Heading1Char"/>
    <w:link w:val="HeaderCoverPage"/>
    <w:rPr>
      <w:rFonts w:ascii="Times New Roman" w:eastAsia="Times New Roman" w:hAnsi="Times New Roman" w:cs="Times New Roman"/>
      <w:b w:val="0"/>
      <w:bCs w:val="0"/>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lt-L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eastAsia="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spacing w:before="480" w:after="0" w:line="240" w:lineRule="auto"/>
      <w:jc w:val="center"/>
      <w:outlineLvl w:val="0"/>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lang w:eastAsia="lt-LT"/>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lang w:eastAsia="lt-LT"/>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color w:val="000000"/>
      <w:sz w:val="24"/>
      <w:szCs w:val="24"/>
    </w:rPr>
  </w:style>
  <w:style w:type="character" w:customStyle="1" w:styleId="FooterCoverPageChar">
    <w:name w:val="Footer Cover Page Char"/>
    <w:basedOn w:val="Heading1Char"/>
    <w:link w:val="FooterCoverPage"/>
    <w:rPr>
      <w:rFonts w:ascii="Times New Roman" w:eastAsia="Times New Roman" w:hAnsi="Times New Roman" w:cs="Times New Roman"/>
      <w:b w:val="0"/>
      <w:bCs w:val="0"/>
      <w:color w:val="000000"/>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color w:val="000000"/>
      <w:sz w:val="24"/>
      <w:szCs w:val="24"/>
    </w:rPr>
  </w:style>
  <w:style w:type="character" w:customStyle="1" w:styleId="HeaderCoverPageChar">
    <w:name w:val="Header Cover Page Char"/>
    <w:basedOn w:val="Heading1Char"/>
    <w:link w:val="HeaderCoverPage"/>
    <w:rPr>
      <w:rFonts w:ascii="Times New Roman" w:eastAsia="Times New Roman" w:hAnsi="Times New Roman" w:cs="Times New Roman"/>
      <w:b w:val="0"/>
      <w:bCs w:val="0"/>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lt-L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eastAsia="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LEGROS Juliette (CNECT)</dc:creator>
  <cp:lastModifiedBy>WADHWANIA Nadia (MARE-EXT)</cp:lastModifiedBy>
  <cp:revision>10</cp:revision>
  <dcterms:created xsi:type="dcterms:W3CDTF">2017-10-09T08:36:00Z</dcterms:created>
  <dcterms:modified xsi:type="dcterms:W3CDTF">2017-10-11T10:35:00Z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lassification">
    <vt:lpwstr> </vt:lpwstr>
  </property>
</Properties>
</file>