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FC9FC3BABDC414391CB80779D8E6890" style="width:450.8pt;height:422.85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pPr>
        <w:rPr>
          <w:noProof/>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Kommenteeritud kokkuvõte</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b/>
                <w:noProof/>
                <w:sz w:val="20"/>
                <w:szCs w:val="20"/>
              </w:rPr>
            </w:pPr>
            <w:r>
              <w:rPr>
                <w:rFonts w:ascii="Tahoma" w:hAnsi="Tahoma"/>
                <w:noProof/>
                <w:color w:val="FFFFFF" w:themeColor="background1"/>
                <w:sz w:val="20"/>
              </w:rPr>
              <w:t>Mõjuhinnang, milles käsitletakse ettepanekut võtta vastu nõukogu direktiiv, millega muudetakse direktiivi 2006/112/EÜ seoses käibemaksusüsteemi teatavate eeskirjade ühtlustamise ja lihtsustamisega ning võetakse kasutusele liikmesriikidevahelise kaubanduse maksustamise lõplik süsteem</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Vajadus meetmete järele</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Miks? Millist probleemi on vaja lahendada?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Üleminekukord, mis on kehtestatud </w:t>
            </w:r>
            <w:hyperlink r:id="rId19">
              <w:r>
                <w:rPr>
                  <w:rFonts w:ascii="Arial" w:hAnsi="Arial"/>
                  <w:noProof/>
                  <w:color w:val="0000FF"/>
                  <w:sz w:val="20"/>
                  <w:u w:val="single"/>
                </w:rPr>
                <w:t>käibemaksudirektiiviga</w:t>
              </w:r>
            </w:hyperlink>
            <w:r>
              <w:rPr>
                <w:rFonts w:ascii="Arial" w:hAnsi="Arial"/>
                <w:noProof/>
                <w:sz w:val="20"/>
              </w:rPr>
              <w:t xml:space="preserve"> ettevõtjatevaheliste ELi siseste kaubatehingute suhtes, põhjustab i) liikmesriikide tulude vähenemise umbes 50 miljardi euro võrra seoses varifirmadega seotud ühendusesisese pettusega, mille algpõhjus peitub sellisele süsteemile omases nõrkuses, mis võimaldab kaupu piiriüleselt käibemaksuvabalt osta; ii) keerulised tingimused, mis tekitavad piiriülese kaubandusega tegelevatele ettevõtjatele suuremaid kulusid võrreldes ainult riigisisese kaubandusega tegelevate ettevõtjatega (11 % kõrgemad kulud); selle põhjuseks on piiriülese kaubandusega seotud ettevõtjate lisakohustused ja käibemaksueeskirjade erinev kohaldamine liikmesriikides. Ilma ELi tasandi meetmeteta jäävad lahendused ka edaspidi poolikuks ja nendest saadav kasu on piiratud.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Mida selle algatusega loodetakse saavutada?</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ELi-sisese kaubanduse maksustamise lõpliku korra eesmärk on muuta ELi käibemaksusüsteem tugevamaks, kõrvaldades sellele omase nõrkuse, ning lihtsamaks, kaotades selle keerukuse ja tagades ettevõtjatele võrdsed tingimused, olenemata sellest, kas nad osalevad riigisisestes või piiriülestes tehingutes.</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Milline on ELi tasandi meetmete lisaväärtus?</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Oma aja ära elanud üleminekukorra muutmiseks on käibemaksudirektiivi vaja teha muudatused.</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Lahendused</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Milliseid seadusandlikke ja muid kui seadusandlikke poliitikavariante on kaalutud? Kas on olemas eelistatud variant? Miks?</w:t>
            </w:r>
          </w:p>
        </w:tc>
      </w:tr>
      <w:tr>
        <w:tc>
          <w:tcPr>
            <w:tcW w:w="10188" w:type="dxa"/>
            <w:tcBorders>
              <w:bottom w:val="single" w:sz="4" w:space="0" w:color="auto"/>
            </w:tcBorders>
            <w:shd w:val="clear" w:color="auto" w:fill="auto"/>
          </w:tcPr>
          <w:p>
            <w:pPr>
              <w:pStyle w:val="ListParagraph"/>
              <w:numPr>
                <w:ilvl w:val="0"/>
                <w:numId w:val="13"/>
              </w:numPr>
              <w:jc w:val="both"/>
              <w:rPr>
                <w:rFonts w:ascii="Arial" w:hAnsi="Arial" w:cs="Arial"/>
                <w:noProof/>
                <w:sz w:val="20"/>
                <w:szCs w:val="20"/>
              </w:rPr>
            </w:pPr>
            <w:r>
              <w:rPr>
                <w:rFonts w:ascii="Arial" w:hAnsi="Arial"/>
                <w:noProof/>
                <w:sz w:val="20"/>
              </w:rPr>
              <w:t>Variant 1. Kliendid ostavad kaupu piiriüleselt ka edaspidi käibemaksuvabalt, muudatused puudutavad teatavaid tehinguid (käibemaksukohustuslasena registreerimise number ja sertifitseeritud maksukohustuslastele tagatud lihtsustused</w:t>
            </w:r>
            <w:r>
              <w:rPr>
                <w:rStyle w:val="FootnoteReference"/>
                <w:rFonts w:ascii="Arial" w:hAnsi="Arial"/>
                <w:noProof/>
                <w:sz w:val="20"/>
              </w:rPr>
              <w:footnoteReference w:id="2"/>
            </w:r>
            <w:r>
              <w:rPr>
                <w:rFonts w:ascii="Arial" w:hAnsi="Arial"/>
                <w:noProof/>
                <w:sz w:val="20"/>
              </w:rPr>
              <w:t>).</w:t>
            </w:r>
          </w:p>
          <w:p>
            <w:pPr>
              <w:pStyle w:val="ListParagraph"/>
              <w:numPr>
                <w:ilvl w:val="0"/>
                <w:numId w:val="13"/>
              </w:numPr>
              <w:jc w:val="both"/>
              <w:rPr>
                <w:rFonts w:ascii="Arial" w:eastAsia="Times New Roman" w:hAnsi="Arial" w:cs="Arial"/>
                <w:noProof/>
                <w:sz w:val="20"/>
                <w:szCs w:val="20"/>
              </w:rPr>
            </w:pPr>
            <w:r>
              <w:rPr>
                <w:rFonts w:ascii="Arial" w:hAnsi="Arial"/>
                <w:noProof/>
                <w:sz w:val="20"/>
              </w:rPr>
              <w:t>Variant 2. Kauba tarnijad nõuavad klientidelt käibemaksu sisse liikmesriigis, kuhu kaubad saabuvad (välja arvatud sertifitseeritud maksukohustuslaste puhul). Ühe akna süsteem võimaldab ettevõtjatel maksta mis tahes liikmesriigis tasumisele kuuluvat käibemaksu nende koduliikmesriigis.</w:t>
            </w:r>
          </w:p>
          <w:p>
            <w:pPr>
              <w:pStyle w:val="ListParagraph"/>
              <w:numPr>
                <w:ilvl w:val="0"/>
                <w:numId w:val="13"/>
              </w:numPr>
              <w:jc w:val="both"/>
              <w:rPr>
                <w:rFonts w:ascii="Arial" w:eastAsia="Times New Roman" w:hAnsi="Arial" w:cs="Arial"/>
                <w:noProof/>
                <w:sz w:val="20"/>
                <w:szCs w:val="20"/>
              </w:rPr>
            </w:pPr>
            <w:r>
              <w:rPr>
                <w:rFonts w:ascii="Arial" w:hAnsi="Arial"/>
                <w:noProof/>
                <w:sz w:val="20"/>
              </w:rPr>
              <w:t>Variant 3. Olemasoleva süsteemiga kokkusobivad tehnilised muutused (kõrvale jäetud).</w:t>
            </w:r>
          </w:p>
          <w:p>
            <w:pPr>
              <w:pStyle w:val="ListParagraph"/>
              <w:numPr>
                <w:ilvl w:val="0"/>
                <w:numId w:val="13"/>
              </w:numPr>
              <w:jc w:val="both"/>
              <w:rPr>
                <w:rFonts w:ascii="Arial" w:eastAsia="Times New Roman" w:hAnsi="Arial" w:cs="Arial"/>
                <w:noProof/>
                <w:sz w:val="20"/>
                <w:szCs w:val="20"/>
              </w:rPr>
            </w:pPr>
            <w:r>
              <w:rPr>
                <w:rFonts w:ascii="Arial" w:hAnsi="Arial"/>
                <w:noProof/>
                <w:sz w:val="20"/>
              </w:rPr>
              <w:t>Variant 4. Ühtlustamine teenuste suhtes kohaldatavate eeskirjadega.</w:t>
            </w:r>
          </w:p>
          <w:p>
            <w:pPr>
              <w:pStyle w:val="ListParagraph"/>
              <w:numPr>
                <w:ilvl w:val="0"/>
                <w:numId w:val="13"/>
              </w:numPr>
              <w:spacing w:after="120"/>
              <w:jc w:val="both"/>
              <w:rPr>
                <w:rFonts w:ascii="Arial" w:eastAsia="Times New Roman" w:hAnsi="Arial" w:cs="Arial"/>
                <w:noProof/>
                <w:sz w:val="20"/>
                <w:szCs w:val="20"/>
              </w:rPr>
            </w:pPr>
            <w:r>
              <w:rPr>
                <w:rFonts w:ascii="Arial" w:hAnsi="Arial"/>
                <w:noProof/>
                <w:sz w:val="20"/>
              </w:rPr>
              <w:t>Variant 5. Sarnaneb variandile 2, kuid maksustamine toimub kliendi asukohaliikmesriigis.</w:t>
            </w:r>
          </w:p>
          <w:p>
            <w:pPr>
              <w:jc w:val="both"/>
              <w:rPr>
                <w:rFonts w:ascii="Arial" w:hAnsi="Arial" w:cs="Arial"/>
                <w:noProof/>
                <w:sz w:val="20"/>
                <w:szCs w:val="20"/>
              </w:rPr>
            </w:pPr>
            <w:r>
              <w:rPr>
                <w:rFonts w:ascii="Arial" w:hAnsi="Arial"/>
                <w:noProof/>
                <w:sz w:val="20"/>
              </w:rPr>
              <w:t>Eelistatud on variant 2 (tegeldakse pettuse + keerukuse probleemiga) koostoimes variandiga 1, mis võimaldab pehme ülemineku variandile 2.</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Kes millist varianti toetab?</w:t>
            </w:r>
          </w:p>
        </w:tc>
      </w:tr>
      <w:tr>
        <w:tc>
          <w:tcPr>
            <w:tcW w:w="10188" w:type="dxa"/>
            <w:shd w:val="clear" w:color="auto" w:fill="auto"/>
          </w:tcPr>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Liikmesriigid ja ettevõtjad toetavad varianti 1. Selle kõrval võivad liikmesriigid toetada ka varianti 2 ja ettevõtjad variante 4 ja 5.</w:t>
            </w:r>
          </w:p>
          <w:p>
            <w:pPr>
              <w:jc w:val="both"/>
              <w:rPr>
                <w:rFonts w:ascii="Arial" w:hAnsi="Arial" w:cs="Arial"/>
                <w:noProof/>
                <w:sz w:val="20"/>
                <w:szCs w:val="20"/>
              </w:rPr>
            </w:pP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Eelistatud poliitikavariandi mõju</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Millised on eelistatud poliitikavariandi (kui see on olemas, vastasel korral peamiste variantide) eelised?</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Variant 2. Liikmesriik: varifirmadega seotud ühendusesisese pettuse vähenemine 41 miljardi euro võrra.</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Ettevõtjad: nõuete täitmise kulude vähenemine (1 miljardi euro võrra).</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Siseturg: riigisiseste ja piiriüleste kaubatarnete võrdne kohtlemine ning ELi SKP netosumma suurenemine 18,5 miljardit eurot 3 aasta jooksul.</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Variant 1 vähendab nõuete täitmise kulusid ettevõtjate jaoks (0,5 miljardit eurot aastas).</w:t>
            </w:r>
          </w:p>
          <w:p>
            <w:pPr>
              <w:jc w:val="both"/>
              <w:rPr>
                <w:rFonts w:ascii="Arial" w:hAnsi="Arial" w:cs="Arial"/>
                <w:noProof/>
                <w:sz w:val="20"/>
                <w:szCs w:val="20"/>
              </w:rPr>
            </w:pPr>
          </w:p>
          <w:p>
            <w:pPr>
              <w:jc w:val="both"/>
              <w:rPr>
                <w:rFonts w:ascii="Arial" w:hAnsi="Arial" w:cs="Arial"/>
                <w:i/>
                <w:noProof/>
                <w:sz w:val="20"/>
                <w:szCs w:val="20"/>
              </w:rPr>
            </w:pPr>
            <w:r>
              <w:rPr>
                <w:rFonts w:ascii="Arial" w:hAnsi="Arial"/>
                <w:noProof/>
                <w:sz w:val="20"/>
              </w:rPr>
              <w:t>Keskkonna- ja sotsiaalsed mõjud ei ole märkimisväärsed.</w:t>
            </w:r>
          </w:p>
          <w:p>
            <w:pPr>
              <w:jc w:val="both"/>
              <w:rPr>
                <w:rFonts w:ascii="Arial" w:hAnsi="Arial" w:cs="Arial"/>
                <w:i/>
                <w:noProof/>
                <w:sz w:val="20"/>
                <w:szCs w:val="20"/>
              </w:rPr>
            </w:pP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Millised on eelistatud poliitikavariandi (kui see on olemas, vastasel korral peamiste variantide) kulud?</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u w:val="single"/>
              </w:rPr>
            </w:pPr>
          </w:p>
          <w:p>
            <w:pPr>
              <w:jc w:val="both"/>
              <w:rPr>
                <w:rFonts w:ascii="Arial" w:hAnsi="Arial" w:cs="Arial"/>
                <w:noProof/>
                <w:sz w:val="20"/>
                <w:szCs w:val="20"/>
              </w:rPr>
            </w:pPr>
            <w:r>
              <w:rPr>
                <w:rFonts w:ascii="Arial" w:hAnsi="Arial"/>
                <w:noProof/>
                <w:sz w:val="20"/>
              </w:rPr>
              <w:t>Variant 2. Liikmesriik: liikmesriigi halduskulude suurenemine 385 miljoni euro võrra rakendamise aastal ja 311 miljonit eurot järgmistel aastatel.</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Ettevõtjad: teatavate VKEde nõuete täitmise kulu aasta kohta võib kasvada 6 % võrra.</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Variant 1 suurendab liikmesriigi halduskulusid 35 miljoni euro võrra ja ei taga riigisiseste ja piiriüleste kaubatarnete võrdset kohtlemist</w:t>
            </w:r>
          </w:p>
          <w:p>
            <w:pPr>
              <w:jc w:val="both"/>
              <w:rPr>
                <w:rFonts w:ascii="Arial" w:hAnsi="Arial" w:cs="Arial"/>
                <w:noProof/>
                <w:sz w:val="20"/>
                <w:szCs w:val="20"/>
              </w:rPr>
            </w:pPr>
          </w:p>
          <w:p>
            <w:pPr>
              <w:jc w:val="both"/>
              <w:rPr>
                <w:rFonts w:ascii="Arial" w:hAnsi="Arial" w:cs="Arial"/>
                <w:i/>
                <w:noProof/>
                <w:sz w:val="20"/>
                <w:szCs w:val="20"/>
              </w:rPr>
            </w:pPr>
            <w:r>
              <w:rPr>
                <w:rFonts w:ascii="Arial" w:hAnsi="Arial"/>
                <w:noProof/>
                <w:sz w:val="20"/>
              </w:rPr>
              <w:t>Keskkonna- ja sotsiaalsed mõjud ei ole märkimisväärsed.</w:t>
            </w:r>
          </w:p>
          <w:p>
            <w:pPr>
              <w:jc w:val="both"/>
              <w:rPr>
                <w:rFonts w:ascii="Arial" w:hAnsi="Arial" w:cs="Arial"/>
                <w:i/>
                <w:noProof/>
                <w:sz w:val="20"/>
                <w:szCs w:val="20"/>
              </w:rPr>
            </w:pP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Milline on mõju ettevõtjatele, VKEdele ja mikroettevõtjatele? </w:t>
            </w:r>
          </w:p>
        </w:tc>
      </w:tr>
      <w:tr>
        <w:tc>
          <w:tcPr>
            <w:tcW w:w="10188" w:type="dxa"/>
            <w:tcBorders>
              <w:bottom w:val="single" w:sz="4" w:space="0" w:color="auto"/>
            </w:tcBorders>
            <w:shd w:val="clear" w:color="auto" w:fill="auto"/>
          </w:tcPr>
          <w:p>
            <w:pPr>
              <w:pStyle w:val="ListParagraph"/>
              <w:ind w:left="0"/>
              <w:jc w:val="both"/>
              <w:rPr>
                <w:rFonts w:ascii="Arial" w:hAnsi="Arial" w:cs="Arial"/>
                <w:i/>
                <w:noProof/>
                <w:sz w:val="20"/>
                <w:szCs w:val="20"/>
              </w:rPr>
            </w:pPr>
            <w:r>
              <w:rPr>
                <w:rFonts w:ascii="Arial" w:hAnsi="Arial"/>
                <w:noProof/>
                <w:sz w:val="20"/>
              </w:rPr>
              <w:t>Algatus ei näe ette VKEde sooduskohtlemist. See on suunatud kõigi ettevõtjate probleemide lahendamisele. Mikroettevõtjad saavad ka edaspidi kasutada käibemaksust vabastamise kava ja tulevases VKEde lihtsustamispaketis just neile suunatud uusi lihtsustamismeetmeid</w:t>
            </w:r>
            <w:r>
              <w:rPr>
                <w:rStyle w:val="FootnoteReference"/>
                <w:rFonts w:ascii="Arial" w:hAnsi="Arial"/>
                <w:noProof/>
                <w:sz w:val="20"/>
              </w:rPr>
              <w:footnoteReference w:id="3"/>
            </w:r>
            <w:r>
              <w:rPr>
                <w:rFonts w:ascii="Arial" w:hAnsi="Arial"/>
                <w:noProof/>
                <w:sz w:val="20"/>
              </w:rPr>
              <w:t>.</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Kas on ette näha märkimisväärset mõju riigieelarvetele ja ametiasutustele?</w:t>
            </w:r>
          </w:p>
        </w:tc>
      </w:tr>
      <w:tr>
        <w:tc>
          <w:tcPr>
            <w:tcW w:w="10188" w:type="dxa"/>
            <w:shd w:val="clear" w:color="auto" w:fill="auto"/>
          </w:tcPr>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ELi tasandil oodatakse 43 miljardi euro suurust puhaskasu varifirmadega seotud ühendusesiseste pettuste ja rahavoo liikumise vähenemise tõttu, mis kaalub halduskulude suurenemise tugevalt üles.</w:t>
            </w:r>
          </w:p>
          <w:p>
            <w:pPr>
              <w:jc w:val="both"/>
              <w:rPr>
                <w:rFonts w:ascii="Arial" w:hAnsi="Arial" w:cs="Arial"/>
                <w:noProof/>
                <w:sz w:val="20"/>
                <w:szCs w:val="20"/>
              </w:rPr>
            </w:pP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Kas on oodata muud olulist mõju?</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Üleminek uuele süsteemile nõuab liikmesriikidelt ja ettevõtjatelt uute eeskirjadega seotud ümberkorraldusi (rakendamine + kontroll).</w:t>
            </w:r>
          </w:p>
          <w:p>
            <w:pPr>
              <w:jc w:val="both"/>
              <w:rPr>
                <w:rFonts w:ascii="Arial" w:hAnsi="Arial" w:cs="Arial"/>
                <w:noProof/>
                <w:sz w:val="20"/>
                <w:szCs w:val="20"/>
              </w:rPr>
            </w:pP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Järelmeetmed</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Millal poliitika uuesti läbi vaadatakse?</w:t>
            </w:r>
          </w:p>
        </w:tc>
      </w:tr>
      <w:tr>
        <w:tc>
          <w:tcPr>
            <w:tcW w:w="10188" w:type="dxa"/>
            <w:tcBorders>
              <w:bottom w:val="single" w:sz="4" w:space="0" w:color="auto"/>
            </w:tcBorders>
            <w:shd w:val="clear" w:color="auto" w:fill="auto"/>
          </w:tcPr>
          <w:p>
            <w:pPr>
              <w:pStyle w:val="ListParagraph"/>
              <w:ind w:left="0"/>
              <w:jc w:val="both"/>
              <w:rPr>
                <w:rFonts w:ascii="Arial" w:eastAsia="Times New Roman" w:hAnsi="Arial" w:cs="Arial"/>
                <w:noProof/>
                <w:sz w:val="20"/>
                <w:szCs w:val="20"/>
              </w:rPr>
            </w:pPr>
          </w:p>
          <w:p>
            <w:pPr>
              <w:pStyle w:val="ListParagraph"/>
              <w:ind w:left="0"/>
              <w:jc w:val="both"/>
              <w:rPr>
                <w:rFonts w:ascii="Arial" w:eastAsia="Times New Roman" w:hAnsi="Arial" w:cs="Arial"/>
                <w:noProof/>
                <w:sz w:val="20"/>
                <w:szCs w:val="20"/>
              </w:rPr>
            </w:pPr>
            <w:r>
              <w:rPr>
                <w:rFonts w:ascii="Arial" w:hAnsi="Arial"/>
                <w:noProof/>
                <w:sz w:val="20"/>
              </w:rPr>
              <w:t>Järkjärguline rakendamine</w:t>
            </w:r>
          </w:p>
          <w:p>
            <w:pPr>
              <w:pStyle w:val="ListParagraph"/>
              <w:ind w:left="0"/>
              <w:jc w:val="both"/>
              <w:rPr>
                <w:rFonts w:ascii="Arial" w:eastAsia="Times New Roman" w:hAnsi="Arial" w:cs="Arial"/>
                <w:noProof/>
                <w:sz w:val="20"/>
                <w:szCs w:val="20"/>
              </w:rPr>
            </w:pPr>
            <w:r>
              <w:rPr>
                <w:rFonts w:ascii="Arial" w:hAnsi="Arial"/>
                <w:noProof/>
                <w:sz w:val="20"/>
              </w:rPr>
              <w:t>Esimene direktiiv (september 2017): variandi 1 rakendamine („kiired lahendused“ seoses sertifitseeritud maksukohustuslastega) ja variandi 2 nurgakivide kasutuselevõtt.</w:t>
            </w:r>
          </w:p>
          <w:p>
            <w:pPr>
              <w:pStyle w:val="ListParagraph"/>
              <w:ind w:left="0"/>
              <w:jc w:val="both"/>
              <w:rPr>
                <w:rFonts w:ascii="Arial" w:eastAsia="Times New Roman" w:hAnsi="Arial" w:cs="Arial"/>
                <w:noProof/>
                <w:sz w:val="20"/>
                <w:szCs w:val="20"/>
              </w:rPr>
            </w:pPr>
            <w:r>
              <w:rPr>
                <w:rFonts w:ascii="Arial" w:hAnsi="Arial"/>
                <w:noProof/>
                <w:sz w:val="20"/>
              </w:rPr>
              <w:t>Teine direktiiv (2018): variandi 2 täielik rakendamine.</w:t>
            </w:r>
          </w:p>
          <w:p>
            <w:pPr>
              <w:pStyle w:val="ListParagraph"/>
              <w:ind w:left="0"/>
              <w:jc w:val="both"/>
              <w:rPr>
                <w:rFonts w:ascii="Arial" w:eastAsia="Times New Roman" w:hAnsi="Arial" w:cs="Arial"/>
                <w:noProof/>
                <w:sz w:val="20"/>
                <w:szCs w:val="20"/>
              </w:rPr>
            </w:pPr>
            <w:r>
              <w:rPr>
                <w:rFonts w:ascii="Arial" w:hAnsi="Arial"/>
                <w:noProof/>
                <w:sz w:val="20"/>
              </w:rPr>
              <w:t>Järelevalve (nt sertifitseeritud maksukohustuslaste arv, rakendamise küsimused) käibemaksukomitee, käibemaksu tulevikku käsitleva töörühma ja käibemaksu eksperdirühma kaudu.</w:t>
            </w:r>
          </w:p>
          <w:p>
            <w:pPr>
              <w:pStyle w:val="ListParagraph"/>
              <w:ind w:left="0"/>
              <w:jc w:val="both"/>
              <w:rPr>
                <w:rFonts w:ascii="Tahoma" w:hAnsi="Tahoma" w:cs="Tahoma"/>
                <w:noProof/>
                <w:sz w:val="20"/>
                <w:szCs w:val="20"/>
              </w:rPr>
            </w:pPr>
            <w:r>
              <w:rPr>
                <w:rFonts w:ascii="Arial" w:hAnsi="Arial"/>
                <w:noProof/>
                <w:sz w:val="20"/>
              </w:rPr>
              <w:t>Hindamine: viis aastat pärast teise direktiivi jõustumist.</w:t>
            </w:r>
          </w:p>
        </w:tc>
      </w:tr>
    </w:tbl>
    <w:p>
      <w:pPr>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851" w:right="1134" w:bottom="851" w:left="1134"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pPr>
      <w:r>
        <w:rPr>
          <w:rStyle w:val="FootnoteReference"/>
        </w:rPr>
        <w:footnoteRef/>
      </w:r>
      <w:r>
        <w:t xml:space="preserve"> Sertifitseeritud maksukohustuslane on ettevõtja, keda maksuhaldur tunnustab kui „usaldusväärset maksumaksjat“. </w:t>
      </w:r>
    </w:p>
  </w:footnote>
  <w:footnote w:id="3">
    <w:p>
      <w:pPr>
        <w:pStyle w:val="FootnoteText"/>
      </w:pPr>
      <w:r>
        <w:rPr>
          <w:rStyle w:val="FootnoteReference"/>
        </w:rPr>
        <w:footnoteRef/>
      </w:r>
      <w:r>
        <w:t xml:space="preserve"> Komisjoni tegevuskava (</w:t>
      </w:r>
      <w:hyperlink r:id="rId1">
        <w:r>
          <w:rPr>
            <w:rStyle w:val="Hyperlink"/>
          </w:rPr>
          <w:t>COM(2016) 148 final</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884"/>
    <w:multiLevelType w:val="hybridMultilevel"/>
    <w:tmpl w:val="24F40AC6"/>
    <w:lvl w:ilvl="0" w:tplc="08090003">
      <w:start w:val="1"/>
      <w:numFmt w:val="bullet"/>
      <w:lvlText w:val="o"/>
      <w:lvlJc w:val="left"/>
      <w:pPr>
        <w:ind w:left="2520" w:hanging="360"/>
      </w:pPr>
      <w:rPr>
        <w:rFonts w:ascii="Courier New" w:hAnsi="Courier New" w:cs="Courier New" w:hint="default"/>
      </w:rPr>
    </w:lvl>
    <w:lvl w:ilvl="1" w:tplc="1E18E6C8">
      <w:start w:val="1"/>
      <w:numFmt w:val="bullet"/>
      <w:lvlText w:val="-"/>
      <w:lvlJc w:val="center"/>
      <w:pPr>
        <w:ind w:left="3240" w:hanging="360"/>
      </w:pPr>
      <w:rPr>
        <w:rFonts w:ascii="Calibri" w:hAnsi="Calibri"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nsid w:val="04C350F9"/>
    <w:multiLevelType w:val="hybridMultilevel"/>
    <w:tmpl w:val="37DA3042"/>
    <w:lvl w:ilvl="0" w:tplc="8988A7F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518CF"/>
    <w:multiLevelType w:val="hybridMultilevel"/>
    <w:tmpl w:val="E9A2B430"/>
    <w:lvl w:ilvl="0" w:tplc="1E18E6C8">
      <w:start w:val="1"/>
      <w:numFmt w:val="bullet"/>
      <w:lvlText w:val="-"/>
      <w:lvlJc w:val="center"/>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71B59"/>
    <w:multiLevelType w:val="hybridMultilevel"/>
    <w:tmpl w:val="BE322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6D5507"/>
    <w:multiLevelType w:val="hybridMultilevel"/>
    <w:tmpl w:val="159EC320"/>
    <w:lvl w:ilvl="0" w:tplc="3E86137A">
      <w:start w:val="1"/>
      <w:numFmt w:val="bullet"/>
      <w:lvlText w:val=""/>
      <w:lvlJc w:val="left"/>
      <w:pPr>
        <w:ind w:left="720" w:hanging="360"/>
      </w:pPr>
      <w:rPr>
        <w:rFonts w:ascii="Symbol" w:hAnsi="Symbol" w:hint="default"/>
        <w:lang w:val="sv-S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AD1A8E"/>
    <w:multiLevelType w:val="hybridMultilevel"/>
    <w:tmpl w:val="E0BE6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DC00AC"/>
    <w:multiLevelType w:val="hybridMultilevel"/>
    <w:tmpl w:val="CC289BEE"/>
    <w:lvl w:ilvl="0" w:tplc="1E18E6C8">
      <w:start w:val="1"/>
      <w:numFmt w:val="bullet"/>
      <w:lvlText w:val="-"/>
      <w:lvlJc w:val="center"/>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445378"/>
    <w:multiLevelType w:val="hybridMultilevel"/>
    <w:tmpl w:val="F96EA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9602A27"/>
    <w:multiLevelType w:val="hybridMultilevel"/>
    <w:tmpl w:val="A17812CC"/>
    <w:lvl w:ilvl="0" w:tplc="1E18E6C8">
      <w:start w:val="1"/>
      <w:numFmt w:val="bullet"/>
      <w:lvlText w:val="-"/>
      <w:lvlJc w:val="center"/>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DB3DDE"/>
    <w:multiLevelType w:val="hybridMultilevel"/>
    <w:tmpl w:val="7972913A"/>
    <w:lvl w:ilvl="0" w:tplc="1E18E6C8">
      <w:start w:val="1"/>
      <w:numFmt w:val="bullet"/>
      <w:lvlText w:val="-"/>
      <w:lvlJc w:val="center"/>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4C5961"/>
    <w:multiLevelType w:val="hybridMultilevel"/>
    <w:tmpl w:val="7F0C8B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2732DAC"/>
    <w:multiLevelType w:val="hybridMultilevel"/>
    <w:tmpl w:val="37DA3042"/>
    <w:lvl w:ilvl="0" w:tplc="8988A7F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C85614"/>
    <w:multiLevelType w:val="hybridMultilevel"/>
    <w:tmpl w:val="EE1C5694"/>
    <w:lvl w:ilvl="0" w:tplc="1E18E6C8">
      <w:start w:val="1"/>
      <w:numFmt w:val="bullet"/>
      <w:lvlText w:val="-"/>
      <w:lvlJc w:val="center"/>
      <w:pPr>
        <w:ind w:left="1440" w:hanging="360"/>
      </w:pPr>
      <w:rPr>
        <w:rFonts w:ascii="Calibri" w:hAnsi="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32007D9"/>
    <w:multiLevelType w:val="hybridMultilevel"/>
    <w:tmpl w:val="651A267C"/>
    <w:lvl w:ilvl="0" w:tplc="1E18E6C8">
      <w:start w:val="1"/>
      <w:numFmt w:val="bullet"/>
      <w:lvlText w:val="-"/>
      <w:lvlJc w:val="center"/>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6E4908"/>
    <w:multiLevelType w:val="hybridMultilevel"/>
    <w:tmpl w:val="37DA3042"/>
    <w:lvl w:ilvl="0" w:tplc="8988A7F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7058D5"/>
    <w:multiLevelType w:val="hybridMultilevel"/>
    <w:tmpl w:val="7E66AF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8903B6"/>
    <w:multiLevelType w:val="hybridMultilevel"/>
    <w:tmpl w:val="07DA8D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311CB6"/>
    <w:multiLevelType w:val="hybridMultilevel"/>
    <w:tmpl w:val="3EB2B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7"/>
  </w:num>
  <w:num w:numId="4">
    <w:abstractNumId w:val="4"/>
  </w:num>
  <w:num w:numId="5">
    <w:abstractNumId w:val="5"/>
  </w:num>
  <w:num w:numId="6">
    <w:abstractNumId w:val="0"/>
  </w:num>
  <w:num w:numId="7">
    <w:abstractNumId w:val="12"/>
  </w:num>
  <w:num w:numId="8">
    <w:abstractNumId w:val="6"/>
  </w:num>
  <w:num w:numId="9">
    <w:abstractNumId w:val="17"/>
  </w:num>
  <w:num w:numId="10">
    <w:abstractNumId w:val="2"/>
  </w:num>
  <w:num w:numId="11">
    <w:abstractNumId w:val="15"/>
  </w:num>
  <w:num w:numId="12">
    <w:abstractNumId w:val="8"/>
  </w:num>
  <w:num w:numId="13">
    <w:abstractNumId w:val="9"/>
  </w:num>
  <w:num w:numId="14">
    <w:abstractNumId w:val="10"/>
  </w:num>
  <w:num w:numId="15">
    <w:abstractNumId w:val="3"/>
  </w:num>
  <w:num w:numId="16">
    <w:abstractNumId w:val="11"/>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Lisatud dokumendile:"/>
    <w:docVar w:name="LW_CONFIDENCE" w:val=" "/>
    <w:docVar w:name="LW_CONST_RESTREINT_UE" w:val="RESTREINT UE"/>
    <w:docVar w:name="LW_CORRIGENDUM" w:val="&lt;UNUSED&gt;"/>
    <w:docVar w:name="LW_COVERPAGE_GUID" w:val="3FC9FC3BABDC414391CB80779D8E6890"/>
    <w:docVar w:name="LW_CROSSREFERENCE" w:val="{COM(2017) 569 final}_x000b_{SWD(2017) 325 final}"/>
    <w:docVar w:name="LW_DocType" w:val="NORMAL"/>
    <w:docVar w:name="LW_EMISSION" w:val="4.10.2017"/>
    <w:docVar w:name="LW_EMISSION_ISODATE" w:val="2017-10-04"/>
    <w:docVar w:name="LW_EMISSION_LOCATION" w:val="BRX"/>
    <w:docVar w:name="LW_EMISSION_PREFIX" w:val="Brüssel,"/>
    <w:docVar w:name="LW_EMISSION_SUFFIX" w:val=" "/>
    <w:docVar w:name="LW_ID_DOCTYPE_NONLW" w:val="CP-027"/>
    <w:docVar w:name="LW_LANGUE" w:val="ET"/>
    <w:docVar w:name="LW_MARKING" w:val="&lt;UNUSED&gt;"/>
    <w:docVar w:name="LW_NOM.INST" w:val="EUROOPA KOMISJON"/>
    <w:docVar w:name="LW_NOM.INST_JOINTDOC" w:val="&lt;EMPTY&gt;"/>
    <w:docVar w:name="LW_OBJETACTEPRINCIPAL.CP" w:val="millega muudetakse direktiivi 2006/112/EÜ seoses käibemaksusüsteemi teatavate eeskirjade ühtlustamise ja lihtsustamisega ning võetakse kasutusele liikmesriikidevahelise kaubanduse maksustamise lõplik süsteem"/>
    <w:docVar w:name="LW_PART_NBR" w:val="1"/>
    <w:docVar w:name="LW_PART_NBR_TOTAL" w:val="1"/>
    <w:docVar w:name="LW_REF.INST.NEW" w:val="SWD"/>
    <w:docVar w:name="LW_REF.INST.NEW_ADOPTED" w:val="final"/>
    <w:docVar w:name="LW_REF.INST.NEW_TEXT" w:val="(2017) 326"/>
    <w:docVar w:name="LW_REF.INTERNE" w:val="&lt;UNUSED&gt;"/>
    <w:docVar w:name="LW_SUPERTITRE" w:val="&lt;UNUSED&gt;"/>
    <w:docVar w:name="LW_TITRE.OBJ.CP" w:val="&lt;UNUSED&gt;"/>
    <w:docVar w:name="LW_TYPE.DOC.CP" w:val="KOMISJONI TALITUSTE TÖÖDOKUMENT_x000b__x000b_MÕJUHINNANGU KOMMENTEERITUD KOKKUVÕTE_x000b_"/>
    <w:docVar w:name="LW_TYPEACTEPRINCIPAL.CP" w:val="Ettepanek: nõukogu direktiiv,"/>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t-E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t-EE"/>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t-EE"/>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t-EE"/>
    </w:rPr>
  </w:style>
  <w:style w:type="character" w:styleId="FootnoteReference">
    <w:name w:val="footnote reference"/>
    <w:basedOn w:val="DefaultParagraphFont"/>
    <w:uiPriority w:val="99"/>
    <w:semiHidden/>
    <w:unhideWhenUsed/>
    <w:rPr>
      <w:vertAlign w:val="superscript"/>
    </w:rPr>
  </w:style>
  <w:style w:type="table" w:customStyle="1" w:styleId="MediumGrid3-Accent51">
    <w:name w:val="Medium Grid 3 - Accent 51"/>
    <w:basedOn w:val="TableNormal"/>
    <w:next w:val="MediumGrid3-Accent5"/>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t-E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t-EE"/>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t-EE"/>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t-EE"/>
    </w:rPr>
  </w:style>
  <w:style w:type="character" w:styleId="FootnoteReference">
    <w:name w:val="footnote reference"/>
    <w:basedOn w:val="DefaultParagraphFont"/>
    <w:uiPriority w:val="99"/>
    <w:semiHidden/>
    <w:unhideWhenUsed/>
    <w:rPr>
      <w:vertAlign w:val="superscript"/>
    </w:rPr>
  </w:style>
  <w:style w:type="table" w:customStyle="1" w:styleId="MediumGrid3-Accent51">
    <w:name w:val="Medium Grid 3 - Accent 51"/>
    <w:basedOn w:val="TableNormal"/>
    <w:next w:val="MediumGrid3-Accent5"/>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eur-lex.europa.eu/legal-content/ET/TXT/PDF/?uri=CELEX:02006L0112-20150101&amp;from=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T/TXT/PDF/?uri=CELEX:52016DC0148&amp;from=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D4CDFEEBEDF764FAB126859C09062E8" ma:contentTypeVersion="1" ma:contentTypeDescription="Create a new document in this library." ma:contentTypeScope="" ma:versionID="5008c6496899bed68a2b3cc65a3af05f">
  <xsd:schema xmlns:xsd="http://www.w3.org/2001/XMLSchema" xmlns:xs="http://www.w3.org/2001/XMLSchema" xmlns:p="http://schemas.microsoft.com/office/2006/metadata/properties" xmlns:ns3="bdf60e78-a03e-437e-9717-7369c04d4e42" targetNamespace="http://schemas.microsoft.com/office/2006/metadata/properties" ma:root="true" ma:fieldsID="2238814e938f334923e4ada7bea32c07" ns3:_="">
    <xsd:import namespace="bdf60e78-a03e-437e-9717-7369c04d4e42"/>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60e78-a03e-437e-9717-7369c04d4e4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bdf60e78-a03e-437e-9717-7369c04d4e42" xsi:nil="true"/>
    <EC_Collab_DocumentLanguage xmlns="bdf60e78-a03e-437e-9717-7369c04d4e42">EN</EC_Collab_DocumentLanguage>
    <EC_Collab_Status xmlns="bdf60e78-a03e-437e-9717-7369c04d4e42">Not Started</EC_Collab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97851805-9F07-40C4-B40D-72DC87290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60e78-a03e-437e-9717-7369c04d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bdf60e78-a03e-437e-9717-7369c04d4e42"/>
    <ds:schemaRef ds:uri="http://purl.org/dc/elements/1.1/"/>
  </ds:schemaRefs>
</ds:datastoreItem>
</file>

<file path=customXml/itemProps4.xml><?xml version="1.0" encoding="utf-8"?>
<ds:datastoreItem xmlns:ds="http://schemas.openxmlformats.org/officeDocument/2006/customXml" ds:itemID="{7BB4396C-815E-49FE-AB2F-1F02CD1C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640</Words>
  <Characters>4892</Characters>
  <Application>Microsoft Office Word</Application>
  <DocSecurity>0</DocSecurity>
  <Lines>97</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22</cp:revision>
  <cp:lastPrinted>2017-09-26T10:20:00Z</cp:lastPrinted>
  <dcterms:created xsi:type="dcterms:W3CDTF">2017-10-02T11:58:00Z</dcterms:created>
  <dcterms:modified xsi:type="dcterms:W3CDTF">2017-10-16T07:25:00Z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NewReviewCycle">
    <vt:lpwstr/>
  </property>
  <property fmtid="{D5CDD505-2E9C-101B-9397-08002B2CF9AE}" pid="10" name="ContentTypeId">
    <vt:lpwstr>0x010100258AA79CEB83498886A3A0868112325000CD4CDFEEBEDF764FAB126859C09062E8</vt:lpwstr>
  </property>
  <property fmtid="{D5CDD505-2E9C-101B-9397-08002B2CF9AE}" pid="11" name="TemplateUrl">
    <vt:lpwstr/>
  </property>
</Properties>
</file>