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35A01508ECF411FA711E6BCB5402D64" style="width:450.75pt;height:422.2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Resumé</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Konsekvensanalyse af forslaget til Rådets direktiv om ændring af direktiv 2006/112/EF for så vidt angår harmonisering og forenkling af visse regler i det fælles merværdiafgiftssystem og om indførelse af det endelige system for beskatning af samhandelen mellem medlemsstaterne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for handling</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Hvorfor? Hvad er problemstillingen? </w:t>
            </w:r>
          </w:p>
        </w:tc>
      </w:tr>
      <w:tr>
        <w:tc>
          <w:tcPr>
            <w:tcW w:w="10188" w:type="dxa"/>
            <w:tcBorders>
              <w:bottom w:val="single" w:sz="4" w:space="0" w:color="auto"/>
            </w:tcBorders>
            <w:shd w:val="clear" w:color="auto" w:fill="auto"/>
          </w:tcPr>
          <w:p>
            <w:pPr>
              <w:jc w:val="both"/>
              <w:rPr>
                <w:rFonts w:ascii="Arial" w:hAnsi="Arial" w:cs="Arial"/>
                <w:noProof/>
                <w:sz w:val="20"/>
                <w:szCs w:val="20"/>
              </w:rPr>
            </w:pPr>
            <w:hyperlink r:id="rId19">
              <w:r>
                <w:rPr>
                  <w:rFonts w:ascii="Arial" w:hAnsi="Arial"/>
                  <w:noProof/>
                  <w:color w:val="0000FF"/>
                  <w:sz w:val="20"/>
                  <w:u w:val="single"/>
                </w:rPr>
                <w:t>Momsdirektivets</w:t>
              </w:r>
            </w:hyperlink>
            <w:r>
              <w:rPr>
                <w:noProof/>
              </w:rPr>
              <w:t xml:space="preserve"> </w:t>
            </w:r>
            <w:r>
              <w:rPr>
                <w:rFonts w:ascii="Arial" w:hAnsi="Arial"/>
                <w:noProof/>
                <w:sz w:val="20"/>
              </w:rPr>
              <w:t xml:space="preserve">overgangsordninger for varetransaktioner mellem virksomheder inden for EU medfører i) indtægtstab for medlemsstaterne på omkring 50 mia. EUR på grund af MTIC-svig (missing trader intra-Community fraud), som skyldes de indgroede svagheder ved et sådant system, der giver mulighed for momsfrit at købe varer på tværs af grænserne, samt ii) overdreven kompleksitet, der medfører øgede omkostninger for virksomheder, som handler på tværs af grænserne, sammenlignet med virksomheder, der kun handler på nationalt plan (11 % højere), på grund af de ekstra forpligtelser, der påhviler førstnævnte, samt af medlemsstaternes uensartede anvendelse af momsreglerne. Uden tiltag på EU-niveau, vil medlemsstaterne fortsat finde hver deres løsninger med begrænset virkning.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resultater forventes der af initiativet?</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 endelige ordninger for beskatning af samhandelen inden for EU skal gøre EU's momssystem mere solidt ved at rette op på de indgroede svagheder og mere enkelt ved at løsne op for kompleksiteten, og formålet er at skabe mere lige vilkår for virksomhederne, uanset om de beskæftiger sig med indenrigs- eller grænseoverskridende handel.</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Hvad er merværdien ved at handle på EU-plan?</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Det er nødvendigt at ændre momsdirektivet for at ændre overgangsordningerne, som har nået deres grænse.</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Løsninger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Hvilke lovgivningsmæssige og ikkelovgivningsmæssige løsninger er overvejet? Foretrækkes en bestemt løsning frem for andre? Hvorfor?</w:t>
            </w:r>
          </w:p>
        </w:tc>
      </w:tr>
      <w:tr>
        <w:tc>
          <w:tcPr>
            <w:tcW w:w="10188" w:type="dxa"/>
            <w:tcBorders>
              <w:bottom w:val="single" w:sz="4" w:space="0" w:color="auto"/>
            </w:tcBorders>
            <w:shd w:val="clear" w:color="auto" w:fill="auto"/>
          </w:tcPr>
          <w:p>
            <w:pPr>
              <w:pStyle w:val="ListParagraph"/>
              <w:numPr>
                <w:ilvl w:val="0"/>
                <w:numId w:val="13"/>
              </w:numPr>
              <w:jc w:val="both"/>
              <w:rPr>
                <w:rFonts w:ascii="Arial" w:hAnsi="Arial" w:cs="Arial"/>
                <w:noProof/>
                <w:sz w:val="20"/>
                <w:szCs w:val="20"/>
              </w:rPr>
            </w:pPr>
            <w:r>
              <w:rPr>
                <w:rFonts w:ascii="Arial" w:hAnsi="Arial"/>
                <w:noProof/>
                <w:sz w:val="20"/>
              </w:rPr>
              <w:t>Løsningsmodel 1: Kunderne køber fortsat varer på tværs af grænserne uden at svare moms, men ændringerne påvirker bestemte transaktioner (momsregistreringsnummer og forenklinger for godkendte afgiftspligtige personer</w:t>
            </w:r>
            <w:r>
              <w:rPr>
                <w:rStyle w:val="FootnoteReference"/>
                <w:rFonts w:ascii="Arial" w:hAnsi="Arial"/>
                <w:noProof/>
                <w:sz w:val="20"/>
              </w:rPr>
              <w:footnoteReference w:id="2"/>
            </w:r>
            <w:r>
              <w:rPr>
                <w:rFonts w:ascii="Arial" w:hAnsi="Arial"/>
                <w:noProof/>
                <w:sz w:val="20"/>
              </w:rPr>
              <w:t>).</w:t>
            </w:r>
          </w:p>
          <w:p>
            <w:pPr>
              <w:pStyle w:val="ListParagraph"/>
              <w:numPr>
                <w:ilvl w:val="0"/>
                <w:numId w:val="13"/>
              </w:numPr>
              <w:jc w:val="both"/>
              <w:rPr>
                <w:rFonts w:ascii="Arial" w:eastAsia="Times New Roman" w:hAnsi="Arial" w:cs="Arial"/>
                <w:noProof/>
                <w:sz w:val="20"/>
                <w:szCs w:val="20"/>
              </w:rPr>
            </w:pPr>
            <w:r>
              <w:rPr>
                <w:rFonts w:ascii="Arial" w:hAnsi="Arial"/>
                <w:noProof/>
                <w:sz w:val="20"/>
              </w:rPr>
              <w:t>Løsningsmodel 2: Leverandørerne opkræver moms i den medlemsstat, som varerne ankommer til (undtagen for godkendte afgiftspligtige personer). Virksomhederne kan ved hjælp af en one-stop-shop betale den moms, de skal betale i en given medlemsstat, i deres egen medlemsstat.</w:t>
            </w:r>
          </w:p>
          <w:p>
            <w:pPr>
              <w:pStyle w:val="ListParagraph"/>
              <w:numPr>
                <w:ilvl w:val="0"/>
                <w:numId w:val="13"/>
              </w:numPr>
              <w:jc w:val="both"/>
              <w:rPr>
                <w:rFonts w:ascii="Arial" w:eastAsia="Times New Roman" w:hAnsi="Arial" w:cs="Arial"/>
                <w:noProof/>
                <w:sz w:val="20"/>
                <w:szCs w:val="20"/>
              </w:rPr>
            </w:pPr>
            <w:r>
              <w:rPr>
                <w:rFonts w:ascii="Arial" w:hAnsi="Arial"/>
                <w:noProof/>
                <w:sz w:val="20"/>
              </w:rPr>
              <w:t>Løsningsmodel 3: Tekniske ændringer svarende til det nuværende system (kasseret).</w:t>
            </w:r>
          </w:p>
          <w:p>
            <w:pPr>
              <w:pStyle w:val="ListParagraph"/>
              <w:numPr>
                <w:ilvl w:val="0"/>
                <w:numId w:val="13"/>
              </w:numPr>
              <w:jc w:val="both"/>
              <w:rPr>
                <w:rFonts w:ascii="Arial" w:eastAsia="Times New Roman" w:hAnsi="Arial" w:cs="Arial"/>
                <w:noProof/>
                <w:sz w:val="20"/>
                <w:szCs w:val="20"/>
              </w:rPr>
            </w:pPr>
            <w:r>
              <w:rPr>
                <w:rFonts w:ascii="Arial" w:hAnsi="Arial"/>
                <w:noProof/>
                <w:sz w:val="20"/>
              </w:rPr>
              <w:t>Løsningsmodel 4: Ensretning efter reglerne for tjenesteydelser.</w:t>
            </w:r>
          </w:p>
          <w:p>
            <w:pPr>
              <w:pStyle w:val="ListParagraph"/>
              <w:numPr>
                <w:ilvl w:val="0"/>
                <w:numId w:val="13"/>
              </w:numPr>
              <w:spacing w:after="120"/>
              <w:jc w:val="both"/>
              <w:rPr>
                <w:rFonts w:ascii="Arial" w:eastAsia="Times New Roman" w:hAnsi="Arial" w:cs="Arial"/>
                <w:noProof/>
                <w:sz w:val="20"/>
                <w:szCs w:val="20"/>
              </w:rPr>
            </w:pPr>
            <w:r>
              <w:rPr>
                <w:rFonts w:ascii="Arial" w:hAnsi="Arial"/>
                <w:noProof/>
                <w:sz w:val="20"/>
              </w:rPr>
              <w:t>Løsningsmodel 5: Svarer til løsningsmodel 2, men afgiften opkræves i den medlemsstat, hvor kunden er etableret.</w:t>
            </w:r>
          </w:p>
          <w:p>
            <w:pPr>
              <w:jc w:val="both"/>
              <w:rPr>
                <w:rFonts w:ascii="Arial" w:hAnsi="Arial" w:cs="Arial"/>
                <w:noProof/>
                <w:sz w:val="20"/>
                <w:szCs w:val="20"/>
              </w:rPr>
            </w:pPr>
            <w:r>
              <w:rPr>
                <w:rFonts w:ascii="Arial" w:hAnsi="Arial"/>
                <w:noProof/>
                <w:sz w:val="20"/>
              </w:rPr>
              <w:t>Løsningsmodel 2 er den foretrukne løsning (den løser både problemerne mht. svig og kompleksitet) kombineret med løsningsmodel 1, som giver mulighed for en blød overgang til løsningsmodel 2.</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Hvem støtter hvilken løsning?</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Medlemsstaterne og virksomhederne støtter løsning 1. Medlemsstaterne kunne desuden tilslutte sig løsningsmodel 2 og virksomhederne løsningsmodel 4 og 5.</w:t>
            </w:r>
          </w:p>
          <w:p>
            <w:pPr>
              <w:jc w:val="both"/>
              <w:rPr>
                <w:rFonts w:ascii="Arial" w:hAnsi="Arial" w:cs="Arial"/>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Den foretrukne løsnings virkninger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fordele er der ved den foretrukne løsning (hvis en bestemt løsning foretrækkes – ellers fordelene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Løsningsmodel 2: Medlemsstaterne: en reduktion af MTIC-svig med 41 mia. EUR.</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Virksomhederne: en reduktion af efterlevelsesomkostningerne (1 mia. EUR).</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Det indre marked: ligebehandling af indenrigs- og grænseoverskridende levering af varer og en nettostigning i EU's BNP på 18,5 mia. EUR over en periode på 3 år.</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Løsningsmodel 1 reducerer efterlevelsesomkostningerne for virksomhederne (0,5 mia. EUR årligt).</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Initiativet har begrænsede miljø- og samfundsmæssige indvirkninger.</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omkostninger er der ved den foretrukne løsning (hvis en bestemt løsning foretrækkes – ellers omkostningerne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u w:val="single"/>
              </w:rPr>
            </w:pPr>
          </w:p>
          <w:p>
            <w:pPr>
              <w:jc w:val="both"/>
              <w:rPr>
                <w:rFonts w:ascii="Arial" w:hAnsi="Arial" w:cs="Arial"/>
                <w:noProof/>
                <w:sz w:val="20"/>
                <w:szCs w:val="20"/>
              </w:rPr>
            </w:pPr>
            <w:r>
              <w:rPr>
                <w:rFonts w:ascii="Arial" w:hAnsi="Arial"/>
                <w:noProof/>
                <w:sz w:val="20"/>
              </w:rPr>
              <w:t>Løsningsmodel 2: Medlemsstaterne: stigning i de administrative omkostninger med 385 mio. EUR i implementeringsåret og 311 mio. EUR i de efterfølgende år.</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Virksomhederne: nogle små og mellemstore virksomheder vil kunne opleve en stigning i de årlige efterlevelsesomkostninger på 6 %.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Løsningsmodel 1 øger medlemsstaternes administrative omkostninger med 35 mio. EUR, men sikrer ikke ligebehandling af indenrigs- og grænseoverskridende levering af varer.</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Initiativet har begrænsede miljø- og samfundsmæssige indvirkninger.</w:t>
            </w:r>
          </w:p>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Hvordan påvirker den foretrukne løsning virksomhederne, herunder de små og mellemstore virksomheder og mikrovirksomhederne? </w:t>
            </w:r>
          </w:p>
        </w:tc>
      </w:tr>
      <w:tr>
        <w:tc>
          <w:tcPr>
            <w:tcW w:w="10188" w:type="dxa"/>
            <w:tcBorders>
              <w:bottom w:val="single" w:sz="4" w:space="0" w:color="auto"/>
            </w:tcBorders>
            <w:shd w:val="clear" w:color="auto" w:fill="auto"/>
          </w:tcPr>
          <w:p>
            <w:pPr>
              <w:pStyle w:val="ListParagraph"/>
              <w:ind w:left="0"/>
              <w:jc w:val="both"/>
              <w:rPr>
                <w:rFonts w:ascii="Arial" w:hAnsi="Arial" w:cs="Arial"/>
                <w:i/>
                <w:noProof/>
                <w:sz w:val="20"/>
                <w:szCs w:val="20"/>
              </w:rPr>
            </w:pPr>
            <w:r>
              <w:rPr>
                <w:rFonts w:ascii="Arial" w:hAnsi="Arial"/>
                <w:noProof/>
                <w:sz w:val="20"/>
              </w:rPr>
              <w:t>Initiativet indebærer ikke særbehandling af små og mellemstore virksomheder. Det løser problemerne for alle virksomheder. Mikrovirksomhederne vil fortsat kunne benytte fritagelsesordningen, og de vil samtidig have gavn af nye forenklingsforanstaltninger, der er særligt målrettet dem i den kommende forenklingspakke for små og mellemstore virksomheder</w:t>
            </w:r>
            <w:r>
              <w:rPr>
                <w:rStyle w:val="FootnoteReference"/>
                <w:rFonts w:ascii="Arial" w:hAnsi="Arial"/>
                <w:noProof/>
                <w:sz w:val="20"/>
              </w:rPr>
              <w:footnoteReference w:id="3"/>
            </w:r>
            <w:r>
              <w:rPr>
                <w:rFonts w:ascii="Arial" w:hAnsi="Arial"/>
                <w:noProof/>
                <w:sz w:val="20"/>
              </w:rPr>
              <w:t>.</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Vil den foretrukne løsning få væsentlige virkninger for de nationale budgetter og myndigheder?</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På EU-plan ventes initiativet at bidrage netto med 43 mia. EUR som følge af reduktionen af MTIC-svig og likviditetsbyrden, hvilket mere end opvejer stigningen i administrative omkostninger.</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 den foretrukne løsning få andre væsentlige virkninger?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Overgangen til det nye system kræaver, at medlemsstaterne og virksomhederne tilpasser sig de nye regler (implementering og kontrol).</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Opfølgning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Hvornår vil foranstaltningen blive taget op til fornyet overvejelse?</w:t>
            </w:r>
          </w:p>
        </w:tc>
      </w:tr>
      <w:tr>
        <w:tc>
          <w:tcPr>
            <w:tcW w:w="10188" w:type="dxa"/>
            <w:tcBorders>
              <w:bottom w:val="single" w:sz="4" w:space="0" w:color="auto"/>
            </w:tcBorders>
            <w:shd w:val="clear" w:color="auto" w:fill="auto"/>
          </w:tcPr>
          <w:p>
            <w:pPr>
              <w:pStyle w:val="ListParagraph"/>
              <w:ind w:left="0"/>
              <w:jc w:val="both"/>
              <w:rPr>
                <w:rFonts w:ascii="Arial" w:eastAsia="Times New Roman" w:hAnsi="Arial" w:cs="Arial"/>
                <w:noProof/>
                <w:sz w:val="20"/>
                <w:szCs w:val="20"/>
              </w:rPr>
            </w:pPr>
          </w:p>
          <w:p>
            <w:pPr>
              <w:pStyle w:val="ListParagraph"/>
              <w:ind w:left="0"/>
              <w:jc w:val="both"/>
              <w:rPr>
                <w:rFonts w:ascii="Arial" w:eastAsia="Times New Roman" w:hAnsi="Arial" w:cs="Arial"/>
                <w:noProof/>
                <w:sz w:val="20"/>
                <w:szCs w:val="20"/>
              </w:rPr>
            </w:pPr>
            <w:r>
              <w:rPr>
                <w:rFonts w:ascii="Arial" w:hAnsi="Arial"/>
                <w:noProof/>
                <w:sz w:val="20"/>
              </w:rPr>
              <w:t>Gradvis implementering:</w:t>
            </w:r>
          </w:p>
          <w:p>
            <w:pPr>
              <w:pStyle w:val="ListParagraph"/>
              <w:ind w:left="0"/>
              <w:jc w:val="both"/>
              <w:rPr>
                <w:rFonts w:ascii="Arial" w:eastAsia="Times New Roman" w:hAnsi="Arial" w:cs="Arial"/>
                <w:noProof/>
                <w:sz w:val="20"/>
                <w:szCs w:val="20"/>
              </w:rPr>
            </w:pPr>
            <w:r>
              <w:rPr>
                <w:rFonts w:ascii="Arial" w:hAnsi="Arial"/>
                <w:noProof/>
                <w:sz w:val="20"/>
              </w:rPr>
              <w:t>Første direktiv (september 2017):  implementering af løsningsmodel 1 (hurtigløsninger med status som godkendt afgiftspligtig person) og indførelse af de grundlæggende elementer af løsningsmodel 2.</w:t>
            </w:r>
          </w:p>
          <w:p>
            <w:pPr>
              <w:pStyle w:val="ListParagraph"/>
              <w:ind w:left="0"/>
              <w:jc w:val="both"/>
              <w:rPr>
                <w:rFonts w:ascii="Arial" w:eastAsia="Times New Roman" w:hAnsi="Arial" w:cs="Arial"/>
                <w:noProof/>
                <w:sz w:val="20"/>
                <w:szCs w:val="20"/>
              </w:rPr>
            </w:pPr>
            <w:r>
              <w:rPr>
                <w:rFonts w:ascii="Arial" w:hAnsi="Arial"/>
                <w:noProof/>
                <w:sz w:val="20"/>
              </w:rPr>
              <w:t>Andet direktiv (2018):  komplet implementering af løsningsmodel 2.</w:t>
            </w:r>
          </w:p>
          <w:p>
            <w:pPr>
              <w:pStyle w:val="ListParagraph"/>
              <w:ind w:left="0"/>
              <w:jc w:val="both"/>
              <w:rPr>
                <w:rFonts w:ascii="Arial" w:eastAsia="Times New Roman" w:hAnsi="Arial" w:cs="Arial"/>
                <w:noProof/>
                <w:sz w:val="20"/>
                <w:szCs w:val="20"/>
              </w:rPr>
            </w:pPr>
            <w:r>
              <w:rPr>
                <w:rFonts w:ascii="Arial" w:hAnsi="Arial"/>
                <w:noProof/>
                <w:sz w:val="20"/>
              </w:rPr>
              <w:t>Overvågning (f.eks. antal godkendte afgiftspligtige personer, implementeringsproblemer) vil ske via Momsudvalget, Gruppen vedrørende Momssystemets Fremtid og Ekspertgruppen vedrørende Moms.</w:t>
            </w:r>
          </w:p>
          <w:p>
            <w:pPr>
              <w:pStyle w:val="ListParagraph"/>
              <w:ind w:left="0"/>
              <w:jc w:val="both"/>
              <w:rPr>
                <w:rFonts w:ascii="Tahoma" w:hAnsi="Tahoma" w:cs="Tahoma"/>
                <w:noProof/>
                <w:sz w:val="20"/>
                <w:szCs w:val="20"/>
              </w:rPr>
            </w:pPr>
            <w:r>
              <w:rPr>
                <w:rFonts w:ascii="Arial" w:hAnsi="Arial"/>
                <w:noProof/>
                <w:sz w:val="20"/>
              </w:rPr>
              <w:t>Evaluering: fem år efter det andet direktivs ikrafttræden.</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En godkendt afgiftspligtig person er en virksomhed, der anerkendes som "pålidelig" af skattemyndighederne. </w:t>
      </w:r>
    </w:p>
  </w:footnote>
  <w:footnote w:id="3">
    <w:p>
      <w:pPr>
        <w:pStyle w:val="FootnoteText"/>
      </w:pPr>
      <w:r>
        <w:rPr>
          <w:rStyle w:val="FootnoteReference"/>
        </w:rPr>
        <w:footnoteRef/>
      </w:r>
      <w:r>
        <w:t xml:space="preserve"> Jf. Kommissionens handlingsplan (</w:t>
      </w:r>
      <w:hyperlink r:id="rId1">
        <w:r>
          <w:rPr>
            <w:rStyle w:val="Hyperlink"/>
          </w:rPr>
          <w:t>COM(2016) 148 final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84"/>
    <w:multiLevelType w:val="hybridMultilevel"/>
    <w:tmpl w:val="24F40AC6"/>
    <w:lvl w:ilvl="0" w:tplc="08090003">
      <w:start w:val="1"/>
      <w:numFmt w:val="bullet"/>
      <w:lvlText w:val="o"/>
      <w:lvlJc w:val="left"/>
      <w:pPr>
        <w:ind w:left="2520" w:hanging="360"/>
      </w:pPr>
      <w:rPr>
        <w:rFonts w:ascii="Courier New" w:hAnsi="Courier New" w:cs="Courier New" w:hint="default"/>
      </w:rPr>
    </w:lvl>
    <w:lvl w:ilvl="1" w:tplc="1E18E6C8">
      <w:start w:val="1"/>
      <w:numFmt w:val="bullet"/>
      <w:lvlText w:val="-"/>
      <w:lvlJc w:val="center"/>
      <w:pPr>
        <w:ind w:left="3240" w:hanging="360"/>
      </w:pPr>
      <w:rPr>
        <w:rFonts w:ascii="Calibri" w:hAnsi="Calibri"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4C350F9"/>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518CF"/>
    <w:multiLevelType w:val="hybridMultilevel"/>
    <w:tmpl w:val="E9A2B430"/>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71B59"/>
    <w:multiLevelType w:val="hybridMultilevel"/>
    <w:tmpl w:val="BE32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D5507"/>
    <w:multiLevelType w:val="hybridMultilevel"/>
    <w:tmpl w:val="159EC320"/>
    <w:lvl w:ilvl="0" w:tplc="3E86137A">
      <w:start w:val="1"/>
      <w:numFmt w:val="bullet"/>
      <w:lvlText w:val=""/>
      <w:lvlJc w:val="left"/>
      <w:pPr>
        <w:ind w:left="720" w:hanging="360"/>
      </w:pPr>
      <w:rPr>
        <w:rFonts w:ascii="Symbol" w:hAnsi="Symbol" w:hint="default"/>
        <w:lang w:val="sv-S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D1A8E"/>
    <w:multiLevelType w:val="hybridMultilevel"/>
    <w:tmpl w:val="E0BE6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C00AC"/>
    <w:multiLevelType w:val="hybridMultilevel"/>
    <w:tmpl w:val="CC289BEE"/>
    <w:lvl w:ilvl="0" w:tplc="1E18E6C8">
      <w:start w:val="1"/>
      <w:numFmt w:val="bullet"/>
      <w:lvlText w:val="-"/>
      <w:lvlJc w:val="center"/>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45378"/>
    <w:multiLevelType w:val="hybridMultilevel"/>
    <w:tmpl w:val="F96E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602A27"/>
    <w:multiLevelType w:val="hybridMultilevel"/>
    <w:tmpl w:val="A17812CC"/>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B3DDE"/>
    <w:multiLevelType w:val="hybridMultilevel"/>
    <w:tmpl w:val="7972913A"/>
    <w:lvl w:ilvl="0" w:tplc="1E18E6C8">
      <w:start w:val="1"/>
      <w:numFmt w:val="bullet"/>
      <w:lvlText w:val="-"/>
      <w:lvlJc w:val="center"/>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4C5961"/>
    <w:multiLevelType w:val="hybridMultilevel"/>
    <w:tmpl w:val="7F0C8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732DAC"/>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614"/>
    <w:multiLevelType w:val="hybridMultilevel"/>
    <w:tmpl w:val="EE1C5694"/>
    <w:lvl w:ilvl="0" w:tplc="1E18E6C8">
      <w:start w:val="1"/>
      <w:numFmt w:val="bullet"/>
      <w:lvlText w:val="-"/>
      <w:lvlJc w:val="center"/>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2007D9"/>
    <w:multiLevelType w:val="hybridMultilevel"/>
    <w:tmpl w:val="651A267C"/>
    <w:lvl w:ilvl="0" w:tplc="1E18E6C8">
      <w:start w:val="1"/>
      <w:numFmt w:val="bullet"/>
      <w:lvlText w:val="-"/>
      <w:lvlJc w:val="center"/>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E4908"/>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7058D5"/>
    <w:multiLevelType w:val="hybridMultilevel"/>
    <w:tmpl w:val="7E66A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903B6"/>
    <w:multiLevelType w:val="hybridMultilevel"/>
    <w:tmpl w:val="07DA8D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11CB6"/>
    <w:multiLevelType w:val="hybridMultilevel"/>
    <w:tmpl w:val="3EB2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4"/>
  </w:num>
  <w:num w:numId="5">
    <w:abstractNumId w:val="5"/>
  </w:num>
  <w:num w:numId="6">
    <w:abstractNumId w:val="0"/>
  </w:num>
  <w:num w:numId="7">
    <w:abstractNumId w:val="12"/>
  </w:num>
  <w:num w:numId="8">
    <w:abstractNumId w:val="6"/>
  </w:num>
  <w:num w:numId="9">
    <w:abstractNumId w:val="17"/>
  </w:num>
  <w:num w:numId="10">
    <w:abstractNumId w:val="2"/>
  </w:num>
  <w:num w:numId="11">
    <w:abstractNumId w:val="15"/>
  </w:num>
  <w:num w:numId="12">
    <w:abstractNumId w:val="8"/>
  </w:num>
  <w:num w:numId="13">
    <w:abstractNumId w:val="9"/>
  </w:num>
  <w:num w:numId="14">
    <w:abstractNumId w:val="10"/>
  </w:num>
  <w:num w:numId="15">
    <w:abstractNumId w:val="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edsagedokument til"/>
    <w:docVar w:name="LW_CONFIDENCE" w:val=" "/>
    <w:docVar w:name="LW_CONST_RESTREINT_UE" w:val="RESTREINT UE"/>
    <w:docVar w:name="LW_CORRIGENDUM" w:val="&lt;UNUSED&gt;"/>
    <w:docVar w:name="LW_COVERPAGE_GUID" w:val="A35A01508ECF411FA711E6BCB5402D64"/>
    <w:docVar w:name="LW_CROSSREFERENCE" w:val="{COM(2017) 569 final}_x000b_{SWD(2017) 325 final}"/>
    <w:docVar w:name="LW_DocType" w:val="NORMAL"/>
    <w:docVar w:name="LW_EMISSION" w:val="4.10.2017"/>
    <w:docVar w:name="LW_EMISSION_ISODATE" w:val="2017-10-04"/>
    <w:docVar w:name="LW_EMISSION_LOCATION" w:val="BRX"/>
    <w:docVar w:name="LW_EMISSION_PREFIX" w:val="Bruxelles, den "/>
    <w:docVar w:name="LW_EMISSION_SUFFIX" w:val=" "/>
    <w:docVar w:name="LW_ID_DOCTYPE_NONLW" w:val="CP-027"/>
    <w:docVar w:name="LW_LANGUE" w:val="DA"/>
    <w:docVar w:name="LW_MARKING" w:val="&lt;UNUSED&gt;"/>
    <w:docVar w:name="LW_NOM.INST" w:val="EUROPA-KOMMISSIONEN"/>
    <w:docVar w:name="LW_NOM.INST_JOINTDOC" w:val="&lt;EMPTY&gt;"/>
    <w:docVar w:name="LW_OBJETACTEPRINCIPAL.CP" w:val="om ændring af direktiv 2006/112/EF for så vidt angår harmonisering og forenkling af visse regler i det fælles merværdiafgiftssystem og om indførelse af det endelige system for beskatning af samhandelen mellem medlemsstaterne"/>
    <w:docVar w:name="LW_PART_NBR" w:val="1"/>
    <w:docVar w:name="LW_PART_NBR_TOTAL" w:val="1"/>
    <w:docVar w:name="LW_REF.INST.NEW" w:val="SWD"/>
    <w:docVar w:name="LW_REF.INST.NEW_ADOPTED" w:val="final"/>
    <w:docVar w:name="LW_REF.INST.NEW_TEXT" w:val="(2017) 326"/>
    <w:docVar w:name="LW_REF.INTERNE" w:val="&lt;UNUSED&gt;"/>
    <w:docVar w:name="LW_SUPERTITRE" w:val="&lt;UNUSED&gt;"/>
    <w:docVar w:name="LW_TITRE.OBJ.CP" w:val="&lt;UNUSED&gt;"/>
    <w:docVar w:name="LW_TYPE.DOC.CP" w:val="ARBEJDSDOKUMENT FRA KOMMISSIONENS TJENESTEGRENE_x000b__x000b_RESUME AF KONSEKVENSANALYSEN_x000b_"/>
    <w:docVar w:name="LW_TYPEACTEPRINCIPAL.CP" w:val="Forslag til Rådets direktiv"/>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eur-lex.europa.eu/legal-content/DA/TXT/PDF/?uri=CELEX:02006L0112-20150101&amp;from=D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A/TXT/PDF/?uri=CELEX:52016DC0148&amp;fro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B228E3-FEEC-429F-8C93-CFCC37DE565D}">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df60e78-a03e-437e-9717-7369c04d4e42"/>
    <ds:schemaRef ds:uri="http://purl.org/dc/elements/1.1/"/>
  </ds:schemaRefs>
</ds:datastoreItem>
</file>

<file path=customXml/itemProps2.xml><?xml version="1.0" encoding="utf-8"?>
<ds:datastoreItem xmlns:ds="http://schemas.openxmlformats.org/officeDocument/2006/customXml" ds:itemID="{97851805-9F07-40C4-B40D-72DC8729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60DC9E46-62E6-4EF7-8A32-4866D043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5246</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2017-09-26T10:20:00Z</cp:lastPrinted>
  <dcterms:created xsi:type="dcterms:W3CDTF">2017-10-02T11:58:00Z</dcterms:created>
  <dcterms:modified xsi:type="dcterms:W3CDTF">2017-10-16T07:24:00Z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0x010100258AA79CEB83498886A3A0868112325000CD4CDFEEBEDF764FAB126859C09062E8</vt:lpwstr>
  </property>
  <property fmtid="{D5CDD505-2E9C-101B-9397-08002B2CF9AE}" pid="11" name="TemplateUrl">
    <vt:lpwstr/>
  </property>
</Properties>
</file>