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D186559AFF7426D8B6A7159B3DA5506" style="width:450.7pt;height:450.2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Fișă rezumat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Evaluare a impactului privind Propunerea directivă a Consiliului de modificare a Directivei 2006/112/CE în ceea ce privește armonizarea și simplificarea anumitor norme din sistemul taxei pe valoarea adăugată și introducerea sistemului definitiv de impozitare a comerțului dintre statele membre</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Necesitatea de a acționa</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De ce? Care este problema abordată?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Regimul tranzitoriu prevăzut în</w:t>
            </w:r>
            <w:r>
              <w:rPr>
                <w:noProof/>
              </w:rPr>
              <w:t xml:space="preserve"> </w:t>
            </w:r>
            <w:hyperlink r:id="rId19">
              <w:r>
                <w:rPr>
                  <w:rFonts w:ascii="Arial" w:hAnsi="Arial"/>
                  <w:noProof/>
                  <w:color w:val="0000FF"/>
                  <w:sz w:val="20"/>
                  <w:u w:val="single"/>
                </w:rPr>
                <w:t>Directiva TVA</w:t>
              </w:r>
            </w:hyperlink>
            <w:r>
              <w:rPr>
                <w:noProof/>
              </w:rPr>
              <w:t xml:space="preserve"> </w:t>
            </w:r>
            <w:r>
              <w:rPr>
                <w:rFonts w:ascii="Arial" w:hAnsi="Arial"/>
                <w:noProof/>
                <w:sz w:val="20"/>
              </w:rPr>
              <w:t xml:space="preserve">pentru operațiunile cu bunuri între întreprinderi în interiorul UE duce la (i) pierderi de venituri pentru statele membre de circa 50 de miliarde EUR, din cauza fraudelor intracomunitare cu firme fantomă, făcute posibile de deficiențele endemice ale acestui sistem care permite bunurilor să fie achiziționate fără TVA în operațiuni transfrontaliere; (ii) o complexitate care determină costuri mai mari pentru întreprinderile implicate în comerțul transfrontalier, față de întreprinderile care desfășoară activități comerciale doar pe plan național (cu 11 % mai mari), din cauza obligațiilor suplimentare pentru comercianții transfrontalieri și a aplicării divergente a normelor în materie de TVA de către statele membre. În lipsa unei acțiuni la nivelul UE, soluțiile ar continua să fie fragmentate și să aibă beneficii limitate.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Ce se așteaptă de la această inițiativă?</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Regimul definitiv pentru impozitarea comerțului în interiorul UE este destinat să consolideze sistemul de TVA din UE, prin abordarea deficiențelor endemice ale acestuia, și să îl simplifice, prin soluționarea complexităților sale; de asemenea, el are ca scop să ofere condiții de concurență echitabile pentru întreprinderi, indiferent dacă acestea sunt angajate în operațiuni transfrontaliere sau pe plan național.</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Care este valoarea adăugată a acțiunii la nivelul UE?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Pentru a schimba acest regim tranzitoriu care și-a atins limitele, este necesară o modificare a Directivei TVA.</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Soluții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Ce opțiuni de politică legislative și nelegislative au fost luate în considerare? Există sau nu o opțiune preferată? De ce?</w:t>
            </w:r>
          </w:p>
        </w:tc>
      </w:tr>
      <w:tr>
        <w:tc>
          <w:tcPr>
            <w:tcW w:w="10188" w:type="dxa"/>
            <w:tcBorders>
              <w:bottom w:val="single" w:sz="4" w:space="0" w:color="auto"/>
            </w:tcBorders>
            <w:shd w:val="clear" w:color="auto" w:fill="auto"/>
          </w:tcPr>
          <w:p>
            <w:pPr>
              <w:pStyle w:val="ListParagraph"/>
              <w:numPr>
                <w:ilvl w:val="0"/>
                <w:numId w:val="13"/>
              </w:numPr>
              <w:jc w:val="both"/>
              <w:rPr>
                <w:rFonts w:ascii="Arial" w:hAnsi="Arial" w:cs="Arial"/>
                <w:noProof/>
                <w:sz w:val="20"/>
                <w:szCs w:val="20"/>
              </w:rPr>
            </w:pPr>
            <w:r>
              <w:rPr>
                <w:rFonts w:ascii="Arial" w:hAnsi="Arial"/>
                <w:noProof/>
                <w:sz w:val="20"/>
              </w:rPr>
              <w:t>Opțiunea 1: clienții continuă să achiziționeze bunuri fără TVA la nivel transfrontalier, însă modificările afectează anumite operațiuni (codul de înregistrare în scopuri de TVA și simplificările acordate persoanelor impozabile atestate</w:t>
            </w:r>
            <w:r>
              <w:rPr>
                <w:rStyle w:val="FootnoteReference"/>
                <w:rFonts w:ascii="Arial" w:hAnsi="Arial"/>
                <w:noProof/>
                <w:sz w:val="20"/>
              </w:rPr>
              <w:footnoteReference w:id="2"/>
            </w:r>
            <w:r>
              <w:rPr>
                <w:rFonts w:ascii="Arial" w:hAnsi="Arial"/>
                <w:noProof/>
                <w:sz w:val="20"/>
              </w:rPr>
              <w:t>);</w:t>
            </w:r>
          </w:p>
          <w:p>
            <w:pPr>
              <w:pStyle w:val="ListParagraph"/>
              <w:numPr>
                <w:ilvl w:val="0"/>
                <w:numId w:val="13"/>
              </w:numPr>
              <w:jc w:val="both"/>
              <w:rPr>
                <w:rFonts w:ascii="Arial" w:eastAsia="Times New Roman" w:hAnsi="Arial" w:cs="Arial"/>
                <w:noProof/>
                <w:sz w:val="20"/>
                <w:szCs w:val="20"/>
              </w:rPr>
            </w:pPr>
            <w:r>
              <w:rPr>
                <w:rFonts w:ascii="Arial" w:hAnsi="Arial"/>
                <w:noProof/>
                <w:sz w:val="20"/>
              </w:rPr>
              <w:t>Opțiunea 2: furnizorii percep TVA în statul membru în care sosesc bunurile (cu excepția persoanelor impozabile atestate). Un „ghișeu unic” permite întreprinderilor să plătească în statul lor membru de origine TVA-ul datorat în oricare stat membru;</w:t>
            </w:r>
          </w:p>
          <w:p>
            <w:pPr>
              <w:pStyle w:val="ListParagraph"/>
              <w:numPr>
                <w:ilvl w:val="0"/>
                <w:numId w:val="13"/>
              </w:numPr>
              <w:jc w:val="both"/>
              <w:rPr>
                <w:rFonts w:ascii="Arial" w:eastAsia="Times New Roman" w:hAnsi="Arial" w:cs="Arial"/>
                <w:noProof/>
                <w:sz w:val="20"/>
                <w:szCs w:val="20"/>
              </w:rPr>
            </w:pPr>
            <w:r>
              <w:rPr>
                <w:rFonts w:ascii="Arial" w:hAnsi="Arial"/>
                <w:noProof/>
                <w:sz w:val="20"/>
              </w:rPr>
              <w:t>Opțiunea 3: modificare tehnică echivalentă cu sistemul actual (eliminată);</w:t>
            </w:r>
          </w:p>
          <w:p>
            <w:pPr>
              <w:pStyle w:val="ListParagraph"/>
              <w:numPr>
                <w:ilvl w:val="0"/>
                <w:numId w:val="13"/>
              </w:numPr>
              <w:jc w:val="both"/>
              <w:rPr>
                <w:rFonts w:ascii="Arial" w:eastAsia="Times New Roman" w:hAnsi="Arial" w:cs="Arial"/>
                <w:noProof/>
                <w:sz w:val="20"/>
                <w:szCs w:val="20"/>
              </w:rPr>
            </w:pPr>
            <w:r>
              <w:rPr>
                <w:rFonts w:ascii="Arial" w:hAnsi="Arial"/>
                <w:noProof/>
                <w:sz w:val="20"/>
              </w:rPr>
              <w:t>Opțiunea 4: alinierea cu normele privind serviciile;</w:t>
            </w:r>
          </w:p>
          <w:p>
            <w:pPr>
              <w:pStyle w:val="ListParagraph"/>
              <w:numPr>
                <w:ilvl w:val="0"/>
                <w:numId w:val="13"/>
              </w:numPr>
              <w:spacing w:after="120"/>
              <w:jc w:val="both"/>
              <w:rPr>
                <w:rFonts w:ascii="Arial" w:eastAsia="Times New Roman" w:hAnsi="Arial" w:cs="Arial"/>
                <w:noProof/>
                <w:sz w:val="20"/>
                <w:szCs w:val="20"/>
              </w:rPr>
            </w:pPr>
            <w:r>
              <w:rPr>
                <w:rFonts w:ascii="Arial" w:hAnsi="Arial"/>
                <w:noProof/>
                <w:sz w:val="20"/>
              </w:rPr>
              <w:t>Opțiunea 5: ca opțiunea 2, însă impozitarea are loc în statul membru în care este stabilit clientul.</w:t>
            </w:r>
          </w:p>
          <w:p>
            <w:pPr>
              <w:jc w:val="both"/>
              <w:rPr>
                <w:rFonts w:ascii="Arial" w:hAnsi="Arial" w:cs="Arial"/>
                <w:noProof/>
                <w:sz w:val="20"/>
                <w:szCs w:val="20"/>
              </w:rPr>
            </w:pPr>
            <w:r>
              <w:rPr>
                <w:rFonts w:ascii="Arial" w:hAnsi="Arial"/>
                <w:noProof/>
                <w:sz w:val="20"/>
              </w:rPr>
              <w:t>Opțiunea 2 este opțiunea preferată (abordează problema fraudei și a complexității), combinată cu opțiunea 1, care permite o tranziție ușoară către opțiunea 2.</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Care sunt susținătorii fiecărei opțiuni?</w:t>
            </w:r>
          </w:p>
        </w:tc>
      </w:tr>
      <w:tr>
        <w:tc>
          <w:tcPr>
            <w:tcW w:w="10188" w:type="dxa"/>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Statele membre și întreprinderile sprijină opțiunea 1. Mai mult, statele membre ar putea sprijini și opțiunea 2, iar întreprinderile opțiunile 4 și 5.</w:t>
            </w:r>
          </w:p>
          <w:p>
            <w:pPr>
              <w:jc w:val="both"/>
              <w:rPr>
                <w:rFonts w:ascii="Arial" w:hAnsi="Arial" w:cs="Arial"/>
                <w:noProof/>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Impacturile opțiunii preferate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Care sunt avantajele opțiunii preferate (dacă există; în caz contrar, avantajele opțiunilor principale)?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Opțiunea 2: Statele membre: reducerea cu 41 de miliarde EUR a fraudelor intracomunitare cu firme fantomă.</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Întreprinderi: scăderea costurilor de conformare (1 miliard EUR).</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Piața internă: tratamentul egal al livrărilor naționale și transfrontaliere de bunuri și creștere netă de 18,5 miliarde EUR a PIB-ului UE pe o perioadă de trei ani.</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Opțiunea 1 duce la scăderea costurilor de conformare pentru întreprinderi (0,5 miliarde EUR pe an).</w:t>
            </w:r>
          </w:p>
          <w:p>
            <w:pPr>
              <w:jc w:val="both"/>
              <w:rPr>
                <w:rFonts w:ascii="Arial" w:hAnsi="Arial" w:cs="Arial"/>
                <w:noProof/>
                <w:sz w:val="20"/>
                <w:szCs w:val="20"/>
              </w:rPr>
            </w:pPr>
          </w:p>
          <w:p>
            <w:pPr>
              <w:jc w:val="both"/>
              <w:rPr>
                <w:rFonts w:ascii="Arial" w:hAnsi="Arial" w:cs="Arial"/>
                <w:i/>
                <w:noProof/>
                <w:sz w:val="20"/>
                <w:szCs w:val="20"/>
              </w:rPr>
            </w:pPr>
            <w:r>
              <w:rPr>
                <w:rFonts w:ascii="Arial" w:hAnsi="Arial"/>
                <w:noProof/>
                <w:sz w:val="20"/>
              </w:rPr>
              <w:t>Impactul social și cel asupra mediului nu sunt semnificative.</w:t>
            </w:r>
          </w:p>
          <w:p>
            <w:pPr>
              <w:jc w:val="both"/>
              <w:rPr>
                <w:rFonts w:ascii="Arial" w:hAnsi="Arial" w:cs="Arial"/>
                <w:i/>
                <w:noProof/>
                <w:sz w:val="20"/>
                <w:szCs w:val="20"/>
              </w:rPr>
            </w:pP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Care sunt costurile opțiunii preferate (dacă există; în caz contrar, costurile opțiunilor principale)?</w:t>
            </w:r>
          </w:p>
        </w:tc>
      </w:tr>
      <w:tr>
        <w:tc>
          <w:tcPr>
            <w:tcW w:w="10188" w:type="dxa"/>
            <w:tcBorders>
              <w:bottom w:val="single" w:sz="4" w:space="0" w:color="auto"/>
            </w:tcBorders>
            <w:shd w:val="clear" w:color="auto" w:fill="auto"/>
          </w:tcPr>
          <w:p>
            <w:pPr>
              <w:jc w:val="both"/>
              <w:rPr>
                <w:rFonts w:ascii="Arial" w:hAnsi="Arial" w:cs="Arial"/>
                <w:noProof/>
                <w:sz w:val="20"/>
                <w:szCs w:val="20"/>
                <w:u w:val="single"/>
              </w:rPr>
            </w:pPr>
          </w:p>
          <w:p>
            <w:pPr>
              <w:jc w:val="both"/>
              <w:rPr>
                <w:rFonts w:ascii="Arial" w:hAnsi="Arial" w:cs="Arial"/>
                <w:noProof/>
                <w:sz w:val="20"/>
                <w:szCs w:val="20"/>
              </w:rPr>
            </w:pPr>
            <w:r>
              <w:rPr>
                <w:rFonts w:ascii="Arial" w:hAnsi="Arial"/>
                <w:noProof/>
                <w:sz w:val="20"/>
              </w:rPr>
              <w:t>Opțiunea 2: Statele membre: creșterea costurilor administrative pentru statele membre cu 385 de milioane EUR în anul punerii în aplicare și cu 311 milioane EUR în anii următori.</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Întreprinderi: anumite IMM-uri s-ar putea confrunta cu o creștere anuală de 6 % a costurilor de conformare.</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Opțiunea 1 duce la o creștere cu 35 de milioane EUR a costurilor administrative pentru statele membre și nu generează un tratament egal al livrărilor naționale și transfrontaliere de bunuri.</w:t>
            </w:r>
          </w:p>
          <w:p>
            <w:pPr>
              <w:jc w:val="both"/>
              <w:rPr>
                <w:rFonts w:ascii="Arial" w:hAnsi="Arial" w:cs="Arial"/>
                <w:noProof/>
                <w:sz w:val="20"/>
                <w:szCs w:val="20"/>
              </w:rPr>
            </w:pPr>
          </w:p>
          <w:p>
            <w:pPr>
              <w:jc w:val="both"/>
              <w:rPr>
                <w:rFonts w:ascii="Arial" w:hAnsi="Arial" w:cs="Arial"/>
                <w:i/>
                <w:noProof/>
                <w:sz w:val="20"/>
                <w:szCs w:val="20"/>
              </w:rPr>
            </w:pPr>
            <w:r>
              <w:rPr>
                <w:rFonts w:ascii="Arial" w:hAnsi="Arial"/>
                <w:noProof/>
                <w:sz w:val="20"/>
              </w:rPr>
              <w:t>Impactul social și cel asupra mediului nu sunt semnificative.</w:t>
            </w:r>
          </w:p>
          <w:p>
            <w:pPr>
              <w:jc w:val="both"/>
              <w:rPr>
                <w:rFonts w:ascii="Arial" w:hAnsi="Arial" w:cs="Arial"/>
                <w:i/>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Care va fi impactul asupra societăților, IMM-urilor și microîntreprinderilor?</w:t>
            </w:r>
          </w:p>
        </w:tc>
      </w:tr>
      <w:tr>
        <w:tc>
          <w:tcPr>
            <w:tcW w:w="10188" w:type="dxa"/>
            <w:tcBorders>
              <w:bottom w:val="single" w:sz="4" w:space="0" w:color="auto"/>
            </w:tcBorders>
            <w:shd w:val="clear" w:color="auto" w:fill="auto"/>
          </w:tcPr>
          <w:p>
            <w:pPr>
              <w:pStyle w:val="ListParagraph"/>
              <w:ind w:left="0"/>
              <w:jc w:val="both"/>
              <w:rPr>
                <w:rFonts w:ascii="Arial" w:hAnsi="Arial" w:cs="Arial"/>
                <w:i/>
                <w:noProof/>
                <w:sz w:val="20"/>
                <w:szCs w:val="20"/>
              </w:rPr>
            </w:pPr>
            <w:r>
              <w:rPr>
                <w:rFonts w:ascii="Arial" w:hAnsi="Arial"/>
                <w:noProof/>
                <w:sz w:val="20"/>
              </w:rPr>
              <w:t>Inițiativa nu prevede un tratament preferențial pentru IMM-uri. Ea abordează problemele în cauză pentru toate întreprinderile. Microîntreprinderile vor continua să beneficieze de regimul de scutire de TVA și de noile măsuri de simplificare care le sunt destinate în mod specific prin viitorul pachet de măsuri de simplificare pentru IMM-uri</w:t>
            </w:r>
            <w:r>
              <w:rPr>
                <w:rStyle w:val="FootnoteReference"/>
                <w:rFonts w:ascii="Arial" w:hAnsi="Arial"/>
                <w:noProof/>
                <w:sz w:val="20"/>
              </w:rPr>
              <w:footnoteReference w:id="3"/>
            </w:r>
            <w:r>
              <w:rPr>
                <w:rFonts w:ascii="Arial" w:hAnsi="Arial"/>
                <w:noProof/>
                <w:sz w:val="20"/>
              </w:rPr>
              <w:t>.</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Va exista un impact semnificativ asupra bugetelor și a administrațiilor naționale?</w:t>
            </w:r>
          </w:p>
        </w:tc>
      </w:tr>
      <w:tr>
        <w:tc>
          <w:tcPr>
            <w:tcW w:w="10188" w:type="dxa"/>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La nivelul UE se preconizează un beneficiu net de aproximativ 43 de miliarde EUR, datorită reducerii fraudelor intracomunitare cu firme fantomă și a incidenței fluxurilor de numerar, care depășește ceea ce este necesar pentru compensarea creșterii costurilor administrative.</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Vor exista și alte impacturi semnificative?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Tranziția către noul sistem impune statelor membre și întreprinderilor să se adapteze la noile norme (implementare și control).</w:t>
            </w:r>
          </w:p>
          <w:p>
            <w:pPr>
              <w:jc w:val="both"/>
              <w:rPr>
                <w:rFonts w:ascii="Arial" w:hAnsi="Arial" w:cs="Arial"/>
                <w:noProof/>
                <w:sz w:val="20"/>
                <w:szCs w:val="20"/>
              </w:rPr>
            </w:pP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Acțiuni ulterioare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Când va fi revizuită politica?</w:t>
            </w:r>
          </w:p>
        </w:tc>
      </w:tr>
      <w:tr>
        <w:tc>
          <w:tcPr>
            <w:tcW w:w="10188" w:type="dxa"/>
            <w:tcBorders>
              <w:bottom w:val="single" w:sz="4" w:space="0" w:color="auto"/>
            </w:tcBorders>
            <w:shd w:val="clear" w:color="auto" w:fill="auto"/>
          </w:tcPr>
          <w:p>
            <w:pPr>
              <w:pStyle w:val="ListParagraph"/>
              <w:ind w:left="0"/>
              <w:jc w:val="both"/>
              <w:rPr>
                <w:rFonts w:ascii="Arial" w:eastAsia="Times New Roman" w:hAnsi="Arial" w:cs="Arial"/>
                <w:noProof/>
                <w:sz w:val="20"/>
                <w:szCs w:val="20"/>
              </w:rPr>
            </w:pPr>
          </w:p>
          <w:p>
            <w:pPr>
              <w:pStyle w:val="ListParagraph"/>
              <w:ind w:left="0"/>
              <w:jc w:val="both"/>
              <w:rPr>
                <w:rFonts w:ascii="Arial" w:eastAsia="Times New Roman" w:hAnsi="Arial" w:cs="Arial"/>
                <w:noProof/>
                <w:sz w:val="20"/>
                <w:szCs w:val="20"/>
              </w:rPr>
            </w:pPr>
            <w:r>
              <w:rPr>
                <w:rFonts w:ascii="Arial" w:hAnsi="Arial"/>
                <w:noProof/>
                <w:sz w:val="20"/>
              </w:rPr>
              <w:t>Implementare treptată:</w:t>
            </w:r>
          </w:p>
          <w:p>
            <w:pPr>
              <w:pStyle w:val="ListParagraph"/>
              <w:ind w:left="0"/>
              <w:jc w:val="both"/>
              <w:rPr>
                <w:rFonts w:ascii="Arial" w:eastAsia="Times New Roman" w:hAnsi="Arial" w:cs="Arial"/>
                <w:noProof/>
                <w:sz w:val="20"/>
                <w:szCs w:val="20"/>
              </w:rPr>
            </w:pPr>
            <w:r>
              <w:rPr>
                <w:rFonts w:ascii="Arial" w:hAnsi="Arial"/>
                <w:noProof/>
                <w:sz w:val="20"/>
              </w:rPr>
              <w:t>Prima directivă (septembrie 2017): implementarea opțiunii 1 („soluții rapide” cu persoane impozabile atestate) și introducerea fundamentelor opțiunii 2.</w:t>
            </w:r>
          </w:p>
          <w:p>
            <w:pPr>
              <w:pStyle w:val="ListParagraph"/>
              <w:ind w:left="0"/>
              <w:jc w:val="both"/>
              <w:rPr>
                <w:rFonts w:ascii="Arial" w:eastAsia="Times New Roman" w:hAnsi="Arial" w:cs="Arial"/>
                <w:noProof/>
                <w:sz w:val="20"/>
                <w:szCs w:val="20"/>
              </w:rPr>
            </w:pPr>
            <w:r>
              <w:rPr>
                <w:rFonts w:ascii="Arial" w:hAnsi="Arial"/>
                <w:noProof/>
                <w:sz w:val="20"/>
              </w:rPr>
              <w:t>A doua directivă (2018): implementarea integrală a opțiunii 2.</w:t>
            </w:r>
          </w:p>
          <w:p>
            <w:pPr>
              <w:pStyle w:val="ListParagraph"/>
              <w:ind w:left="0"/>
              <w:jc w:val="both"/>
              <w:rPr>
                <w:rFonts w:ascii="Arial" w:eastAsia="Times New Roman" w:hAnsi="Arial" w:cs="Arial"/>
                <w:noProof/>
                <w:sz w:val="20"/>
                <w:szCs w:val="20"/>
              </w:rPr>
            </w:pPr>
            <w:r>
              <w:rPr>
                <w:rFonts w:ascii="Arial" w:hAnsi="Arial"/>
                <w:noProof/>
                <w:sz w:val="20"/>
              </w:rPr>
              <w:t>Monitorizare (de exemplu, numărul de persoane impozabile atestate, probleme de implementare) prin intermediul Comitetului TVA, al Grupului privind viitorul TVA și al Grupul de experți în domeniul TVA.</w:t>
            </w:r>
          </w:p>
          <w:p>
            <w:pPr>
              <w:pStyle w:val="ListParagraph"/>
              <w:ind w:left="0"/>
              <w:jc w:val="both"/>
              <w:rPr>
                <w:rFonts w:ascii="Tahoma" w:hAnsi="Tahoma" w:cs="Tahoma"/>
                <w:noProof/>
                <w:sz w:val="20"/>
                <w:szCs w:val="20"/>
              </w:rPr>
            </w:pPr>
            <w:r>
              <w:rPr>
                <w:rFonts w:ascii="Arial" w:hAnsi="Arial"/>
                <w:noProof/>
                <w:sz w:val="20"/>
              </w:rPr>
              <w:t>Evaluare: la cinci ani de la intrarea în vigoare a celei de a doua directive.</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134" w:bottom="851"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O persoană impozabilă atestată este o întreprindere recunoscută ca fiind „de încredere” de către administrațiile fiscale. </w:t>
      </w:r>
    </w:p>
  </w:footnote>
  <w:footnote w:id="3">
    <w:p>
      <w:pPr>
        <w:pStyle w:val="FootnoteText"/>
      </w:pPr>
      <w:r>
        <w:rPr>
          <w:rStyle w:val="FootnoteReference"/>
        </w:rPr>
        <w:footnoteRef/>
      </w:r>
      <w:r>
        <w:t xml:space="preserve"> Planul de acțiune al Comisiei [</w:t>
      </w:r>
      <w:hyperlink r:id="rId1">
        <w:r>
          <w:rPr>
            <w:rStyle w:val="Hyperlink"/>
          </w:rPr>
          <w:t>COM(2016) 148 final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884"/>
    <w:multiLevelType w:val="hybridMultilevel"/>
    <w:tmpl w:val="24F40AC6"/>
    <w:lvl w:ilvl="0" w:tplc="08090003">
      <w:start w:val="1"/>
      <w:numFmt w:val="bullet"/>
      <w:lvlText w:val="o"/>
      <w:lvlJc w:val="left"/>
      <w:pPr>
        <w:ind w:left="2520" w:hanging="360"/>
      </w:pPr>
      <w:rPr>
        <w:rFonts w:ascii="Courier New" w:hAnsi="Courier New" w:cs="Courier New" w:hint="default"/>
      </w:rPr>
    </w:lvl>
    <w:lvl w:ilvl="1" w:tplc="1E18E6C8">
      <w:start w:val="1"/>
      <w:numFmt w:val="bullet"/>
      <w:lvlText w:val="-"/>
      <w:lvlJc w:val="center"/>
      <w:pPr>
        <w:ind w:left="3240" w:hanging="360"/>
      </w:pPr>
      <w:rPr>
        <w:rFonts w:ascii="Calibri" w:hAnsi="Calibri"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4C350F9"/>
    <w:multiLevelType w:val="hybridMultilevel"/>
    <w:tmpl w:val="37DA3042"/>
    <w:lvl w:ilvl="0" w:tplc="8988A7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518CF"/>
    <w:multiLevelType w:val="hybridMultilevel"/>
    <w:tmpl w:val="E9A2B430"/>
    <w:lvl w:ilvl="0" w:tplc="1E18E6C8">
      <w:start w:val="1"/>
      <w:numFmt w:val="bullet"/>
      <w:lvlText w:val="-"/>
      <w:lvlJc w:val="center"/>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71B59"/>
    <w:multiLevelType w:val="hybridMultilevel"/>
    <w:tmpl w:val="BE322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6D5507"/>
    <w:multiLevelType w:val="hybridMultilevel"/>
    <w:tmpl w:val="159EC320"/>
    <w:lvl w:ilvl="0" w:tplc="3E86137A">
      <w:start w:val="1"/>
      <w:numFmt w:val="bullet"/>
      <w:lvlText w:val=""/>
      <w:lvlJc w:val="left"/>
      <w:pPr>
        <w:ind w:left="720" w:hanging="360"/>
      </w:pPr>
      <w:rPr>
        <w:rFonts w:ascii="Symbol" w:hAnsi="Symbol" w:hint="default"/>
        <w:lang w:val="sv-S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D1A8E"/>
    <w:multiLevelType w:val="hybridMultilevel"/>
    <w:tmpl w:val="E0BE6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DC00AC"/>
    <w:multiLevelType w:val="hybridMultilevel"/>
    <w:tmpl w:val="CC289BEE"/>
    <w:lvl w:ilvl="0" w:tplc="1E18E6C8">
      <w:start w:val="1"/>
      <w:numFmt w:val="bullet"/>
      <w:lvlText w:val="-"/>
      <w:lvlJc w:val="center"/>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445378"/>
    <w:multiLevelType w:val="hybridMultilevel"/>
    <w:tmpl w:val="F96EA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602A27"/>
    <w:multiLevelType w:val="hybridMultilevel"/>
    <w:tmpl w:val="A17812CC"/>
    <w:lvl w:ilvl="0" w:tplc="1E18E6C8">
      <w:start w:val="1"/>
      <w:numFmt w:val="bullet"/>
      <w:lvlText w:val="-"/>
      <w:lvlJc w:val="center"/>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DB3DDE"/>
    <w:multiLevelType w:val="hybridMultilevel"/>
    <w:tmpl w:val="7972913A"/>
    <w:lvl w:ilvl="0" w:tplc="1E18E6C8">
      <w:start w:val="1"/>
      <w:numFmt w:val="bullet"/>
      <w:lvlText w:val="-"/>
      <w:lvlJc w:val="center"/>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4C5961"/>
    <w:multiLevelType w:val="hybridMultilevel"/>
    <w:tmpl w:val="7F0C8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732DAC"/>
    <w:multiLevelType w:val="hybridMultilevel"/>
    <w:tmpl w:val="37DA3042"/>
    <w:lvl w:ilvl="0" w:tplc="8988A7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85614"/>
    <w:multiLevelType w:val="hybridMultilevel"/>
    <w:tmpl w:val="EE1C5694"/>
    <w:lvl w:ilvl="0" w:tplc="1E18E6C8">
      <w:start w:val="1"/>
      <w:numFmt w:val="bullet"/>
      <w:lvlText w:val="-"/>
      <w:lvlJc w:val="center"/>
      <w:pPr>
        <w:ind w:left="1440" w:hanging="360"/>
      </w:pPr>
      <w:rPr>
        <w:rFonts w:ascii="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32007D9"/>
    <w:multiLevelType w:val="hybridMultilevel"/>
    <w:tmpl w:val="651A267C"/>
    <w:lvl w:ilvl="0" w:tplc="1E18E6C8">
      <w:start w:val="1"/>
      <w:numFmt w:val="bullet"/>
      <w:lvlText w:val="-"/>
      <w:lvlJc w:val="center"/>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6E4908"/>
    <w:multiLevelType w:val="hybridMultilevel"/>
    <w:tmpl w:val="37DA3042"/>
    <w:lvl w:ilvl="0" w:tplc="8988A7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7058D5"/>
    <w:multiLevelType w:val="hybridMultilevel"/>
    <w:tmpl w:val="7E66A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8903B6"/>
    <w:multiLevelType w:val="hybridMultilevel"/>
    <w:tmpl w:val="07DA8D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311CB6"/>
    <w:multiLevelType w:val="hybridMultilevel"/>
    <w:tmpl w:val="3EB2B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7"/>
  </w:num>
  <w:num w:numId="4">
    <w:abstractNumId w:val="4"/>
  </w:num>
  <w:num w:numId="5">
    <w:abstractNumId w:val="5"/>
  </w:num>
  <w:num w:numId="6">
    <w:abstractNumId w:val="0"/>
  </w:num>
  <w:num w:numId="7">
    <w:abstractNumId w:val="12"/>
  </w:num>
  <w:num w:numId="8">
    <w:abstractNumId w:val="6"/>
  </w:num>
  <w:num w:numId="9">
    <w:abstractNumId w:val="17"/>
  </w:num>
  <w:num w:numId="10">
    <w:abstractNumId w:val="2"/>
  </w:num>
  <w:num w:numId="11">
    <w:abstractNumId w:val="15"/>
  </w:num>
  <w:num w:numId="12">
    <w:abstractNumId w:val="8"/>
  </w:num>
  <w:num w:numId="13">
    <w:abstractNumId w:val="9"/>
  </w:num>
  <w:num w:numId="14">
    <w:abstractNumId w:val="10"/>
  </w:num>
  <w:num w:numId="15">
    <w:abstractNumId w:val="3"/>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care înso\u355?e\u351?te documentul"/>
    <w:docVar w:name="LW_CONFIDENCE" w:val=" "/>
    <w:docVar w:name="LW_CONST_RESTREINT_UE" w:val="RESTREINT UE"/>
    <w:docVar w:name="LW_CORRIGENDUM" w:val="&lt;UNUSED&gt;"/>
    <w:docVar w:name="LW_COVERPAGE_GUID" w:val="1D186559AFF7426D8B6A7159B3DA5506"/>
    <w:docVar w:name="LW_CROSSREFERENCE" w:val="{COM(2017) 569 final}_x000b_{SWD(2017) 325 final}"/>
    <w:docVar w:name="LW_DocType" w:val="NORMAL"/>
    <w:docVar w:name="LW_EMISSION" w:val="4.10.2017"/>
    <w:docVar w:name="LW_EMISSION_ISODATE" w:val="2017-10-04"/>
    <w:docVar w:name="LW_EMISSION_LOCATION" w:val="BRX"/>
    <w:docVar w:name="LW_EMISSION_PREFIX" w:val="Bruxelles, "/>
    <w:docVar w:name="LW_EMISSION_SUFFIX" w:val=" "/>
    <w:docVar w:name="LW_ID_DOCTYPE_NONLW" w:val="CP-027"/>
    <w:docVar w:name="LW_LANGUE" w:val="RO"/>
    <w:docVar w:name="LW_MARKING" w:val="&lt;UNUSED&gt;"/>
    <w:docVar w:name="LW_NOM.INST" w:val="COMISIA EUROPEAN\u258?"/>
    <w:docVar w:name="LW_NOM.INST_JOINTDOC" w:val="&lt;EMPTY&gt;"/>
    <w:docVar w:name="LW_OBJETACTEPRINCIPAL.CP" w:val="de modificare a Directivei 2006/112/CE în ceea ce prive\u537?te armonizarea \u537?i simplificarea anumitor norme din sistemul taxei pe valoarea ad\u259?ugat\u259? \u537?i introducerea sistemului definitiv de impozitare a comer\u539?ului dintre statele membre_x000b_"/>
    <w:docVar w:name="LW_PART_NBR" w:val="1"/>
    <w:docVar w:name="LW_PART_NBR_TOTAL" w:val="1"/>
    <w:docVar w:name="LW_REF.INST.NEW" w:val="SWD"/>
    <w:docVar w:name="LW_REF.INST.NEW_ADOPTED" w:val="final"/>
    <w:docVar w:name="LW_REF.INST.NEW_TEXT" w:val="(2017) 326"/>
    <w:docVar w:name="LW_REF.INTERNE" w:val="&lt;UNUSED&gt;"/>
    <w:docVar w:name="LW_SUPERTITRE" w:val="&lt;UNUSED&gt;"/>
    <w:docVar w:name="LW_TITRE.OBJ.CP" w:val="&lt;UNUSED&gt;"/>
    <w:docVar w:name="LW_TYPE.DOC.CP" w:val="DOCUMENT DE LUCRU AL SERVICIILOR COMISIEI_x000b__x000b_REZUMATUL EVALU\u258?RII IMPACTULUI_x000b_"/>
    <w:docVar w:name="LW_TYPEACTEPRINCIPAL.CP" w:val="Propunere de directiv\u259? a Consiliului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ro-R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Pr>
      <w:vertAlign w:val="superscript"/>
    </w:rPr>
  </w:style>
  <w:style w:type="table" w:customStyle="1" w:styleId="MediumGrid3-Accent51">
    <w:name w:val="Medium Grid 3 - Accent 51"/>
    <w:basedOn w:val="TableNormal"/>
    <w:next w:val="MediumGrid3-Accent5"/>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ro-R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Pr>
      <w:vertAlign w:val="superscript"/>
    </w:rPr>
  </w:style>
  <w:style w:type="table" w:customStyle="1" w:styleId="MediumGrid3-Accent51">
    <w:name w:val="Medium Grid 3 - Accent 51"/>
    <w:basedOn w:val="TableNormal"/>
    <w:next w:val="MediumGrid3-Accent5"/>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eur-lex.europa.eu/legal-content/RO/TXT/PDF/?uri=CELEX:02006L0112-20150101&amp;from=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TXT/PDF/?uri=CELEX:52016DC0148&amp;fr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Not Started</EC_Collab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97851805-9F07-40C4-B40D-72DC8729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df60e78-a03e-437e-9717-7369c04d4e42"/>
    <ds:schemaRef ds:uri="http://purl.org/dc/elements/1.1/"/>
  </ds:schemaRefs>
</ds:datastoreItem>
</file>

<file path=customXml/itemProps4.xml><?xml version="1.0" encoding="utf-8"?>
<ds:datastoreItem xmlns:ds="http://schemas.openxmlformats.org/officeDocument/2006/customXml" ds:itemID="{95FDADE5-BD4B-4C14-881A-48502810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868</Words>
  <Characters>5166</Characters>
  <Application>Microsoft Office Word</Application>
  <DocSecurity>0</DocSecurity>
  <Lines>99</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2017-09-26T10:20:00Z</cp:lastPrinted>
  <dcterms:created xsi:type="dcterms:W3CDTF">2017-10-02T11:58:00Z</dcterms:created>
  <dcterms:modified xsi:type="dcterms:W3CDTF">2017-10-16T07:26:00Z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0x010100258AA79CEB83498886A3A0868112325000CD4CDFEEBEDF764FAB126859C09062E8</vt:lpwstr>
  </property>
  <property fmtid="{D5CDD505-2E9C-101B-9397-08002B2CF9AE}" pid="11" name="TemplateUrl">
    <vt:lpwstr/>
  </property>
</Properties>
</file>