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80" w:rsidRDefault="00387203" w:rsidP="0038720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3567DF11D5942DA91E8D303635527AE" style="width:450.6pt;height:423pt">
            <v:imagedata r:id="rId12" o:title=""/>
          </v:shape>
        </w:pict>
      </w:r>
    </w:p>
    <w:p w:rsidR="00A21280" w:rsidRDefault="00A21280">
      <w:pPr>
        <w:rPr>
          <w:noProof/>
        </w:rPr>
        <w:sectPr w:rsidR="00A21280" w:rsidSect="0038720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A21280" w:rsidRDefault="00387203">
      <w:pPr>
        <w:pStyle w:val="Exposdesmotifstitre"/>
        <w:rPr>
          <w:noProof/>
        </w:rPr>
      </w:pPr>
      <w:bookmarkStart w:id="0" w:name="_GoBack"/>
      <w:bookmarkEnd w:id="0"/>
      <w:r>
        <w:rPr>
          <w:noProof/>
        </w:rPr>
        <w:lastRenderedPageBreak/>
        <w:t>TOELICHTING</w:t>
      </w:r>
    </w:p>
    <w:p w:rsidR="00A21280" w:rsidRDefault="00387203">
      <w:pPr>
        <w:pStyle w:val="ManualHeading1"/>
        <w:rPr>
          <w:noProof/>
        </w:rPr>
      </w:pPr>
      <w:r>
        <w:rPr>
          <w:noProof/>
        </w:rPr>
        <w:t>1.</w:t>
      </w:r>
      <w:r>
        <w:rPr>
          <w:noProof/>
        </w:rPr>
        <w:tab/>
        <w:t>ACHTERGROND VAN HET VOORSTEL</w:t>
      </w:r>
    </w:p>
    <w:p w:rsidR="00A21280" w:rsidRDefault="00387203">
      <w:pPr>
        <w:pStyle w:val="ManualHeading2"/>
        <w:rPr>
          <w:rFonts w:eastAsia="Arial Unicode MS"/>
          <w:noProof/>
        </w:rPr>
      </w:pPr>
      <w:r>
        <w:rPr>
          <w:noProof/>
        </w:rPr>
        <w:t>•</w:t>
      </w:r>
      <w:r>
        <w:rPr>
          <w:noProof/>
        </w:rPr>
        <w:tab/>
        <w:t>Motivering en doel van het voorstel</w:t>
      </w:r>
    </w:p>
    <w:p w:rsidR="00A21280" w:rsidRDefault="00387203">
      <w:pPr>
        <w:pBdr>
          <w:top w:val="nil"/>
          <w:left w:val="nil"/>
          <w:bottom w:val="nil"/>
          <w:right w:val="nil"/>
          <w:between w:val="nil"/>
          <w:bar w:val="nil"/>
        </w:pBdr>
        <w:spacing w:before="0" w:after="240"/>
        <w:rPr>
          <w:noProof/>
        </w:rPr>
      </w:pPr>
      <w:r>
        <w:rPr>
          <w:noProof/>
        </w:rPr>
        <w:t>Naar aanleiding van de</w:t>
      </w:r>
      <w:r>
        <w:rPr>
          <w:noProof/>
        </w:rPr>
        <w:t xml:space="preserve"> financiële crisis</w:t>
      </w:r>
      <w:r>
        <w:rPr>
          <w:rStyle w:val="FootnoteReference"/>
          <w:noProof/>
        </w:rPr>
        <w:footnoteReference w:id="2"/>
      </w:r>
      <w:r>
        <w:rPr>
          <w:noProof/>
        </w:rPr>
        <w:t xml:space="preserve"> heeft de EU het Europees Systeem voor financieel toezicht (ESFS) opgericht, dat is gebaseerd op de tweepijlerstructuur van macroprudentieel en microprudentieel toezicht. </w:t>
      </w:r>
    </w:p>
    <w:p w:rsidR="00A21280" w:rsidRDefault="00387203">
      <w:pPr>
        <w:rPr>
          <w:noProof/>
        </w:rPr>
      </w:pPr>
      <w:r>
        <w:rPr>
          <w:noProof/>
        </w:rPr>
        <w:t xml:space="preserve">Het Europees Comité voor systeemrisico’s (ESRB), dat in december </w:t>
      </w:r>
      <w:r>
        <w:rPr>
          <w:noProof/>
        </w:rPr>
        <w:t>2010 werd opgericht, is de macro-economische pijler van het ESFS. Het ESRB is belast met het macroprudentieel toezicht op het financiële stelsel in de EU.</w:t>
      </w:r>
      <w:r>
        <w:rPr>
          <w:b/>
          <w:noProof/>
        </w:rPr>
        <w:t xml:space="preserve"> </w:t>
      </w:r>
      <w:r>
        <w:rPr>
          <w:noProof/>
        </w:rPr>
        <w:t xml:space="preserve">Dit omvat de volgende taken: (i) bijdragen tot het voorkomen of beperken van systeemrisico’s voor de </w:t>
      </w:r>
      <w:r>
        <w:rPr>
          <w:noProof/>
        </w:rPr>
        <w:t>financiële stabiliteit in de Unie, die binnen het financiële stelsel ontstaan, waarbij rekening wordt gehouden met macro-economische ontwikkelingen, zodat perioden van wijdverbreide financiële onrust worden voorkomen; (ii) bijdragen tot een soepele werking</w:t>
      </w:r>
      <w:r>
        <w:rPr>
          <w:noProof/>
        </w:rPr>
        <w:t xml:space="preserve"> van de interne markt zodat de financiële sector een duurzame bijdrage levert aan de economische groei. </w:t>
      </w:r>
    </w:p>
    <w:p w:rsidR="00A21280" w:rsidRDefault="00387203">
      <w:pPr>
        <w:rPr>
          <w:noProof/>
        </w:rPr>
      </w:pPr>
      <w:r>
        <w:rPr>
          <w:noProof/>
        </w:rPr>
        <w:t>Het ESRB heeft een ruime ledenbasis van met name nationale centrale banken, toezichthouders en Europese instellingen. Het beschikt over specifieke inst</w:t>
      </w:r>
      <w:r>
        <w:rPr>
          <w:noProof/>
        </w:rPr>
        <w:t>rumenten zoals aanbevelingen en waarschuwingen om het macroprudentieel beleid in de EU vorm te geven. Het systeembrede mandaat van het ESRB is vooral van belang om sectoroverschrijdende en grensoverschrijdende risico's en overloopeffecten te monitoren en t</w:t>
      </w:r>
      <w:r>
        <w:rPr>
          <w:noProof/>
        </w:rPr>
        <w:t>e evalueren en door zijn coördinerende rol worden besmettingsrisico’s ingeperkt. Door de erkenning van nationale macroprudentiële maatregelen te bevorderen zorgt het ESRB verder ervoor dat grensoverschrijdende lekken en regelgevingsarbitrage tot een minimu</w:t>
      </w:r>
      <w:r>
        <w:rPr>
          <w:noProof/>
        </w:rPr>
        <w:t>m beperkt blijven. Bijgevolg heeft het ESRB een rechtstreekse invloed op de effectiviteit van de macroprudentiële maatregelen van de EU-lidstaten en dus ook op de mate van financiële stabiliteit in de EU. In dit opzicht kan worden verwacht dat een betere w</w:t>
      </w:r>
      <w:r>
        <w:rPr>
          <w:noProof/>
        </w:rPr>
        <w:t>erking van het ESRB het macroprudentiële beleid effectiever zal maken.</w:t>
      </w:r>
    </w:p>
    <w:p w:rsidR="00A21280" w:rsidRDefault="00387203">
      <w:pPr>
        <w:pBdr>
          <w:top w:val="nil"/>
          <w:left w:val="nil"/>
          <w:bottom w:val="nil"/>
          <w:right w:val="nil"/>
          <w:between w:val="nil"/>
          <w:bar w:val="nil"/>
        </w:pBdr>
        <w:spacing w:before="0" w:after="240"/>
        <w:rPr>
          <w:noProof/>
        </w:rPr>
      </w:pPr>
      <w:r>
        <w:rPr>
          <w:noProof/>
        </w:rPr>
        <w:t xml:space="preserve">Sinds zijn oprichting heeft het ESRB: </w:t>
      </w:r>
    </w:p>
    <w:p w:rsidR="00A21280" w:rsidRDefault="00387203">
      <w:pPr>
        <w:pStyle w:val="Bullet1"/>
        <w:numPr>
          <w:ilvl w:val="0"/>
          <w:numId w:val="24"/>
        </w:numPr>
        <w:rPr>
          <w:noProof/>
        </w:rPr>
      </w:pPr>
      <w:r>
        <w:rPr>
          <w:noProof/>
        </w:rPr>
        <w:t xml:space="preserve">aanbevelingen en waarschuwingen gericht tot een breed gamma van adressaten; </w:t>
      </w:r>
    </w:p>
    <w:p w:rsidR="00A21280" w:rsidRDefault="00387203">
      <w:pPr>
        <w:pStyle w:val="Bullet1"/>
        <w:rPr>
          <w:noProof/>
        </w:rPr>
      </w:pPr>
      <w:r>
        <w:rPr>
          <w:noProof/>
        </w:rPr>
        <w:t>bijgedragen tot de voortdurende ontwikkeling van het macroprudentieel</w:t>
      </w:r>
      <w:r>
        <w:rPr>
          <w:noProof/>
        </w:rPr>
        <w:t xml:space="preserve"> kader in de EU; </w:t>
      </w:r>
    </w:p>
    <w:p w:rsidR="00A21280" w:rsidRDefault="00387203">
      <w:pPr>
        <w:pStyle w:val="Bullet1"/>
        <w:rPr>
          <w:noProof/>
        </w:rPr>
      </w:pPr>
      <w:r>
        <w:rPr>
          <w:noProof/>
        </w:rPr>
        <w:t xml:space="preserve">met succes gebruik gemaakt van de middelen en deskundigheid van zijn brede institutionele ledenbasis en van de onafhankelijke academische bijdragen van het wetenschappelijk adviescomité; </w:t>
      </w:r>
    </w:p>
    <w:p w:rsidR="00A21280" w:rsidRDefault="00387203">
      <w:pPr>
        <w:pStyle w:val="Bullet1"/>
        <w:rPr>
          <w:noProof/>
        </w:rPr>
      </w:pPr>
      <w:r>
        <w:rPr>
          <w:noProof/>
        </w:rPr>
        <w:t xml:space="preserve">een belangrijke rol gespeeld in de coördinatie en evaluatie van kennisgevingen van macroprudentiële maatregelen in de EU. </w:t>
      </w:r>
    </w:p>
    <w:p w:rsidR="00A21280" w:rsidRDefault="00387203">
      <w:pPr>
        <w:pBdr>
          <w:top w:val="nil"/>
          <w:left w:val="nil"/>
          <w:bottom w:val="nil"/>
          <w:right w:val="nil"/>
          <w:between w:val="nil"/>
          <w:bar w:val="nil"/>
        </w:pBdr>
        <w:spacing w:before="0" w:after="240"/>
        <w:rPr>
          <w:noProof/>
        </w:rPr>
      </w:pPr>
      <w:r>
        <w:rPr>
          <w:noProof/>
        </w:rPr>
        <w:t>Het belang van het ESRB wordt gestaafd door de activiteiten die het als overkoepelend platform en informatiecentrum verricht op het g</w:t>
      </w:r>
      <w:r>
        <w:rPr>
          <w:noProof/>
        </w:rPr>
        <w:t xml:space="preserve">ebied van EU-brede risicomonitoring en bij het verstrekken van richtsnoeren over het gebruik van macroprudentiële instrumenten. </w:t>
      </w:r>
    </w:p>
    <w:p w:rsidR="00A21280" w:rsidRDefault="00387203">
      <w:pPr>
        <w:pBdr>
          <w:top w:val="nil"/>
          <w:left w:val="nil"/>
          <w:bottom w:val="nil"/>
          <w:right w:val="nil"/>
          <w:between w:val="nil"/>
          <w:bar w:val="nil"/>
        </w:pBdr>
        <w:spacing w:before="0" w:after="240"/>
        <w:rPr>
          <w:noProof/>
        </w:rPr>
      </w:pPr>
      <w:r>
        <w:rPr>
          <w:noProof/>
        </w:rPr>
        <w:lastRenderedPageBreak/>
        <w:t>Ten gevolge van de recente institutionele veranderingen met betrekking tot de bankenunie en door de inspanningen voor de totsta</w:t>
      </w:r>
      <w:r>
        <w:rPr>
          <w:noProof/>
        </w:rPr>
        <w:t>ndbrenging van een kapitaalmarktenunie opereert het ESRB nu echter in een context die verschillend is van die waarin het werd opgezet. De consequenties daarvan doen zich vooral voelen voor de samenstelling van het ESRB en de wijze van organisatie. Er moete</w:t>
      </w:r>
      <w:r>
        <w:rPr>
          <w:noProof/>
        </w:rPr>
        <w:t>n verbeteringen worden aangebracht in de samenstelling van het ESRB en in de wijze waarop het samenwerkt met de Europese instellingen, zodat rekening wordt gehouden met de stapsgewijze veranderingen in het macroprudentiële kader en de sterke ontwikkelingen</w:t>
      </w:r>
      <w:r>
        <w:rPr>
          <w:noProof/>
        </w:rPr>
        <w:t xml:space="preserve"> die zich in de regelgeving hebben voorgedaan. </w:t>
      </w:r>
    </w:p>
    <w:p w:rsidR="00A21280" w:rsidRDefault="00387203">
      <w:pPr>
        <w:pBdr>
          <w:top w:val="nil"/>
          <w:left w:val="nil"/>
          <w:bottom w:val="nil"/>
          <w:right w:val="nil"/>
          <w:between w:val="nil"/>
          <w:bar w:val="nil"/>
        </w:pBdr>
        <w:spacing w:before="0" w:after="240"/>
        <w:rPr>
          <w:noProof/>
        </w:rPr>
      </w:pPr>
      <w:r>
        <w:rPr>
          <w:noProof/>
        </w:rPr>
        <w:t>Daarnaast zijn veranderingen vereist om te garanderen dat het ESRB macroprudentieel toezicht kan uitoefenen over het gehele financiële stelsel, omdat marktgebaseerde vormen van financiering belangrijker worde</w:t>
      </w:r>
      <w:r>
        <w:rPr>
          <w:noProof/>
        </w:rPr>
        <w:t xml:space="preserve">n, in het bijzonder met de invoering van de kapitaalmarktenunie. </w:t>
      </w:r>
    </w:p>
    <w:p w:rsidR="00A21280" w:rsidRDefault="00387203">
      <w:pPr>
        <w:pBdr>
          <w:top w:val="nil"/>
          <w:left w:val="nil"/>
          <w:bottom w:val="nil"/>
          <w:right w:val="nil"/>
          <w:between w:val="nil"/>
          <w:bar w:val="nil"/>
        </w:pBdr>
        <w:spacing w:before="0" w:after="240"/>
        <w:rPr>
          <w:noProof/>
        </w:rPr>
      </w:pPr>
      <w:r>
        <w:rPr>
          <w:noProof/>
        </w:rPr>
        <w:t>Meer efficiëntie en effectiviteit in het ESRB zal leiden tot een betere coördinatie van het macroprudentieel beleid in de EU en zal het ESRB in staat stellen zijn mandaat beter te vervullen.</w:t>
      </w:r>
      <w:r>
        <w:rPr>
          <w:noProof/>
        </w:rPr>
        <w:t xml:space="preserve"> Het voorstel wordt verder toegelicht in de effectenanalyse.</w:t>
      </w:r>
    </w:p>
    <w:p w:rsidR="00A21280" w:rsidRDefault="00387203">
      <w:pPr>
        <w:pStyle w:val="ManualHeading2"/>
        <w:rPr>
          <w:rFonts w:eastAsia="Arial Unicode MS"/>
          <w:noProof/>
          <w:u w:color="000000"/>
          <w:bdr w:val="nil"/>
        </w:rPr>
      </w:pPr>
      <w:r>
        <w:rPr>
          <w:noProof/>
        </w:rPr>
        <w:t>•</w:t>
      </w:r>
      <w:r>
        <w:rPr>
          <w:noProof/>
        </w:rPr>
        <w:tab/>
        <w:t>Verenigbaarheid met bestaande bepalingen op het beleidsterrein</w:t>
      </w:r>
    </w:p>
    <w:p w:rsidR="00A21280" w:rsidRDefault="00387203">
      <w:pPr>
        <w:pBdr>
          <w:top w:val="nil"/>
          <w:left w:val="nil"/>
          <w:bottom w:val="nil"/>
          <w:right w:val="nil"/>
          <w:between w:val="nil"/>
          <w:bar w:val="nil"/>
        </w:pBdr>
        <w:spacing w:before="0" w:after="240"/>
        <w:rPr>
          <w:noProof/>
        </w:rPr>
      </w:pPr>
      <w:r>
        <w:rPr>
          <w:noProof/>
        </w:rPr>
        <w:t xml:space="preserve">Dit voorstel moet worden gezien in het kader van de lopende herziening van de Europese toezichthoudende autoriteiten (ETA’s). Het </w:t>
      </w:r>
      <w:r>
        <w:rPr>
          <w:noProof/>
        </w:rPr>
        <w:t xml:space="preserve">ESRB en de ETA’s zijn de macro- en microprudentiële pijlers van het ESFS. </w:t>
      </w:r>
    </w:p>
    <w:p w:rsidR="00A21280" w:rsidRDefault="00387203">
      <w:pPr>
        <w:pStyle w:val="ManualHeading2"/>
        <w:rPr>
          <w:rFonts w:eastAsia="Arial Unicode MS"/>
          <w:noProof/>
        </w:rPr>
      </w:pPr>
      <w:r>
        <w:rPr>
          <w:noProof/>
        </w:rPr>
        <w:t>•</w:t>
      </w:r>
      <w:r>
        <w:rPr>
          <w:noProof/>
        </w:rPr>
        <w:tab/>
        <w:t>Verenigbaarheid met andere beleidsterreinen van de Unie</w:t>
      </w:r>
    </w:p>
    <w:p w:rsidR="00A21280" w:rsidRDefault="00387203">
      <w:pPr>
        <w:pBdr>
          <w:top w:val="nil"/>
          <w:left w:val="nil"/>
          <w:bottom w:val="nil"/>
          <w:right w:val="nil"/>
          <w:between w:val="nil"/>
          <w:bar w:val="nil"/>
        </w:pBdr>
        <w:spacing w:before="0" w:after="240"/>
        <w:rPr>
          <w:rFonts w:eastAsia="Arial Unicode MS"/>
          <w:noProof/>
        </w:rPr>
      </w:pPr>
      <w:r>
        <w:rPr>
          <w:noProof/>
        </w:rPr>
        <w:t>De herziening van het ESRB past ook in de context van de opbouw van een bankenunie en een kapitaalmarktenunie. De verwachte</w:t>
      </w:r>
      <w:r>
        <w:rPr>
          <w:noProof/>
        </w:rPr>
        <w:t xml:space="preserve"> verdieping en de verdere integratie van de Europese kapitaalmarkten vereist een overeenkomstige aanpassing van het toezichtkader voor systeemrisico’s.</w:t>
      </w:r>
    </w:p>
    <w:p w:rsidR="00A21280" w:rsidRDefault="00387203">
      <w:pPr>
        <w:pStyle w:val="ManualHeading1"/>
        <w:rPr>
          <w:noProof/>
        </w:rPr>
      </w:pPr>
      <w:r>
        <w:rPr>
          <w:noProof/>
        </w:rPr>
        <w:t>2.</w:t>
      </w:r>
      <w:r>
        <w:rPr>
          <w:noProof/>
        </w:rPr>
        <w:tab/>
        <w:t>RECHTSGRONDSLAG, SUBSIDIARITEIT EN EVENREDIGHEID</w:t>
      </w:r>
    </w:p>
    <w:p w:rsidR="00A21280" w:rsidRDefault="00387203">
      <w:pPr>
        <w:pStyle w:val="ManualHeading2"/>
        <w:rPr>
          <w:rFonts w:eastAsia="Arial Unicode MS"/>
          <w:noProof/>
          <w:u w:color="000000"/>
          <w:bdr w:val="nil"/>
        </w:rPr>
      </w:pPr>
      <w:r>
        <w:rPr>
          <w:noProof/>
        </w:rPr>
        <w:t>•</w:t>
      </w:r>
      <w:r>
        <w:rPr>
          <w:noProof/>
        </w:rPr>
        <w:tab/>
        <w:t>Rechtsgrondslag</w:t>
      </w:r>
    </w:p>
    <w:p w:rsidR="00A21280" w:rsidRDefault="00387203">
      <w:pPr>
        <w:pBdr>
          <w:top w:val="nil"/>
          <w:left w:val="nil"/>
          <w:bottom w:val="nil"/>
          <w:right w:val="nil"/>
          <w:between w:val="nil"/>
          <w:bar w:val="nil"/>
        </w:pBdr>
        <w:spacing w:before="0" w:after="240"/>
        <w:rPr>
          <w:noProof/>
        </w:rPr>
      </w:pPr>
      <w:r>
        <w:rPr>
          <w:noProof/>
        </w:rPr>
        <w:t>De rechtsgrondslag voor de voorges</w:t>
      </w:r>
      <w:r>
        <w:rPr>
          <w:noProof/>
        </w:rPr>
        <w:t>telde wijzigingen is dezelfde als voor de te wijzigen rechtshandeling, namelijk artikel 114 VWEU. De verordening tot oprichting van het ESRB wordt aangevuld door een verordening van de Raad waarbij de Europese Centrale Bank (ECB) de taak wordt opgedragen h</w:t>
      </w:r>
      <w:r>
        <w:rPr>
          <w:noProof/>
        </w:rPr>
        <w:t xml:space="preserve">et secretariaat van het ESRB te verzorgen. </w:t>
      </w:r>
    </w:p>
    <w:p w:rsidR="00A21280" w:rsidRDefault="00387203">
      <w:pPr>
        <w:pStyle w:val="ManualHeading2"/>
        <w:rPr>
          <w:rFonts w:eastAsia="Arial Unicode MS"/>
          <w:noProof/>
          <w:u w:color="000000"/>
          <w:bdr w:val="nil"/>
        </w:rPr>
      </w:pPr>
      <w:r>
        <w:rPr>
          <w:noProof/>
        </w:rPr>
        <w:t>•</w:t>
      </w:r>
      <w:r>
        <w:rPr>
          <w:noProof/>
        </w:rPr>
        <w:tab/>
        <w:t xml:space="preserve">Subsidiariteit (bij niet-exclusieve bevoegdheid) </w:t>
      </w:r>
    </w:p>
    <w:p w:rsidR="00A21280" w:rsidRDefault="00387203">
      <w:pPr>
        <w:spacing w:before="100" w:beforeAutospacing="1" w:after="100" w:afterAutospacing="1"/>
        <w:rPr>
          <w:noProof/>
        </w:rPr>
      </w:pPr>
      <w:r>
        <w:rPr>
          <w:noProof/>
        </w:rPr>
        <w:t>Het ESRB is een orgaan zonder rechtspersoonlijkheid. Het is belast met het macroprudentieel toezicht op het financiële stelsel in de EU. De doelstelling van het voorstel, namelijk het ESRB efficiënter te maken en de macroprudentiële coördinatie in de EU te</w:t>
      </w:r>
      <w:r>
        <w:rPr>
          <w:noProof/>
        </w:rPr>
        <w:t xml:space="preserve"> versterken, kan worden bereikt door reeds bestaande EU-wetgeving aan te vullen, hetgeen betekent dat het doel beter op EU-niveau kan worden bereikt dan door verschillende nationale initiatieven. Voorts levert het ESRB een substantiële bijdrage tot het wed</w:t>
      </w:r>
      <w:r>
        <w:rPr>
          <w:noProof/>
        </w:rPr>
        <w:t xml:space="preserve">erkerig maken van nationale macroprudentiële maatregelen en ondersteunt het dus nationale autoriteiten om systeemrisico’s aan te pakken die op nationaal niveau ontstaan. </w:t>
      </w:r>
    </w:p>
    <w:p w:rsidR="00A21280" w:rsidRDefault="00387203">
      <w:pPr>
        <w:pStyle w:val="ManualHeading2"/>
        <w:rPr>
          <w:rFonts w:eastAsia="Arial Unicode MS"/>
          <w:noProof/>
          <w:u w:color="000000"/>
          <w:bdr w:val="nil"/>
        </w:rPr>
      </w:pPr>
      <w:r>
        <w:rPr>
          <w:noProof/>
        </w:rPr>
        <w:t>•</w:t>
      </w:r>
      <w:r>
        <w:rPr>
          <w:noProof/>
        </w:rPr>
        <w:tab/>
        <w:t>Evenredigheid</w:t>
      </w:r>
    </w:p>
    <w:p w:rsidR="00A21280" w:rsidRDefault="00387203">
      <w:pPr>
        <w:pBdr>
          <w:top w:val="nil"/>
          <w:left w:val="nil"/>
          <w:bottom w:val="nil"/>
          <w:right w:val="nil"/>
          <w:between w:val="nil"/>
          <w:bar w:val="nil"/>
        </w:pBdr>
        <w:spacing w:before="0" w:after="240"/>
        <w:rPr>
          <w:rFonts w:eastAsia="Arial Unicode MS"/>
          <w:noProof/>
        </w:rPr>
      </w:pPr>
      <w:r>
        <w:rPr>
          <w:noProof/>
        </w:rPr>
        <w:t>Dit voorstel vormt een wijziging van een bestaande verordening. De ve</w:t>
      </w:r>
      <w:r>
        <w:rPr>
          <w:noProof/>
        </w:rPr>
        <w:t xml:space="preserve">randeringen zijn doelgericht en beogen bestaande bepalingen te verduidelijken of te versterken. Zij zijn derhalve evenredig met de omschreven problemen. De onderliggende structuur van het ESRB zal grotendeels onveranderd blijven. </w:t>
      </w:r>
    </w:p>
    <w:p w:rsidR="00A21280" w:rsidRDefault="00387203">
      <w:pPr>
        <w:pStyle w:val="ManualHeading2"/>
        <w:rPr>
          <w:rFonts w:eastAsia="Arial Unicode MS"/>
          <w:noProof/>
          <w:u w:color="000000"/>
          <w:bdr w:val="nil"/>
        </w:rPr>
      </w:pPr>
      <w:r>
        <w:rPr>
          <w:noProof/>
        </w:rPr>
        <w:t>•</w:t>
      </w:r>
      <w:r>
        <w:rPr>
          <w:noProof/>
        </w:rPr>
        <w:tab/>
        <w:t>Keuze van het instrumen</w:t>
      </w:r>
      <w:r>
        <w:rPr>
          <w:noProof/>
        </w:rPr>
        <w:t>t</w:t>
      </w:r>
    </w:p>
    <w:p w:rsidR="00A21280" w:rsidRDefault="00387203">
      <w:pPr>
        <w:pBdr>
          <w:top w:val="nil"/>
          <w:left w:val="nil"/>
          <w:bottom w:val="nil"/>
          <w:right w:val="nil"/>
          <w:between w:val="nil"/>
          <w:bar w:val="nil"/>
        </w:pBdr>
        <w:spacing w:before="0" w:after="240"/>
        <w:rPr>
          <w:rFonts w:eastAsia="Arial Unicode MS"/>
          <w:noProof/>
        </w:rPr>
      </w:pPr>
      <w:r>
        <w:rPr>
          <w:noProof/>
        </w:rPr>
        <w:t>Wijziging van een bestaande verordening.</w:t>
      </w:r>
    </w:p>
    <w:p w:rsidR="00A21280" w:rsidRDefault="00387203">
      <w:pPr>
        <w:pStyle w:val="ManualHeading1"/>
        <w:rPr>
          <w:noProof/>
        </w:rPr>
      </w:pPr>
      <w:r>
        <w:rPr>
          <w:noProof/>
        </w:rPr>
        <w:t>3.</w:t>
      </w:r>
      <w:r>
        <w:rPr>
          <w:noProof/>
        </w:rPr>
        <w:tab/>
        <w:t>EVALUATIE, RAADPLEGING VAN BELANGHEBBENDEN EN EFFECTBEOORDELING</w:t>
      </w:r>
    </w:p>
    <w:p w:rsidR="00A21280" w:rsidRDefault="00387203">
      <w:pPr>
        <w:pStyle w:val="ManualHeading2"/>
        <w:rPr>
          <w:rFonts w:eastAsia="Arial Unicode MS"/>
          <w:noProof/>
          <w:u w:color="000000"/>
          <w:bdr w:val="nil"/>
        </w:rPr>
      </w:pPr>
      <w:r>
        <w:rPr>
          <w:noProof/>
        </w:rPr>
        <w:t>•</w:t>
      </w:r>
      <w:r>
        <w:rPr>
          <w:noProof/>
        </w:rPr>
        <w:tab/>
        <w:t>Evaluatie van bestaande wetgeving en controle van de resultaatgerichtheid ervan</w:t>
      </w:r>
    </w:p>
    <w:p w:rsidR="00A21280" w:rsidRDefault="00387203">
      <w:pPr>
        <w:pBdr>
          <w:top w:val="nil"/>
          <w:left w:val="nil"/>
          <w:bottom w:val="nil"/>
          <w:right w:val="nil"/>
          <w:between w:val="nil"/>
          <w:bar w:val="nil"/>
        </w:pBdr>
        <w:spacing w:before="0" w:after="240"/>
        <w:rPr>
          <w:noProof/>
        </w:rPr>
      </w:pPr>
      <w:r>
        <w:rPr>
          <w:noProof/>
        </w:rPr>
        <w:t xml:space="preserve">Overeenkomstig het voorschrift in de ESRB-verordening heeft de </w:t>
      </w:r>
      <w:r>
        <w:rPr>
          <w:noProof/>
        </w:rPr>
        <w:t>Commissie een evaluatie verricht om uit te maken of het takenpakket en de organisatie van het ESRB geactualiseerd moeten worden. De eerste evaluatie van de ESRB-verordening vond plaats in 2014.</w:t>
      </w:r>
    </w:p>
    <w:p w:rsidR="00A21280" w:rsidRDefault="00387203">
      <w:pPr>
        <w:pStyle w:val="ManualHeading2"/>
        <w:rPr>
          <w:rFonts w:eastAsia="Arial Unicode MS"/>
          <w:noProof/>
          <w:u w:color="000000"/>
          <w:bdr w:val="nil"/>
        </w:rPr>
      </w:pPr>
      <w:r>
        <w:rPr>
          <w:noProof/>
        </w:rPr>
        <w:t>•</w:t>
      </w:r>
      <w:r>
        <w:rPr>
          <w:noProof/>
        </w:rPr>
        <w:tab/>
        <w:t>Raadpleging van belanghebbenden</w:t>
      </w:r>
    </w:p>
    <w:p w:rsidR="00A21280" w:rsidRDefault="00387203">
      <w:pPr>
        <w:pBdr>
          <w:top w:val="nil"/>
          <w:left w:val="nil"/>
          <w:bottom w:val="nil"/>
          <w:right w:val="nil"/>
          <w:between w:val="nil"/>
          <w:bar w:val="nil"/>
        </w:pBdr>
        <w:spacing w:before="0" w:after="240"/>
        <w:rPr>
          <w:noProof/>
        </w:rPr>
      </w:pPr>
      <w:r>
        <w:rPr>
          <w:noProof/>
        </w:rPr>
        <w:t xml:space="preserve">In de tweede helft van 2016 </w:t>
      </w:r>
      <w:r>
        <w:rPr>
          <w:noProof/>
        </w:rPr>
        <w:t>werden een openbare raadpleging over het macroprudentieel kader en een openbare hoorzitting georganiseerd. Over het algemeen oordeelden belanghebbenden dat het mandaat en de taken van het ESRB geschikt waren om de efficiëntie en effectiviteit van het macro</w:t>
      </w:r>
      <w:r>
        <w:rPr>
          <w:noProof/>
        </w:rPr>
        <w:t>prudentiële beleid te verzekeren en betuigden zij hun steun om de werking van het ESRB aan te passen met het oog op meer efficiëntie. De meeste respondenten waren er voorstander van de president van de ECB te behouden als voorzitter van het ESRB. Sommige r</w:t>
      </w:r>
      <w:r>
        <w:rPr>
          <w:noProof/>
        </w:rPr>
        <w:t>espondenten pleitten voor een vertegenwoordiging van het gemeenschappelijk toezichtsmechanisme en van de gemeenschappelijke afwikkelingsraad in de algemene raad van het ESRB, om rekening te houden met de oprichting van de bankenunie, maar de meesten voelde</w:t>
      </w:r>
      <w:r>
        <w:rPr>
          <w:noProof/>
        </w:rPr>
        <w:t>n geen behoefte aan ingrijpende wijzigingen in de samenstelling van het Comité. Sommige respondenten waren voorstander van een versterking van het ESRB-secretariaat en van de rol van het ESRB in het stroomlijnen van kennisgevingsprocedures op het niveau va</w:t>
      </w:r>
      <w:r>
        <w:rPr>
          <w:noProof/>
        </w:rPr>
        <w:t xml:space="preserve">n de EU. </w:t>
      </w:r>
    </w:p>
    <w:p w:rsidR="00A21280" w:rsidRDefault="00387203">
      <w:pPr>
        <w:pStyle w:val="ManualHeading2"/>
        <w:rPr>
          <w:rFonts w:eastAsia="Arial Unicode MS"/>
          <w:noProof/>
          <w:u w:color="000000"/>
          <w:bdr w:val="nil"/>
        </w:rPr>
      </w:pPr>
      <w:r>
        <w:rPr>
          <w:noProof/>
        </w:rPr>
        <w:t>•</w:t>
      </w:r>
      <w:r>
        <w:rPr>
          <w:noProof/>
        </w:rPr>
        <w:tab/>
        <w:t>Bijeenbrengen en gebruik van expertise</w:t>
      </w:r>
    </w:p>
    <w:p w:rsidR="00A21280" w:rsidRDefault="00387203">
      <w:pPr>
        <w:pBdr>
          <w:top w:val="nil"/>
          <w:left w:val="nil"/>
          <w:bottom w:val="nil"/>
          <w:right w:val="nil"/>
          <w:between w:val="nil"/>
          <w:bar w:val="nil"/>
        </w:pBdr>
        <w:spacing w:before="0" w:after="240"/>
        <w:rPr>
          <w:rFonts w:eastAsia="Arial Unicode MS"/>
          <w:noProof/>
        </w:rPr>
      </w:pPr>
      <w:r>
        <w:rPr>
          <w:noProof/>
        </w:rPr>
        <w:t>n.v.t. – via raadpleging van belanghebbenden en openbare hoorzitting, zie hierboven</w:t>
      </w:r>
    </w:p>
    <w:p w:rsidR="00A21280" w:rsidRDefault="00387203">
      <w:pPr>
        <w:pStyle w:val="ManualHeading2"/>
        <w:rPr>
          <w:rFonts w:eastAsia="Arial Unicode MS"/>
          <w:noProof/>
          <w:u w:color="000000"/>
          <w:bdr w:val="nil"/>
        </w:rPr>
      </w:pPr>
      <w:r>
        <w:rPr>
          <w:noProof/>
        </w:rPr>
        <w:t>•</w:t>
      </w:r>
      <w:r>
        <w:rPr>
          <w:noProof/>
        </w:rPr>
        <w:tab/>
        <w:t>Effectbeoordeling</w:t>
      </w:r>
    </w:p>
    <w:p w:rsidR="00A21280" w:rsidRDefault="00387203">
      <w:pPr>
        <w:pBdr>
          <w:top w:val="nil"/>
          <w:left w:val="nil"/>
          <w:bottom w:val="nil"/>
          <w:right w:val="nil"/>
          <w:between w:val="nil"/>
          <w:bar w:val="nil"/>
        </w:pBdr>
        <w:spacing w:before="0" w:after="240"/>
        <w:rPr>
          <w:rFonts w:eastAsia="Arial Unicode MS"/>
          <w:noProof/>
        </w:rPr>
      </w:pPr>
      <w:r>
        <w:rPr>
          <w:noProof/>
        </w:rPr>
        <w:t xml:space="preserve">De Commissie heeft een effectbeoordeling van de voorgestelde wijzigingen in het ESRB verricht. Er is </w:t>
      </w:r>
      <w:r>
        <w:rPr>
          <w:noProof/>
        </w:rPr>
        <w:t>nog geen formele effectbeoordeling verricht, gelet op het doelgerichte karakter van de wijzigingen waarin het wetgevingsvoorstel voorziet.</w:t>
      </w:r>
    </w:p>
    <w:p w:rsidR="00A21280" w:rsidRDefault="00A21280">
      <w:pPr>
        <w:pBdr>
          <w:top w:val="nil"/>
          <w:left w:val="nil"/>
          <w:bottom w:val="nil"/>
          <w:right w:val="nil"/>
          <w:between w:val="nil"/>
          <w:bar w:val="nil"/>
        </w:pBdr>
        <w:spacing w:before="0" w:after="240"/>
        <w:rPr>
          <w:rFonts w:eastAsia="Arial Unicode MS"/>
          <w:noProof/>
        </w:rPr>
      </w:pPr>
    </w:p>
    <w:p w:rsidR="00A21280" w:rsidRDefault="00387203">
      <w:pPr>
        <w:pStyle w:val="ManualHeading2"/>
        <w:rPr>
          <w:rFonts w:eastAsia="Arial Unicode MS"/>
          <w:noProof/>
          <w:u w:color="000000"/>
          <w:bdr w:val="nil"/>
        </w:rPr>
      </w:pPr>
      <w:r>
        <w:rPr>
          <w:noProof/>
        </w:rPr>
        <w:t>•</w:t>
      </w:r>
      <w:r>
        <w:rPr>
          <w:noProof/>
        </w:rPr>
        <w:tab/>
        <w:t>Resultaatgerichtheid en vereenvoudiging</w:t>
      </w:r>
    </w:p>
    <w:p w:rsidR="00A21280" w:rsidRDefault="00387203">
      <w:pPr>
        <w:pBdr>
          <w:top w:val="nil"/>
          <w:left w:val="nil"/>
          <w:bottom w:val="nil"/>
          <w:right w:val="nil"/>
          <w:between w:val="nil"/>
          <w:bar w:val="nil"/>
        </w:pBdr>
        <w:spacing w:before="0" w:after="240"/>
        <w:rPr>
          <w:rFonts w:eastAsia="Arial Unicode MS"/>
          <w:noProof/>
        </w:rPr>
      </w:pPr>
      <w:r>
        <w:rPr>
          <w:noProof/>
        </w:rPr>
        <w:t>[n.v.t.]</w:t>
      </w:r>
    </w:p>
    <w:p w:rsidR="00A21280" w:rsidRDefault="00387203">
      <w:pPr>
        <w:pStyle w:val="ManualHeading2"/>
        <w:rPr>
          <w:rFonts w:eastAsia="Arial Unicode MS"/>
          <w:noProof/>
          <w:u w:color="000000"/>
          <w:bdr w:val="nil"/>
        </w:rPr>
      </w:pPr>
      <w:r>
        <w:rPr>
          <w:noProof/>
        </w:rPr>
        <w:t>•</w:t>
      </w:r>
      <w:r>
        <w:rPr>
          <w:noProof/>
        </w:rPr>
        <w:tab/>
        <w:t>Grondrechten</w:t>
      </w:r>
    </w:p>
    <w:p w:rsidR="00A21280" w:rsidRDefault="00387203">
      <w:pPr>
        <w:pBdr>
          <w:top w:val="nil"/>
          <w:left w:val="nil"/>
          <w:bottom w:val="nil"/>
          <w:right w:val="nil"/>
          <w:between w:val="nil"/>
          <w:bar w:val="nil"/>
        </w:pBdr>
        <w:spacing w:before="0" w:after="240"/>
        <w:rPr>
          <w:rFonts w:eastAsia="Arial Unicode MS"/>
          <w:noProof/>
        </w:rPr>
      </w:pPr>
      <w:r>
        <w:rPr>
          <w:noProof/>
        </w:rPr>
        <w:t>[n.v.t.]</w:t>
      </w:r>
    </w:p>
    <w:p w:rsidR="00A21280" w:rsidRDefault="00387203">
      <w:pPr>
        <w:pStyle w:val="ManualHeading1"/>
        <w:rPr>
          <w:noProof/>
        </w:rPr>
      </w:pPr>
      <w:r>
        <w:rPr>
          <w:noProof/>
        </w:rPr>
        <w:t>4.</w:t>
      </w:r>
      <w:r>
        <w:rPr>
          <w:noProof/>
        </w:rPr>
        <w:tab/>
        <w:t>GEVOLGEN VOOR DE BEGROTING</w:t>
      </w:r>
    </w:p>
    <w:p w:rsidR="00A21280" w:rsidRDefault="00387203">
      <w:pPr>
        <w:pBdr>
          <w:top w:val="nil"/>
          <w:left w:val="nil"/>
          <w:bottom w:val="nil"/>
          <w:right w:val="nil"/>
          <w:between w:val="nil"/>
          <w:bar w:val="nil"/>
        </w:pBdr>
        <w:spacing w:before="0" w:after="240"/>
        <w:rPr>
          <w:rFonts w:eastAsia="Arial Unicode MS"/>
          <w:noProof/>
        </w:rPr>
      </w:pPr>
      <w:r>
        <w:rPr>
          <w:noProof/>
        </w:rPr>
        <w:t>De begrotin</w:t>
      </w:r>
      <w:r>
        <w:rPr>
          <w:noProof/>
        </w:rPr>
        <w:t>gskosten voor het ESRB-secretariaat worden gedragen door de ECB en hebben geen directe gevolgen voor de EU-begroting.</w:t>
      </w:r>
    </w:p>
    <w:p w:rsidR="00A21280" w:rsidRDefault="00387203">
      <w:pPr>
        <w:pStyle w:val="ManualHeading1"/>
        <w:rPr>
          <w:noProof/>
        </w:rPr>
      </w:pPr>
      <w:r>
        <w:rPr>
          <w:noProof/>
        </w:rPr>
        <w:t>5.</w:t>
      </w:r>
      <w:r>
        <w:rPr>
          <w:noProof/>
        </w:rPr>
        <w:tab/>
        <w:t>OVERIGE ELEMENTEN</w:t>
      </w:r>
    </w:p>
    <w:p w:rsidR="00A21280" w:rsidRDefault="00387203">
      <w:pPr>
        <w:pStyle w:val="ManualHeading2"/>
        <w:rPr>
          <w:rFonts w:eastAsia="Arial Unicode MS"/>
          <w:noProof/>
          <w:u w:color="000000"/>
          <w:bdr w:val="nil"/>
        </w:rPr>
      </w:pPr>
      <w:r>
        <w:rPr>
          <w:noProof/>
        </w:rPr>
        <w:t>•</w:t>
      </w:r>
      <w:r>
        <w:rPr>
          <w:noProof/>
        </w:rPr>
        <w:tab/>
        <w:t>Uitvoeringsplanning en regelingen betreffende controle, evaluatie en rapportage</w:t>
      </w:r>
    </w:p>
    <w:p w:rsidR="00A21280" w:rsidRDefault="00387203">
      <w:pPr>
        <w:pBdr>
          <w:top w:val="nil"/>
          <w:left w:val="nil"/>
          <w:bottom w:val="nil"/>
          <w:right w:val="nil"/>
          <w:between w:val="nil"/>
          <w:bar w:val="nil"/>
        </w:pBdr>
        <w:spacing w:before="0" w:after="240"/>
        <w:rPr>
          <w:rFonts w:eastAsia="Arial Unicode MS"/>
          <w:noProof/>
        </w:rPr>
      </w:pPr>
      <w:r>
        <w:rPr>
          <w:noProof/>
        </w:rPr>
        <w:t>De verordening zal worden geëvaluee</w:t>
      </w:r>
      <w:r>
        <w:rPr>
          <w:noProof/>
        </w:rPr>
        <w:t>rd na vijf jaar.</w:t>
      </w:r>
    </w:p>
    <w:p w:rsidR="00A21280" w:rsidRDefault="00387203">
      <w:pPr>
        <w:pStyle w:val="ManualHeading2"/>
        <w:rPr>
          <w:rFonts w:eastAsia="Arial Unicode MS"/>
          <w:noProof/>
          <w:u w:color="000000"/>
          <w:bdr w:val="nil"/>
        </w:rPr>
      </w:pPr>
      <w:r>
        <w:rPr>
          <w:noProof/>
        </w:rPr>
        <w:t>•</w:t>
      </w:r>
      <w:r>
        <w:rPr>
          <w:noProof/>
        </w:rPr>
        <w:tab/>
        <w:t>Toelichtende stukken (bij richtlijnen)</w:t>
      </w:r>
    </w:p>
    <w:p w:rsidR="00A21280" w:rsidRDefault="00387203">
      <w:pPr>
        <w:pBdr>
          <w:top w:val="nil"/>
          <w:left w:val="nil"/>
          <w:bottom w:val="nil"/>
          <w:right w:val="nil"/>
          <w:between w:val="nil"/>
          <w:bar w:val="nil"/>
        </w:pBdr>
        <w:spacing w:before="0" w:after="240"/>
        <w:rPr>
          <w:rFonts w:eastAsia="Arial Unicode MS"/>
          <w:noProof/>
        </w:rPr>
      </w:pPr>
      <w:r>
        <w:rPr>
          <w:noProof/>
        </w:rPr>
        <w:t>[n.v.t.]</w:t>
      </w:r>
    </w:p>
    <w:p w:rsidR="00A21280" w:rsidRDefault="00387203">
      <w:pPr>
        <w:pStyle w:val="ManualHeading2"/>
        <w:rPr>
          <w:rFonts w:eastAsia="Arial Unicode MS"/>
          <w:noProof/>
          <w:u w:color="000000"/>
          <w:bdr w:val="nil"/>
        </w:rPr>
      </w:pPr>
      <w:r>
        <w:rPr>
          <w:noProof/>
        </w:rPr>
        <w:t>•</w:t>
      </w:r>
      <w:r>
        <w:rPr>
          <w:noProof/>
        </w:rPr>
        <w:tab/>
        <w:t>Artikelsgewijze toelichting</w:t>
      </w:r>
    </w:p>
    <w:p w:rsidR="00A21280" w:rsidRDefault="00387203">
      <w:pPr>
        <w:pBdr>
          <w:top w:val="nil"/>
          <w:left w:val="nil"/>
          <w:bottom w:val="nil"/>
          <w:right w:val="nil"/>
          <w:between w:val="nil"/>
          <w:bar w:val="nil"/>
        </w:pBdr>
        <w:spacing w:before="0" w:after="240"/>
        <w:rPr>
          <w:noProof/>
        </w:rPr>
      </w:pPr>
      <w:r>
        <w:rPr>
          <w:noProof/>
        </w:rPr>
        <w:t>Voorzitter</w:t>
      </w:r>
    </w:p>
    <w:p w:rsidR="00A21280" w:rsidRDefault="00387203">
      <w:pPr>
        <w:pBdr>
          <w:top w:val="nil"/>
          <w:left w:val="nil"/>
          <w:bottom w:val="nil"/>
          <w:right w:val="nil"/>
          <w:between w:val="nil"/>
          <w:bar w:val="nil"/>
        </w:pBdr>
        <w:spacing w:before="0" w:after="240"/>
        <w:rPr>
          <w:noProof/>
        </w:rPr>
      </w:pPr>
      <w:r>
        <w:rPr>
          <w:noProof/>
        </w:rPr>
        <w:t>In de huidige samenstelling wordt het ESRB voorgezeten door de president van de ECB. Als voorzitter verleent de president van de ECB gezag en geloof</w:t>
      </w:r>
      <w:r>
        <w:rPr>
          <w:noProof/>
        </w:rPr>
        <w:t>waardigheid aan het ESRB en zorgt hij ervoor dat daadwerkelijk kan worden vertrouwd en voortgebouwd op de deskundigheid van de ECB op het gebied van financiële stabiliteit. Daarom wordt voorgesteld dat de president van de ECB optreedt als permanente voorzi</w:t>
      </w:r>
      <w:r>
        <w:rPr>
          <w:noProof/>
        </w:rPr>
        <w:t>tter van het ESRB.</w:t>
      </w:r>
    </w:p>
    <w:p w:rsidR="00A21280" w:rsidRDefault="00387203">
      <w:pPr>
        <w:pBdr>
          <w:top w:val="nil"/>
          <w:left w:val="nil"/>
          <w:bottom w:val="nil"/>
          <w:right w:val="nil"/>
          <w:between w:val="nil"/>
          <w:bar w:val="nil"/>
        </w:pBdr>
        <w:spacing w:before="0" w:after="240"/>
        <w:rPr>
          <w:noProof/>
        </w:rPr>
      </w:pPr>
      <w:r>
        <w:rPr>
          <w:noProof/>
        </w:rPr>
        <w:t>Secretariaat van het ESRB</w:t>
      </w:r>
    </w:p>
    <w:p w:rsidR="00A21280" w:rsidRDefault="00387203">
      <w:pPr>
        <w:pBdr>
          <w:top w:val="nil"/>
          <w:left w:val="nil"/>
          <w:bottom w:val="nil"/>
          <w:right w:val="nil"/>
          <w:between w:val="nil"/>
          <w:bar w:val="nil"/>
        </w:pBdr>
        <w:spacing w:before="0" w:after="240"/>
        <w:rPr>
          <w:noProof/>
        </w:rPr>
      </w:pPr>
      <w:r>
        <w:rPr>
          <w:noProof/>
        </w:rPr>
        <w:t>Aangezien de algemene raad van het ESRB geen voltijdse leden heeft en zelfs geen voltijdse voorzitter of vicevoorzitters, zijn er geen leden die hun tijd volledig kunnen wijden aan ESRB-taken en -aangelegenheden. Voorts zijn de officiële taken van het hoof</w:t>
      </w:r>
      <w:r>
        <w:rPr>
          <w:noProof/>
        </w:rPr>
        <w:t>d van het ESRB-secretariaat beperkt. Dit kan de zichtbaarheid van de ESRB-werkzaamheden belemmeren, ook al neemt de voorzitter van het ESRB regelmatig deel aan hoorzittingen van het Parlement. Door het hoofd van het ESRB-secretariaat een ruimere rol te ver</w:t>
      </w:r>
      <w:r>
        <w:rPr>
          <w:noProof/>
        </w:rPr>
        <w:t xml:space="preserve">lenen krijgen waarschuwingen en aanbevelingen meer weerklank en slagkracht. </w:t>
      </w:r>
    </w:p>
    <w:p w:rsidR="00A21280" w:rsidRDefault="00387203">
      <w:pPr>
        <w:pBdr>
          <w:top w:val="nil"/>
          <w:left w:val="nil"/>
          <w:bottom w:val="nil"/>
          <w:right w:val="nil"/>
          <w:between w:val="nil"/>
          <w:bar w:val="nil"/>
        </w:pBdr>
        <w:spacing w:before="0" w:after="240"/>
        <w:rPr>
          <w:noProof/>
        </w:rPr>
      </w:pPr>
      <w:r>
        <w:rPr>
          <w:noProof/>
        </w:rPr>
        <w:t>Er wordt voorgesteld een raadplegingsprocedure in te stellen waarin de kandidaten die de ECB voordraagt voor het ambt van hoofd van het ESRB-secretariaat, door de algemene raad wo</w:t>
      </w:r>
      <w:r>
        <w:rPr>
          <w:noProof/>
        </w:rPr>
        <w:t>rden beoordeeld, met name wat betreft de nodige kwaliteiten en ervaring om het secretariaat te beheren. Het Parlement en de Raad zullen op de hoogte worden gebracht van de procedure. Zo wordt de band met de ECB onderhouden en blijft het hoofd van het secre</w:t>
      </w:r>
      <w:r>
        <w:rPr>
          <w:noProof/>
        </w:rPr>
        <w:t>tariaat verantwoording afleggen tegenover de algemene raad. Het proces wordt ook transparanter terwijl het hoofd van het secretariaat een zichtbaarder profiel krijgt. Ook wordt voorgesteld de taken die aan het hoofd van het secretariaat zijn toebedeeld, ve</w:t>
      </w:r>
      <w:r>
        <w:rPr>
          <w:noProof/>
        </w:rPr>
        <w:t>rder te preciseren, onder meer betreffende de mogelijkheid om de externe vertegenwoordiging van de voorzitter te delegeren aan het hoofd van het secretariaat.</w:t>
      </w:r>
    </w:p>
    <w:p w:rsidR="00A21280" w:rsidRDefault="00387203">
      <w:pPr>
        <w:pBdr>
          <w:top w:val="nil"/>
          <w:left w:val="nil"/>
          <w:bottom w:val="nil"/>
          <w:right w:val="nil"/>
          <w:between w:val="nil"/>
          <w:bar w:val="nil"/>
        </w:pBdr>
        <w:spacing w:before="0" w:after="240"/>
        <w:rPr>
          <w:noProof/>
        </w:rPr>
      </w:pPr>
      <w:r>
        <w:rPr>
          <w:noProof/>
        </w:rPr>
        <w:t xml:space="preserve">Samenstelling van het ESRB </w:t>
      </w:r>
    </w:p>
    <w:p w:rsidR="00A21280" w:rsidRDefault="00387203">
      <w:pPr>
        <w:pBdr>
          <w:top w:val="nil"/>
          <w:left w:val="nil"/>
          <w:bottom w:val="nil"/>
          <w:right w:val="nil"/>
          <w:between w:val="nil"/>
          <w:bar w:val="nil"/>
        </w:pBdr>
        <w:spacing w:before="0" w:after="240"/>
        <w:rPr>
          <w:noProof/>
        </w:rPr>
      </w:pPr>
      <w:r>
        <w:rPr>
          <w:noProof/>
        </w:rPr>
        <w:t>Het voorstel beoogt de ESRB-verordening te actualiseren om rekening t</w:t>
      </w:r>
      <w:r>
        <w:rPr>
          <w:noProof/>
        </w:rPr>
        <w:t>e houden met de oprichting van de bankenunie en om het gemeenschappelijk toezichtsmechanisme en de gemeenschappelijke afwikkelingsraad op te nemen als leden met stemrecht van de algemene raad van het ESRB. In het technisch adviescomité en het stuurcomité m</w:t>
      </w:r>
      <w:r>
        <w:rPr>
          <w:noProof/>
        </w:rPr>
        <w:t xml:space="preserve">oeten overeenkomstige aanpassingen worden aangebracht. </w:t>
      </w:r>
    </w:p>
    <w:p w:rsidR="00A21280" w:rsidRDefault="00387203">
      <w:pPr>
        <w:pBdr>
          <w:top w:val="nil"/>
          <w:left w:val="nil"/>
          <w:bottom w:val="nil"/>
          <w:right w:val="nil"/>
          <w:between w:val="nil"/>
          <w:bar w:val="nil"/>
        </w:pBdr>
        <w:spacing w:before="0" w:after="240"/>
        <w:rPr>
          <w:noProof/>
        </w:rPr>
      </w:pPr>
      <w:r>
        <w:rPr>
          <w:noProof/>
        </w:rPr>
        <w:t>Adressaten van waarschuwingen en aanbevelingen van het ESRB</w:t>
      </w:r>
    </w:p>
    <w:p w:rsidR="00A21280" w:rsidRDefault="00387203">
      <w:pPr>
        <w:pBdr>
          <w:top w:val="nil"/>
          <w:left w:val="nil"/>
          <w:bottom w:val="nil"/>
          <w:right w:val="nil"/>
          <w:between w:val="nil"/>
          <w:bar w:val="nil"/>
        </w:pBdr>
        <w:spacing w:before="0" w:after="240"/>
        <w:rPr>
          <w:noProof/>
        </w:rPr>
      </w:pPr>
      <w:r>
        <w:rPr>
          <w:noProof/>
        </w:rPr>
        <w:t>Ook wordt voorgesteld de ECB op te nemen als een mogelijke adressaat van ESRB-waarschuwingen en -aanbevelingen voor taken die het gemeenscha</w:t>
      </w:r>
      <w:r>
        <w:rPr>
          <w:noProof/>
        </w:rPr>
        <w:t>ppelijk toezichtsmechanisme aan de Bank heeft opgedragen (Verordening (EU) nr. 1024/2013), dit zijn toezichttaken die niet tot het monetair beleid behoren. Hiermee wordt de bestaande asymmetrie aangepakt waarin dergelijke waarschuwingen en aanbevelingen ku</w:t>
      </w:r>
      <w:r>
        <w:rPr>
          <w:noProof/>
        </w:rPr>
        <w:t xml:space="preserve">nnen worden gericht tot nationale autoriteiten als leden van de algemene raad maar niet worden gericht tot de ECB als bevoegde of aangewezen autoriteit op het niveau van de bankenunie. </w:t>
      </w:r>
    </w:p>
    <w:p w:rsidR="00A21280" w:rsidRDefault="00387203">
      <w:pPr>
        <w:pBdr>
          <w:top w:val="nil"/>
          <w:left w:val="nil"/>
          <w:bottom w:val="nil"/>
          <w:right w:val="nil"/>
          <w:between w:val="nil"/>
          <w:bar w:val="nil"/>
        </w:pBdr>
        <w:spacing w:before="0" w:after="240"/>
        <w:rPr>
          <w:noProof/>
        </w:rPr>
      </w:pPr>
      <w:r>
        <w:rPr>
          <w:noProof/>
        </w:rPr>
        <w:t>Betere regelgeving</w:t>
      </w:r>
    </w:p>
    <w:p w:rsidR="00A21280" w:rsidRDefault="00387203">
      <w:pPr>
        <w:rPr>
          <w:noProof/>
        </w:rPr>
      </w:pPr>
      <w:r>
        <w:rPr>
          <w:noProof/>
        </w:rPr>
        <w:t>In overeenstemming met de beginselen van betere reg</w:t>
      </w:r>
      <w:r>
        <w:rPr>
          <w:noProof/>
        </w:rPr>
        <w:t>elgeving en indien passend moeten de adviescomités van het ESRB over hun adviezen, aanbevelingen en besluiten overleg plegen met belanghebbenden zoals marktdeelnemers, consumentenorganisaties en deskundigen.</w:t>
      </w:r>
    </w:p>
    <w:p w:rsidR="00A21280" w:rsidRDefault="00A21280">
      <w:pPr>
        <w:rPr>
          <w:noProof/>
        </w:rPr>
      </w:pPr>
    </w:p>
    <w:p w:rsidR="00A21280" w:rsidRDefault="00A21280">
      <w:pPr>
        <w:rPr>
          <w:noProof/>
        </w:rPr>
        <w:sectPr w:rsidR="00A21280" w:rsidSect="00387203">
          <w:footerReference w:type="default" r:id="rId19"/>
          <w:footerReference w:type="first" r:id="rId20"/>
          <w:pgSz w:w="11907" w:h="16839"/>
          <w:pgMar w:top="1134" w:right="1417" w:bottom="1134" w:left="1417" w:header="709" w:footer="709" w:gutter="0"/>
          <w:cols w:space="708"/>
          <w:docGrid w:linePitch="360"/>
        </w:sectPr>
      </w:pPr>
    </w:p>
    <w:p w:rsidR="00A21280" w:rsidRDefault="00387203" w:rsidP="00387203">
      <w:pPr>
        <w:pStyle w:val="Rfrenceinterinstitutionnelle"/>
        <w:rPr>
          <w:noProof/>
        </w:rPr>
      </w:pPr>
      <w:r w:rsidRPr="00387203">
        <w:t>2017/0232 (COD)</w:t>
      </w:r>
    </w:p>
    <w:p w:rsidR="00A21280" w:rsidRDefault="00387203" w:rsidP="00387203">
      <w:pPr>
        <w:pStyle w:val="Statut"/>
        <w:rPr>
          <w:noProof/>
        </w:rPr>
      </w:pPr>
      <w:r w:rsidRPr="00387203">
        <w:t>Voorstel voor een</w:t>
      </w:r>
    </w:p>
    <w:p w:rsidR="00A21280" w:rsidRDefault="00387203" w:rsidP="00387203">
      <w:pPr>
        <w:pStyle w:val="Typedudocument"/>
        <w:rPr>
          <w:noProof/>
        </w:rPr>
      </w:pPr>
      <w:r w:rsidRPr="00387203">
        <w:t>VERORDENING VAN HET EUROPEES PARLEMENT EN DE RAAD</w:t>
      </w:r>
    </w:p>
    <w:p w:rsidR="00A21280" w:rsidRDefault="00387203" w:rsidP="00387203">
      <w:pPr>
        <w:pStyle w:val="Titreobjet"/>
        <w:rPr>
          <w:noProof/>
        </w:rPr>
      </w:pPr>
      <w:r w:rsidRPr="00387203">
        <w:t xml:space="preserve">tot wijziging van Verordening (EU) nr. 1092/2010 betreffende </w:t>
      </w:r>
      <w:proofErr w:type="spellStart"/>
      <w:r w:rsidRPr="00387203">
        <w:t>macroprudentieel</w:t>
      </w:r>
      <w:proofErr w:type="spellEnd"/>
      <w:r w:rsidRPr="00387203">
        <w:t xml:space="preserve"> toezicht van de Europese Unie op het financiële stelsel en tot oprichting van een Europees Comité voor systeemrisico’s</w:t>
      </w:r>
    </w:p>
    <w:p w:rsidR="00A21280" w:rsidRDefault="00387203" w:rsidP="00387203">
      <w:pPr>
        <w:pStyle w:val="IntrtEEE"/>
        <w:rPr>
          <w:noProof/>
        </w:rPr>
      </w:pPr>
      <w:r w:rsidRPr="00387203">
        <w:t>(Voor de EER relevante tekst)</w:t>
      </w:r>
    </w:p>
    <w:p w:rsidR="00A21280" w:rsidRDefault="00387203">
      <w:pPr>
        <w:pStyle w:val="Institutionquiagit"/>
        <w:rPr>
          <w:noProof/>
        </w:rPr>
      </w:pPr>
      <w:r>
        <w:rPr>
          <w:noProof/>
        </w:rPr>
        <w:t>HET EUROPEES PARLEMENT EN DE RAAD VAN DE EUROPESE UNIE,</w:t>
      </w:r>
    </w:p>
    <w:p w:rsidR="00A21280" w:rsidRDefault="00387203">
      <w:pPr>
        <w:rPr>
          <w:noProof/>
        </w:rPr>
      </w:pPr>
      <w:r>
        <w:rPr>
          <w:noProof/>
        </w:rPr>
        <w:t>Gezien het Verdrag betreffende de werking van de Europese Unie, en met nam</w:t>
      </w:r>
      <w:r>
        <w:rPr>
          <w:noProof/>
        </w:rPr>
        <w:t>e artikel 114,</w:t>
      </w:r>
    </w:p>
    <w:p w:rsidR="00A21280" w:rsidRDefault="00387203">
      <w:pPr>
        <w:rPr>
          <w:noProof/>
        </w:rPr>
      </w:pPr>
      <w:r>
        <w:rPr>
          <w:noProof/>
        </w:rPr>
        <w:t>Gezien het voorstel van de Europese Commissie,</w:t>
      </w:r>
    </w:p>
    <w:p w:rsidR="00A21280" w:rsidRDefault="00387203">
      <w:pPr>
        <w:rPr>
          <w:noProof/>
        </w:rPr>
      </w:pPr>
      <w:r>
        <w:rPr>
          <w:noProof/>
        </w:rPr>
        <w:t>Na toezending van het ontwerp van wetgevingshandeling aan de nationale parlementen,</w:t>
      </w:r>
    </w:p>
    <w:p w:rsidR="00A21280" w:rsidRDefault="00387203">
      <w:pPr>
        <w:rPr>
          <w:noProof/>
        </w:rPr>
      </w:pPr>
      <w:r>
        <w:rPr>
          <w:noProof/>
        </w:rPr>
        <w:t>Gezien het advies van het Europees Economisch en Sociaal Comité</w:t>
      </w:r>
      <w:r>
        <w:rPr>
          <w:rStyle w:val="FootnoteReference"/>
          <w:noProof/>
        </w:rPr>
        <w:footnoteReference w:id="3"/>
      </w:r>
      <w:r>
        <w:rPr>
          <w:noProof/>
        </w:rPr>
        <w:t>,</w:t>
      </w:r>
    </w:p>
    <w:p w:rsidR="00A21280" w:rsidRDefault="00387203">
      <w:pPr>
        <w:rPr>
          <w:noProof/>
        </w:rPr>
      </w:pPr>
      <w:r>
        <w:rPr>
          <w:noProof/>
        </w:rPr>
        <w:t xml:space="preserve">Handelend volgens de gewone </w:t>
      </w:r>
      <w:r>
        <w:rPr>
          <w:noProof/>
        </w:rPr>
        <w:t>wetgevingsprocedure,</w:t>
      </w:r>
    </w:p>
    <w:p w:rsidR="00A21280" w:rsidRDefault="00A21280">
      <w:pPr>
        <w:rPr>
          <w:noProof/>
        </w:rPr>
      </w:pPr>
    </w:p>
    <w:p w:rsidR="00A21280" w:rsidRDefault="00387203">
      <w:pPr>
        <w:rPr>
          <w:noProof/>
        </w:rPr>
      </w:pPr>
      <w:r>
        <w:rPr>
          <w:noProof/>
        </w:rPr>
        <w:t>Overwegende hetgeen volgt:</w:t>
      </w:r>
    </w:p>
    <w:p w:rsidR="00A21280" w:rsidRDefault="00387203">
      <w:pPr>
        <w:pStyle w:val="ManualConsidrant"/>
        <w:rPr>
          <w:noProof/>
        </w:rPr>
      </w:pPr>
      <w:r>
        <w:rPr>
          <w:noProof/>
        </w:rPr>
        <w:t>(1)</w:t>
      </w:r>
      <w:r>
        <w:rPr>
          <w:noProof/>
        </w:rPr>
        <w:tab/>
        <w:t>Overeenkomstig artikel 20 van Verordening (EU) nr. 1092/2010</w:t>
      </w:r>
      <w:r>
        <w:rPr>
          <w:rStyle w:val="FootnoteReference"/>
          <w:noProof/>
        </w:rPr>
        <w:footnoteReference w:id="4"/>
      </w:r>
      <w:r>
        <w:rPr>
          <w:noProof/>
        </w:rPr>
        <w:t xml:space="preserve"> (ESRB-verordening) hebben het Europees Parlement en de Raad, op basis van een verslag</w:t>
      </w:r>
      <w:r>
        <w:rPr>
          <w:rStyle w:val="FootnoteReference"/>
          <w:noProof/>
        </w:rPr>
        <w:footnoteReference w:id="5"/>
      </w:r>
      <w:r>
        <w:rPr>
          <w:noProof/>
        </w:rPr>
        <w:t xml:space="preserve"> van de Commissie, de ESRB-verordening onderzocht om na</w:t>
      </w:r>
      <w:r>
        <w:rPr>
          <w:noProof/>
        </w:rPr>
        <w:t xml:space="preserve"> te gaan of de taken en de organisatie van het Europees Comité voor systeemrisico’s (ESRB) moeten worden herzien. Ook zijn de nadere bepalingen voor de aanwijzing van de voorzitter van het ESRB geëvalueerd.</w:t>
      </w:r>
    </w:p>
    <w:p w:rsidR="00A21280" w:rsidRDefault="00387203">
      <w:pPr>
        <w:pStyle w:val="ManualConsidrant"/>
        <w:rPr>
          <w:noProof/>
        </w:rPr>
      </w:pPr>
      <w:r>
        <w:rPr>
          <w:noProof/>
        </w:rPr>
        <w:t>(2)</w:t>
      </w:r>
      <w:r>
        <w:rPr>
          <w:noProof/>
        </w:rPr>
        <w:tab/>
        <w:t>In het verslag van de Commissie van 2017 over</w:t>
      </w:r>
      <w:r>
        <w:rPr>
          <w:noProof/>
        </w:rPr>
        <w:t xml:space="preserve"> de taken en de organisatie van het ESRB</w:t>
      </w:r>
      <w:r>
        <w:rPr>
          <w:rStyle w:val="FootnoteReference"/>
          <w:noProof/>
        </w:rPr>
        <w:footnoteReference w:id="6"/>
      </w:r>
      <w:r>
        <w:rPr>
          <w:noProof/>
        </w:rPr>
        <w:t xml:space="preserve"> wordt geconcludeerd dat het ESRB over het algemeen weliswaar goed functioneert maar dat verbeteringen nodig zijn op een aantal specifieke punten.</w:t>
      </w:r>
    </w:p>
    <w:p w:rsidR="00A21280" w:rsidRDefault="00387203">
      <w:pPr>
        <w:pStyle w:val="ManualConsidrant"/>
        <w:rPr>
          <w:noProof/>
        </w:rPr>
      </w:pPr>
      <w:r>
        <w:rPr>
          <w:noProof/>
        </w:rPr>
        <w:t>(3)</w:t>
      </w:r>
      <w:r>
        <w:rPr>
          <w:noProof/>
        </w:rPr>
        <w:tab/>
        <w:t>De brede ledenbasis van de algemene raad van het ESRB is een bel</w:t>
      </w:r>
      <w:r>
        <w:rPr>
          <w:noProof/>
        </w:rPr>
        <w:t xml:space="preserve">angrijke troef. Recente ontwikkelingen in de architectuur van het financiële toezicht van de Unie, met name de oprichting van een bankenunie, zijn echter niet tot uiting gekomen in de samenstelling van deze algemene raad. Om die reden dienen de voorzitter </w:t>
      </w:r>
      <w:r>
        <w:rPr>
          <w:noProof/>
        </w:rPr>
        <w:t>van de raad van toezicht van de Europese Centrale Bank (ECB) en de voorzitter van de gemeenschappelijke afwikkelingsraad stemgerechtigd lid te worden van de algemene raad van het ESRB. Dienovereenkomstig moeten ook aanpassingen worden aangebracht in het st</w:t>
      </w:r>
      <w:r>
        <w:rPr>
          <w:noProof/>
        </w:rPr>
        <w:t>uurcomité en in het technisch adviescomité.</w:t>
      </w:r>
    </w:p>
    <w:p w:rsidR="00A21280" w:rsidRDefault="00387203">
      <w:pPr>
        <w:pStyle w:val="ManualConsidrant"/>
        <w:rPr>
          <w:noProof/>
        </w:rPr>
      </w:pPr>
      <w:r>
        <w:rPr>
          <w:noProof/>
        </w:rPr>
        <w:t>(4)</w:t>
      </w:r>
      <w:r>
        <w:rPr>
          <w:noProof/>
        </w:rPr>
        <w:tab/>
        <w:t>De President van de ECB heeft gedurende de eerste vijf jaar van het bestaan van het ESRB het voorzitterschap ervan op zich genomen, waarna de President het voorzitterschap ad interim is blijven waarnemen. Ged</w:t>
      </w:r>
      <w:r>
        <w:rPr>
          <w:noProof/>
        </w:rPr>
        <w:t xml:space="preserve">urende deze periode heeft de President van de ECB gezag en geloofwaardigheid verleend aan het ESRB en ervoor gezorgd dat het daadwerkelijk kan vertrouwen en voortbouwen op de deskundigheid van de ECB op het gebied van financiële stabiliteit. Daarom is het </w:t>
      </w:r>
      <w:r>
        <w:rPr>
          <w:noProof/>
        </w:rPr>
        <w:t>passend dat de President van de ECB optreedt als permanente voorzitter van het ESRB.</w:t>
      </w:r>
    </w:p>
    <w:p w:rsidR="00A21280" w:rsidRDefault="00387203">
      <w:pPr>
        <w:pStyle w:val="ManualConsidrant"/>
        <w:rPr>
          <w:noProof/>
        </w:rPr>
      </w:pPr>
      <w:r>
        <w:rPr>
          <w:noProof/>
        </w:rPr>
        <w:t>(5)</w:t>
      </w:r>
      <w:r>
        <w:rPr>
          <w:noProof/>
        </w:rPr>
        <w:tab/>
        <w:t>Om de zichtbaarheid van het ESRB te versterken als orgaan dat afzonderlijk van zijn individuele leden optreedt, moet de voorzitter van het ESRB aan het hoofd van het s</w:t>
      </w:r>
      <w:r>
        <w:rPr>
          <w:noProof/>
        </w:rPr>
        <w:t xml:space="preserve">ecretariaat van het ESRB taken kunnen delegeren met betrekking tot de externe vertegenwoordiging van het ESRB. </w:t>
      </w:r>
    </w:p>
    <w:p w:rsidR="00A21280" w:rsidRDefault="00387203">
      <w:pPr>
        <w:pStyle w:val="ManualConsidrant"/>
        <w:rPr>
          <w:noProof/>
        </w:rPr>
      </w:pPr>
      <w:r>
        <w:rPr>
          <w:noProof/>
        </w:rPr>
        <w:t>(6)</w:t>
      </w:r>
      <w:r>
        <w:rPr>
          <w:noProof/>
        </w:rPr>
        <w:tab/>
        <w:t>Artikel 3, lid 2, van Verordening (EU) nr. 1096/2010 van de Raad</w:t>
      </w:r>
      <w:r>
        <w:rPr>
          <w:rStyle w:val="FootnoteReference"/>
          <w:noProof/>
        </w:rPr>
        <w:footnoteReference w:id="7"/>
      </w:r>
      <w:r>
        <w:rPr>
          <w:noProof/>
        </w:rPr>
        <w:t xml:space="preserve"> bepaalt dat het hoofd van het secretariaat van het ESRB moet worden aanges</w:t>
      </w:r>
      <w:r>
        <w:rPr>
          <w:noProof/>
        </w:rPr>
        <w:t>teld door de ECB, in overleg met de algemene raad van het ESRB. Om de zichtbaarheid van het hoofd van het secretariaat van het ESRB te verhogen, moet de algemene raad van het ESRB in een open en transparante procedure evalueren of de voorgedragen kandidate</w:t>
      </w:r>
      <w:r>
        <w:rPr>
          <w:noProof/>
        </w:rPr>
        <w:t>n voor het ambt van hoofd van het secretariaat van het ESRB beschikken over de kwaliteiten en ervaring die noodzakelijk zijn om het secretariaat van het ESRB te beheren. De algemene raad moet het Europees Parlement en de Raad inlichten over de evaluatiepro</w:t>
      </w:r>
      <w:r>
        <w:rPr>
          <w:noProof/>
        </w:rPr>
        <w:t>cedure. Voorts dienen de taken van het hoofd van het secretariaat van het ESRB te worden verduidelijkt.</w:t>
      </w:r>
    </w:p>
    <w:p w:rsidR="00A21280" w:rsidRDefault="00387203">
      <w:pPr>
        <w:pStyle w:val="ManualConsidrant"/>
        <w:rPr>
          <w:noProof/>
        </w:rPr>
      </w:pPr>
      <w:r>
        <w:rPr>
          <w:noProof/>
        </w:rPr>
        <w:t>(7)</w:t>
      </w:r>
      <w:r>
        <w:rPr>
          <w:noProof/>
        </w:rPr>
        <w:tab/>
        <w:t>Overeenkomstig artikel 5, lid 2, van Verordening EU) nr. 1092/2010 is de eerste vicevoorzitter van het ESRB tot op heden verkozen door en uit de led</w:t>
      </w:r>
      <w:r>
        <w:rPr>
          <w:noProof/>
        </w:rPr>
        <w:t>en van de algemene raad van de ECB, rekening houdend met de noodzaak van evenwichtige vertegenwoordiging van lidstaten in het algemeen en tussen lidstaten die de euro als munt hebben en lidstaten die niet de euro als munt hebben. Naar aanleiding van de opr</w:t>
      </w:r>
      <w:r>
        <w:rPr>
          <w:noProof/>
        </w:rPr>
        <w:t>ichting van de bankenunie moet de verwijzing naar de lidstaten die de euro als munt hebben en die welke de euro niet als munt hebben, vervangen worden door een verwijzing naar de lidstaten die aan de bankenunie deelnemen en die welke niet deelnemen.</w:t>
      </w:r>
    </w:p>
    <w:p w:rsidR="00A21280" w:rsidRDefault="00387203">
      <w:pPr>
        <w:pStyle w:val="ManualConsidrant"/>
        <w:rPr>
          <w:noProof/>
        </w:rPr>
      </w:pPr>
      <w:r>
        <w:rPr>
          <w:noProof/>
        </w:rPr>
        <w:t>(8)</w:t>
      </w:r>
      <w:r>
        <w:rPr>
          <w:noProof/>
        </w:rPr>
        <w:tab/>
        <w:t>Ge</w:t>
      </w:r>
      <w:r>
        <w:rPr>
          <w:noProof/>
        </w:rPr>
        <w:t>let op de wijzigingen in de Overeenkomst betreffende de Europese Economische Ruimte (EER)</w:t>
      </w:r>
      <w:r>
        <w:rPr>
          <w:rStyle w:val="FootnoteReference"/>
          <w:noProof/>
        </w:rPr>
        <w:footnoteReference w:id="8"/>
      </w:r>
      <w:r>
        <w:rPr>
          <w:noProof/>
        </w:rPr>
        <w:t>, en met name de goedkeuring van Verordening (EU) nr. 1092/2010 door de EER-lidstaten, is artikel 9, lid 5, van deze verordening niet langer relevant en moet derhalve</w:t>
      </w:r>
      <w:r>
        <w:rPr>
          <w:noProof/>
        </w:rPr>
        <w:t xml:space="preserve"> worden geschrapt. </w:t>
      </w:r>
    </w:p>
    <w:p w:rsidR="00A21280" w:rsidRDefault="00387203">
      <w:pPr>
        <w:pStyle w:val="ManualConsidrant"/>
        <w:rPr>
          <w:noProof/>
        </w:rPr>
      </w:pPr>
      <w:r>
        <w:rPr>
          <w:noProof/>
        </w:rPr>
        <w:t>(9)</w:t>
      </w:r>
      <w:r>
        <w:rPr>
          <w:noProof/>
        </w:rPr>
        <w:tab/>
        <w:t xml:space="preserve">Om de kosten te drukken en de procedurele efficiëntie te verhogen, dient het aantal vertegenwoordigers van de Commissie in het raadgevend technisch comité van het ESRB te worden verminderd van de huidige twee vertegenwoordigers tot </w:t>
      </w:r>
      <w:r>
        <w:rPr>
          <w:noProof/>
        </w:rPr>
        <w:t>één vertegenwoordiger.</w:t>
      </w:r>
    </w:p>
    <w:p w:rsidR="00A21280" w:rsidRDefault="00387203">
      <w:pPr>
        <w:pStyle w:val="ManualConsidrant"/>
        <w:rPr>
          <w:noProof/>
        </w:rPr>
      </w:pPr>
      <w:r>
        <w:rPr>
          <w:noProof/>
        </w:rPr>
        <w:t>(10)</w:t>
      </w:r>
      <w:r>
        <w:rPr>
          <w:noProof/>
        </w:rPr>
        <w:tab/>
        <w:t xml:space="preserve">Krachtens artikel 16, lid 3, van Verordening (EU) nr. 1092/2010 moeten ESRB-waarschuwingen en -aanbevelingen worden toegezonden aan de Raad en de Commissie, en wanneer zij tot één of meer nationale toezichthoudende autoriteiten </w:t>
      </w:r>
      <w:r>
        <w:rPr>
          <w:noProof/>
        </w:rPr>
        <w:t>zijn gericht, ook aan de ETA’s. Om de democratische controle en de transparantie te verhogen moeten deze waarschuwingen en aanbevelingen ook worden toegezonden aan het Europees Parlement en de ETA’s.</w:t>
      </w:r>
    </w:p>
    <w:p w:rsidR="00A21280" w:rsidRDefault="00387203">
      <w:pPr>
        <w:pStyle w:val="ManualConsidrant"/>
        <w:rPr>
          <w:noProof/>
        </w:rPr>
      </w:pPr>
      <w:r>
        <w:rPr>
          <w:noProof/>
        </w:rPr>
        <w:t>(11)</w:t>
      </w:r>
      <w:r>
        <w:rPr>
          <w:noProof/>
        </w:rPr>
        <w:tab/>
        <w:t>Met het oog op de kwaliteit en de relevantie van de</w:t>
      </w:r>
      <w:r>
        <w:rPr>
          <w:noProof/>
        </w:rPr>
        <w:t xml:space="preserve"> ESRB-adviezen, -aanbevelingen en -besluiten wordt verwacht dat het technisch adviescomité en het wetenschappelijk adviescomité belanghebbenden, indien noodzakelijk, zullen raadplegen in een vroeg stadium en op een open en transparante wijze.</w:t>
      </w:r>
    </w:p>
    <w:p w:rsidR="00A21280" w:rsidRDefault="00387203">
      <w:pPr>
        <w:pStyle w:val="ManualConsidrant"/>
        <w:rPr>
          <w:noProof/>
        </w:rPr>
      </w:pPr>
      <w:r>
        <w:rPr>
          <w:noProof/>
        </w:rPr>
        <w:t>(12)</w:t>
      </w:r>
      <w:r>
        <w:rPr>
          <w:noProof/>
        </w:rPr>
        <w:tab/>
        <w:t>Verorden</w:t>
      </w:r>
      <w:r>
        <w:rPr>
          <w:noProof/>
        </w:rPr>
        <w:t>ing (EU) nr. 1092/2010 moet derhalve dienovereenkomstig worden gewijzigd,</w:t>
      </w:r>
    </w:p>
    <w:p w:rsidR="00A21280" w:rsidRDefault="00A21280">
      <w:pPr>
        <w:rPr>
          <w:noProof/>
        </w:rPr>
      </w:pPr>
    </w:p>
    <w:p w:rsidR="00A21280" w:rsidRDefault="00387203">
      <w:pPr>
        <w:pStyle w:val="Formuledadoption"/>
        <w:rPr>
          <w:noProof/>
        </w:rPr>
      </w:pPr>
      <w:r>
        <w:rPr>
          <w:noProof/>
        </w:rPr>
        <w:t>HEBBEN DE VOLGENDE VERORDENING VASTGESTELD:</w:t>
      </w:r>
    </w:p>
    <w:p w:rsidR="00A21280" w:rsidRDefault="00387203">
      <w:pPr>
        <w:pStyle w:val="Titrearticle"/>
        <w:rPr>
          <w:noProof/>
        </w:rPr>
      </w:pPr>
      <w:r>
        <w:rPr>
          <w:noProof/>
        </w:rPr>
        <w:t>Artikel 1</w:t>
      </w:r>
    </w:p>
    <w:p w:rsidR="00A21280" w:rsidRDefault="00387203">
      <w:pPr>
        <w:rPr>
          <w:noProof/>
        </w:rPr>
      </w:pPr>
      <w:r>
        <w:rPr>
          <w:noProof/>
        </w:rPr>
        <w:t>Verordening (EU) nr. 1092/2010 wordt als volgt gewijzigd:</w:t>
      </w:r>
    </w:p>
    <w:p w:rsidR="00A21280" w:rsidRDefault="00387203">
      <w:pPr>
        <w:tabs>
          <w:tab w:val="left" w:pos="567"/>
        </w:tabs>
        <w:rPr>
          <w:noProof/>
        </w:rPr>
      </w:pPr>
      <w:r>
        <w:rPr>
          <w:noProof/>
        </w:rPr>
        <w:t>(1)</w:t>
      </w:r>
      <w:r>
        <w:rPr>
          <w:noProof/>
        </w:rPr>
        <w:tab/>
        <w:t>artikel 4 wordt als volgt gewijzigd:</w:t>
      </w:r>
    </w:p>
    <w:p w:rsidR="00A21280" w:rsidRDefault="00387203">
      <w:pPr>
        <w:ind w:left="1134" w:hanging="567"/>
        <w:rPr>
          <w:noProof/>
        </w:rPr>
      </w:pPr>
      <w:r>
        <w:rPr>
          <w:noProof/>
        </w:rPr>
        <w:t>(a)</w:t>
      </w:r>
      <w:r>
        <w:rPr>
          <w:noProof/>
        </w:rPr>
        <w:tab/>
        <w:t>het volgende lid 2 bis w</w:t>
      </w:r>
      <w:r>
        <w:rPr>
          <w:noProof/>
        </w:rPr>
        <w:t>ordt ingevoegd:</w:t>
      </w:r>
    </w:p>
    <w:p w:rsidR="00A21280" w:rsidRDefault="00387203">
      <w:pPr>
        <w:tabs>
          <w:tab w:val="left" w:pos="1701"/>
        </w:tabs>
        <w:ind w:left="1134"/>
        <w:rPr>
          <w:noProof/>
        </w:rPr>
      </w:pPr>
      <w:r>
        <w:rPr>
          <w:noProof/>
        </w:rPr>
        <w:t>“2 bis.</w:t>
      </w:r>
      <w:r>
        <w:rPr>
          <w:noProof/>
        </w:rPr>
        <w:tab/>
        <w:t>Bij het overleg over de aanstelling van het hoofd van het secretariaat van het ESRB overeenkomstig artikel 3, lid 2, van Verordening (EU) nr. 1096/2010* evalueert de algemene raad volgens een open en transparante procedure of de voo</w:t>
      </w:r>
      <w:r>
        <w:rPr>
          <w:noProof/>
        </w:rPr>
        <w:t>rgedragen kandidaten voor dit ambt beschikken over de kwaliteiten en ervaring die noodzakelijk zijn om het secretariaat van het ESRB te beheren. De algemene raad licht het Europees Parlement en de Raad in over de overlegprocedure.</w:t>
      </w:r>
    </w:p>
    <w:p w:rsidR="00A21280" w:rsidRDefault="00387203">
      <w:pPr>
        <w:tabs>
          <w:tab w:val="left" w:pos="1701"/>
        </w:tabs>
        <w:ind w:left="1134"/>
        <w:rPr>
          <w:rFonts w:eastAsia="Times New Roman"/>
          <w:noProof/>
          <w:sz w:val="20"/>
          <w:szCs w:val="20"/>
        </w:rPr>
      </w:pPr>
      <w:r>
        <w:rPr>
          <w:noProof/>
          <w:sz w:val="20"/>
        </w:rPr>
        <w:t>*</w:t>
      </w:r>
      <w:r>
        <w:rPr>
          <w:noProof/>
        </w:rPr>
        <w:tab/>
      </w:r>
      <w:r>
        <w:rPr>
          <w:noProof/>
          <w:sz w:val="20"/>
        </w:rPr>
        <w:t xml:space="preserve">Verordening (EU) </w:t>
      </w:r>
      <w:r>
        <w:rPr>
          <w:noProof/>
          <w:sz w:val="20"/>
        </w:rPr>
        <w:t>nr. 1096/2010 van de Raad van 17 november 2010 tot toewijzing aan de Europese Centrale Bank van specifieke taken betreffende de werking van het Europees Comité voor systeemrisico's (PB L 331 van 15.12.2010, blz. 162).”;</w:t>
      </w:r>
    </w:p>
    <w:p w:rsidR="00A21280" w:rsidRDefault="00387203">
      <w:pPr>
        <w:tabs>
          <w:tab w:val="left" w:pos="1701"/>
        </w:tabs>
        <w:ind w:left="1134"/>
        <w:rPr>
          <w:rFonts w:eastAsia="Times New Roman"/>
          <w:noProof/>
          <w:sz w:val="20"/>
          <w:szCs w:val="20"/>
        </w:rPr>
      </w:pPr>
      <w:r>
        <w:rPr>
          <w:noProof/>
          <w:sz w:val="20"/>
        </w:rPr>
        <w:t>_______________________________________________________________________________</w:t>
      </w:r>
    </w:p>
    <w:p w:rsidR="00A21280" w:rsidRDefault="00387203">
      <w:pPr>
        <w:ind w:left="1134" w:hanging="567"/>
        <w:rPr>
          <w:noProof/>
        </w:rPr>
      </w:pPr>
      <w:r>
        <w:rPr>
          <w:noProof/>
        </w:rPr>
        <w:t>(b)</w:t>
      </w:r>
      <w:r>
        <w:rPr>
          <w:noProof/>
        </w:rPr>
        <w:tab/>
        <w:t>het volgende lid 3 bis wordt ingevoegd:</w:t>
      </w:r>
    </w:p>
    <w:p w:rsidR="00A21280" w:rsidRDefault="00387203">
      <w:pPr>
        <w:tabs>
          <w:tab w:val="left" w:pos="1701"/>
        </w:tabs>
        <w:ind w:left="1134"/>
        <w:rPr>
          <w:noProof/>
        </w:rPr>
      </w:pPr>
      <w:r>
        <w:rPr>
          <w:noProof/>
        </w:rPr>
        <w:t>“3 bis.</w:t>
      </w:r>
      <w:r>
        <w:rPr>
          <w:noProof/>
        </w:rPr>
        <w:tab/>
        <w:t>Wanneer zij het hoofd van het secretariaat van het ESRB instructies geven overeenkomstig artikel 4, lid 1, van Verordening (</w:t>
      </w:r>
      <w:r>
        <w:rPr>
          <w:noProof/>
        </w:rPr>
        <w:t>EU) nr. 1096/2010, kunnen de voorzitter van het ESRB en het stuurcomité met name de volgende punten behandelen:</w:t>
      </w:r>
    </w:p>
    <w:p w:rsidR="00A21280" w:rsidRDefault="00387203">
      <w:pPr>
        <w:ind w:left="1701" w:hanging="567"/>
        <w:rPr>
          <w:noProof/>
        </w:rPr>
      </w:pPr>
      <w:r>
        <w:rPr>
          <w:noProof/>
        </w:rPr>
        <w:t>(a)</w:t>
      </w:r>
      <w:r>
        <w:rPr>
          <w:noProof/>
        </w:rPr>
        <w:tab/>
        <w:t>het dagelijks beheer van het secretariaat van het ESRB;</w:t>
      </w:r>
    </w:p>
    <w:p w:rsidR="00A21280" w:rsidRDefault="00387203">
      <w:pPr>
        <w:ind w:left="1701" w:hanging="567"/>
        <w:rPr>
          <w:noProof/>
        </w:rPr>
      </w:pPr>
      <w:r>
        <w:rPr>
          <w:noProof/>
        </w:rPr>
        <w:t>(b)</w:t>
      </w:r>
      <w:r>
        <w:rPr>
          <w:noProof/>
        </w:rPr>
        <w:tab/>
        <w:t>administratieve en budgettaire aangelegenheden met betrekking tot het secretaria</w:t>
      </w:r>
      <w:r>
        <w:rPr>
          <w:noProof/>
        </w:rPr>
        <w:t>at van het ESRB;</w:t>
      </w:r>
    </w:p>
    <w:p w:rsidR="00A21280" w:rsidRDefault="00387203">
      <w:pPr>
        <w:ind w:left="1701" w:hanging="567"/>
        <w:rPr>
          <w:noProof/>
        </w:rPr>
      </w:pPr>
      <w:r>
        <w:rPr>
          <w:noProof/>
        </w:rPr>
        <w:t>(c)</w:t>
      </w:r>
      <w:r>
        <w:rPr>
          <w:noProof/>
        </w:rPr>
        <w:tab/>
        <w:t>de coördinatie en voorbereiding van de werkzaamheden en het besluitvormingsproces van de algemene raad;</w:t>
      </w:r>
    </w:p>
    <w:p w:rsidR="00A21280" w:rsidRDefault="00387203">
      <w:pPr>
        <w:ind w:left="1701" w:hanging="567"/>
        <w:rPr>
          <w:noProof/>
        </w:rPr>
      </w:pPr>
      <w:r>
        <w:rPr>
          <w:noProof/>
        </w:rPr>
        <w:t>(d)</w:t>
      </w:r>
      <w:r>
        <w:rPr>
          <w:noProof/>
        </w:rPr>
        <w:tab/>
        <w:t>de voorbereiding van het jaarlijks voorstel voor programma van het ESRB en de uitvoering ervan;</w:t>
      </w:r>
    </w:p>
    <w:p w:rsidR="00A21280" w:rsidRDefault="00387203">
      <w:pPr>
        <w:ind w:left="1701" w:hanging="567"/>
        <w:rPr>
          <w:noProof/>
        </w:rPr>
      </w:pPr>
      <w:r>
        <w:rPr>
          <w:noProof/>
        </w:rPr>
        <w:t>(e)</w:t>
      </w:r>
      <w:r>
        <w:rPr>
          <w:noProof/>
        </w:rPr>
        <w:tab/>
        <w:t>de voorbereiding van het ja</w:t>
      </w:r>
      <w:r>
        <w:rPr>
          <w:noProof/>
        </w:rPr>
        <w:t>arlijks activiteitenverslag van het ESRB en de rapportage over de uitvoering ervan aan de algemene raad.”;</w:t>
      </w:r>
    </w:p>
    <w:p w:rsidR="00A21280" w:rsidRDefault="00387203">
      <w:pPr>
        <w:tabs>
          <w:tab w:val="left" w:pos="567"/>
        </w:tabs>
        <w:rPr>
          <w:noProof/>
        </w:rPr>
      </w:pPr>
      <w:r>
        <w:rPr>
          <w:noProof/>
        </w:rPr>
        <w:t>(2)</w:t>
      </w:r>
      <w:r>
        <w:rPr>
          <w:noProof/>
        </w:rPr>
        <w:tab/>
        <w:t>artikel 5 wordt als volgt gewijzigd:</w:t>
      </w:r>
    </w:p>
    <w:p w:rsidR="00A21280" w:rsidRDefault="00387203">
      <w:pPr>
        <w:ind w:left="1134" w:hanging="567"/>
        <w:rPr>
          <w:noProof/>
        </w:rPr>
      </w:pPr>
      <w:r>
        <w:rPr>
          <w:noProof/>
        </w:rPr>
        <w:t>(a)</w:t>
      </w:r>
      <w:r>
        <w:rPr>
          <w:noProof/>
        </w:rPr>
        <w:tab/>
        <w:t>de leden 1 en 2 worden vervangen door:</w:t>
      </w:r>
    </w:p>
    <w:p w:rsidR="00A21280" w:rsidRDefault="00387203">
      <w:pPr>
        <w:tabs>
          <w:tab w:val="left" w:pos="1701"/>
        </w:tabs>
        <w:ind w:left="1134"/>
        <w:rPr>
          <w:noProof/>
        </w:rPr>
      </w:pPr>
      <w:r>
        <w:rPr>
          <w:noProof/>
        </w:rPr>
        <w:t>“1.</w:t>
      </w:r>
      <w:r>
        <w:rPr>
          <w:noProof/>
        </w:rPr>
        <w:tab/>
        <w:t>Het ESRB wordt voorgezeten door de President van de ECB.</w:t>
      </w:r>
    </w:p>
    <w:p w:rsidR="00A21280" w:rsidRDefault="00387203">
      <w:pPr>
        <w:tabs>
          <w:tab w:val="left" w:pos="1701"/>
        </w:tabs>
        <w:ind w:left="1134"/>
        <w:rPr>
          <w:rFonts w:eastAsia="Times New Roman"/>
          <w:noProof/>
          <w:szCs w:val="24"/>
        </w:rPr>
      </w:pPr>
      <w:r>
        <w:rPr>
          <w:noProof/>
        </w:rPr>
        <w:t>2.</w:t>
      </w:r>
      <w:r>
        <w:rPr>
          <w:noProof/>
        </w:rPr>
        <w:tab/>
        <w:t>D</w:t>
      </w:r>
      <w:r>
        <w:rPr>
          <w:noProof/>
        </w:rPr>
        <w:t>e eerste vicevoorzitter wordt door de leden van de algemene raad van de ECB uit hun midden gekozen voor een termijn van vijf jaar, rekening houdend met de noodzaak van evenwichtige vertegenwoordiging van lidstaten in het algemeen en tussen deelnemende lids</w:t>
      </w:r>
      <w:r>
        <w:rPr>
          <w:noProof/>
        </w:rPr>
        <w:t>taten in de zin van artikel 2, lid 1, van Verordening (EU) nr. 1024/2013 van de Raad** en niet deelnemende lidstaten. De eerste vicevoorzitter kan eenmaal worden herkozen.</w:t>
      </w:r>
    </w:p>
    <w:p w:rsidR="00A21280" w:rsidRDefault="00387203">
      <w:pPr>
        <w:ind w:left="1134"/>
        <w:rPr>
          <w:rFonts w:eastAsia="Times New Roman"/>
          <w:noProof/>
          <w:szCs w:val="24"/>
        </w:rPr>
      </w:pPr>
      <w:r>
        <w:rPr>
          <w:noProof/>
        </w:rPr>
        <w:t>__________________________________________________________________</w:t>
      </w:r>
    </w:p>
    <w:p w:rsidR="00A21280" w:rsidRDefault="00387203">
      <w:pPr>
        <w:ind w:left="1701" w:hanging="567"/>
        <w:rPr>
          <w:rFonts w:eastAsia="Times New Roman"/>
          <w:noProof/>
          <w:sz w:val="20"/>
          <w:szCs w:val="20"/>
        </w:rPr>
      </w:pPr>
      <w:r>
        <w:rPr>
          <w:noProof/>
          <w:sz w:val="20"/>
        </w:rPr>
        <w:t>**</w:t>
      </w:r>
      <w:r>
        <w:rPr>
          <w:noProof/>
        </w:rPr>
        <w:tab/>
      </w:r>
      <w:r>
        <w:rPr>
          <w:noProof/>
          <w:sz w:val="20"/>
        </w:rPr>
        <w:t>Verordening (E</w:t>
      </w:r>
      <w:r>
        <w:rPr>
          <w:noProof/>
          <w:sz w:val="20"/>
        </w:rPr>
        <w:t>U) nr. 1024/2013 van de Raad van 15 oktober 2013 waarbij aan de Europese Centrale Bank specifieke taken worden opgedragen betreffende het beleid inzake het prudentieel toezicht op kredietinstellingen (PB L 287 van 29.10.2013, blz. 63).”;</w:t>
      </w:r>
    </w:p>
    <w:p w:rsidR="00A21280" w:rsidRDefault="00387203">
      <w:pPr>
        <w:ind w:left="1134" w:hanging="567"/>
        <w:rPr>
          <w:rFonts w:eastAsia="Times New Roman"/>
          <w:noProof/>
          <w:szCs w:val="24"/>
        </w:rPr>
      </w:pPr>
      <w:r>
        <w:rPr>
          <w:noProof/>
        </w:rPr>
        <w:t>(b)</w:t>
      </w:r>
      <w:r>
        <w:rPr>
          <w:noProof/>
        </w:rPr>
        <w:tab/>
        <w:t>lid 8 wordt ve</w:t>
      </w:r>
      <w:r>
        <w:rPr>
          <w:noProof/>
        </w:rPr>
        <w:t>rvangen door:</w:t>
      </w:r>
    </w:p>
    <w:p w:rsidR="00A21280" w:rsidRDefault="00387203">
      <w:pPr>
        <w:tabs>
          <w:tab w:val="left" w:pos="1701"/>
        </w:tabs>
        <w:ind w:left="1134"/>
        <w:rPr>
          <w:rFonts w:eastAsia="Times New Roman"/>
          <w:noProof/>
          <w:szCs w:val="24"/>
        </w:rPr>
      </w:pPr>
      <w:r>
        <w:rPr>
          <w:noProof/>
        </w:rPr>
        <w:t>“8.</w:t>
      </w:r>
      <w:r>
        <w:rPr>
          <w:noProof/>
        </w:rPr>
        <w:tab/>
        <w:t>De voorzitter vertegenwoordigt het ESRB naar buiten toe. De voorzitter kan taken met betrekking tot de externe vertegenwoordiging van het ESRB delegeren aan het hoofd van het secretariaat.”;</w:t>
      </w:r>
    </w:p>
    <w:p w:rsidR="00A21280" w:rsidRDefault="00387203">
      <w:pPr>
        <w:tabs>
          <w:tab w:val="left" w:pos="567"/>
        </w:tabs>
        <w:rPr>
          <w:noProof/>
        </w:rPr>
      </w:pPr>
      <w:r>
        <w:rPr>
          <w:noProof/>
        </w:rPr>
        <w:t>(3)</w:t>
      </w:r>
      <w:r>
        <w:rPr>
          <w:noProof/>
        </w:rPr>
        <w:tab/>
        <w:t>artikel 6 wordt als volgt gewijzigd:</w:t>
      </w:r>
    </w:p>
    <w:p w:rsidR="00A21280" w:rsidRDefault="00387203">
      <w:pPr>
        <w:ind w:left="1134" w:hanging="567"/>
        <w:rPr>
          <w:noProof/>
        </w:rPr>
      </w:pPr>
      <w:r>
        <w:rPr>
          <w:noProof/>
        </w:rPr>
        <w:t>(a)</w:t>
      </w:r>
      <w:r>
        <w:rPr>
          <w:noProof/>
        </w:rPr>
        <w:tab/>
        <w:t>li</w:t>
      </w:r>
      <w:r>
        <w:rPr>
          <w:noProof/>
        </w:rPr>
        <w:t>d 1 wordt als volgt gewijzigd:</w:t>
      </w:r>
    </w:p>
    <w:p w:rsidR="00A21280" w:rsidRDefault="00387203">
      <w:pPr>
        <w:ind w:left="1701" w:hanging="567"/>
        <w:rPr>
          <w:noProof/>
        </w:rPr>
      </w:pPr>
      <w:r>
        <w:rPr>
          <w:noProof/>
        </w:rPr>
        <w:t>(i)</w:t>
      </w:r>
      <w:r>
        <w:rPr>
          <w:noProof/>
        </w:rPr>
        <w:tab/>
        <w:t>de volgende punten f bis) en f ter) worden ingevoegd:</w:t>
      </w:r>
    </w:p>
    <w:p w:rsidR="00A21280" w:rsidRDefault="00387203">
      <w:pPr>
        <w:ind w:left="2268" w:hanging="567"/>
        <w:rPr>
          <w:rFonts w:eastAsia="Times New Roman"/>
          <w:noProof/>
          <w:szCs w:val="24"/>
        </w:rPr>
      </w:pPr>
      <w:r>
        <w:rPr>
          <w:noProof/>
        </w:rPr>
        <w:t>“f bis)</w:t>
      </w:r>
      <w:r>
        <w:rPr>
          <w:noProof/>
        </w:rPr>
        <w:tab/>
        <w:t>de voorzitter van de raad van toezicht van de ECB;</w:t>
      </w:r>
    </w:p>
    <w:p w:rsidR="00A21280" w:rsidRDefault="00387203">
      <w:pPr>
        <w:ind w:left="2268" w:hanging="567"/>
        <w:rPr>
          <w:rFonts w:eastAsia="Times New Roman"/>
          <w:noProof/>
          <w:szCs w:val="24"/>
        </w:rPr>
      </w:pPr>
      <w:r>
        <w:rPr>
          <w:noProof/>
        </w:rPr>
        <w:t>f ter)</w:t>
      </w:r>
      <w:r>
        <w:rPr>
          <w:noProof/>
        </w:rPr>
        <w:tab/>
        <w:t>de voorzitter van de gemeenschappelijke afwikkelingsraad;”;</w:t>
      </w:r>
    </w:p>
    <w:p w:rsidR="00A21280" w:rsidRDefault="00387203">
      <w:pPr>
        <w:ind w:left="1701" w:hanging="567"/>
        <w:rPr>
          <w:rFonts w:eastAsia="Times New Roman"/>
          <w:noProof/>
          <w:szCs w:val="24"/>
        </w:rPr>
      </w:pPr>
      <w:r>
        <w:rPr>
          <w:noProof/>
        </w:rPr>
        <w:t>(ii)</w:t>
      </w:r>
      <w:r>
        <w:rPr>
          <w:noProof/>
        </w:rPr>
        <w:tab/>
        <w:t>punt g) wordt vervangen door:</w:t>
      </w:r>
    </w:p>
    <w:p w:rsidR="00A21280" w:rsidRDefault="00387203">
      <w:pPr>
        <w:ind w:left="2268" w:hanging="567"/>
        <w:rPr>
          <w:rFonts w:eastAsia="Times New Roman"/>
          <w:noProof/>
          <w:szCs w:val="24"/>
        </w:rPr>
      </w:pPr>
      <w:r>
        <w:rPr>
          <w:noProof/>
        </w:rPr>
        <w:t>“g)</w:t>
      </w:r>
      <w:r>
        <w:rPr>
          <w:noProof/>
        </w:rPr>
        <w:tab/>
        <w:t>de</w:t>
      </w:r>
      <w:r>
        <w:rPr>
          <w:noProof/>
        </w:rPr>
        <w:t xml:space="preserve"> voorzitter van het wetenschappelijk adviescomité;”;</w:t>
      </w:r>
    </w:p>
    <w:p w:rsidR="00A21280" w:rsidRDefault="00387203">
      <w:pPr>
        <w:ind w:left="1134" w:hanging="567"/>
        <w:rPr>
          <w:rFonts w:eastAsia="Times New Roman"/>
          <w:noProof/>
          <w:szCs w:val="24"/>
        </w:rPr>
      </w:pPr>
      <w:r>
        <w:rPr>
          <w:noProof/>
        </w:rPr>
        <w:t>(b)</w:t>
      </w:r>
      <w:r>
        <w:rPr>
          <w:noProof/>
        </w:rPr>
        <w:tab/>
        <w:t>lid 2 wordt als volgt gewijzigd:</w:t>
      </w:r>
    </w:p>
    <w:p w:rsidR="00A21280" w:rsidRDefault="00387203">
      <w:pPr>
        <w:ind w:left="1701" w:hanging="567"/>
        <w:rPr>
          <w:noProof/>
        </w:rPr>
      </w:pPr>
      <w:r>
        <w:rPr>
          <w:noProof/>
        </w:rPr>
        <w:t>(i)</w:t>
      </w:r>
      <w:r>
        <w:rPr>
          <w:noProof/>
        </w:rPr>
        <w:tab/>
        <w:t>punt a) wordt vervangen door:</w:t>
      </w:r>
    </w:p>
    <w:p w:rsidR="00A21280" w:rsidRDefault="00387203">
      <w:pPr>
        <w:ind w:left="2268" w:hanging="567"/>
        <w:rPr>
          <w:rFonts w:eastAsia="Times New Roman"/>
          <w:noProof/>
          <w:szCs w:val="24"/>
        </w:rPr>
      </w:pPr>
      <w:r>
        <w:rPr>
          <w:noProof/>
        </w:rPr>
        <w:t>“a)</w:t>
      </w:r>
      <w:r>
        <w:rPr>
          <w:noProof/>
        </w:rPr>
        <w:tab/>
        <w:t xml:space="preserve">per lidstaat één vertegenwoordiger op hoog niveau ofwel van de bevoegde nationale autoriteiten ofwel van de nationale </w:t>
      </w:r>
      <w:r>
        <w:rPr>
          <w:noProof/>
        </w:rPr>
        <w:t>autoriteiten die aangewezen zijn voor de toepassing van maatregelen om systeemrisico’s of macroprudentiële risico’s aan te pakken, overeenkomstig lid 3.”;</w:t>
      </w:r>
    </w:p>
    <w:p w:rsidR="00A21280" w:rsidRDefault="00387203">
      <w:pPr>
        <w:ind w:left="1134" w:hanging="567"/>
        <w:rPr>
          <w:rFonts w:eastAsia="Times New Roman"/>
          <w:noProof/>
          <w:szCs w:val="24"/>
        </w:rPr>
      </w:pPr>
      <w:r>
        <w:rPr>
          <w:noProof/>
        </w:rPr>
        <w:t>(c)</w:t>
      </w:r>
      <w:r>
        <w:rPr>
          <w:noProof/>
        </w:rPr>
        <w:tab/>
        <w:t>lid 3 wordt vervangen door:</w:t>
      </w:r>
    </w:p>
    <w:p w:rsidR="00A21280" w:rsidRDefault="00387203">
      <w:pPr>
        <w:tabs>
          <w:tab w:val="left" w:pos="1701"/>
        </w:tabs>
        <w:ind w:left="1134"/>
        <w:rPr>
          <w:rFonts w:eastAsia="Times New Roman"/>
          <w:noProof/>
          <w:szCs w:val="24"/>
        </w:rPr>
      </w:pPr>
      <w:r>
        <w:rPr>
          <w:noProof/>
        </w:rPr>
        <w:t>“3.</w:t>
      </w:r>
      <w:r>
        <w:rPr>
          <w:noProof/>
        </w:rPr>
        <w:tab/>
        <w:t>Met betrekking tot de vertegenwoordiging van de nationale autorit</w:t>
      </w:r>
      <w:r>
        <w:rPr>
          <w:noProof/>
        </w:rPr>
        <w:t>eiten bedoeld in lid 2, onder a), rouleren de desbetreffende vertegenwoordigers op hoog niveau afhankelijk van de te bespreken onderwerpen, tenzij de nationale autoriteiten van een bepaalde lidstaat besloten hebben om een gezamenlijke vertegenwoordiger aan</w:t>
      </w:r>
      <w:r>
        <w:rPr>
          <w:noProof/>
        </w:rPr>
        <w:t xml:space="preserve"> te wijzen.”;</w:t>
      </w:r>
    </w:p>
    <w:p w:rsidR="00A21280" w:rsidRDefault="00387203">
      <w:pPr>
        <w:ind w:left="567" w:hanging="567"/>
        <w:rPr>
          <w:rFonts w:eastAsia="Times New Roman"/>
          <w:noProof/>
          <w:szCs w:val="24"/>
        </w:rPr>
      </w:pPr>
      <w:r>
        <w:rPr>
          <w:noProof/>
        </w:rPr>
        <w:t>(4)</w:t>
      </w:r>
      <w:r>
        <w:rPr>
          <w:noProof/>
        </w:rPr>
        <w:tab/>
        <w:t xml:space="preserve">in artikel 9 wordt lid 5 geschrapt; </w:t>
      </w:r>
    </w:p>
    <w:p w:rsidR="00A21280" w:rsidRDefault="00387203">
      <w:pPr>
        <w:ind w:left="567" w:hanging="567"/>
        <w:rPr>
          <w:rFonts w:eastAsia="Times New Roman"/>
          <w:noProof/>
          <w:szCs w:val="24"/>
        </w:rPr>
      </w:pPr>
      <w:r>
        <w:rPr>
          <w:noProof/>
        </w:rPr>
        <w:t>(5)</w:t>
      </w:r>
      <w:r>
        <w:rPr>
          <w:noProof/>
        </w:rPr>
        <w:tab/>
        <w:t>artikel 11 wordt als volgt gewijzigd:</w:t>
      </w:r>
    </w:p>
    <w:p w:rsidR="00A21280" w:rsidRDefault="00387203">
      <w:pPr>
        <w:ind w:left="1134" w:hanging="567"/>
        <w:rPr>
          <w:rFonts w:eastAsia="Times New Roman"/>
          <w:noProof/>
          <w:szCs w:val="24"/>
        </w:rPr>
      </w:pPr>
      <w:r>
        <w:rPr>
          <w:noProof/>
        </w:rPr>
        <w:t>(a)</w:t>
      </w:r>
      <w:r>
        <w:rPr>
          <w:noProof/>
        </w:rPr>
        <w:tab/>
        <w:t>lid 1 wordt als volgt gewijzigd:</w:t>
      </w:r>
    </w:p>
    <w:p w:rsidR="00A21280" w:rsidRDefault="00387203">
      <w:pPr>
        <w:ind w:left="1701" w:hanging="567"/>
        <w:rPr>
          <w:rFonts w:eastAsia="Times New Roman"/>
          <w:noProof/>
          <w:szCs w:val="24"/>
        </w:rPr>
      </w:pPr>
      <w:r>
        <w:rPr>
          <w:noProof/>
        </w:rPr>
        <w:t>(i)</w:t>
      </w:r>
      <w:r>
        <w:rPr>
          <w:noProof/>
        </w:rPr>
        <w:tab/>
        <w:t>punt c) wordt vervangen door:</w:t>
      </w:r>
    </w:p>
    <w:p w:rsidR="00A21280" w:rsidRDefault="00387203">
      <w:pPr>
        <w:ind w:left="2268" w:hanging="567"/>
        <w:rPr>
          <w:rFonts w:eastAsia="Times New Roman"/>
          <w:noProof/>
          <w:szCs w:val="24"/>
        </w:rPr>
      </w:pPr>
      <w:r>
        <w:rPr>
          <w:noProof/>
        </w:rPr>
        <w:t>“c)</w:t>
      </w:r>
      <w:r>
        <w:rPr>
          <w:noProof/>
        </w:rPr>
        <w:tab/>
        <w:t xml:space="preserve">vier andere leden van de algemene raad die ook lid zijn van de algemene raad van de </w:t>
      </w:r>
      <w:r>
        <w:rPr>
          <w:noProof/>
        </w:rPr>
        <w:t>ECB, rekening houdend met de noodzaak van evenwichtige vertegenwoordiging van lidstaten in het algemeen en tussen deelnemende lidstaten in de zin van artikel 2, lid 1, van Verordening (EU) nr. 1024/2013 en niet deelnemende lidstaten. Zij worden voor een te</w:t>
      </w:r>
      <w:r>
        <w:rPr>
          <w:noProof/>
        </w:rPr>
        <w:t>rmijn van drie jaar verkozen door en onder de leden van de algemene raad die ook lid zijn van de algemene raad van de ECB;</w:t>
      </w:r>
    </w:p>
    <w:p w:rsidR="00A21280" w:rsidRDefault="00387203">
      <w:pPr>
        <w:ind w:left="1701" w:hanging="567"/>
        <w:rPr>
          <w:rFonts w:eastAsia="Times New Roman"/>
          <w:noProof/>
          <w:szCs w:val="24"/>
        </w:rPr>
      </w:pPr>
      <w:r>
        <w:rPr>
          <w:noProof/>
        </w:rPr>
        <w:t>(ii)</w:t>
      </w:r>
      <w:r>
        <w:rPr>
          <w:noProof/>
        </w:rPr>
        <w:tab/>
        <w:t>de volgende punten g bis) en g ter) worden ingevoegd:</w:t>
      </w:r>
    </w:p>
    <w:p w:rsidR="00A21280" w:rsidRDefault="00387203">
      <w:pPr>
        <w:ind w:left="2268" w:hanging="567"/>
        <w:rPr>
          <w:rFonts w:eastAsia="Times New Roman"/>
          <w:noProof/>
          <w:szCs w:val="24"/>
        </w:rPr>
      </w:pPr>
      <w:r>
        <w:rPr>
          <w:noProof/>
        </w:rPr>
        <w:t>“g bis)</w:t>
      </w:r>
      <w:r>
        <w:rPr>
          <w:noProof/>
        </w:rPr>
        <w:tab/>
        <w:t>de voorzitter van de raad van toezicht van de ECB;</w:t>
      </w:r>
    </w:p>
    <w:p w:rsidR="00A21280" w:rsidRDefault="00387203">
      <w:pPr>
        <w:ind w:left="2268" w:hanging="567"/>
        <w:rPr>
          <w:rFonts w:eastAsia="Times New Roman"/>
          <w:noProof/>
          <w:szCs w:val="24"/>
        </w:rPr>
      </w:pPr>
      <w:r>
        <w:rPr>
          <w:noProof/>
        </w:rPr>
        <w:t>g ter)</w:t>
      </w:r>
      <w:r>
        <w:rPr>
          <w:noProof/>
        </w:rPr>
        <w:tab/>
        <w:t>de voorz</w:t>
      </w:r>
      <w:r>
        <w:rPr>
          <w:noProof/>
        </w:rPr>
        <w:t>itter van de gemeenschappelijke afwikkelingsraad;”;</w:t>
      </w:r>
    </w:p>
    <w:p w:rsidR="00A21280" w:rsidRDefault="00387203">
      <w:pPr>
        <w:tabs>
          <w:tab w:val="left" w:pos="567"/>
        </w:tabs>
        <w:rPr>
          <w:rFonts w:eastAsia="Times New Roman"/>
          <w:noProof/>
          <w:szCs w:val="24"/>
        </w:rPr>
      </w:pPr>
      <w:r>
        <w:rPr>
          <w:noProof/>
        </w:rPr>
        <w:t>(6)</w:t>
      </w:r>
      <w:r>
        <w:rPr>
          <w:noProof/>
        </w:rPr>
        <w:tab/>
        <w:t>artikel 12 wordt als volgt gewijzigd:</w:t>
      </w:r>
    </w:p>
    <w:p w:rsidR="00A21280" w:rsidRDefault="00387203">
      <w:pPr>
        <w:ind w:left="1134" w:hanging="567"/>
        <w:rPr>
          <w:rFonts w:eastAsia="Times New Roman"/>
          <w:noProof/>
          <w:szCs w:val="24"/>
        </w:rPr>
      </w:pPr>
      <w:r>
        <w:rPr>
          <w:noProof/>
        </w:rPr>
        <w:t>(a)</w:t>
      </w:r>
      <w:r>
        <w:rPr>
          <w:noProof/>
        </w:rPr>
        <w:tab/>
        <w:t>lid 5 wordt vervangen door:</w:t>
      </w:r>
    </w:p>
    <w:p w:rsidR="00A21280" w:rsidRDefault="00387203">
      <w:pPr>
        <w:tabs>
          <w:tab w:val="left" w:pos="1701"/>
        </w:tabs>
        <w:ind w:left="1134"/>
        <w:rPr>
          <w:rFonts w:eastAsia="Times New Roman"/>
          <w:noProof/>
          <w:szCs w:val="24"/>
        </w:rPr>
      </w:pPr>
      <w:r>
        <w:rPr>
          <w:noProof/>
        </w:rPr>
        <w:t>“5.</w:t>
      </w:r>
      <w:r>
        <w:rPr>
          <w:noProof/>
        </w:rPr>
        <w:tab/>
        <w:t>In voorkomend geval pleegt het wetenschappelijk adviescomité in een vroeg stadium overleg met belanghebbenden, waarbij openhei</w:t>
      </w:r>
      <w:r>
        <w:rPr>
          <w:noProof/>
        </w:rPr>
        <w:t>d en transparantie worden nagestreefd en rekening houdend met het vereiste van vertrouwelijkheid.”;</w:t>
      </w:r>
    </w:p>
    <w:p w:rsidR="00A21280" w:rsidRDefault="00387203">
      <w:pPr>
        <w:tabs>
          <w:tab w:val="left" w:pos="567"/>
        </w:tabs>
        <w:rPr>
          <w:rFonts w:eastAsia="Times New Roman"/>
          <w:noProof/>
          <w:szCs w:val="24"/>
        </w:rPr>
      </w:pPr>
      <w:r>
        <w:rPr>
          <w:noProof/>
        </w:rPr>
        <w:t xml:space="preserve"> (7)</w:t>
      </w:r>
      <w:r>
        <w:rPr>
          <w:noProof/>
        </w:rPr>
        <w:tab/>
        <w:t>artikel 13 wordt als volgt gewijzigd:</w:t>
      </w:r>
    </w:p>
    <w:p w:rsidR="00A21280" w:rsidRDefault="00387203">
      <w:pPr>
        <w:ind w:left="1134" w:hanging="567"/>
        <w:rPr>
          <w:rFonts w:eastAsia="Times New Roman"/>
          <w:noProof/>
          <w:szCs w:val="24"/>
        </w:rPr>
      </w:pPr>
      <w:r>
        <w:rPr>
          <w:noProof/>
        </w:rPr>
        <w:t>(a)</w:t>
      </w:r>
      <w:r>
        <w:rPr>
          <w:noProof/>
        </w:rPr>
        <w:tab/>
        <w:t>lid 1 wordt als volgt gewijzigd:</w:t>
      </w:r>
    </w:p>
    <w:p w:rsidR="00A21280" w:rsidRDefault="00387203">
      <w:pPr>
        <w:ind w:left="1701" w:hanging="567"/>
        <w:rPr>
          <w:rFonts w:eastAsia="Times New Roman"/>
          <w:noProof/>
          <w:szCs w:val="24"/>
        </w:rPr>
      </w:pPr>
      <w:r>
        <w:rPr>
          <w:noProof/>
        </w:rPr>
        <w:t>(i)</w:t>
      </w:r>
      <w:r>
        <w:rPr>
          <w:noProof/>
        </w:rPr>
        <w:tab/>
        <w:t>punt f) wordt vervangen door:</w:t>
      </w:r>
    </w:p>
    <w:p w:rsidR="00A21280" w:rsidRDefault="00387203">
      <w:pPr>
        <w:ind w:left="2268" w:hanging="567"/>
        <w:rPr>
          <w:rFonts w:eastAsia="Times New Roman"/>
          <w:noProof/>
          <w:szCs w:val="24"/>
        </w:rPr>
      </w:pPr>
      <w:r>
        <w:rPr>
          <w:noProof/>
        </w:rPr>
        <w:t>“f)</w:t>
      </w:r>
      <w:r>
        <w:rPr>
          <w:noProof/>
        </w:rPr>
        <w:tab/>
        <w:t xml:space="preserve">een vertegenwoordiger van de </w:t>
      </w:r>
      <w:r>
        <w:rPr>
          <w:noProof/>
        </w:rPr>
        <w:t>Commissie;”;</w:t>
      </w:r>
    </w:p>
    <w:p w:rsidR="00A21280" w:rsidRDefault="00387203">
      <w:pPr>
        <w:ind w:left="1701" w:hanging="567"/>
        <w:rPr>
          <w:rFonts w:eastAsia="Times New Roman"/>
          <w:noProof/>
          <w:szCs w:val="24"/>
        </w:rPr>
      </w:pPr>
      <w:r>
        <w:rPr>
          <w:noProof/>
        </w:rPr>
        <w:t>(ii)</w:t>
      </w:r>
      <w:r>
        <w:rPr>
          <w:noProof/>
        </w:rPr>
        <w:tab/>
        <w:t>de volgende punten f bis) en f ter) worden ingevoegd:</w:t>
      </w:r>
    </w:p>
    <w:p w:rsidR="00A21280" w:rsidRDefault="00387203">
      <w:pPr>
        <w:ind w:left="2268" w:hanging="567"/>
        <w:rPr>
          <w:rFonts w:eastAsia="Times New Roman"/>
          <w:noProof/>
          <w:szCs w:val="24"/>
        </w:rPr>
      </w:pPr>
      <w:r>
        <w:rPr>
          <w:noProof/>
        </w:rPr>
        <w:t>“f bis)</w:t>
      </w:r>
      <w:r>
        <w:rPr>
          <w:noProof/>
        </w:rPr>
        <w:tab/>
        <w:t>een vertegenwoordiger van de raad van toezicht van de ECB;</w:t>
      </w:r>
    </w:p>
    <w:p w:rsidR="00A21280" w:rsidRDefault="00387203">
      <w:pPr>
        <w:ind w:left="2268" w:hanging="567"/>
        <w:rPr>
          <w:rFonts w:eastAsia="Times New Roman"/>
          <w:noProof/>
          <w:szCs w:val="24"/>
        </w:rPr>
      </w:pPr>
      <w:r>
        <w:rPr>
          <w:noProof/>
        </w:rPr>
        <w:t>f ter)</w:t>
      </w:r>
      <w:r>
        <w:rPr>
          <w:noProof/>
        </w:rPr>
        <w:tab/>
        <w:t>een vertegenwoordiger van de gemeenschappelijke afwikkelingsraad;”;</w:t>
      </w:r>
    </w:p>
    <w:p w:rsidR="00A21280" w:rsidRDefault="00387203">
      <w:pPr>
        <w:ind w:left="1134" w:hanging="567"/>
        <w:rPr>
          <w:rFonts w:eastAsia="Times New Roman"/>
          <w:noProof/>
          <w:szCs w:val="24"/>
        </w:rPr>
      </w:pPr>
      <w:r>
        <w:rPr>
          <w:noProof/>
        </w:rPr>
        <w:t>(b)</w:t>
      </w:r>
      <w:r>
        <w:rPr>
          <w:noProof/>
        </w:rPr>
        <w:tab/>
        <w:t xml:space="preserve">het volgende lid 4 bis wordt </w:t>
      </w:r>
      <w:r>
        <w:rPr>
          <w:noProof/>
        </w:rPr>
        <w:t>ingevoegd:</w:t>
      </w:r>
    </w:p>
    <w:p w:rsidR="00A21280" w:rsidRDefault="00387203">
      <w:pPr>
        <w:tabs>
          <w:tab w:val="left" w:pos="1701"/>
        </w:tabs>
        <w:ind w:left="1134"/>
        <w:rPr>
          <w:rFonts w:eastAsia="Times New Roman"/>
          <w:noProof/>
          <w:szCs w:val="24"/>
        </w:rPr>
      </w:pPr>
      <w:r>
        <w:rPr>
          <w:noProof/>
        </w:rPr>
        <w:t>“4 bis.</w:t>
      </w:r>
      <w:r>
        <w:rPr>
          <w:noProof/>
        </w:rPr>
        <w:tab/>
        <w:t>In voorkomend geval pleegt het technisch adviescomité in een vroeg stadium overleg met belanghebbenden, waarbij openheid en transparantie worden nagestreefd en rekening houdend met het vereiste van vertrouwelijkheid.”;</w:t>
      </w:r>
    </w:p>
    <w:p w:rsidR="00A21280" w:rsidRDefault="00387203">
      <w:pPr>
        <w:tabs>
          <w:tab w:val="left" w:pos="567"/>
        </w:tabs>
        <w:rPr>
          <w:rFonts w:eastAsia="Times New Roman"/>
          <w:noProof/>
          <w:szCs w:val="24"/>
        </w:rPr>
      </w:pPr>
      <w:r>
        <w:rPr>
          <w:noProof/>
        </w:rPr>
        <w:t>(8)</w:t>
      </w:r>
      <w:r>
        <w:rPr>
          <w:noProof/>
        </w:rPr>
        <w:tab/>
        <w:t>artikel 16 wor</w:t>
      </w:r>
      <w:r>
        <w:rPr>
          <w:noProof/>
        </w:rPr>
        <w:t>dt als volgt gewijzigd:</w:t>
      </w:r>
    </w:p>
    <w:p w:rsidR="00A21280" w:rsidRDefault="00387203">
      <w:pPr>
        <w:ind w:left="1134" w:hanging="567"/>
        <w:rPr>
          <w:rFonts w:eastAsia="Times New Roman"/>
          <w:noProof/>
          <w:szCs w:val="24"/>
        </w:rPr>
      </w:pPr>
      <w:r>
        <w:rPr>
          <w:noProof/>
        </w:rPr>
        <w:t>(a)</w:t>
      </w:r>
      <w:r>
        <w:rPr>
          <w:noProof/>
        </w:rPr>
        <w:tab/>
        <w:t>in lid 2 wordt de eerste zin vervangen door:</w:t>
      </w:r>
    </w:p>
    <w:p w:rsidR="00A21280" w:rsidRDefault="00387203">
      <w:pPr>
        <w:ind w:left="1134"/>
        <w:rPr>
          <w:rFonts w:eastAsia="Times New Roman"/>
          <w:noProof/>
          <w:szCs w:val="24"/>
        </w:rPr>
      </w:pPr>
      <w:r>
        <w:rPr>
          <w:noProof/>
        </w:rPr>
        <w:t>“De waarschuwingen en aanbevelingen die het ESRB overeenkomstig artikel 3, lid 2, onder c) en d), afgeeft, kunnen van algemene of specifieke aard zijn en worden met name gericht tot d</w:t>
      </w:r>
      <w:r>
        <w:rPr>
          <w:noProof/>
        </w:rPr>
        <w:t>e Unie, aan een of meer lidstaten of aan een of meer ETA’s of aan een of meer nationale bevoegde autoriteiten, of aan de ECB voor de aan de ECB opgedragen taken overeenkomstig artikel 4, leden 1 en 2, en artikel 5, lid 2, van Verordening (EU) nr. 1024/2013</w:t>
      </w:r>
      <w:r>
        <w:rPr>
          <w:noProof/>
        </w:rPr>
        <w:t>.”;</w:t>
      </w:r>
    </w:p>
    <w:p w:rsidR="00A21280" w:rsidRDefault="00387203">
      <w:pPr>
        <w:ind w:left="1134" w:hanging="567"/>
        <w:rPr>
          <w:rFonts w:eastAsia="Times New Roman"/>
          <w:noProof/>
          <w:szCs w:val="24"/>
        </w:rPr>
      </w:pPr>
      <w:r>
        <w:rPr>
          <w:noProof/>
        </w:rPr>
        <w:t>(b)</w:t>
      </w:r>
      <w:r>
        <w:rPr>
          <w:noProof/>
        </w:rPr>
        <w:tab/>
        <w:t>lid 3 wordt vervangen door:</w:t>
      </w:r>
    </w:p>
    <w:p w:rsidR="00A21280" w:rsidRDefault="00387203">
      <w:pPr>
        <w:tabs>
          <w:tab w:val="left" w:pos="1701"/>
        </w:tabs>
        <w:ind w:left="1134"/>
        <w:rPr>
          <w:rFonts w:eastAsia="Times New Roman"/>
          <w:noProof/>
          <w:szCs w:val="24"/>
        </w:rPr>
      </w:pPr>
      <w:r>
        <w:rPr>
          <w:noProof/>
        </w:rPr>
        <w:t>“3.</w:t>
      </w:r>
      <w:r>
        <w:rPr>
          <w:noProof/>
        </w:rPr>
        <w:tab/>
        <w:t>Op hetzelfde tijdstip als waarop zij overeenkomstig lid 2 worden toegezonden aan de adressaten, worden de waarschuwingen en aanbevelingen met inachtneming van strikte geheimhoudingsregels toegezonden aan de Raad, het</w:t>
      </w:r>
      <w:r>
        <w:rPr>
          <w:noProof/>
        </w:rPr>
        <w:t xml:space="preserve"> Europees Parlement, de Commissie en de ETA’s.”; </w:t>
      </w:r>
    </w:p>
    <w:p w:rsidR="00A21280" w:rsidRDefault="00387203">
      <w:pPr>
        <w:tabs>
          <w:tab w:val="left" w:pos="567"/>
        </w:tabs>
        <w:rPr>
          <w:rFonts w:eastAsia="Times New Roman"/>
          <w:noProof/>
          <w:szCs w:val="24"/>
        </w:rPr>
      </w:pPr>
      <w:r>
        <w:rPr>
          <w:noProof/>
        </w:rPr>
        <w:t>(9)</w:t>
      </w:r>
      <w:r>
        <w:rPr>
          <w:noProof/>
        </w:rPr>
        <w:tab/>
        <w:t>in artikel 17 worden de leden 1 en 2 vervangen door:</w:t>
      </w:r>
    </w:p>
    <w:p w:rsidR="00A21280" w:rsidRDefault="00387203">
      <w:pPr>
        <w:tabs>
          <w:tab w:val="left" w:pos="1701"/>
        </w:tabs>
        <w:ind w:left="1134"/>
        <w:rPr>
          <w:rFonts w:eastAsia="Times New Roman"/>
          <w:noProof/>
          <w:szCs w:val="24"/>
        </w:rPr>
      </w:pPr>
      <w:r>
        <w:rPr>
          <w:noProof/>
        </w:rPr>
        <w:t>“1.</w:t>
      </w:r>
      <w:r>
        <w:rPr>
          <w:noProof/>
        </w:rPr>
        <w:tab/>
        <w:t>Indien een in artikel 3, lid 2, onder d), bedoelde aanbeveling is gericht tot de Commissie, een of meer lidstaten, een of meer ETA’s of een of me</w:t>
      </w:r>
      <w:r>
        <w:rPr>
          <w:noProof/>
        </w:rPr>
        <w:t>er nationale bevoegde autoriteiten, delen de adressaten het Europees Parlement, de Raad en het ESRB mee welke maatregelen zij in respons op de aanbeveling hebben genomen en verstrekken zij een motivering ingeval geen actie wordt ondernomen. In voorkomend g</w:t>
      </w:r>
      <w:r>
        <w:rPr>
          <w:noProof/>
        </w:rPr>
        <w:t>eval stelt het ESRB met inachtneming van strikte geheimhoudingsregels de ETA’s onverwijld in kennis van de ontvangen antwoorden.</w:t>
      </w:r>
    </w:p>
    <w:p w:rsidR="00A21280" w:rsidRDefault="00387203">
      <w:pPr>
        <w:tabs>
          <w:tab w:val="left" w:pos="1701"/>
        </w:tabs>
        <w:ind w:left="1134"/>
        <w:rPr>
          <w:rFonts w:eastAsia="Times New Roman"/>
          <w:noProof/>
          <w:szCs w:val="24"/>
        </w:rPr>
      </w:pPr>
      <w:r>
        <w:rPr>
          <w:noProof/>
        </w:rPr>
        <w:t>2.</w:t>
      </w:r>
      <w:r>
        <w:rPr>
          <w:noProof/>
        </w:rPr>
        <w:tab/>
        <w:t>Als het ESRB concludeert dat zijn aanbeveling niet is opgevolgd of dat de adressaten niet op afdoende wijze hebben uitgelegd</w:t>
      </w:r>
      <w:r>
        <w:rPr>
          <w:noProof/>
        </w:rPr>
        <w:t xml:space="preserve"> waarom zij geen actie hebben ondernomen, stelt het met inachtneming van strikte geheimhoudingsregels de adressaten, het Europees Parlement, de Raad en de betrokken ETA’s hiervan in kennis.”;</w:t>
      </w:r>
    </w:p>
    <w:p w:rsidR="00A21280" w:rsidRDefault="00387203">
      <w:pPr>
        <w:ind w:left="567" w:hanging="567"/>
        <w:rPr>
          <w:rFonts w:eastAsia="Times New Roman"/>
          <w:noProof/>
          <w:szCs w:val="24"/>
        </w:rPr>
      </w:pPr>
      <w:r>
        <w:rPr>
          <w:noProof/>
        </w:rPr>
        <w:t>(10)</w:t>
      </w:r>
      <w:r>
        <w:rPr>
          <w:noProof/>
        </w:rPr>
        <w:tab/>
        <w:t>artikel 20 wordt vervangen door:</w:t>
      </w:r>
    </w:p>
    <w:p w:rsidR="00A21280" w:rsidRDefault="00387203">
      <w:pPr>
        <w:ind w:left="567"/>
        <w:rPr>
          <w:rFonts w:eastAsia="Times New Roman"/>
          <w:noProof/>
          <w:szCs w:val="24"/>
        </w:rPr>
      </w:pPr>
      <w:r>
        <w:rPr>
          <w:noProof/>
        </w:rPr>
        <w:t>“Niet eerder dan vijf jaar</w:t>
      </w:r>
      <w:r>
        <w:rPr>
          <w:noProof/>
        </w:rPr>
        <w:t xml:space="preserve"> na [PB, datum van inwerkingtreding invoegen] verricht de Commissie een evaluatie van deze verordening en brengt zij aan het Europees Parlement, de Raad en het Europees Economisch en Sociaal Comité verslag uit over de belangrijkste bevindingen.” </w:t>
      </w:r>
    </w:p>
    <w:p w:rsidR="00A21280" w:rsidRDefault="00387203">
      <w:pPr>
        <w:pStyle w:val="Titrearticle"/>
        <w:rPr>
          <w:noProof/>
        </w:rPr>
      </w:pPr>
      <w:r>
        <w:rPr>
          <w:noProof/>
        </w:rPr>
        <w:t>Artikel 2</w:t>
      </w:r>
    </w:p>
    <w:p w:rsidR="00A21280" w:rsidRDefault="00387203">
      <w:pPr>
        <w:rPr>
          <w:noProof/>
        </w:rPr>
      </w:pPr>
      <w:r>
        <w:rPr>
          <w:noProof/>
        </w:rPr>
        <w:t xml:space="preserve">Deze verordening treedt in werking op de […] dag na die van de bekendmaking ervan in het </w:t>
      </w:r>
      <w:r>
        <w:rPr>
          <w:i/>
          <w:noProof/>
        </w:rPr>
        <w:t>Publicatieblad van de Europese Unie</w:t>
      </w:r>
      <w:r>
        <w:rPr>
          <w:noProof/>
        </w:rPr>
        <w:t>.</w:t>
      </w:r>
    </w:p>
    <w:p w:rsidR="00A21280" w:rsidRDefault="00387203">
      <w:pPr>
        <w:pStyle w:val="Applicationdirecte"/>
        <w:rPr>
          <w:noProof/>
        </w:rPr>
      </w:pPr>
      <w:r>
        <w:rPr>
          <w:noProof/>
        </w:rPr>
        <w:t>Deze verordening is verbindend in al haar onderdelen en is rechtstreeks toepasselijk in elke lidstaat.</w:t>
      </w:r>
    </w:p>
    <w:p w:rsidR="00A21280" w:rsidRDefault="00387203" w:rsidP="00387203">
      <w:pPr>
        <w:pStyle w:val="Fait"/>
        <w:rPr>
          <w:noProof/>
        </w:rPr>
      </w:pPr>
      <w:r w:rsidRPr="00387203">
        <w:t>Gedaan te Brussel,</w:t>
      </w:r>
    </w:p>
    <w:p w:rsidR="00A21280" w:rsidRDefault="00387203">
      <w:pPr>
        <w:pStyle w:val="Institutionquisigne"/>
        <w:rPr>
          <w:noProof/>
        </w:rPr>
      </w:pPr>
      <w:r>
        <w:rPr>
          <w:noProof/>
        </w:rPr>
        <w:t>Voor he</w:t>
      </w:r>
      <w:r>
        <w:rPr>
          <w:noProof/>
        </w:rPr>
        <w:t>t Europees Parlement</w:t>
      </w:r>
      <w:r>
        <w:rPr>
          <w:noProof/>
        </w:rPr>
        <w:tab/>
        <w:t>Voor de Raad</w:t>
      </w:r>
    </w:p>
    <w:p w:rsidR="00A21280" w:rsidRDefault="00387203">
      <w:pPr>
        <w:pStyle w:val="Personnequisigne"/>
        <w:rPr>
          <w:noProof/>
        </w:rPr>
      </w:pPr>
      <w:r>
        <w:rPr>
          <w:noProof/>
        </w:rPr>
        <w:t>De voorzitter</w:t>
      </w:r>
      <w:r>
        <w:rPr>
          <w:noProof/>
        </w:rPr>
        <w:tab/>
        <w:t>De voorzitter</w:t>
      </w:r>
    </w:p>
    <w:sectPr w:rsidR="00A21280" w:rsidSect="0038720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80" w:rsidRDefault="00387203">
      <w:pPr>
        <w:spacing w:before="0" w:after="0"/>
      </w:pPr>
      <w:r>
        <w:separator/>
      </w:r>
    </w:p>
  </w:endnote>
  <w:endnote w:type="continuationSeparator" w:id="0">
    <w:p w:rsidR="00A21280" w:rsidRDefault="00387203">
      <w:pPr>
        <w:spacing w:before="0" w:after="0"/>
      </w:pPr>
      <w:r>
        <w:continuationSeparator/>
      </w:r>
    </w:p>
  </w:endnote>
  <w:endnote w:type="continuationNotice" w:id="1">
    <w:p w:rsidR="00A21280" w:rsidRDefault="00A212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80" w:rsidRPr="00387203" w:rsidRDefault="00387203" w:rsidP="00387203">
    <w:pPr>
      <w:pStyle w:val="Footer"/>
      <w:rPr>
        <w:rFonts w:ascii="Arial" w:hAnsi="Arial" w:cs="Arial"/>
        <w:b/>
        <w:sz w:val="48"/>
      </w:rPr>
    </w:pPr>
    <w:r w:rsidRPr="00387203">
      <w:rPr>
        <w:rFonts w:ascii="Arial" w:hAnsi="Arial" w:cs="Arial"/>
        <w:b/>
        <w:sz w:val="48"/>
      </w:rPr>
      <w:t>NL</w:t>
    </w:r>
    <w:r w:rsidRPr="00387203">
      <w:rPr>
        <w:rFonts w:ascii="Arial" w:hAnsi="Arial" w:cs="Arial"/>
        <w:b/>
        <w:sz w:val="48"/>
      </w:rPr>
      <w:tab/>
    </w:r>
    <w:r w:rsidRPr="00387203">
      <w:rPr>
        <w:rFonts w:ascii="Arial" w:hAnsi="Arial" w:cs="Arial"/>
        <w:b/>
        <w:sz w:val="48"/>
      </w:rPr>
      <w:tab/>
    </w:r>
    <w:fldSimple w:instr=" DOCVARIABLE &quot;LW_Confidence&quot; \* MERGEFORMAT ">
      <w:r>
        <w:t xml:space="preserve"> </w:t>
      </w:r>
    </w:fldSimple>
    <w:r w:rsidRPr="00387203">
      <w:tab/>
    </w:r>
    <w:proofErr w:type="spellStart"/>
    <w:r w:rsidRPr="00387203">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Footer"/>
      <w:rPr>
        <w:rFonts w:ascii="Arial" w:hAnsi="Arial" w:cs="Arial"/>
        <w:b/>
        <w:sz w:val="48"/>
      </w:rPr>
    </w:pPr>
    <w:r w:rsidRPr="00387203">
      <w:rPr>
        <w:rFonts w:ascii="Arial" w:hAnsi="Arial" w:cs="Arial"/>
        <w:b/>
        <w:sz w:val="48"/>
      </w:rPr>
      <w:t>NL</w:t>
    </w:r>
    <w:r w:rsidRPr="00387203">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fldSimple w:instr=" DOCVARIABLE &quot;LW_Confidence&quot; \* MERGEFORMAT ">
      <w:r>
        <w:t xml:space="preserve"> </w:t>
      </w:r>
    </w:fldSimple>
    <w:r w:rsidRPr="00387203">
      <w:tab/>
    </w:r>
    <w:r w:rsidRPr="00387203">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80" w:rsidRDefault="00387203">
      <w:pPr>
        <w:spacing w:before="0" w:after="0"/>
      </w:pPr>
      <w:r>
        <w:separator/>
      </w:r>
    </w:p>
  </w:footnote>
  <w:footnote w:type="continuationSeparator" w:id="0">
    <w:p w:rsidR="00A21280" w:rsidRDefault="00387203">
      <w:pPr>
        <w:spacing w:before="0" w:after="0"/>
      </w:pPr>
      <w:r>
        <w:continuationSeparator/>
      </w:r>
    </w:p>
  </w:footnote>
  <w:footnote w:type="continuationNotice" w:id="1">
    <w:p w:rsidR="00A21280" w:rsidRDefault="00A21280">
      <w:pPr>
        <w:spacing w:before="0" w:after="0"/>
      </w:pPr>
    </w:p>
  </w:footnote>
  <w:footnote w:id="2">
    <w:p w:rsidR="00A21280" w:rsidRDefault="00387203">
      <w:pPr>
        <w:pStyle w:val="FootnoteText"/>
      </w:pPr>
      <w:r>
        <w:rPr>
          <w:rStyle w:val="FootnoteReference"/>
        </w:rPr>
        <w:footnoteRef/>
      </w:r>
      <w:r>
        <w:tab/>
        <w:t xml:space="preserve">In het verslag-de </w:t>
      </w:r>
      <w:proofErr w:type="spellStart"/>
      <w:r>
        <w:t>Larosière</w:t>
      </w:r>
      <w:proofErr w:type="spellEnd"/>
      <w:r>
        <w:t xml:space="preserve"> (definitief verslag gepresenteerd op 25 februari 2009) werd aanbevolen een orgaan op Unieniveau op te richten dat belast zou zijn met het toezicht op het </w:t>
      </w:r>
      <w:r>
        <w:t>risico in het financiële stelsel als geheel.</w:t>
      </w:r>
    </w:p>
  </w:footnote>
  <w:footnote w:id="3">
    <w:p w:rsidR="00A21280" w:rsidRDefault="00387203">
      <w:pPr>
        <w:pStyle w:val="FootnoteText"/>
        <w:ind w:left="567" w:hanging="567"/>
      </w:pPr>
      <w:r>
        <w:rPr>
          <w:rStyle w:val="FootnoteReference"/>
        </w:rPr>
        <w:footnoteRef/>
      </w:r>
      <w:r>
        <w:tab/>
        <w:t>PB C, blz.</w:t>
      </w:r>
    </w:p>
  </w:footnote>
  <w:footnote w:id="4">
    <w:p w:rsidR="00A21280" w:rsidRDefault="00387203">
      <w:pPr>
        <w:pStyle w:val="FootnoteText"/>
        <w:ind w:left="567" w:hanging="567"/>
      </w:pPr>
      <w:r>
        <w:rPr>
          <w:rStyle w:val="FootnoteReference"/>
        </w:rPr>
        <w:footnoteRef/>
      </w:r>
      <w:r>
        <w:tab/>
        <w:t xml:space="preserve">Verordening (EU) nr. 1092/2010 van het Europees Parlement en de Raad van 24 november 2010 betreffende </w:t>
      </w:r>
      <w:proofErr w:type="spellStart"/>
      <w:r>
        <w:t>macroprudentieel</w:t>
      </w:r>
      <w:proofErr w:type="spellEnd"/>
      <w:r>
        <w:t xml:space="preserve"> toezicht van de Europese Unie op het financiële stelsel en tot oprichting van</w:t>
      </w:r>
      <w:r>
        <w:t xml:space="preserve"> een Europees Comité voor systeemrisico's (PB L 331 van 15.12.2010, blz. 1).</w:t>
      </w:r>
    </w:p>
  </w:footnote>
  <w:footnote w:id="5">
    <w:p w:rsidR="00A21280" w:rsidRDefault="00387203">
      <w:pPr>
        <w:pStyle w:val="FootnoteText"/>
        <w:ind w:left="567" w:hanging="567"/>
      </w:pPr>
      <w:r>
        <w:rPr>
          <w:rStyle w:val="FootnoteReference"/>
        </w:rPr>
        <w:footnoteRef/>
      </w:r>
      <w:r>
        <w:tab/>
        <w:t xml:space="preserve">Verslag van de Commissie aan het Europees Parlement en de Raad betreffende de taken en de organisatie van het Europees Comité voor systeemrisico’s, COM(2014) 508 </w:t>
      </w:r>
      <w:proofErr w:type="spellStart"/>
      <w:r>
        <w:t>final</w:t>
      </w:r>
      <w:proofErr w:type="spellEnd"/>
      <w:r>
        <w:t>.</w:t>
      </w:r>
    </w:p>
  </w:footnote>
  <w:footnote w:id="6">
    <w:p w:rsidR="00A21280" w:rsidRDefault="00387203">
      <w:pPr>
        <w:pStyle w:val="FootnoteText"/>
        <w:ind w:left="567" w:hanging="567"/>
        <w:jc w:val="left"/>
      </w:pPr>
      <w:r>
        <w:rPr>
          <w:rStyle w:val="FootnoteReference"/>
        </w:rPr>
        <w:footnoteRef/>
      </w:r>
      <w:r>
        <w:tab/>
        <w:t>Werkdo</w:t>
      </w:r>
      <w:r>
        <w:t xml:space="preserve">cument van de diensten van de Commissie, Effect Analysis, </w:t>
      </w:r>
      <w:proofErr w:type="spellStart"/>
      <w:r>
        <w:t>Amendments</w:t>
      </w:r>
      <w:proofErr w:type="spellEnd"/>
      <w:r>
        <w:t xml:space="preserve"> </w:t>
      </w:r>
      <w:proofErr w:type="spellStart"/>
      <w:r>
        <w:t>to</w:t>
      </w:r>
      <w:proofErr w:type="spellEnd"/>
      <w:r>
        <w:t xml:space="preserve"> ESRB </w:t>
      </w:r>
      <w:proofErr w:type="spellStart"/>
      <w:r>
        <w:t>Regulation</w:t>
      </w:r>
      <w:proofErr w:type="spellEnd"/>
      <w:r>
        <w:t>, COM(2017).</w:t>
      </w:r>
    </w:p>
  </w:footnote>
  <w:footnote w:id="7">
    <w:p w:rsidR="00A21280" w:rsidRDefault="00387203">
      <w:pPr>
        <w:pStyle w:val="FootnoteText"/>
        <w:ind w:left="567" w:hanging="567"/>
      </w:pPr>
      <w:r>
        <w:rPr>
          <w:rStyle w:val="FootnoteReference"/>
        </w:rPr>
        <w:footnoteRef/>
      </w:r>
      <w:r>
        <w:tab/>
        <w:t>Verordening (EU) nr. 1096/2010 van de Raad van 17 november 2010 tot toewijzing aan de Europese Centrale Bank van specifieke taken betreffende de werking v</w:t>
      </w:r>
      <w:r>
        <w:t>an het Europees Comité voor systeemrisico's (PB L 331 van 15.12.2010, blz. 162).</w:t>
      </w:r>
    </w:p>
  </w:footnote>
  <w:footnote w:id="8">
    <w:p w:rsidR="00A21280" w:rsidRDefault="00387203">
      <w:pPr>
        <w:pStyle w:val="FootnoteText"/>
        <w:ind w:left="567" w:hanging="567"/>
      </w:pPr>
      <w:r>
        <w:rPr>
          <w:rStyle w:val="FootnoteReference"/>
        </w:rPr>
        <w:footnoteRef/>
      </w:r>
      <w:r>
        <w:tab/>
        <w:t>Besluit van het Gemengd Comité van de EER Nr. 198/2016 van 30 september 2016 tot wijziging van bijlage IX (Financiële diensten) bij de EER-overeenkomst [2017/275] (PB L 46 v</w:t>
      </w:r>
      <w:r>
        <w:t>an 23.2.2017,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03" w:rsidRPr="00387203" w:rsidRDefault="00387203" w:rsidP="00387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CC48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E2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B07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369C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B40E3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F63D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EABF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F6B6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6"/>
  </w:num>
  <w:num w:numId="23">
    <w:abstractNumId w:val="22"/>
  </w:num>
  <w:num w:numId="24">
    <w:abstractNumId w:val="17"/>
    <w:lvlOverride w:ilvl="0">
      <w:startOverride w:val="1"/>
    </w:lvlOverride>
  </w:num>
  <w:num w:numId="25">
    <w:abstractNumId w:val="19"/>
  </w:num>
  <w:num w:numId="26">
    <w:abstractNumId w:val="12"/>
  </w:num>
  <w:num w:numId="27">
    <w:abstractNumId w:val="21"/>
  </w:num>
  <w:num w:numId="28">
    <w:abstractNumId w:val="11"/>
  </w:num>
  <w:num w:numId="29">
    <w:abstractNumId w:val="13"/>
  </w:num>
  <w:num w:numId="30">
    <w:abstractNumId w:val="9"/>
  </w:num>
  <w:num w:numId="31">
    <w:abstractNumId w:val="20"/>
  </w:num>
  <w:num w:numId="32">
    <w:abstractNumId w:val="8"/>
  </w:num>
  <w:num w:numId="33">
    <w:abstractNumId w:val="14"/>
  </w:num>
  <w:num w:numId="34">
    <w:abstractNumId w:val="17"/>
  </w:num>
  <w:num w:numId="35">
    <w:abstractNumId w:val="18"/>
  </w:num>
  <w:num w:numId="36">
    <w:abstractNumId w:val="10"/>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10:18: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3567DF11D5942DA91E8D303635527AE"/>
    <w:docVar w:name="LW_CROSSREFERENCE" w:val="{SWD(2017) 313 final}"/>
    <w:docVar w:name="LW_DocType" w:val="COM"/>
    <w:docVar w:name="LW_EMISSION" w:val="20.9.2017"/>
    <w:docVar w:name="LW_EMISSION_ISODATE" w:val="2017-09-2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32"/>
    <w:docVar w:name="LW_REF.II.NEW.CP_YEAR" w:val="2017"/>
    <w:docVar w:name="LW_REF.INST.NEW" w:val="COM"/>
    <w:docVar w:name="LW_REF.INST.NEW_ADOPTED" w:val="final"/>
    <w:docVar w:name="LW_REF.INST.NEW_TEXT" w:val="(2017) 538"/>
    <w:docVar w:name="LW_REF.INTERNE" w:val="&lt;UNUSED&gt;"/>
    <w:docVar w:name="LW_SOUS.TITRE.OBJ.CP" w:val="&lt;UNUSED&gt;"/>
    <w:docVar w:name="LW_STATUT.CP" w:val="Voorstel voor een"/>
    <w:docVar w:name="LW_SUPERTITRE" w:val="&lt;UNUSED&gt;"/>
    <w:docVar w:name="LW_TITRE.OBJ.CP" w:val="tot wijziging van Verordening (EU) nr. 1092/2010 betreffende macroprudentieel toezicht van de Europese Unie op het financiële stelsel en tot oprichting van een Europees Comité voor systeemrisico\u8217?s"/>
    <w:docVar w:name="LW_TYPE.DOC.CP" w:val="VERORDENING VAN HET EUROPEES PARLEMENT EN DE RAAD"/>
  </w:docVars>
  <w:rsids>
    <w:rsidRoot w:val="00A21280"/>
    <w:rsid w:val="00387203"/>
    <w:rsid w:val="00A2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nl-NL"/>
    </w:rPr>
  </w:style>
  <w:style w:type="paragraph" w:styleId="Header">
    <w:name w:val="header"/>
    <w:basedOn w:val="Normal"/>
    <w:link w:val="HeaderChar"/>
    <w:uiPriority w:val="99"/>
    <w:unhideWhenUsed/>
    <w:rsid w:val="0038720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8720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8720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qFormat/>
    <w:pPr>
      <w:numPr>
        <w:numId w:val="9"/>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nl-NL"/>
    </w:rPr>
  </w:style>
  <w:style w:type="paragraph" w:styleId="Header">
    <w:name w:val="header"/>
    <w:basedOn w:val="Normal"/>
    <w:link w:val="HeaderChar"/>
    <w:uiPriority w:val="99"/>
    <w:unhideWhenUsed/>
    <w:rsid w:val="0038720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8720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8720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8717">
      <w:bodyDiv w:val="1"/>
      <w:marLeft w:val="0"/>
      <w:marRight w:val="0"/>
      <w:marTop w:val="0"/>
      <w:marBottom w:val="0"/>
      <w:divBdr>
        <w:top w:val="none" w:sz="0" w:space="0" w:color="auto"/>
        <w:left w:val="none" w:sz="0" w:space="0" w:color="auto"/>
        <w:bottom w:val="none" w:sz="0" w:space="0" w:color="auto"/>
        <w:right w:val="none" w:sz="0" w:space="0" w:color="auto"/>
      </w:divBdr>
    </w:div>
    <w:div w:id="19158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9777fc59-4bfd-4309-88dc-a0c9db34825d">Not Started</EC_Collab_Status>
    <EC_Collab_DocumentLanguage xmlns="9777fc59-4bfd-4309-88dc-a0c9db34825d">EN</EC_Collab_DocumentLanguage>
    <EC_Collab_Reference xmlns="9777fc59-4bfd-4309-88dc-a0c9db348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EF55457B25D324AB5A962373D51122B" ma:contentTypeVersion="12" ma:contentTypeDescription="Create a new document in this library." ma:contentTypeScope="" ma:versionID="ce20a0fec3b8eca0de618e1f293e03d1">
  <xsd:schema xmlns:xsd="http://www.w3.org/2001/XMLSchema" xmlns:xs="http://www.w3.org/2001/XMLSchema" xmlns:p="http://schemas.microsoft.com/office/2006/metadata/properties" xmlns:ns3="9777fc59-4bfd-4309-88dc-a0c9db34825d" targetNamespace="http://schemas.microsoft.com/office/2006/metadata/properties" ma:root="true" ma:fieldsID="241a214c4651a1e2d4036c5aaa3854e7" ns3:_="">
    <xsd:import namespace="9777fc59-4bfd-4309-88dc-a0c9db34825d"/>
    <xsd:element name="properties">
      <xsd:complexType>
        <xsd:sequence>
          <xsd:element name="documentManagement">
            <xsd:complexType>
              <xsd:all>
                <xsd:element ref="ns3:EC_Collab_Status"/>
                <xsd:element ref="ns3:EC_Collab_DocumentLanguage"/>
                <xsd:element ref="ns3:EC_Collab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fc59-4bfd-4309-88dc-a0c9db34825d" elementFormDefault="qualified">
    <xsd:import namespace="http://schemas.microsoft.com/office/2006/documentManagement/types"/>
    <xsd:import namespace="http://schemas.microsoft.com/office/infopath/2007/PartnerControls"/>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Reference" ma:index="14" nillable="true" ma:displayName="Reference" ma:internalName="EC_Collab_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CB00-DD17-40A9-A1BA-3A019C073B01}">
  <ds:schemaRefs>
    <ds:schemaRef ds:uri="http://schemas.microsoft.com/office/2006/metadata/properties"/>
    <ds:schemaRef ds:uri="http://schemas.microsoft.com/office/infopath/2007/PartnerControls"/>
    <ds:schemaRef ds:uri="9777fc59-4bfd-4309-88dc-a0c9db34825d"/>
  </ds:schemaRefs>
</ds:datastoreItem>
</file>

<file path=customXml/itemProps2.xml><?xml version="1.0" encoding="utf-8"?>
<ds:datastoreItem xmlns:ds="http://schemas.openxmlformats.org/officeDocument/2006/customXml" ds:itemID="{62CC6D82-41CF-47C2-A5DD-36AAB184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fc59-4bfd-4309-88dc-a0c9db34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E6CBB-6688-41F2-8BA9-70E2548E3E15}">
  <ds:schemaRefs>
    <ds:schemaRef ds:uri="http://schemas.microsoft.com/sharepoint/v3/contenttype/forms"/>
  </ds:schemaRefs>
</ds:datastoreItem>
</file>

<file path=customXml/itemProps4.xml><?xml version="1.0" encoding="utf-8"?>
<ds:datastoreItem xmlns:ds="http://schemas.openxmlformats.org/officeDocument/2006/customXml" ds:itemID="{40191362-193B-47EA-A34B-2D194D54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3779</Words>
  <Characters>21621</Characters>
  <Application>Microsoft Office Word</Application>
  <DocSecurity>0</DocSecurity>
  <Lines>400</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20</cp:revision>
  <cp:lastPrinted>2017-09-13T13:58:00Z</cp:lastPrinted>
  <dcterms:created xsi:type="dcterms:W3CDTF">2017-10-16T09:08:00Z</dcterms:created>
  <dcterms:modified xsi:type="dcterms:W3CDTF">2017-10-17T09:10:00Z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0x010100258AA79CEB83498886A3A0868112325000EEF55457B25D324AB5A962373D51122B</vt:lpwstr>
  </property>
  <property fmtid="{D5CDD505-2E9C-101B-9397-08002B2CF9AE}" pid="11" name="DQCStatus">
    <vt:lpwstr>Yellow (DQC version 03)</vt:lpwstr>
  </property>
</Properties>
</file>