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9" w:rsidRDefault="00C34362" w:rsidP="00C3436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9FD0297-93BD-41BB-9F52-2D64EAC0FEAE" style="width:450.75pt;height:409.5pt">
            <v:imagedata r:id="rId9" o:title=""/>
          </v:shape>
        </w:pict>
      </w:r>
    </w:p>
    <w:p w:rsidR="00186429" w:rsidRDefault="00186429">
      <w:pPr>
        <w:rPr>
          <w:noProof/>
        </w:rPr>
        <w:sectPr w:rsidR="00186429" w:rsidSect="00C343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186429" w:rsidRDefault="00C34362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186429" w:rsidRDefault="00C34362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186429" w:rsidRDefault="00C34362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tagħmel parti minn pakkett ta’ miżuri bil-għan li żżid is-superviżjoni tas-swieq finanzjarji tal-UE billi ttejjeb l-operat tas-sistema tal-Awtoritajiet Superviżorji Ewropej (ASE) u taċċellera u tlesti l-Unjoni tas-Swieq Kapitali. Din il-pro</w:t>
      </w:r>
      <w:r>
        <w:rPr>
          <w:noProof/>
        </w:rPr>
        <w:t xml:space="preserve">posta tikkonċerna s-superviżjoni u s-setgħat tal-   </w:t>
      </w:r>
      <w:r>
        <w:rPr>
          <w:noProof/>
        </w:rPr>
        <w:br/>
        <w:t xml:space="preserve">Awtorità Ewropea tat-Titoli u s-Swieq (ESMA) u tipprovdi għat-trasferiment ta’ ċerti setgħat superviżorji li bħalissa jinsabu mal-awtoritajiet nazzjonali kompetenti.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Id-Direttiva dwar is-Swieq </w:t>
      </w:r>
      <w:r>
        <w:rPr>
          <w:noProof/>
        </w:rPr>
        <w:t>fl-Istrumenti Finanzjarji 2014/65/UE (MiFID II)</w:t>
      </w:r>
      <w:r>
        <w:rPr>
          <w:rStyle w:val="FootnoteReference"/>
          <w:noProof/>
        </w:rPr>
        <w:footnoteReference w:id="1"/>
      </w:r>
      <w:r>
        <w:rPr>
          <w:noProof/>
          <w:color w:val="000000" w:themeColor="text1"/>
        </w:rPr>
        <w:t xml:space="preserve"> </w:t>
      </w:r>
      <w:r>
        <w:rPr>
          <w:noProof/>
        </w:rPr>
        <w:t xml:space="preserve"> tintroduċi tip ġdid ta' servizzi li huma soġġetti għal awtorizzazzjoni u superviżjoni: Servizzi ta’ Rapportar tad-Dejta (DRSs) operati minn Fornituri tas-Servizzi ta' Rapportar tad-Dejta (DPSPs). Iċ-ċirkula</w:t>
      </w:r>
      <w:r>
        <w:rPr>
          <w:noProof/>
        </w:rPr>
        <w:t>zzjoni, monitoraġġ u rikostruzzjoni effettivi tad-dejta tan-negozjar ma ġewx indirizzati fid-Direttiva 2004/39/KE dwar is-swieq fl-istrumenti finanzjarji (MiFID I)</w:t>
      </w:r>
      <w:r>
        <w:rPr>
          <w:rStyle w:val="FootnoteReference"/>
          <w:noProof/>
        </w:rPr>
        <w:footnoteReference w:id="2"/>
      </w:r>
      <w:r>
        <w:rPr>
          <w:noProof/>
        </w:rPr>
        <w:t>. Dan wassal għal dejta tan-negozjar li la kienet konsistenti u lanqas ma kienet ta’ kwalità</w:t>
      </w:r>
      <w:r>
        <w:rPr>
          <w:noProof/>
        </w:rPr>
        <w:t xml:space="preserve"> xierqa biex timmonitorja jekk l-objettivi tal-MiFID kienux qegħdin jinkisbu sew. Barra minn hekk, id-dejta tan-negozjar ma kinitx disponibbli bi prezz raġonevoli madwar l-UE mill-postijiet tan-negozjar rilevanti.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Peress li l-inkonsistenzi fil-kwalità, l-</w:t>
      </w:r>
      <w:r>
        <w:rPr>
          <w:noProof/>
        </w:rPr>
        <w:t>ifformattjar, l-affidabbiltà u l-ispejjeż għandhom effett ħażin fuq it-trasparenza tad-dejta, il-protezzjoni għall-investituri u l-effiċjenza tas-swieq, il-MIFID II għandu l-intenzjoni li jtejjeb il-kwalità u l-aċċessibbiltà tad-dejta tan-negozjar billi ji</w:t>
      </w:r>
      <w:r>
        <w:rPr>
          <w:noProof/>
        </w:rPr>
        <w:t xml:space="preserve">stipula format standard għad-dejta tan-negozjar li huwa faċli biex jiġi kkonsolidat, jinftiehem malajr u huwa disponibbli bi spiża raġonevoli, u billi jimponi rekwiżiti organizzattivi formali fuq    </w:t>
      </w:r>
      <w:r>
        <w:rPr>
          <w:noProof/>
        </w:rPr>
        <w:br/>
        <w:t>fornituri ta’ servizzi ta’ rapportar ta’ data (DRSP) u j</w:t>
      </w:r>
      <w:r>
        <w:rPr>
          <w:noProof/>
        </w:rPr>
        <w:t xml:space="preserve">irrikjedihom ikunu awtorizzati mill-awtorità nazzjonali tagħhom. 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Minħabba d-dimensjoni transfruntiera tal-immaniġġjar tad-dejta, il-benefiċċji tal-ġbir ta’ kompetenzji relatati mad-dejta - inklużi ekonomiji potenzjali ta’ skala - u l-impatt avvers ta’ di</w:t>
      </w:r>
      <w:r>
        <w:rPr>
          <w:noProof/>
        </w:rPr>
        <w:t xml:space="preserve">verġenzi potenzjali fil-prattiċi superviżorji fuq kemm il-kwalità tad-dejta tan-negozjar u fuq id-dmirijiet ta’ fornituri ta’ servizzi ta’ rapportar ta’ dejta , huwa xieraq li l-awtorizzazzjoni u s-superviżjoni ta’ fornituri ta’ servizzi ta’ rapportar ta’ </w:t>
      </w:r>
      <w:r>
        <w:rPr>
          <w:noProof/>
        </w:rPr>
        <w:t>dejta jiġu trasferiti mill-awtoritajiet nazzjonali lill-ESMA.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attwali għalhekk hija limitata fit-trasferiment ta’ setgħat biex tawtorizza u tissorvelja dawk l-entitajiet minn awtoritajiet nazzjonali kompetenti lill-ESMA billi ddaħħal dawk is-se</w:t>
      </w:r>
      <w:r>
        <w:rPr>
          <w:noProof/>
        </w:rPr>
        <w:t>tgħat fir-</w:t>
      </w:r>
      <w:r>
        <w:rPr>
          <w:noProof/>
          <w:color w:val="000000" w:themeColor="text1"/>
        </w:rPr>
        <w:t>Regolament (UE) Nru 600/2014 dwar is-swieq fl-istrumenti finanzjarji (MiFIR)</w:t>
      </w:r>
      <w:r>
        <w:rPr>
          <w:rStyle w:val="FootnoteReference"/>
          <w:noProof/>
          <w:color w:val="000000" w:themeColor="text1"/>
        </w:rPr>
        <w:footnoteReference w:id="3"/>
      </w:r>
      <w:r>
        <w:rPr>
          <w:noProof/>
        </w:rPr>
        <w:t xml:space="preserve"> mingħajr ma ġġib ebda bidla oħra għar-regoli sostantivi applikabbli għad-DRSP, </w:t>
      </w:r>
      <w:r>
        <w:rPr>
          <w:noProof/>
        </w:rPr>
        <w:lastRenderedPageBreak/>
        <w:t>inklużi l-kundizzjonijiet għall-awtorizzazzjoni u r-rekwiżiti organizzazzjonali inizjalme</w:t>
      </w:r>
      <w:r>
        <w:rPr>
          <w:noProof/>
        </w:rPr>
        <w:t xml:space="preserve">nt stabbiliti mill-MIFID II. B’konsegwenza ta’ dan, tħassru d-dispożizzjonijiet rilevanti li jirrelataw mad-DRSPs stabbiliti fil-MiFID II. </w:t>
      </w:r>
    </w:p>
    <w:p w:rsidR="00186429" w:rsidRDefault="0018642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Barra minn hekk, din il-proposta tikkonċerna wkoll l-irwol tal-EIOPA fil-proċessi ta’ approvazzjoni għal mudelli in</w:t>
      </w:r>
      <w:r>
        <w:rPr>
          <w:noProof/>
          <w:color w:val="000000" w:themeColor="text1"/>
        </w:rPr>
        <w:t>terni.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Id-Direttiva dwar is-Solvibbiltà II (id-Direttiva 2009/138/KE</w:t>
      </w:r>
      <w:r>
        <w:rPr>
          <w:rStyle w:val="FootnoteReference"/>
          <w:noProof/>
          <w:color w:val="000000" w:themeColor="text1"/>
        </w:rPr>
        <w:footnoteReference w:id="4"/>
      </w:r>
      <w:r>
        <w:rPr>
          <w:noProof/>
          <w:color w:val="000000" w:themeColor="text1"/>
        </w:rPr>
        <w:t>) tipprovdi li, f’konformità mal-approċċ orjentat lejn ir-riskju għar-Rekwiżit Kapitali tas-Solvenza (RKS), huwa possibbli, f’ċirkostanzi speċifiċi, li l-impriżi u l-gruppi ta’ assigurazz</w:t>
      </w:r>
      <w:r>
        <w:rPr>
          <w:noProof/>
          <w:color w:val="000000" w:themeColor="text1"/>
        </w:rPr>
        <w:t>joni u riassigurazzjoni, fil-livell ta’ impriżi individwali jew gruppi, jużaw mudelli interni għall-kalkolu tal-RKS, milli l-formula standard. Dawn il-mudelli interni huma soġġetti għal approvazzjoni superviżorja. Minkejja l-ħidma ta’ valur imwettqa mill-E</w:t>
      </w:r>
      <w:r>
        <w:rPr>
          <w:noProof/>
          <w:color w:val="000000" w:themeColor="text1"/>
        </w:rPr>
        <w:t>IOPA dwar il-konverġenza superviżorja fir-rigward ta’ mudelli interni, għad fadal inkonsistenzi kbar fir-rigward tar-rekwiżiti ta’ awtoritajiet kompetenti għal mudelli interni, u jeżistu diffikultajiet sabiex jintlaħqu ftehimiet konġunti dwar mudelli inter</w:t>
      </w:r>
      <w:r>
        <w:rPr>
          <w:noProof/>
          <w:color w:val="000000" w:themeColor="text1"/>
        </w:rPr>
        <w:t>ni tal-grupp fi ħdan il-kolleġġi tas-superviżuri.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color w:val="000000" w:themeColor="text1"/>
        </w:rPr>
        <w:t>Id-diverġenza fis-superviżjoni u fl-approvazzjoni ta’ mudelli interni twassal għal inkonsistenzi u toħloq kundizzjonijiet mhux ekwivalenti ta’ kompetizzjoni fost parteċipanti fis-swieq. Il-proposta b’hekk t</w:t>
      </w:r>
      <w:r>
        <w:rPr>
          <w:noProof/>
          <w:color w:val="000000" w:themeColor="text1"/>
        </w:rPr>
        <w:t>ippromwovi konverġenza superviżorja billi tkabbar ir-rwol tal-EIOPA fir-rigward ta’ mudelli interni, permezz ta’ dispożizzjonijiet dwar il-kooperazzjoni u l-kondiviżjoni ta' informazzjoni, flimkien ma’ setgħat għall-EIOPA biex tadotta Opinjonijiet f’dan il</w:t>
      </w:r>
      <w:r>
        <w:rPr>
          <w:noProof/>
          <w:color w:val="000000" w:themeColor="text1"/>
        </w:rPr>
        <w:t>-qasam, u biex tikkontribwixxi fuq l-inizjattiva tagħha stess dwar ir-riżoluzzjoni ta’ tilwim bejn awtoritajiet superviżorji, inkluż permezz ta’ medjazzjoni vinkolanti.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</w:rPr>
        <w:t>Konsistenza mad-dispożizzjonijiet eżistenti ta’ politika fil-qasam ta’ politika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kurrenti hija konsistenti ma’ biċċiet oħra tal-liġi tal-Unjoni, inklużi dawk li jagħtu setgħat diretti lill-ASE: 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</w:rPr>
        <w:t>Konsistenza ma’ politiki oħra tal-Unjoni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Din il-proposta ma taffettwax politiki oħra tal-Unjoni. </w:t>
      </w:r>
    </w:p>
    <w:p w:rsidR="00186429" w:rsidRDefault="00C34362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BAŻI ĠURIDIKA, SUSSIDJARJET</w:t>
      </w:r>
      <w:r>
        <w:rPr>
          <w:noProof/>
          <w:color w:val="000000" w:themeColor="text1"/>
        </w:rPr>
        <w:t>À U PROPORZJONALITÀ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Bażi legali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Il-proposta hija bbażata fuq l-Artikolu 53(1) u 62 tat-Trattat dwar il-Funzjonament tal-Unjoni Ewropea.  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 xml:space="preserve">Sussidjarjetà (għall-kompetenza mhux esklużiva)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il-prinċipju ta’ sussidjarjetà (l-Artikolu 5.3 tat-TFUE), l</w:t>
      </w:r>
      <w:r>
        <w:rPr>
          <w:noProof/>
        </w:rPr>
        <w:t xml:space="preserve">-azzjoni fuq livell tal-UE għandha tittieħed biss meta l-miri previsti ma jkunux jistgħu jinkisbu b’mod suffiċjenti mill-Istati Membri waħidhom u għalhekk jistgħu, minħabba l-iskala jew l-effetti tal-azzjoni proposta, jinkisbu aħjar mill-UE.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L-awtorizzazz</w:t>
      </w:r>
      <w:r>
        <w:rPr>
          <w:noProof/>
        </w:rPr>
        <w:t>joni u superviżjoni sostantivi diġà huma koperti mill-MiFID II u għalhekk ġiet konferita sostantiva fil-livell tal-Unjoni. L-unika modifika li rriżultat minn din il-proposta hija li l-ESMA se tkun responsabbli għall-awtorizzazzjoni tad-DRSP u s-superviżjon</w:t>
      </w:r>
      <w:r>
        <w:rPr>
          <w:noProof/>
        </w:rPr>
        <w:t>i tagħhom, u mhux l-awtoritajiet nazzjonali kompetenti. F’dan ir-rigward, is-swieq finanzjarji huma, fin-natura tagħhom, transfruntiera b’mod inerenti u dejjem qed isiru aktar hekk. L-intensità tad-dejta tas-swieq finanzjarji wkoll qed tiżdied b’ritmu mgħa</w:t>
      </w:r>
      <w:r>
        <w:rPr>
          <w:noProof/>
        </w:rPr>
        <w:t>ġġ</w:t>
      </w:r>
      <w:r>
        <w:rPr>
          <w:noProof/>
        </w:rPr>
        <w:t>el. Hemm bżonn ta’ effiċjenza mtejba fit-trattament ta’ aspetti rilevanti ta’ dejta tal-qafas MIFID II sabiex jintlaħqu dawn l-isfidi. Permezz tat-trasferiment tal-awtorizzazzjoni u s-superviżjoni ta’ fornituri tas-servizzi ta’ rappurtar tad-dejta lill-E</w:t>
      </w:r>
      <w:r>
        <w:rPr>
          <w:noProof/>
        </w:rPr>
        <w:t>SMA, wieħed jista’ jiżgura kundizzjonijiet uniformi għan-negozjar ta’ dejta u kanali ta’ rappurtar ta’ negozjar, u fl-istess ħin, jista’ jippermetti lill-awtoritajiet nazzjonali kompetenti biex jilliberaw riżorsi għas-superviżjoni tal-utenti finali tad-dej</w:t>
      </w:r>
      <w:r>
        <w:rPr>
          <w:noProof/>
        </w:rPr>
        <w:t xml:space="preserve">ta. </w:t>
      </w:r>
    </w:p>
    <w:p w:rsidR="00186429" w:rsidRDefault="00C34362">
      <w:pPr>
        <w:pStyle w:val="ManualHeading2"/>
        <w:tabs>
          <w:tab w:val="clear" w:pos="850"/>
          <w:tab w:val="left" w:pos="0"/>
        </w:tabs>
        <w:ind w:left="0" w:firstLine="0"/>
        <w:rPr>
          <w:rFonts w:eastAsia="Arial Unicode MS"/>
          <w:b w:val="0"/>
          <w:noProof/>
          <w:color w:val="000000" w:themeColor="text1"/>
          <w:u w:color="000000"/>
          <w:bdr w:val="nil"/>
        </w:rPr>
      </w:pPr>
      <w:r>
        <w:rPr>
          <w:noProof/>
        </w:rPr>
        <w:t>Il-prinċipju tal-approvazzjoni superviżorja għal mudelli interni diġà tinsab fid-Direttiva dwar is-Solvibbiltà II. Il-modifiki li ġabet din il-proposta għandhom l-għan li jtejbu l-irwol tal-EIOPA sabiex tikseb aktar konverġenza superviżorja f’dan il-q</w:t>
      </w:r>
      <w:r>
        <w:rPr>
          <w:noProof/>
        </w:rPr>
        <w:t>asam, b’mod partikolari għal gruppi ta’ assigurazzjoni preżenti f’bosta Stati Membri tal-UE, filwaqt li tħalli s-setgħa tal-approvazzjoni ta’ tali applikazzjonijiet f’idejn is-superviżuri u, kif applikabbli, il-kulleġġ superviżorju.</w:t>
      </w:r>
      <w:r>
        <w:rPr>
          <w:b w:val="0"/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Proporzjonalità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tqis b’mod sħiħ il-prinċipju tal-proporzjonalità, billi hija adegwata biex tilħaq l-objettivi u ma tmurx lil hinn minn dak li huwa meħtieġ biex dan isir. Il-proposta hija kumpatibbli mal-prinċipju tal-proporzjonalità u tqis il-bilanċ tajjeb bej</w:t>
      </w:r>
      <w:r>
        <w:rPr>
          <w:noProof/>
        </w:rPr>
        <w:t xml:space="preserve">n l-interess pubbliku inkwistjoni u l-kosteffiċjenza tal-miżura. 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Għażla tal-istrument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temenda Direttiva tal-Parlament Ewropew u tal-Kunsill adottata abbażi tal-Artikolu 53(1) tat-TFUE u Direttiva tal-Parlament Ewropew u l-Kunsill  adottata a</w:t>
      </w:r>
      <w:r>
        <w:rPr>
          <w:noProof/>
        </w:rPr>
        <w:t xml:space="preserve">bbażi tal-Artikolu 53 u 62 TFUE. Għalhekk hija meħtieġa proposta għal Direttiva biex temenda dawn iż-żewġ Direttivi. </w:t>
      </w:r>
    </w:p>
    <w:p w:rsidR="00186429" w:rsidRDefault="00C34362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</w:rPr>
        <w:tab/>
      </w:r>
      <w:r>
        <w:rPr>
          <w:noProof/>
          <w:color w:val="000000" w:themeColor="text1"/>
        </w:rPr>
        <w:t>RIŻULTATI TAL-EVALWAZZJONIJIET EX POST, TAL-KONSULTAZZJONIJIET MAL-PARTIJIET IKKONĊERNATI U TAL-VALUTAZZJONIJIET TAL-IMPATT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Valutazzjoni tal-impatt</w:t>
      </w:r>
    </w:p>
    <w:p w:rsidR="00186429" w:rsidRDefault="00C34362">
      <w:pPr>
        <w:pStyle w:val="ManualHeading2"/>
        <w:tabs>
          <w:tab w:val="clear" w:pos="850"/>
          <w:tab w:val="left" w:pos="0"/>
        </w:tabs>
        <w:ind w:left="0" w:firstLine="0"/>
        <w:rPr>
          <w:b w:val="0"/>
          <w:noProof/>
        </w:rPr>
      </w:pPr>
      <w:r>
        <w:rPr>
          <w:b w:val="0"/>
          <w:noProof/>
        </w:rPr>
        <w:t>L-emendi proposti ta’ dawn id-Direttivi huma ta’ natura limitata ħafna u minħabba l-implimentazzjoni riċenti u l-applikazzjoni ta’ dawn id-Direttivi, il-bidliet ma jiġġustifikawx it-twettiq tal-ebda evalwazzjoni separata.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Idoneità</w:t>
      </w:r>
      <w:r>
        <w:rPr>
          <w:noProof/>
          <w:color w:val="000000" w:themeColor="text1"/>
          <w:u w:color="000000"/>
          <w:bdr w:val="nil"/>
        </w:rPr>
        <w:t xml:space="preserve"> regolatorja u simplifikazzjoni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Il-punt uniku ta’ servizz mogħti għall-awtorizzazzjoni u s-superviżjoni bis-saħħa tal-emenda tal-MiFID II u l-MiFIR se jikkontribwixxi biex jitnaqqas il-piż regolatorju, inkluż għal DRSP iżgħar. Is-setgħat u l-kompetenzi ta’</w:t>
      </w:r>
      <w:r>
        <w:rPr>
          <w:noProof/>
        </w:rPr>
        <w:t xml:space="preserve"> awtoritajiet kompetenti fir-rigward ta’ DRSP se jiġu trasferiti lill-ESMA. Din l-awtorizzazzjoni waħdenija u l-qafas ta’ sorveljanza se jirriżultaw f’simplifikazzjoni sostanzjali għall-DRSP bi preżenza transfruntiera u bi tnaqqis fil-piż amministrattiv.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color w:val="000000" w:themeColor="text1"/>
        </w:rPr>
        <w:t>F</w:t>
      </w:r>
      <w:r>
        <w:rPr>
          <w:noProof/>
          <w:color w:val="000000" w:themeColor="text1"/>
        </w:rPr>
        <w:t>ir-rigward tas-Solvibbiltà II, il-konverġenza superviżorja tikkontribwixxi għal proċessi ta’ applikazzjoni u rekwiżiti ssimplifikati fl-Unjoni kollha, u b’hekk jitnaqqsu l-kundizzjonijiet mhux ekwi, partikolarment għal gruppi ta’ assigurazzjoni.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Drittiji</w:t>
      </w:r>
      <w:r>
        <w:rPr>
          <w:noProof/>
          <w:color w:val="000000" w:themeColor="text1"/>
          <w:u w:color="000000"/>
          <w:bdr w:val="nil"/>
        </w:rPr>
        <w:t>et fundamentali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Id-dritt għal proċess ġust u d-dritt għad-difiża ġew salvagwardjati prinċipalment permezz ta’ qafas proċedurali ċar u kontroll ġudizzjarju ta’ miżuri investigatorji fejn dawn ikunu meħtieġa minn imħallef nazzjonali, u minn deċiżjonijiet fin</w:t>
      </w:r>
      <w:r>
        <w:rPr>
          <w:noProof/>
        </w:rPr>
        <w:t xml:space="preserve">ali taħt dan ir-Regolament mill-Qorti tal-Ġustizzja. </w:t>
      </w:r>
    </w:p>
    <w:p w:rsidR="00186429" w:rsidRDefault="00C34362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4.</w:t>
      </w:r>
      <w:r>
        <w:rPr>
          <w:noProof/>
        </w:rPr>
        <w:tab/>
      </w:r>
      <w:r>
        <w:rPr>
          <w:noProof/>
          <w:color w:val="000000" w:themeColor="text1"/>
        </w:rPr>
        <w:t>IMPLIKAZZJONIJIET BAĠITARJI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>Dan huwa kopert mill-emendi lill-MiFIR u l-amendi lir-Regolament li waqqaf l-EIOPA.</w:t>
      </w:r>
    </w:p>
    <w:p w:rsidR="00186429" w:rsidRDefault="00C34362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5.</w:t>
      </w:r>
      <w:r>
        <w:rPr>
          <w:noProof/>
        </w:rPr>
        <w:tab/>
      </w:r>
      <w:r>
        <w:rPr>
          <w:noProof/>
          <w:color w:val="000000" w:themeColor="text1"/>
        </w:rPr>
        <w:t>ELEMENTI OĦRAJN</w:t>
      </w:r>
    </w:p>
    <w:p w:rsidR="00186429" w:rsidRDefault="00C34362"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Spjegazzjoni dettaljata tad-dispożizzjonijiet speċifiċi tal-propos</w:t>
      </w:r>
      <w:r>
        <w:rPr>
          <w:noProof/>
          <w:color w:val="000000" w:themeColor="text1"/>
          <w:u w:color="000000"/>
          <w:bdr w:val="nil"/>
        </w:rPr>
        <w:t>ta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 tal-proposta jistabbilixxi emendi li huma meħtieġa għat-trasferiment ta’ setgħat u kompetenzi attwali mogħtija lill-awtoritajiet kompetenti lill-ESMA, li se tkun responsabbli għall-awtorizzazzjoni u s-superviżjoni ta’ ditti li għandhom l-in</w:t>
      </w:r>
      <w:r>
        <w:rPr>
          <w:noProof/>
        </w:rPr>
        <w:t>tenzjoni li jwettqu servizzi ta’ rappurtar ta’ dejta.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l-emendi inkludu l-modifika u t-tħassir ta’ diversi sezzjonijiet tal-MiFID II, inklużi tat-Titolu V li jikkonċernaw id-DRSPs, it-Taqsima D tal-Anness I u s-setgħat tal-awtoritajiet kompetenti li ji</w:t>
      </w:r>
      <w:r>
        <w:rPr>
          <w:noProof/>
        </w:rPr>
        <w:t xml:space="preserve">mponu sanzjonijiet fuq id-DRSPs. 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L-Artikolu 2 ta’ din il-proposta jinkludi l-emendi għad-Direttiva dwar is-Solvibbiltà II sabiex l-EIOPA tingħata rwol ikbar sabiex tikkontribwixxi fil-konverġenza superviżorja fil-qasam tal-applikazzjoni tal-mudell intern,</w:t>
      </w:r>
      <w:r>
        <w:rPr>
          <w:noProof/>
          <w:color w:val="000000" w:themeColor="text1"/>
        </w:rPr>
        <w:t xml:space="preserve"> u jinkludi tibdil fir-rigward tal-qsim ta’ informazzjoni fir-rigward ta’ tali mudelli ta’ applikazzjonijiet, il-possibbiltà li l-EIOPA toħroġ Opinjonijiet fir-rigward ta’ dik il-kwistjoni, kif ukoll sabiex l-EIOPA tassisti fis-soluzzjoni ta’ tilwim bejn a</w:t>
      </w:r>
      <w:r>
        <w:rPr>
          <w:noProof/>
          <w:color w:val="000000" w:themeColor="text1"/>
        </w:rPr>
        <w:t>wtoritajiet superviżorji, jew fuq it-talba tagħhom, jew fuq l-inizjattiva tagħha stess jew, f’ċerti ċirkostanzi, fuq it-talba ta’ impriżi ikkonċernati.</w:t>
      </w:r>
    </w:p>
    <w:p w:rsidR="00186429" w:rsidRDefault="00C34362">
      <w:pPr>
        <w:rPr>
          <w:noProof/>
        </w:rPr>
      </w:pPr>
      <w:r>
        <w:rPr>
          <w:noProof/>
        </w:rPr>
        <w:t>L-emendi jipprovdu wkoll li l-EIOPA jenħtieġ li tipprepara rapporti annwali fuq din il-kwistjoni. Dan se</w:t>
      </w:r>
      <w:r>
        <w:rPr>
          <w:noProof/>
        </w:rPr>
        <w:t xml:space="preserve"> jippermetti monitoraġġ mill-qrib tas-sitwazzjoni fir-rigward tal-mudell tal-applikazzjonijiet interni, inkluż li jiġi żvelat kwalunkwe tħassib dwar il-konverġenza superviżorja f’dan il-qasam.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Dan l-Artikolu jallinja wkoll xi partijiet tas-Solvibbiltà II (</w:t>
      </w:r>
      <w:r>
        <w:rPr>
          <w:noProof/>
          <w:color w:val="000000" w:themeColor="text1"/>
        </w:rPr>
        <w:t>l-Artikolu 231(3) u 237(3)) mat-tibdil fir-Regolament li waqqaf l-EIOPA li jinsabu fil-proposta tal-Kummissjoni għal dak ir-Regolament dwar medjazzjoni vinkolanti. Barra minn hekk, dan l-Artikolu japplika l-emendi meħtieġa lill-Artikolu 248(4) tas-Solvibbi</w:t>
      </w:r>
      <w:r>
        <w:rPr>
          <w:noProof/>
          <w:color w:val="000000" w:themeColor="text1"/>
        </w:rPr>
        <w:t>ltà II dwar medjazzjoni vinkolanti billi jneħħi referenzi għal proċedura dwar is-soluzzjoni ta’ tilwim mas-CEIOPS (il-Kumitat tas-Sorveljanti tal-Assigurazzjonijiet u tal-Pensjonijiet tax-Xogħol Ewropej) li ġiet sostitwita mill-EIOPA.</w:t>
      </w:r>
    </w:p>
    <w:p w:rsidR="00186429" w:rsidRDefault="00C34362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L-Artikoli 3 u 4 </w:t>
      </w:r>
      <w:r>
        <w:rPr>
          <w:noProof/>
        </w:rPr>
        <w:t>jistabbilixxu t-traspożizzjoni u d-dispożizzjonijiet għad-dħul fis-seħħ.</w:t>
      </w:r>
    </w:p>
    <w:p w:rsidR="00186429" w:rsidRDefault="0018642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 w:rsidR="00186429" w:rsidRDefault="0018642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  <w:sectPr w:rsidR="00186429" w:rsidSect="00C34362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186429" w:rsidRDefault="00C34362" w:rsidP="00C34362">
      <w:pPr>
        <w:pStyle w:val="Rfrenceinterinstitutionnelle"/>
        <w:rPr>
          <w:noProof/>
        </w:rPr>
      </w:pPr>
      <w:r w:rsidRPr="00C34362">
        <w:t>2017/0231 (COD)</w:t>
      </w:r>
    </w:p>
    <w:p w:rsidR="00186429" w:rsidRDefault="00C34362" w:rsidP="00C34362">
      <w:pPr>
        <w:pStyle w:val="Statut"/>
        <w:rPr>
          <w:noProof/>
        </w:rPr>
      </w:pPr>
      <w:r w:rsidRPr="00C34362">
        <w:t>Proposta għal</w:t>
      </w:r>
    </w:p>
    <w:p w:rsidR="00186429" w:rsidRDefault="00C34362" w:rsidP="00C34362">
      <w:pPr>
        <w:pStyle w:val="Typedudocument"/>
        <w:rPr>
          <w:noProof/>
        </w:rPr>
      </w:pPr>
      <w:r w:rsidRPr="00C34362">
        <w:t>DIRETTIVA TAL-PARLAMENT EWROPEW U TAL-KUNSILL</w:t>
      </w:r>
    </w:p>
    <w:p w:rsidR="00186429" w:rsidRDefault="00C34362" w:rsidP="00C34362">
      <w:pPr>
        <w:pStyle w:val="Titreobjet"/>
        <w:rPr>
          <w:noProof/>
        </w:rPr>
      </w:pPr>
      <w:r w:rsidRPr="00C34362">
        <w:t>li temenda d-Direttiva 2014/65/UE dwar is-swieq fl-istrumenti finanzjarji u d-Direttiva 2009/138/KE dwar il-bidu u l-eżerċizzju tan-negozju tal-assigurazzjoni u tar-riassigurazzjoni (Solvibbiltà II)</w:t>
      </w:r>
    </w:p>
    <w:p w:rsidR="00186429" w:rsidRDefault="00C34362" w:rsidP="00C34362">
      <w:pPr>
        <w:pStyle w:val="IntrtEEE"/>
        <w:rPr>
          <w:noProof/>
        </w:rPr>
      </w:pPr>
      <w:r w:rsidRPr="00C34362">
        <w:t>(Test b'rilevanza għaż-ŻEE)</w:t>
      </w:r>
    </w:p>
    <w:p w:rsidR="00186429" w:rsidRDefault="00C34362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186429" w:rsidRDefault="00C34362">
      <w:pPr>
        <w:rPr>
          <w:noProof/>
        </w:rPr>
      </w:pPr>
      <w:r>
        <w:rPr>
          <w:noProof/>
        </w:rPr>
        <w:t>Wara li kkunsidraw it-Tr</w:t>
      </w:r>
      <w:r>
        <w:rPr>
          <w:noProof/>
        </w:rPr>
        <w:t>attat dwar il-Funzjonament tal-Unjoni Ewropea, u b’mod partikolari l-Artikolu 53(1) u (62) tiegħu,</w:t>
      </w:r>
    </w:p>
    <w:p w:rsidR="00186429" w:rsidRDefault="00C34362">
      <w:pPr>
        <w:rPr>
          <w:noProof/>
        </w:rPr>
      </w:pPr>
      <w:r>
        <w:rPr>
          <w:noProof/>
        </w:rPr>
        <w:t>Wara li kkunsidraw il-proposta tal-Kummissjoni Ewropea,</w:t>
      </w:r>
    </w:p>
    <w:p w:rsidR="00186429" w:rsidRDefault="00C34362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186429" w:rsidRDefault="00C34362">
      <w:pPr>
        <w:rPr>
          <w:noProof/>
        </w:rPr>
      </w:pPr>
      <w:r>
        <w:rPr>
          <w:noProof/>
        </w:rPr>
        <w:t>Wara li kkunsidraw l-opinj</w:t>
      </w:r>
      <w:r>
        <w:rPr>
          <w:noProof/>
        </w:rPr>
        <w:t>oni tal-Bank Ċentrali Ewropew,</w:t>
      </w:r>
      <w:r>
        <w:rPr>
          <w:rStyle w:val="FootnoteReference"/>
          <w:noProof/>
        </w:rPr>
        <w:footnoteReference w:id="5"/>
      </w:r>
    </w:p>
    <w:p w:rsidR="00186429" w:rsidRDefault="00C34362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</w:t>
      </w:r>
    </w:p>
    <w:p w:rsidR="00186429" w:rsidRDefault="00C34362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186429" w:rsidRDefault="00C34362">
      <w:pPr>
        <w:rPr>
          <w:noProof/>
        </w:rPr>
      </w:pPr>
      <w:r>
        <w:rPr>
          <w:noProof/>
        </w:rPr>
        <w:t xml:space="preserve">Billi: </w:t>
      </w:r>
    </w:p>
    <w:p w:rsidR="00186429" w:rsidRDefault="00C34362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id-Direttiva 2014/65/UE toħloq qafas regolatorju għal fornituri ta’ servizzi </w:t>
      </w:r>
      <w:r>
        <w:rPr>
          <w:noProof/>
        </w:rPr>
        <w:t>ta’ rappurtar tad-dejta u tirrikjedi li servizzi ta’ rappurtar ta’ dejta wara l-kummerċ jiġu awtorizzati bħala arranġamenti ta’ pubblikazzjoni approvati (APAs). Barra minn hekk, fornituri ta’ tape konsolidat (CTP) huma obbligati li joffru dejta konsolidata</w:t>
      </w:r>
      <w:r>
        <w:rPr>
          <w:noProof/>
        </w:rPr>
        <w:t xml:space="preserve"> ta’ kummerċ li tkopri l-kummerċ kollu f’kemm l-istrumenti ta’ ekwità u dawk mhux ta’ ekwità fl-Unjoni kollha, f’konformità mad-Direttiva 2014/65/UE. Id-Direttiva 2014/65/UE tifformalizza wkoll kanali ta’ rappurtar ta’ tranżazzjonijiet lill-awtoritajiet ko</w:t>
      </w:r>
      <w:r>
        <w:rPr>
          <w:noProof/>
        </w:rPr>
        <w:t>mpetenti billi tirrikjedi li partijiet terzi jirrapportaw f’isem il-kumpaniji li jridu jiġu awtorizzati bħala mekkaniżmi ta’ rapportar approvati (ARMs).</w:t>
      </w:r>
    </w:p>
    <w:p w:rsidR="00186429" w:rsidRDefault="00C34362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Il-kwalità tad-dejta ta’ negozjar u tal-ipproċessar u l-forniment ta’ dik id-dejta, inklużi l-ippro</w:t>
      </w:r>
      <w:r>
        <w:rPr>
          <w:noProof/>
        </w:rPr>
        <w:t>ċ</w:t>
      </w:r>
      <w:r>
        <w:rPr>
          <w:noProof/>
        </w:rPr>
        <w:t>essar u l-forniment ta’ dejta transfruntiera huma ta’ importanza kbira sabiex jinkiseb l-objettiv ewlieni tar-Regolament (UE) Nru 600/2014 tal-Parlament Ewropew u tal-Kunsill, li huwa li tissaħħaħ it-trasparenza tas-swieq finanzjarji. Dejta preċiża tippro</w:t>
      </w:r>
      <w:r>
        <w:rPr>
          <w:noProof/>
        </w:rPr>
        <w:t>vdi lill-utenti b’ħarsa ġenerali tal-attività ta’ negozjar fis-swieq finanzjarji u fl-awtoritajiet kompetenti tal-Unjoni b’informazzjoni preċiża u komprensiva dwar it-tranżazzjonijiet relevanti. Minħabba d-dimensjoni transfruntiera tal-immaniġġjar tad-dejt</w:t>
      </w:r>
      <w:r>
        <w:rPr>
          <w:noProof/>
        </w:rPr>
        <w:t>a, il-benefiċċji tal-ġbir ta’ kompetenzi relatati mad-dejta, inklużi ekonomiji potenzjali ta’ skala - u l-impatt avvers ta’ diverġenzi potenzjali fil-prattiċi superviżorji fuq kemm il-kwalità tad-dejta tan-negozjar u fuq id-dmirijiet ta’ fornituri ta’ serv</w:t>
      </w:r>
      <w:r>
        <w:rPr>
          <w:noProof/>
        </w:rPr>
        <w:t xml:space="preserve">izzi ta’ rapportar ta’ dejta, huwa għalhekk xieraq li l-awtorizzazzjoni u s-superviżjoni ta’ fornituri ta’ servizzi ta’ rapportar ta’ dejta, kif ukoll setgħat ta’ ġbir ta’ dejta jiġu trasferiti mill-awtoritajiet kompetenti lill-ESMA </w:t>
      </w:r>
    </w:p>
    <w:p w:rsidR="00186429" w:rsidRDefault="00C34362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Sabiex jinkiseb </w:t>
      </w:r>
      <w:r>
        <w:rPr>
          <w:noProof/>
        </w:rPr>
        <w:t>trasferiment konsistenti ta’ tali setgħat, huwa xieraq li jitħassru dispożizzjonijiet rispettivi li jirrelataw mar-rekwiżiti operazzjonali għal DRSPs u mal-kompetenzi ta’ awtoritajiet kompetenti fir-rigward ta’ fornituri ta’ servizzi ta’ rappurtar ta’ dejt</w:t>
      </w:r>
      <w:r>
        <w:rPr>
          <w:noProof/>
        </w:rPr>
        <w:t>a stabbiliti fid-Direttiva 2014/65/UE, u biex jiġu introdotti d-dispożizzjonijiet rispettivi fir-Regolament (UE) Nru 600/2014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 w:rsidR="00186429" w:rsidRDefault="00C34362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It-trasferiment tal-awtorizzazzjoni u s-superviżjoni ta’ fornituri ta’ servizzi ta’ rap</w:t>
      </w:r>
      <w:r>
        <w:rPr>
          <w:noProof/>
        </w:rPr>
        <w:t>purtar ta’ dejta lill-ESMA huwa kompatibbli mal-kompiti tal-ESMA. B’mod iktar speċifiku, l-għoti ta’ setgħat ta’ ġbir ta’ dejta, l-awtorizzazzjoni u s-sorveljanza minn awtoritajiet kompetenti lill-ESMA huwa strumentali għall-kompiti l-oħra li ESMA qed twet</w:t>
      </w:r>
      <w:r>
        <w:rPr>
          <w:noProof/>
        </w:rPr>
        <w:t>taq taħt ir-Regolament (UE) Nru 600/2014, bħall-monitoraġġ tas-suq, setgħat ta’ intervenzjoni temporanji tal-ESMA u setgħat ta’ ġestjoni ta’ pożizzjoni, kif ukoll l-iżgurar ta’ konformità konsistenti ma’ rekwiżiti ta’ trasparenza ta’ qabel u ta’ wara l-kum</w:t>
      </w:r>
      <w:r>
        <w:rPr>
          <w:noProof/>
        </w:rPr>
        <w:t>merċ. Id-Direttiva 2014/65/UE jenħtieġ għalhekk li tiġi emendata skont dan,</w:t>
      </w:r>
    </w:p>
    <w:p w:rsidR="00186429" w:rsidRDefault="00C34362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Id-Direttiva 2009/138/KE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(Solvibbiltà II) tipprovdi li, f’konformità mal-approċċ orjentat lejn ir-riskji tar-Rekwiżit Kapitali tas-Solvenza</w:t>
      </w:r>
      <w:r>
        <w:rPr>
          <w:noProof/>
        </w:rPr>
        <w:t xml:space="preserve">, huwa possibbli, f’ċirkostanzi speċifiċi, li impriżi u gruppi ta’ assigurazzjoni u riassigurazzjoni jużaw mudelli interni għall-kalkolu ta’ dak ir-rekwiżit minflok ma’ jużaw il-formula l-istandard. </w:t>
      </w:r>
    </w:p>
    <w:p w:rsidR="00186429" w:rsidRDefault="00C34362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Biex it-titolari tal-poloz u l-benefiċjarji jkunu pp</w:t>
      </w:r>
      <w:r>
        <w:rPr>
          <w:noProof/>
        </w:rPr>
        <w:t>rovduti b’livell ekwivalenti ta’ protezzjoni, tali mudelli interni jenħtieġ li jkunu suġġetti għal approvazzjoni superviżorja preliminari abbażi ta’ proċessi u standards armonizzati.</w:t>
      </w:r>
    </w:p>
    <w:p w:rsidR="00186429" w:rsidRDefault="00C34362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Sabiex jiġi żgurat grad għoli ta’ konverġenza fil-qasam tas-superviżj</w:t>
      </w:r>
      <w:r>
        <w:rPr>
          <w:noProof/>
        </w:rPr>
        <w:t>oni u l-approvazzjoni ta’ mudelli interni, l-EIOPA jenħtieġ li tkun kapaċi li toħroġ Opinjonijiet dwar kwistjonijiet li jirrelataw ma’ tali mudelli interni.</w:t>
      </w:r>
    </w:p>
    <w:p w:rsidR="00186429" w:rsidRDefault="00C34362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Bil-għan li tippromwovi konverġenza superviżorja, l-EIOPA jentħieġ li tkun tista’, fuq l-inizja</w:t>
      </w:r>
      <w:r>
        <w:rPr>
          <w:noProof/>
        </w:rPr>
        <w:t>ttiva tagħha jew fuq talba tal-awtoritajiet superviżorji, tgħinhom biex jilħqu ftehim. F’ċirkostanzi speċifiċi, fejn l-awtoritajiet superviżorji jonqsu milli jilħqu ftehim fuq l-approvazzjoni ta’ mudell intern tal-grupp u qabel mas-superviżur tal-grupp jad</w:t>
      </w:r>
      <w:r>
        <w:rPr>
          <w:noProof/>
        </w:rPr>
        <w:t>otta d-deċiżjoni finali tiegħu, impriża jenħtieġ li tkun tista’ titlob l-EIOPA biex timmedja u tassisti l-awtoritajiet superviżorji biex jilħqu ftehim. L-awtoritajiet superviżorji għandhom jikkooperaw u jaqsmu kull informazzjoni rilevanti mal-EIOPA biex ji</w:t>
      </w:r>
      <w:r>
        <w:rPr>
          <w:noProof/>
        </w:rPr>
        <w:t>żguraw li l-EIOPA tista’ tipparteċipa b’mod sħiħ fil-proċess ta’ approvazzjoni ta’ mudelli interni tal-grupp.</w:t>
      </w:r>
    </w:p>
    <w:p w:rsidR="00186429" w:rsidRDefault="00C34362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Sabiex iqisu t-twaqqif il-ġdid ta’ panels skont ir-Regolament (UE) Nru 1094/2010, dispożizzjonijiet rilevanti fis-Solvibbiltà II li jirreferu </w:t>
      </w:r>
      <w:r>
        <w:rPr>
          <w:noProof/>
        </w:rPr>
        <w:t xml:space="preserve">għal panels għandhom jiġu emendati sabiex jallinjawhom mal-proċedura l-ġdida għal medjazzjoni vinkolanti skont dak ir-Regolament. </w:t>
      </w:r>
    </w:p>
    <w:p w:rsidR="00186429" w:rsidRDefault="00C34362">
      <w:pPr>
        <w:pStyle w:val="ManualConsidrant"/>
        <w:rPr>
          <w:noProof/>
        </w:rPr>
      </w:pPr>
      <w:r>
        <w:t>(10)</w:t>
      </w:r>
      <w:r>
        <w:tab/>
      </w:r>
      <w:r>
        <w:rPr>
          <w:rStyle w:val="None"/>
          <w:noProof/>
        </w:rPr>
        <w:t>Sabiex titqies is-sostituzzjoni tal-Kumitat tas-Sorveljanti tal-Assigurazzjonijiet u tal-Pensjonijiet tax-Xogħol Ewropej</w:t>
      </w:r>
      <w:r>
        <w:rPr>
          <w:rStyle w:val="None"/>
          <w:noProof/>
        </w:rPr>
        <w:t xml:space="preserve"> (CEIOPS) mill-EIOPA, jenħtieġ li jitħassru referenzi fis-Solvibbiltà II għal CEIOPS.</w:t>
      </w:r>
    </w:p>
    <w:p w:rsidR="00186429" w:rsidRDefault="00C34362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Għaldaqstant jenħtieġ li d-Direttiva 2009/138/KE tiġi emendata skont dan,</w:t>
      </w:r>
    </w:p>
    <w:p w:rsidR="00186429" w:rsidRDefault="00C34362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186429" w:rsidRDefault="00C34362">
      <w:pPr>
        <w:pStyle w:val="Titrearticle"/>
        <w:rPr>
          <w:noProof/>
        </w:rPr>
      </w:pPr>
      <w:r>
        <w:rPr>
          <w:noProof/>
        </w:rPr>
        <w:t>Artikolu 1</w:t>
      </w:r>
    </w:p>
    <w:p w:rsidR="00186429" w:rsidRDefault="00C34362">
      <w:pPr>
        <w:pStyle w:val="Titrearticle"/>
        <w:rPr>
          <w:b/>
          <w:noProof/>
        </w:rPr>
      </w:pPr>
      <w:r>
        <w:rPr>
          <w:b/>
          <w:noProof/>
        </w:rPr>
        <w:t>Emendi għad-Direttiva 2014/65/UE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 xml:space="preserve">Id-Direttiva </w:t>
      </w:r>
      <w:r>
        <w:rPr>
          <w:noProof/>
        </w:rPr>
        <w:t>2014/65/UE hija emendata kif ġej: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(1) L-Artikolu 1 huwa emendat kif ġej:</w:t>
      </w:r>
    </w:p>
    <w:p w:rsidR="00186429" w:rsidRDefault="00C34362">
      <w:pPr>
        <w:spacing w:after="200"/>
        <w:ind w:firstLine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 1 jinbidel b’dan li ġej: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"1.</w:t>
      </w:r>
      <w:r>
        <w:rPr>
          <w:noProof/>
        </w:rPr>
        <w:tab/>
        <w:t>Din id-Direttiva għandha tapplika għad-ditti tal-investiment, għal operaturi tas-swieq u ditti ta’ pajjiżi terzi li jipprovdu servizzi ta</w:t>
      </w:r>
      <w:r>
        <w:rPr>
          <w:noProof/>
        </w:rPr>
        <w:t>’ investiment jew li jwettqu attivitajiet ta’ investiment permezz tal-istabbiliment ta’ fergħa fl-Unjoni.”;</w:t>
      </w:r>
    </w:p>
    <w:p w:rsidR="00186429" w:rsidRDefault="00C34362">
      <w:pPr>
        <w:spacing w:after="200"/>
        <w:ind w:firstLine="720"/>
        <w:rPr>
          <w:noProof/>
        </w:rPr>
      </w:pPr>
      <w:r>
        <w:rPr>
          <w:noProof/>
        </w:rPr>
        <w:t>(b) fil-paragrafu 2, il-punt (d) jitħassar;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 xml:space="preserve">(2) fl-Artikolu 4, il-paragrafu 1 huwa emendat kif ġej: 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(a) il-punti (36) u (37) jinbidlu b'dan li ġej: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"(36)</w:t>
      </w:r>
      <w:r>
        <w:rPr>
          <w:noProof/>
        </w:rPr>
        <w:tab/>
        <w:t>“korp ta' ġestjoni” jfisser korp jew korpi ta' ditta ta’ investiment jew ta’ operatur tas-suq, li jkunu maħturin skont il-liġi nazzjonali, li jingħataw is-setgħa li jistabbilixxu l-istrateġija, l-objettivi u d-direzzjoni ġenerali tal-entità, u li ji</w:t>
      </w:r>
      <w:r>
        <w:rPr>
          <w:noProof/>
        </w:rPr>
        <w:t>ssorveljaw u jimmonitorjaw it-teħid ta' deċiżjonijiet ta' ġestjoni, u jinkludu persuni li effettivament imexxu n-negozju tal-istituzzjoni.</w:t>
      </w:r>
      <w:r>
        <w:rPr>
          <w:noProof/>
          <w:highlight w:val="yellow"/>
        </w:rPr>
        <w:t xml:space="preserve"> 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 xml:space="preserve">Fejn din id-Direttiva tirreferi għall-korp amministrattiv u, skont il-liġi nazzjonali, il-funzjonijiet ta' ġestjoni </w:t>
      </w:r>
      <w:r>
        <w:rPr>
          <w:noProof/>
        </w:rPr>
        <w:t xml:space="preserve">u superviżorji tal-korp ta' ġestjoni jkunu assenjati lil korpi differenti jew membri differenti fi ħdan korp wieħed, l-Istat Membru għandu jidentifika l-korpi jew il-membri tal-korp ta' ġestjoni responsabbli f'konformità mal-liġi nazzjonali tiegħu, sakemm </w:t>
      </w:r>
      <w:r>
        <w:rPr>
          <w:noProof/>
        </w:rPr>
        <w:t xml:space="preserve">ma jkunx speċifikat mod ieħor minn din id-Direttiva; 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(37)</w:t>
      </w:r>
      <w:r>
        <w:rPr>
          <w:noProof/>
        </w:rPr>
        <w:tab/>
        <w:t>“maniġment superjuri” jfisser persuni naturali li jeżerċitaw funzjonijiet eżekuttivi fi ħdan ditta ta’ investiment jew operatur tas-suq, u li huma responsabbli u jwieġbu għall-korp tal-ġestjoni għa</w:t>
      </w:r>
      <w:r>
        <w:rPr>
          <w:noProof/>
        </w:rPr>
        <w:t>ll-ġestjoni ta’ kuljum tal-entità, inkluż għall-implimentazzjoni tal-politiki li jikkonċernaw id-distribuzzjoni ta’ servizzi u prodotti lil klijenti mid-ditta u mil-persunal tagħha;”;</w:t>
      </w:r>
    </w:p>
    <w:p w:rsidR="00186429" w:rsidRDefault="00C34362">
      <w:pPr>
        <w:pStyle w:val="Text1"/>
        <w:ind w:left="720"/>
        <w:rPr>
          <w:noProof/>
        </w:rPr>
      </w:pPr>
      <w:r>
        <w:rPr>
          <w:noProof/>
        </w:rPr>
        <w:t xml:space="preserve">(c) il-punti (52), (53), (54) u (55)(c) jitħassru; </w:t>
      </w:r>
    </w:p>
    <w:p w:rsidR="00186429" w:rsidRDefault="00C34362">
      <w:pPr>
        <w:pStyle w:val="Text1"/>
        <w:ind w:left="0"/>
        <w:rPr>
          <w:noProof/>
        </w:rPr>
      </w:pPr>
      <w:r>
        <w:rPr>
          <w:noProof/>
        </w:rPr>
        <w:t>(3) It-Titolu IV jit</w:t>
      </w:r>
      <w:r>
        <w:rPr>
          <w:noProof/>
        </w:rPr>
        <w:t>ħassar;</w:t>
      </w:r>
    </w:p>
    <w:p w:rsidR="00186429" w:rsidRDefault="00C34362">
      <w:pPr>
        <w:pStyle w:val="Text1"/>
        <w:ind w:left="0"/>
        <w:rPr>
          <w:noProof/>
        </w:rPr>
      </w:pPr>
      <w:r>
        <w:rPr>
          <w:noProof/>
        </w:rPr>
        <w:t>(4) L-Artikolu 70 huwa emendat kif ġej:</w:t>
      </w:r>
    </w:p>
    <w:p w:rsidR="00186429" w:rsidRDefault="00C34362">
      <w:pPr>
        <w:pStyle w:val="Text1"/>
        <w:ind w:left="0" w:firstLine="720"/>
        <w:rPr>
          <w:noProof/>
        </w:rPr>
      </w:pPr>
      <w:r>
        <w:rPr>
          <w:noProof/>
        </w:rPr>
        <w:t xml:space="preserve">(a) fil-punt (a) tal-paragrafu 3, is-sottopunti (xxxvii) sa (xxxx) jitħassru; </w:t>
      </w:r>
    </w:p>
    <w:p w:rsidR="00186429" w:rsidRDefault="00C34362">
      <w:pPr>
        <w:pStyle w:val="Text1"/>
        <w:ind w:left="0" w:firstLine="720"/>
        <w:rPr>
          <w:noProof/>
        </w:rPr>
      </w:pPr>
      <w:r>
        <w:rPr>
          <w:noProof/>
        </w:rPr>
        <w:t>(b) fil-paragrafu 4, il-punt (a) jinbidel bis-segwenti:</w:t>
      </w:r>
    </w:p>
    <w:p w:rsidR="00186429" w:rsidRDefault="00C34362">
      <w:pPr>
        <w:spacing w:after="200"/>
        <w:ind w:firstLine="720"/>
        <w:rPr>
          <w:noProof/>
        </w:rPr>
      </w:pPr>
      <w:r>
        <w:rPr>
          <w:noProof/>
        </w:rPr>
        <w:t xml:space="preserve">“(a) l-Artikolu 5 jew l-Artikolu 6(2) jew l-Artikoli 34, 35, 39 jew 44 </w:t>
      </w:r>
      <w:r>
        <w:rPr>
          <w:noProof/>
        </w:rPr>
        <w:t>ta’ din id-Direttiva; jew”;</w:t>
      </w:r>
    </w:p>
    <w:p w:rsidR="00186429" w:rsidRDefault="00C34362">
      <w:pPr>
        <w:pStyle w:val="Text1"/>
        <w:ind w:left="0" w:firstLine="720"/>
        <w:rPr>
          <w:noProof/>
        </w:rPr>
      </w:pPr>
      <w:r>
        <w:rPr>
          <w:noProof/>
        </w:rPr>
        <w:t>(c) fil-paragrafu 6, il-punt (c) huwa sostitwit bis-segwenti: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“(c) fil-każ ta’ ditta ta’ investiment, operatur tas-suq awtorizzat li jopera MTF jew OTF, jew suq regolat, l-irtirar jew sospensjoni tal-awtorizzazzjoni tal-istituzz</w:t>
      </w:r>
      <w:r>
        <w:rPr>
          <w:noProof/>
        </w:rPr>
        <w:t>joni f’konformità mal-Artikolu 8, u l-Artikolu 43;”;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(5) fl-Artikolu 71, il-paragrafu 6 huwa sostitwit b'dan li ġej: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"6.   Meta sanzjoni kriminali jew amministrattiva ppubblikata tirrigwarda ditta tal-investiment, operatur tas-suq, istituzzjoni ta' kreditu</w:t>
      </w:r>
      <w:r>
        <w:rPr>
          <w:noProof/>
        </w:rPr>
        <w:t xml:space="preserve"> fir-rigward ta' servizzi jew attivitajiet ta' investiment u servizzi anċillari, kif ukoll fergħat ta' ditti minn pajjiżi terzi awtorizzati bi qbil ma' din id-Direttiva, l-ESMA għandha żżid referenza għas-sanzjoni ppubblikata fir-reġistru rilevanti.”;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 xml:space="preserve">(6) </w:t>
      </w:r>
      <w:r>
        <w:rPr>
          <w:noProof/>
        </w:rPr>
        <w:t>fl-Artikolu 77, l-ewwel sentenza tal-ewwel subparagrafu tal-paragrafu 1 hija sostitwita b’dan li ġej:</w:t>
      </w:r>
    </w:p>
    <w:p w:rsidR="00186429" w:rsidRDefault="00C34362">
      <w:pPr>
        <w:pBdr>
          <w:bottom w:val="single" w:sz="6" w:space="1" w:color="auto"/>
        </w:pBdr>
        <w:spacing w:after="200"/>
        <w:rPr>
          <w:noProof/>
        </w:rPr>
      </w:pPr>
      <w:r>
        <w:rPr>
          <w:noProof/>
        </w:rPr>
        <w:t>“L-Istati Membri għandhom jiddisponu, mill-anqas, li kwalunkwe persuna awtorizzata skont it-tifsira tad-Direttiva 2006/43/KE tal-Parlament Ewropew u tal-K</w:t>
      </w:r>
      <w:r>
        <w:rPr>
          <w:noProof/>
        </w:rPr>
        <w:t>unsill*, li twettaq f’ditta ta’ investiment jew f’suq regolat, il-kompitu deskritt fl-Artikolu 34 tad-Direttiva 2013/34/UE jew fl-Artikolu 73 tad-Direttiva 2009/65/KE, jew kwalunkwe kompitu ieħor preskritt mil-liġi, ikollha d-dmir li tirrapporta minnufih l</w:t>
      </w:r>
      <w:r>
        <w:rPr>
          <w:noProof/>
        </w:rPr>
        <w:t xml:space="preserve">ill-awtoritajiet kompetenti kwalunkwe fatt jew deċiżjoni li jikkonċernaw lil dik l-impriża, li dwarha dik il-persuna tkun saret konxja waqt li tkun twettqet dak il-kompitu, u li hija responsabbli għal: 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* Id-Direttiva 2006/43/KE tal-Parlament Ewropew u tal</w:t>
      </w:r>
      <w:r>
        <w:rPr>
          <w:noProof/>
        </w:rPr>
        <w:t xml:space="preserve">-Kunsill tas-17 ta' Mejju 2006 dwar il-verifiki statutorji tal-kontijiet annwali u tal-kontijiet konsolidati, li temenda d-Direttivi tal-Kunsill 78/660/KEE u 83/349/KEE u li tħassar id-Direttiva tal-Kunsill 84/253/KEE (ĠU L 157, 9.6.2006, p. 87).”; 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(7) L-</w:t>
      </w:r>
      <w:r>
        <w:rPr>
          <w:noProof/>
        </w:rPr>
        <w:t>Artikolu 89 huwa emendat kif ġej:</w:t>
      </w:r>
    </w:p>
    <w:p w:rsidR="00186429" w:rsidRDefault="00C34362">
      <w:pPr>
        <w:spacing w:after="200"/>
        <w:ind w:firstLine="720"/>
        <w:rPr>
          <w:noProof/>
        </w:rPr>
      </w:pPr>
      <w:r>
        <w:rPr>
          <w:noProof/>
        </w:rPr>
        <w:t>(a) paragrafu 2 jinbidel b’dan li ġej: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"2. Id-delega ta’ setgħa msemmija fl-Artikolu 2(3), it-tieni subparagrafu tal-Artikolu 4(1)(2), l-Artikolu 4(2), l-Artikolu 13(1), l-Artikolu 16(12), l-Artikolu 23(4), l-Artikolu 24(1</w:t>
      </w:r>
      <w:r>
        <w:rPr>
          <w:noProof/>
        </w:rPr>
        <w:t xml:space="preserve">3), l-Artikolu 25(8), l-Artikolu 27(9), l-Artikolu 28(3), l-Artikolu 30(5), l-Artikolu 31(4), l-Artikolu 32(4), l-Artikolu 33(8), l-Artikolu 52(4) l-Artikolu 54(4), l-Artikolu 58(6), u l-Artikolu 79(8) hija mogħtija lill-Kummissjoni għal perjodu ta’ żmien </w:t>
      </w:r>
      <w:r>
        <w:rPr>
          <w:noProof/>
        </w:rPr>
        <w:t>indeterminat mit-2 ta' Lulju 2014.”;</w:t>
      </w:r>
    </w:p>
    <w:p w:rsidR="00186429" w:rsidRDefault="00C34362">
      <w:pPr>
        <w:spacing w:after="200"/>
        <w:ind w:firstLine="720"/>
        <w:rPr>
          <w:noProof/>
        </w:rPr>
      </w:pPr>
      <w:r>
        <w:rPr>
          <w:noProof/>
        </w:rPr>
        <w:t xml:space="preserve">(b) il-paragrafu 3 jinbidel b’dan li ġej:  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"3. Id-delega ta’ setgħa msemmija fl-Artikolu 2(3), it-tieni subparagrafu tal-Artikolu 4(1)(2), l-Artikolu 4(2), l-Artikolu 13(1), l-Artikolu 16(12), l-Artikolu 23(4), l-Artik</w:t>
      </w:r>
      <w:r>
        <w:rPr>
          <w:noProof/>
        </w:rPr>
        <w:t>olu 24(13), l-Artikolu 25(8), l-Artikolu 27(9), l-Artikolu 28(3), l-Artikolu 30(5), l-Artikolu 31(4), l-Artikolu 32(4), l-Artikolu 33(8), l-Artikolu 52(4) l-Artikolu 54(4), l-Artikolu 58(6), l-Artikolu u l-Artikolu 79(8) tista' tiġi revokata fi kwalunkwe ħ</w:t>
      </w:r>
      <w:r>
        <w:rPr>
          <w:noProof/>
        </w:rPr>
        <w:t>in mill-Parlament Ewropew jew mill-Kunsill. Deċiżjoni li tirrevoka għandha ttemm id-delega ta' setgħa speċifikata f'dik id-deċiżjoni. Għandha tidħol fis-seħħ l-għada tal-pubblikazzjoni tad-deċiżjoni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aktar</w:t>
      </w:r>
      <w:r>
        <w:rPr>
          <w:noProof/>
        </w:rPr>
        <w:t xml:space="preserve"> tard speċifikata fiha. Ma għandhiex taffettwa l-validità ta' kwalunkwe att delegat li jkun diġà fis-seħħ.”;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(c) il-paragrafu 5 jinbidel b’dan li ġej:</w:t>
      </w:r>
    </w:p>
    <w:p w:rsidR="00186429" w:rsidRDefault="00C34362">
      <w:pPr>
        <w:spacing w:after="200"/>
        <w:ind w:left="720"/>
        <w:rPr>
          <w:noProof/>
        </w:rPr>
      </w:pPr>
      <w:r>
        <w:rPr>
          <w:noProof/>
        </w:rPr>
        <w:t>"5. Att delegat adottat skont l-Artikolu 2(3), it-tieni subparagrafu tal-Artikolu 4(1)(2), l-Artikolu 4(2</w:t>
      </w:r>
      <w:r>
        <w:rPr>
          <w:noProof/>
        </w:rPr>
        <w:t xml:space="preserve">), l-Artikolu 13(1), l-Artikolu 16(12), l-Artikolu 23(4), l-Artikolu 24(13), l-Artikolu 25(8), l-Artikolu 27(9), l-Artikolu 28(3), l-Artikolu 30(5), l-Artikolu 31(4), l-Artikolu 32(4), l-Artikolu 33(8), l-Artikolu 52(4), l-Artikolu 54(4), l-Artikolu 58(6) </w:t>
      </w:r>
      <w:r>
        <w:rPr>
          <w:noProof/>
        </w:rPr>
        <w:t>u l-Artikolu 79(8) għandu jidħol fis-seħħ biss jekk ma tkun saret l-ebda oġġezzjoni la mill-Parlament Ewropew u lanqas mill-Kunsill fi żmien perjodu ta’ tliet xhur min-notifika dwar dak l-att lill-Parlament Ewropew u lill-Kunsill jew jekk, qabel l-iskadenz</w:t>
      </w:r>
      <w:r>
        <w:rPr>
          <w:noProof/>
        </w:rPr>
        <w:t>a ta’ dak il-perjodu, il-Parlament Ewropew u l-Kunsill ikunu t-tnejn li huma għarrfu lill-Kummissjoni li mhux se joġġezzjonaw. Dak il-perjodu għandu jiġi estiż bi tliet xhur fuq l-inizjattiva tal-Parlament Ewropew jew tal-Kunsill.”;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(8) fl-Artikolu 90, il-</w:t>
      </w:r>
      <w:r>
        <w:rPr>
          <w:noProof/>
        </w:rPr>
        <w:t xml:space="preserve">paragrafi 2 u 3 huma mħassra; 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(9) fil-paragrafu 1 tal-Artikolu 93, it-tieni subparagrafu huwa mibdul b'dan li ġej:</w:t>
      </w:r>
    </w:p>
    <w:p w:rsidR="00186429" w:rsidRDefault="00C34362">
      <w:pPr>
        <w:pStyle w:val="Text1"/>
        <w:ind w:left="0"/>
        <w:rPr>
          <w:noProof/>
        </w:rPr>
      </w:pPr>
      <w:r>
        <w:rPr>
          <w:noProof/>
        </w:rPr>
        <w:t>“L-Istati Membri għandhom japplikaw dawk il-miżuri mit-3 ta' Jannar 2018.”;</w:t>
      </w:r>
    </w:p>
    <w:p w:rsidR="00186429" w:rsidRDefault="00C34362">
      <w:pPr>
        <w:spacing w:after="200"/>
        <w:rPr>
          <w:noProof/>
        </w:rPr>
      </w:pPr>
      <w:r>
        <w:rPr>
          <w:noProof/>
        </w:rPr>
        <w:t>(10) fl-Anness I, it-Taqsima D titħassar.</w:t>
      </w:r>
    </w:p>
    <w:p w:rsidR="00186429" w:rsidRDefault="00C34362">
      <w:pPr>
        <w:pStyle w:val="Titrearticle"/>
        <w:rPr>
          <w:noProof/>
        </w:rPr>
      </w:pPr>
      <w:r>
        <w:rPr>
          <w:noProof/>
        </w:rPr>
        <w:t>Artikolu 2</w:t>
      </w:r>
    </w:p>
    <w:p w:rsidR="00186429" w:rsidRDefault="00C34362">
      <w:pPr>
        <w:pStyle w:val="Titrearticle"/>
        <w:rPr>
          <w:b/>
          <w:i w:val="0"/>
          <w:noProof/>
        </w:rPr>
      </w:pPr>
      <w:r>
        <w:rPr>
          <w:b/>
          <w:noProof/>
        </w:rPr>
        <w:t>Emendi għad</w:t>
      </w:r>
      <w:r>
        <w:rPr>
          <w:b/>
          <w:noProof/>
        </w:rPr>
        <w:t>-Direttiva 2009/138/KE</w:t>
      </w:r>
    </w:p>
    <w:p w:rsidR="00186429" w:rsidRDefault="00C34362">
      <w:pPr>
        <w:rPr>
          <w:noProof/>
        </w:rPr>
      </w:pPr>
      <w:r>
        <w:rPr>
          <w:noProof/>
        </w:rPr>
        <w:t>Id-Direttiva 2009/138/KE hija emendata kif ġej:</w:t>
      </w:r>
    </w:p>
    <w:p w:rsidR="00186429" w:rsidRDefault="00C34362">
      <w:pPr>
        <w:pStyle w:val="Point0number"/>
        <w:numPr>
          <w:ilvl w:val="0"/>
          <w:numId w:val="10"/>
        </w:numPr>
        <w:tabs>
          <w:tab w:val="num" w:pos="709"/>
        </w:tabs>
        <w:rPr>
          <w:rStyle w:val="None"/>
          <w:rFonts w:eastAsia="Arial Unicode MS"/>
          <w:noProof/>
          <w:szCs w:val="24"/>
          <w:bdr w:val="none" w:sz="0" w:space="0" w:color="auto" w:frame="1"/>
        </w:rPr>
      </w:pPr>
      <w:r>
        <w:rPr>
          <w:rStyle w:val="None"/>
          <w:noProof/>
        </w:rPr>
        <w:t>Fl-Artikolu 112(4), jiżdiedu s-subparagrafi li ġejjin: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“Ladarba l-applikazzjoni titqies kompluta mill-awtoritajiet superviżorji, huma għandhom jinfurmaw lill-EIOPA dwar l-applikazzjoni. 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Fuq talba tal-EIOPA, l-awtoritajiet superviżorji għandhom jipprovdu lill-EIOPA bid-dokumentazzjoni kollha</w:t>
      </w:r>
      <w:r>
        <w:rPr>
          <w:noProof/>
        </w:rPr>
        <w:t xml:space="preserve"> </w:t>
      </w:r>
      <w:r>
        <w:rPr>
          <w:rStyle w:val="None"/>
          <w:rFonts w:ascii="Times New Roman" w:hAnsi="Times New Roman"/>
          <w:noProof/>
          <w:color w:val="auto"/>
          <w:sz w:val="24"/>
        </w:rPr>
        <w:t>sottomessa mill-im</w:t>
      </w:r>
      <w:r>
        <w:rPr>
          <w:rStyle w:val="None"/>
          <w:rFonts w:ascii="Times New Roman" w:hAnsi="Times New Roman"/>
          <w:noProof/>
          <w:color w:val="auto"/>
          <w:sz w:val="24"/>
        </w:rPr>
        <w:t>priża fl-applikazzjoni tagħha.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L-EIOPA tista’ toħroġ</w:t>
      </w:r>
      <w:r>
        <w:rPr>
          <w:noProof/>
        </w:rPr>
        <w:t xml:space="preserve"> </w:t>
      </w:r>
      <w:r>
        <w:rPr>
          <w:rStyle w:val="None"/>
          <w:rFonts w:ascii="Times New Roman" w:hAnsi="Times New Roman"/>
          <w:noProof/>
          <w:color w:val="auto"/>
          <w:sz w:val="24"/>
        </w:rPr>
        <w:t>Opinjoni lill-awtoritajiet superviżorji ikkonċernati f’konformità mal-Artikolu 21a(1)(a) u 29(1)(a) tar-Regolament (UE) Nru 1094/2010</w:t>
      </w:r>
      <w:r>
        <w:rPr>
          <w:rFonts w:ascii="Times New Roman" w:hAnsi="Times New Roman"/>
          <w:noProof/>
        </w:rPr>
        <w:t xml:space="preserve"> </w:t>
      </w:r>
      <w:r>
        <w:rPr>
          <w:rStyle w:val="None"/>
          <w:rFonts w:ascii="Times New Roman" w:hAnsi="Times New Roman"/>
          <w:noProof/>
          <w:color w:val="auto"/>
          <w:sz w:val="24"/>
        </w:rPr>
        <w:t>fi żmien 4 xhur minn meta tasal għand l-awtorità superviżorja tal-app</w:t>
      </w:r>
      <w:r>
        <w:rPr>
          <w:rStyle w:val="None"/>
          <w:rFonts w:ascii="Times New Roman" w:hAnsi="Times New Roman"/>
          <w:noProof/>
          <w:color w:val="auto"/>
          <w:sz w:val="24"/>
        </w:rPr>
        <w:t>likazzjoni kompluta.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Fejn tkun inħarġet tali Opinjoni, l-awtorità superviżorja għandha tieħu d-deċiżjoni tagħha kif imsemmi fl-ewwel subparagrafu f’konformità ma’ dik l-Opinjoni, jew tipprovdi raġunijiet bil-miktub lill-Eiopa u lill-applikant ta’ fejn id-d</w:t>
      </w:r>
      <w:r>
        <w:rPr>
          <w:rStyle w:val="None"/>
          <w:rFonts w:ascii="Times New Roman" w:hAnsi="Times New Roman"/>
          <w:noProof/>
          <w:color w:val="auto"/>
          <w:sz w:val="24"/>
        </w:rPr>
        <w:t>eċiżjoni ma ttieħditx f’konformità ma’ dik l-Opinjoni.”;</w:t>
      </w:r>
    </w:p>
    <w:p w:rsidR="00186429" w:rsidRDefault="00C34362">
      <w:pPr>
        <w:pStyle w:val="Point0number"/>
        <w:numPr>
          <w:ilvl w:val="0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L-Artikolu 231 huwa emendat kif ġej: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il-paragrafu 1 hu emendat kif ġej:</w:t>
      </w:r>
    </w:p>
    <w:p w:rsidR="00186429" w:rsidRDefault="00C34362">
      <w:pPr>
        <w:pStyle w:val="Body"/>
        <w:ind w:left="720" w:firstLine="697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(i) l-ewwel subparagrafu huwa sostitwit b'dan li ġej:</w:t>
      </w:r>
    </w:p>
    <w:p w:rsidR="00186429" w:rsidRDefault="00C34362">
      <w:pPr>
        <w:pStyle w:val="Body"/>
        <w:ind w:left="216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“1. Fil-każ ta' applikazzjoni għall-permess biex ikun ikkalkulat ir-Rekwi</w:t>
      </w:r>
      <w:r>
        <w:rPr>
          <w:rStyle w:val="None"/>
          <w:rFonts w:ascii="Times New Roman" w:hAnsi="Times New Roman"/>
          <w:noProof/>
          <w:color w:val="auto"/>
          <w:sz w:val="24"/>
        </w:rPr>
        <w:t>żit Kapitali tas-Solvenza tal-grupp konsolidat, kif ukoll ir-Rekwiżit Kapitali tas-Solvenza tal-impriżi tal-assigurazzjoni u tar-riassigurazzjoni fil-grupp, abbażi ta' mudell intern, imressqa minn impriża tal-assigurazzjoni jew tar-riassigurazzjoni u l-imp</w:t>
      </w:r>
      <w:r>
        <w:rPr>
          <w:rStyle w:val="None"/>
          <w:rFonts w:ascii="Times New Roman" w:hAnsi="Times New Roman"/>
          <w:noProof/>
          <w:color w:val="auto"/>
          <w:sz w:val="24"/>
        </w:rPr>
        <w:t>riżi relatati tagħha, jew b'mod konġunt mill-impriżi relatati ta' kumpanija holding tal-assigurazzjoni, l-awtoritajiet ta' sorveljanza konċernati għandhom jikkooperaw ma’ xulxin u mal-EIOPA biex jiddeċiedu jekk jagħtux il-permess jew le u biex jiddetermina</w:t>
      </w:r>
      <w:r>
        <w:rPr>
          <w:rStyle w:val="None"/>
          <w:rFonts w:ascii="Times New Roman" w:hAnsi="Times New Roman"/>
          <w:noProof/>
          <w:color w:val="auto"/>
          <w:sz w:val="24"/>
        </w:rPr>
        <w:t>w it-termini u l-kundizzjonijiet, jekk ikun il-każ, li għalihom huwa suġġett l-għoti ta' dan il-permess.</w:t>
      </w:r>
    </w:p>
    <w:p w:rsidR="00186429" w:rsidRDefault="00C34362">
      <w:pPr>
        <w:pStyle w:val="Body"/>
        <w:ind w:left="720" w:firstLine="720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(ii) it-tielet subparagrafu huwa sostitwit b'dan li ġej:</w:t>
      </w:r>
    </w:p>
    <w:p w:rsidR="00186429" w:rsidRDefault="00C34362">
      <w:pPr>
        <w:pStyle w:val="Body"/>
        <w:ind w:left="216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“Is-superviżur tal-grupp għandu jinforma lill-membri oħra tal-kulleġġ ta’ superviżuri dwar il-</w:t>
      </w:r>
      <w:r>
        <w:rPr>
          <w:rStyle w:val="None"/>
          <w:rFonts w:ascii="Times New Roman" w:hAnsi="Times New Roman"/>
          <w:noProof/>
          <w:color w:val="auto"/>
          <w:sz w:val="24"/>
        </w:rPr>
        <w:t>wasla tal-applikazzjoni u jibgħat l-applikazzjoni sħiħa, inkluża d-dokumentazzjoni li ddaħħlet mill-impriża, lill-membri tal-kulleġġ, inkluż lill-EIOPA, mingħajr dewmien.”;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Jiddaħħal paragrafu ġdid, 2b, kif ġej.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"2b. Fejn l-EIOPA tqis li applikazzjoni, kif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 imsemmija fl-ewwel paragrafu, tippreżenta kwistjonijiet partikolari fir-rigward tal-konsistenza fl-approvazzjonijiet ta’ applikazzjoni tal-mudelli interni fl-Unjoni kollha, l-EIOPA tista’ toħroġ Opinjoni lill-awtoritajiet superviżorji ikkonċernati f’konfo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rmità mal-Artikolu 21a(1)(a) u 29(1)(a) tar-Regolament (UE) Nru 1094/2010 fi żmien 4 xhur minn meta l-applikazzjoni kompluta tasal għand is-superviżur tal-grupp. 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Fejn tkun inħarġet tali Opinjoni, l-awtoritajiet superviżorji għandhom jieħdu d-deċiżjoni kon</w:t>
      </w:r>
      <w:r>
        <w:rPr>
          <w:rStyle w:val="None"/>
          <w:rFonts w:ascii="Times New Roman" w:hAnsi="Times New Roman"/>
          <w:noProof/>
          <w:color w:val="auto"/>
          <w:sz w:val="24"/>
        </w:rPr>
        <w:t>ġ</w:t>
      </w:r>
      <w:r>
        <w:rPr>
          <w:rStyle w:val="None"/>
          <w:rFonts w:ascii="Times New Roman" w:hAnsi="Times New Roman"/>
          <w:noProof/>
          <w:color w:val="auto"/>
          <w:sz w:val="24"/>
        </w:rPr>
        <w:t>unta tagħhom kif imsemmi fit-tieni paragrafu f’konformità ma’ dik l-Opinjoni, jew jipprovdu raġunijiet bil-miktub lill-EIOPA u lill-applikant ta’ fejn id-deċiżjoni konġunta ma ttieħditx f’konformità ma’ dik l-Opinjoni.”;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Calibri"/>
          <w:noProof/>
          <w:szCs w:val="24"/>
          <w:bdr w:val="none" w:sz="0" w:space="0" w:color="auto" w:frame="1"/>
        </w:rPr>
      </w:pPr>
      <w:r>
        <w:rPr>
          <w:rStyle w:val="None"/>
          <w:noProof/>
        </w:rPr>
        <w:t>il-paragrafu 3 huwa emendat kif ġe</w:t>
      </w:r>
      <w:r>
        <w:rPr>
          <w:rStyle w:val="None"/>
          <w:noProof/>
        </w:rPr>
        <w:t>j:</w:t>
      </w:r>
    </w:p>
    <w:p w:rsidR="00186429" w:rsidRDefault="00C34362">
      <w:pPr>
        <w:pStyle w:val="Body"/>
        <w:ind w:left="720" w:firstLine="697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(i) l-ewwel subparagrafu huwa sostitwit b'dan li ġej:</w:t>
      </w:r>
    </w:p>
    <w:p w:rsidR="00186429" w:rsidRDefault="00C34362">
      <w:pPr>
        <w:pStyle w:val="Body"/>
        <w:ind w:left="144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“Jekk matul il-perjodu ta’ sitt xhur imsemmi fil-paragrafu 2, kwalunkwe waħda mill-awtoritajiet superviżorji kkonċernati rreferiet il-kwistjoni lill-EIOPA f’konformità mal-Artikolu 19 tar-Regolament </w:t>
      </w:r>
      <w:r>
        <w:rPr>
          <w:rStyle w:val="None"/>
          <w:rFonts w:ascii="Times New Roman" w:hAnsi="Times New Roman"/>
          <w:noProof/>
          <w:color w:val="auto"/>
          <w:sz w:val="24"/>
        </w:rPr>
        <w:t>(UE) Nru 1094/2010, jew jekk l-EIOPA qed tassisti l-awtoritajiet superviżorji fuq l-inizjativa tagħha f’konformità mal-Artikolu 19(1)(b) ta’ dak ir-Regolament, is-superviżur tal-grupp għandu jiddiferixxi d-deċiżjoni tiegħu sa mal-EIOPA tadotta deċiżjoni f’</w:t>
      </w:r>
      <w:r>
        <w:rPr>
          <w:rStyle w:val="None"/>
          <w:rFonts w:ascii="Times New Roman" w:hAnsi="Times New Roman"/>
          <w:noProof/>
          <w:color w:val="auto"/>
          <w:sz w:val="24"/>
        </w:rPr>
        <w:t>konformità mal-Artikolu 19(3) ta’ dak ir-Regolament, u għandu jieħu d-deċiżjoni tiegħu f’konformità mad-deċiżjoni adottata tal-EIOPA.</w:t>
      </w:r>
      <w:r>
        <w:rPr>
          <w:rFonts w:ascii="Times New Roman" w:hAnsi="Times New Roman"/>
          <w:noProof/>
        </w:rPr>
        <w:t xml:space="preserve"> Id-deċiżjoni tas-superviżur 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tal-grupp għandha tiġi rikonoxxuta bħala determinanti u għandha tiġi applikata </w:t>
      </w:r>
      <w:r>
        <w:rPr>
          <w:rStyle w:val="None"/>
          <w:rFonts w:ascii="Times New Roman" w:hAnsi="Times New Roman"/>
          <w:noProof/>
          <w:color w:val="auto"/>
          <w:sz w:val="24"/>
        </w:rPr>
        <w:t>mill-awtoritajiet superviżorji konċernati.</w:t>
      </w:r>
    </w:p>
    <w:p w:rsidR="00186429" w:rsidRDefault="00C34362">
      <w:pPr>
        <w:pStyle w:val="Body"/>
        <w:ind w:left="720" w:firstLine="720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(ii) l-ewwel sentenza tat-tielet subparagrafu hija sostitwita b'dan li ġej:</w:t>
      </w:r>
    </w:p>
    <w:p w:rsidR="00186429" w:rsidRDefault="00C34362">
      <w:pPr>
        <w:spacing w:before="240"/>
        <w:ind w:left="1440"/>
        <w:rPr>
          <w:rStyle w:val="None"/>
          <w:rFonts w:eastAsia="Arial Unicode MS"/>
          <w:noProof/>
          <w:color w:val="000000"/>
          <w:sz w:val="22"/>
          <w:szCs w:val="24"/>
          <w:bdr w:val="none" w:sz="0" w:space="0" w:color="auto" w:frame="1"/>
        </w:rPr>
      </w:pPr>
      <w:r>
        <w:rPr>
          <w:noProof/>
          <w:color w:val="000000"/>
        </w:rPr>
        <w:t>“Fejn l-EIOPA ma tadottax deċiżjoni kif imsemmija fit-tieni subparagrafu f’konformità mal-Artikolu 19(3) tar-Regolament (UE) Nru 1094/201</w:t>
      </w:r>
      <w:r>
        <w:rPr>
          <w:noProof/>
          <w:color w:val="000000"/>
        </w:rPr>
        <w:t>0, is-superviżur tal-grupp għandu jieħu deċiżjoni finali.”;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Fil-paragrafu 6, it-tieni subparagrafu jinbidel b’dan li ġej: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“Is-superviżur tal-grupp għandu jqis kif xieraq kwalunkwe fehmiet u riżervi tal-awtoritajiet superviżorji l-oħra konċernati u </w:t>
      </w:r>
      <w:r>
        <w:rPr>
          <w:rStyle w:val="None"/>
          <w:rFonts w:ascii="Times New Roman" w:hAnsi="Times New Roman"/>
          <w:noProof/>
          <w:color w:val="auto"/>
          <w:sz w:val="24"/>
        </w:rPr>
        <w:t>tal-EIOPA espressi waqt dak il-perjodu ta' sitt xhur.”;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Fil-paragrafu 6, it-tielet subparagrafu għandu jiġi ssostitwit b’dan li ġej: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Is-superviżur tal-grupp għandu jagħti lill-applikant, lill-awtoritajiet superviżorji konċernati l-oħra u l-EIOPA b’dokument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 li jispjega d-deċiżjoni motivata bis-sħiħ tiegħu.”;</w:t>
      </w:r>
    </w:p>
    <w:p w:rsidR="00186429" w:rsidRDefault="00C34362">
      <w:pPr>
        <w:pStyle w:val="Point1letter"/>
        <w:numPr>
          <w:ilvl w:val="3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Paragrafu ġdid 6a hu miżjud: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"6a. Wara l-perjodu ta’ sitt xhur imsemmi fil-paragrafu 2 u qabel ma s-superviżur tal-grupp jieħu deċiżjoni kif imsemmija fil-paragrafu 6, l-impriża li ssottomettiet l-applik</w:t>
      </w:r>
      <w:r>
        <w:rPr>
          <w:rStyle w:val="None"/>
          <w:rFonts w:ascii="Times New Roman" w:hAnsi="Times New Roman"/>
          <w:noProof/>
          <w:color w:val="auto"/>
          <w:sz w:val="24"/>
        </w:rPr>
        <w:t>azzjoni f’konformità mal-paragrafu 1 tista’ titlob li l-EIOPA tassisti l-awtoritajiet superviżorji biex jilħqu ftehim, skont l-Artikolu 19 tar-Regolament (UE) Nru 1094/2010.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Is-superviżur tal-grupp se jiddiferixxi d-deċiżjoni tiegħu sa mal-EIOPA tadotta de</w:t>
      </w:r>
      <w:r>
        <w:rPr>
          <w:rStyle w:val="None"/>
          <w:rFonts w:ascii="Times New Roman" w:hAnsi="Times New Roman"/>
          <w:noProof/>
          <w:color w:val="auto"/>
          <w:sz w:val="24"/>
        </w:rPr>
        <w:t>ċ</w:t>
      </w:r>
      <w:r>
        <w:rPr>
          <w:rStyle w:val="None"/>
          <w:rFonts w:ascii="Times New Roman" w:hAnsi="Times New Roman"/>
          <w:noProof/>
          <w:color w:val="auto"/>
          <w:sz w:val="24"/>
        </w:rPr>
        <w:t>iżjoni f’konformità mal-Artikolu 19(3) tar-Regolament (UE) Nru 1094/2010 u se jieħu d-deċiżjoni tiegħu f’konformità mad-deċiżjoni adottata tal-EIOPA. Id-deċiżjoni tas-superviżur tal-grupp għandha tiġi rikonoxxuta bħala determinanti u għandha tiġi applikat</w:t>
      </w:r>
      <w:r>
        <w:rPr>
          <w:rStyle w:val="None"/>
          <w:rFonts w:ascii="Times New Roman" w:hAnsi="Times New Roman"/>
          <w:noProof/>
          <w:color w:val="auto"/>
          <w:sz w:val="24"/>
        </w:rPr>
        <w:t>a mill-awtoritajiet superviżorji konċernati.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L-EIOPA għandha tadotta d-deċiżjoni tagħha fi żmien xahar (1) minn tmiem il-perjodu ta’ konċiljazzjoni msemmi fl-Artikolu 19(2) tar-Regolament (UE) Nru 1094/2010. </w:t>
      </w:r>
    </w:p>
    <w:p w:rsidR="00186429" w:rsidRDefault="00C34362"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“Fejn l-EIOPA ma tadottax deċiżjoni kif imsemmi</w:t>
      </w:r>
      <w:r>
        <w:rPr>
          <w:rStyle w:val="None"/>
          <w:rFonts w:ascii="Times New Roman" w:hAnsi="Times New Roman"/>
          <w:noProof/>
          <w:color w:val="auto"/>
          <w:sz w:val="24"/>
        </w:rPr>
        <w:t>ja fit-tielet subparagrafu f’konformità mal-Artikolu 19(3) tar-Regolament (UE) 1094/2010 ta’ dak ir-Regolament, is-superviżur tal-grupp għandu jieħu deċiżjoni finali. Id-deċiżjoni tas-superviżur tal-grupp għandha tiġi rikonoxxuta bħala determinanti u għand</w:t>
      </w:r>
      <w:r>
        <w:rPr>
          <w:rStyle w:val="None"/>
          <w:rFonts w:ascii="Times New Roman" w:hAnsi="Times New Roman"/>
          <w:noProof/>
          <w:color w:val="auto"/>
          <w:sz w:val="24"/>
        </w:rPr>
        <w:t>ha tiġi applikata mill-awtoritajiet superviżorji konċernati.”;</w:t>
      </w:r>
    </w:p>
    <w:p w:rsidR="00186429" w:rsidRDefault="00C34362">
      <w:pPr>
        <w:pStyle w:val="Point0number"/>
        <w:numPr>
          <w:ilvl w:val="0"/>
          <w:numId w:val="10"/>
        </w:numPr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L-Artikoli l-ġodda 231a u 231b jiddaħħlu kif ġej:</w:t>
      </w:r>
    </w:p>
    <w:p w:rsidR="00186429" w:rsidRDefault="00C34362">
      <w:pPr>
        <w:pStyle w:val="Titrearticle"/>
        <w:rPr>
          <w:rStyle w:val="None"/>
          <w:rFonts w:eastAsia="Arial Unicode MS"/>
          <w:b/>
          <w:noProof/>
          <w:szCs w:val="24"/>
        </w:rPr>
      </w:pPr>
      <w:r>
        <w:rPr>
          <w:rStyle w:val="None"/>
          <w:i w:val="0"/>
          <w:noProof/>
        </w:rPr>
        <w:t>'</w:t>
      </w:r>
      <w:r>
        <w:rPr>
          <w:rStyle w:val="None"/>
          <w:noProof/>
        </w:rPr>
        <w:t>l-Artikolu 231a</w:t>
      </w:r>
      <w:r>
        <w:rPr>
          <w:rStyle w:val="None"/>
          <w:rFonts w:eastAsia="Arial Unicode MS"/>
          <w:b/>
          <w:noProof/>
          <w:szCs w:val="24"/>
        </w:rPr>
        <w:br/>
      </w:r>
      <w:r>
        <w:rPr>
          <w:rStyle w:val="None"/>
          <w:b/>
          <w:noProof/>
        </w:rPr>
        <w:t>Approvazzjoni superviżorja fir-rigward ta’ mudelli interni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1. L-EIOPA tista’, fuq l-inizjattiva tagħha jew fuq talba tal-awtoritajiet superviżorji jew impriżi ta’ assigurazzjoni jew ta’ riassigurazzjoni, toħroġ Opinjoni lill-awtoritajiet superviżorji f’konformità mal-Artikolu 21a(1)(a) u 29(1)(a) tar-Regolament (U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E) Nru 1094/2010, fuq mudelli interni u approvazzjonijet ta’ applikazzjonijiet ta’ mudell interni kif stabbilit fl-Artikoli 112 sa 127, l-Artikolu 230, l-Artikolu 231 u l-Artikolu 233, bil-għan li titrawwem konverġenza superviżorja. 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Fejn l-EIOPA toħroġ Op</w:t>
      </w:r>
      <w:r>
        <w:rPr>
          <w:rStyle w:val="None"/>
          <w:rFonts w:ascii="Times New Roman" w:hAnsi="Times New Roman"/>
          <w:noProof/>
          <w:color w:val="auto"/>
          <w:sz w:val="24"/>
        </w:rPr>
        <w:t>injoni kif imsemmija fl-ewwel subparagrafu, l-awtoritajiet superviżorji kkonċernati għandhom jieħdu d-deċiżjoni jew id-deċiżjoni konġunta tagħhom, kif applikabbli f’konformità ma’ dik l-Opinjoni, jew jipprovdu raġunijiet bil-miktub lill-EIOPA u lill-applik</w:t>
      </w:r>
      <w:r>
        <w:rPr>
          <w:rStyle w:val="None"/>
          <w:rFonts w:ascii="Times New Roman" w:hAnsi="Times New Roman"/>
          <w:noProof/>
          <w:color w:val="auto"/>
          <w:sz w:val="24"/>
        </w:rPr>
        <w:t>ant ta’ fejn id-deċiżjoni jew id-deċiżjoni konġunta ma tittieħidx f’konformità ma’ dik l-Opinjoni.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2. Fejn awtoritajiet superviżorji jwettqu spezzjonijiet konġunti fuq il-post fejn jipparteċipaw il-persunal tal-EIOPA f’konformità mal-Artikolu 21 tar-Regola</w:t>
      </w:r>
      <w:r>
        <w:rPr>
          <w:rStyle w:val="None"/>
          <w:rFonts w:ascii="Times New Roman" w:hAnsi="Times New Roman"/>
          <w:noProof/>
          <w:color w:val="auto"/>
          <w:sz w:val="24"/>
        </w:rPr>
        <w:t>ment (UE) Nru 1094/2010, ta’ impriżi jew gruppi li japplikaw mudell intern sħiħ jew parzjali skont l-Artikoli 112 sa 127, 230, 231 jew 233, il-persunal tal-EIOPA għandu jipproduċi rapport speċifiku fuq il-mudell intern. Dak ir-rapport għandu jiġi sottomess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 lill-Bord Eżekuttiv tal-EIOPA.</w:t>
      </w:r>
    </w:p>
    <w:p w:rsidR="00186429" w:rsidRDefault="00C34362">
      <w:pPr>
        <w:pStyle w:val="Titrearticle"/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L-Artikolu 231b</w:t>
      </w:r>
      <w:r>
        <w:rPr>
          <w:rStyle w:val="None"/>
          <w:rFonts w:eastAsia="Arial Unicode MS"/>
          <w:b/>
          <w:noProof/>
          <w:szCs w:val="24"/>
        </w:rPr>
        <w:br/>
      </w:r>
      <w:r>
        <w:rPr>
          <w:rStyle w:val="None"/>
          <w:b/>
          <w:noProof/>
        </w:rPr>
        <w:t>Reviżjoni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1. Fuq bażi annwali, l-EIOPA għandha tirrapporta lill-Parlament Ewropew, lill-Kunsill u lill-Kummissjoni dwar kwistjonijiet ġenerali li l-awtoritajiet superviżorji wettqu fil-proċess tal-approvazzjo</w:t>
      </w:r>
      <w:r>
        <w:rPr>
          <w:rStyle w:val="None"/>
          <w:rFonts w:ascii="Times New Roman" w:hAnsi="Times New Roman"/>
          <w:noProof/>
          <w:color w:val="auto"/>
          <w:sz w:val="24"/>
        </w:rPr>
        <w:t xml:space="preserve">ni ta’ mudelli interni jew bidliet tagħhom, skont l-Artikoli 112 sa 127, 230, 231 u 233. 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L-awtoritajiet superviżorji għandhom jipprovdu lill-EIOPA bl-informazzjoni li l-EIOPA tikkunsidra relevanti biex tipproduċi tali rapport.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2. Sal-1 ta’ Jannar 2020, u </w:t>
      </w:r>
      <w:r>
        <w:rPr>
          <w:rStyle w:val="None"/>
          <w:rFonts w:ascii="Times New Roman" w:hAnsi="Times New Roman"/>
          <w:noProof/>
          <w:color w:val="auto"/>
          <w:sz w:val="24"/>
        </w:rPr>
        <w:t>wara li tkun wettqet konsultazzjoni pubblika, l-EIOPA għandha tissottometti Opinjoni lill-Kummissjoni dwar l-applikazzjoni tal-Artikoli 112 sa 127, l-Artikolu 230, l-Artikolu 231 u l-Artikolu 233 minn awtoritajiet superviżorji, inklużi atti delegati u l-im</w:t>
      </w:r>
      <w:r>
        <w:rPr>
          <w:rStyle w:val="None"/>
          <w:rFonts w:ascii="Times New Roman" w:hAnsi="Times New Roman"/>
          <w:noProof/>
          <w:color w:val="auto"/>
          <w:sz w:val="24"/>
        </w:rPr>
        <w:t>plimentazzjoni ta’ standards tekniċi adottati skont dan. Dik l-Opinjoni se tivvaluta wkoll kwalunkwe diverġenza fil-mudelli interni fl-Unjoni.</w:t>
      </w:r>
    </w:p>
    <w:p w:rsidR="00186429" w:rsidRDefault="00C34362"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3. Skont l-opinjoni sottomessa mill-EIOPA f’konformità mal-paragrafu 2, il-Kummissjoni se tissottometti rapport l</w:t>
      </w:r>
      <w:r>
        <w:rPr>
          <w:rStyle w:val="None"/>
          <w:rFonts w:ascii="Times New Roman" w:hAnsi="Times New Roman"/>
          <w:noProof/>
          <w:color w:val="auto"/>
          <w:sz w:val="24"/>
        </w:rPr>
        <w:t>ill-Parlament Ewropew u lill-Kunsill dwar l-applikazzjoni tal-Artikoli 112 sa 127, l-Artikolu 230, l-Artikolu 231 u l-Artikolu 233 minn awtoritajiet superviżorji, inklużi atti delegati u l-implimentazzjoni ta’ standards tekniċi adottati skont dan, sal-1 ta</w:t>
      </w:r>
      <w:r>
        <w:rPr>
          <w:rStyle w:val="None"/>
          <w:rFonts w:ascii="Times New Roman" w:hAnsi="Times New Roman"/>
          <w:noProof/>
          <w:color w:val="auto"/>
          <w:sz w:val="24"/>
        </w:rPr>
        <w:t>’ Jannar 2021,”;</w:t>
      </w:r>
    </w:p>
    <w:p w:rsidR="00186429" w:rsidRDefault="00C34362">
      <w:pPr>
        <w:pStyle w:val="Point0number"/>
        <w:numPr>
          <w:ilvl w:val="0"/>
          <w:numId w:val="10"/>
        </w:numPr>
        <w:rPr>
          <w:rStyle w:val="None"/>
          <w:noProof/>
          <w:szCs w:val="24"/>
        </w:rPr>
      </w:pPr>
      <w:r>
        <w:rPr>
          <w:rStyle w:val="None"/>
          <w:noProof/>
        </w:rPr>
        <w:t>Fl-Artikolu 237, il-paragrafu 3, l-ewwel sentenza tat-tielet subparagrafu hija sostitwita b'dan li ġej:</w:t>
      </w:r>
    </w:p>
    <w:p w:rsidR="00186429" w:rsidRDefault="00C34362">
      <w:pPr>
        <w:spacing w:before="240"/>
        <w:ind w:left="720"/>
        <w:rPr>
          <w:rStyle w:val="None"/>
          <w:rFonts w:eastAsia="Arial Unicode MS"/>
          <w:i/>
          <w:noProof/>
          <w:color w:val="000000"/>
          <w:sz w:val="22"/>
          <w:szCs w:val="24"/>
          <w:bdr w:val="none" w:sz="0" w:space="0" w:color="auto" w:frame="1"/>
        </w:rPr>
      </w:pPr>
      <w:r>
        <w:rPr>
          <w:noProof/>
          <w:color w:val="000000"/>
        </w:rPr>
        <w:t>“Jekk l-EIOPA ma tadottax deċiżjoni kif imsemmija</w:t>
      </w:r>
      <w:r>
        <w:rPr>
          <w:noProof/>
        </w:rPr>
        <w:t xml:space="preserve"> fit-tieni </w:t>
      </w:r>
      <w:r>
        <w:rPr>
          <w:noProof/>
          <w:color w:val="000000"/>
        </w:rPr>
        <w:t>subparagrafu</w:t>
      </w:r>
      <w:r>
        <w:rPr>
          <w:rStyle w:val="None"/>
          <w:noProof/>
        </w:rPr>
        <w:t xml:space="preserve"> </w:t>
      </w:r>
      <w:r>
        <w:rPr>
          <w:noProof/>
          <w:color w:val="000000"/>
        </w:rPr>
        <w:t>skont l-Artikolu 19(3) tar-Regolament (UE) Nru 1094/2010, is-s</w:t>
      </w:r>
      <w:r>
        <w:rPr>
          <w:noProof/>
          <w:color w:val="000000"/>
        </w:rPr>
        <w:t>uperviżur tal-grupp għandu jieħu deċiżjoni finali.”; kif ukoll</w:t>
      </w:r>
    </w:p>
    <w:p w:rsidR="00186429" w:rsidRDefault="00C34362">
      <w:pPr>
        <w:pStyle w:val="Point0number"/>
        <w:numPr>
          <w:ilvl w:val="0"/>
          <w:numId w:val="10"/>
        </w:numPr>
        <w:rPr>
          <w:rStyle w:val="None"/>
          <w:rFonts w:eastAsia="Arial Unicode MS"/>
          <w:noProof/>
          <w:szCs w:val="24"/>
          <w:bdr w:val="none" w:sz="0" w:space="0" w:color="auto" w:frame="1"/>
        </w:rPr>
      </w:pPr>
      <w:r>
        <w:rPr>
          <w:rStyle w:val="None"/>
          <w:noProof/>
        </w:rPr>
        <w:t>Fl-Artikolu 248, it-tielet subparagrafu ta' paragrafu 4 huwa mħassar;</w:t>
      </w:r>
    </w:p>
    <w:p w:rsidR="00186429" w:rsidRDefault="00C34362">
      <w:pPr>
        <w:pStyle w:val="Titrearticle"/>
        <w:rPr>
          <w:noProof/>
        </w:rPr>
      </w:pPr>
      <w:r>
        <w:rPr>
          <w:noProof/>
        </w:rPr>
        <w:t>Artikolu 3</w:t>
      </w:r>
    </w:p>
    <w:p w:rsidR="00186429" w:rsidRDefault="00C34362">
      <w:pPr>
        <w:pStyle w:val="Titrearticle"/>
        <w:rPr>
          <w:b/>
          <w:noProof/>
        </w:rPr>
      </w:pPr>
      <w:r>
        <w:rPr>
          <w:b/>
          <w:noProof/>
        </w:rPr>
        <w:t>Traspożizzjoni</w:t>
      </w:r>
      <w:r>
        <w:rPr>
          <w:b/>
          <w:noProof/>
          <w:highlight w:val="yellow"/>
        </w:rPr>
        <w:t xml:space="preserve"> </w:t>
      </w:r>
    </w:p>
    <w:p w:rsidR="00186429" w:rsidRDefault="00C34362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għandhom jadottaw u jippubblikaw, sa [12/18-il xahar mid-data tad-dħul </w:t>
      </w:r>
      <w:r>
        <w:rPr>
          <w:noProof/>
        </w:rPr>
        <w:t>fis-seħħ], il-liġijiet, ir-regolamenti u d-dispożizzjonijiet amministrattivi neċessarji għal konformità ma’ din id-Direttiva. Huma għandhom minnufih jikkomunikaw lill-Kummissjoni d-dispożizzjonijiet prinċipali tal-liġi nazzjonali li huma jkunu adottaw fil-</w:t>
      </w:r>
      <w:r>
        <w:rPr>
          <w:noProof/>
        </w:rPr>
        <w:t>qasam kopert b’din id-direttiva.</w:t>
      </w:r>
    </w:p>
    <w:p w:rsidR="00186429" w:rsidRDefault="00C34362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Stati Membri għandhom japplikaw il-miżuri fir-rigward tal-Artikolu 1 minn [36 xahar mid-dħul fis-seħħ] u fir-rigward tal-Artikolu 2 minn [id-data tal-applikazzjoni tal-emenda fir-Regolament tal-EIOPA].</w:t>
      </w:r>
    </w:p>
    <w:p w:rsidR="00186429" w:rsidRDefault="00C34362">
      <w:pPr>
        <w:pStyle w:val="Titrearticle"/>
      </w:pPr>
      <w:r>
        <w:rPr>
          <w:noProof/>
        </w:rPr>
        <w:t>Artikolu 4</w:t>
      </w:r>
    </w:p>
    <w:p w:rsidR="00186429" w:rsidRDefault="00C34362">
      <w:pPr>
        <w:pStyle w:val="Titrearticle"/>
        <w:rPr>
          <w:b/>
          <w:noProof/>
        </w:rPr>
      </w:pPr>
      <w:r>
        <w:rPr>
          <w:b/>
          <w:noProof/>
        </w:rPr>
        <w:t xml:space="preserve">Dħul </w:t>
      </w:r>
      <w:r>
        <w:rPr>
          <w:b/>
          <w:noProof/>
        </w:rPr>
        <w:t>fis-seħħ</w:t>
      </w:r>
    </w:p>
    <w:p w:rsidR="00186429" w:rsidRDefault="00C34362">
      <w:pPr>
        <w:rPr>
          <w:noProof/>
        </w:rPr>
      </w:pPr>
      <w:r>
        <w:rPr>
          <w:noProof/>
        </w:rPr>
        <w:t>Din id-Direttiva għandha tidħol fis-seħħ fl-</w:t>
      </w:r>
      <w:r>
        <w:t>għoxrin</w:t>
      </w:r>
      <w:r>
        <w:rPr>
          <w:noProof/>
        </w:rPr>
        <w:t xml:space="preserve">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186429" w:rsidRDefault="00C34362">
      <w:pPr>
        <w:pStyle w:val="Titrearticle"/>
        <w:rPr>
          <w:noProof/>
        </w:rPr>
      </w:pPr>
      <w:r>
        <w:rPr>
          <w:noProof/>
        </w:rPr>
        <w:t>Artikolu 5</w:t>
      </w:r>
    </w:p>
    <w:p w:rsidR="00186429" w:rsidRDefault="00C34362">
      <w:pPr>
        <w:pStyle w:val="Titrearticle"/>
        <w:rPr>
          <w:b/>
          <w:noProof/>
        </w:rPr>
      </w:pPr>
      <w:r>
        <w:rPr>
          <w:b/>
          <w:noProof/>
        </w:rPr>
        <w:t>Destinatarji</w:t>
      </w:r>
    </w:p>
    <w:p w:rsidR="00186429" w:rsidRDefault="00C34362">
      <w:pPr>
        <w:keepNext/>
        <w:keepLines/>
        <w:rPr>
          <w:noProof/>
        </w:rPr>
      </w:pPr>
      <w:r>
        <w:rPr>
          <w:noProof/>
        </w:rPr>
        <w:t>Din id-Direttiva hija indirizzata lill-Istati Membri.</w:t>
      </w:r>
    </w:p>
    <w:p w:rsidR="00186429" w:rsidRDefault="00C34362" w:rsidP="00C34362">
      <w:pPr>
        <w:pStyle w:val="Fait"/>
        <w:rPr>
          <w:noProof/>
        </w:rPr>
      </w:pPr>
      <w:r w:rsidRPr="00C34362">
        <w:t>Magħmul fi Brussell,</w:t>
      </w:r>
    </w:p>
    <w:p w:rsidR="00186429" w:rsidRDefault="00C34362">
      <w:pPr>
        <w:pStyle w:val="Institutionquisigne"/>
        <w:rPr>
          <w:noProof/>
        </w:rPr>
      </w:pPr>
      <w:r>
        <w:rPr>
          <w:noProof/>
        </w:rPr>
        <w:t>Għall-Parlament</w:t>
      </w:r>
      <w:r>
        <w:rPr>
          <w:noProof/>
        </w:rPr>
        <w:t xml:space="preserve"> Ewropew</w:t>
      </w:r>
      <w:r>
        <w:rPr>
          <w:noProof/>
        </w:rPr>
        <w:tab/>
        <w:t>Għall-Kunsill</w:t>
      </w:r>
    </w:p>
    <w:p w:rsidR="00186429" w:rsidRDefault="00C34362">
      <w:pPr>
        <w:pStyle w:val="Personnequisigne"/>
        <w:keepNext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 w:rsidR="00186429" w:rsidRDefault="00186429">
      <w:pPr>
        <w:pStyle w:val="Institutionquisigne"/>
        <w:rPr>
          <w:noProof/>
        </w:rPr>
      </w:pPr>
    </w:p>
    <w:sectPr w:rsidR="00186429" w:rsidSect="00C34362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9" w:rsidRDefault="00C34362">
      <w:pPr>
        <w:spacing w:before="0" w:after="0"/>
      </w:pPr>
      <w:r>
        <w:separator/>
      </w:r>
    </w:p>
  </w:endnote>
  <w:endnote w:type="continuationSeparator" w:id="0">
    <w:p w:rsidR="00186429" w:rsidRDefault="00C343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29" w:rsidRPr="00C34362" w:rsidRDefault="00C34362" w:rsidP="00C34362">
    <w:pPr>
      <w:pStyle w:val="Footer"/>
      <w:rPr>
        <w:rFonts w:ascii="Arial" w:hAnsi="Arial" w:cs="Arial"/>
        <w:b/>
        <w:sz w:val="48"/>
      </w:rPr>
    </w:pPr>
    <w:r w:rsidRPr="00C34362">
      <w:rPr>
        <w:rFonts w:ascii="Arial" w:hAnsi="Arial" w:cs="Arial"/>
        <w:b/>
        <w:sz w:val="48"/>
      </w:rPr>
      <w:t>MT</w:t>
    </w:r>
    <w:r w:rsidRPr="00C34362">
      <w:rPr>
        <w:rFonts w:ascii="Arial" w:hAnsi="Arial" w:cs="Arial"/>
        <w:b/>
        <w:sz w:val="48"/>
      </w:rPr>
      <w:tab/>
    </w:r>
    <w:r w:rsidRPr="00C34362">
      <w:rPr>
        <w:rFonts w:ascii="Arial" w:hAnsi="Arial" w:cs="Arial"/>
        <w:b/>
        <w:sz w:val="48"/>
      </w:rPr>
      <w:tab/>
    </w:r>
    <w:r w:rsidRPr="00C34362">
      <w:tab/>
    </w:r>
    <w:r w:rsidRPr="00C34362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Footer"/>
      <w:rPr>
        <w:rFonts w:ascii="Arial" w:hAnsi="Arial" w:cs="Arial"/>
        <w:b/>
        <w:sz w:val="48"/>
      </w:rPr>
    </w:pPr>
    <w:r w:rsidRPr="00C34362">
      <w:rPr>
        <w:rFonts w:ascii="Arial" w:hAnsi="Arial" w:cs="Arial"/>
        <w:b/>
        <w:sz w:val="48"/>
      </w:rPr>
      <w:t>MT</w:t>
    </w:r>
    <w:r w:rsidRPr="00C3436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 w:rsidRPr="00C34362">
      <w:tab/>
    </w:r>
    <w:r w:rsidRPr="00C34362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9" w:rsidRDefault="00C34362">
      <w:pPr>
        <w:spacing w:before="0" w:after="0"/>
      </w:pPr>
      <w:r>
        <w:separator/>
      </w:r>
    </w:p>
  </w:footnote>
  <w:footnote w:type="continuationSeparator" w:id="0">
    <w:p w:rsidR="00186429" w:rsidRDefault="00C34362">
      <w:pPr>
        <w:spacing w:before="0" w:after="0"/>
      </w:pPr>
      <w:r>
        <w:continuationSeparator/>
      </w:r>
    </w:p>
  </w:footnote>
  <w:footnote w:id="1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  <w:t xml:space="preserve">Id-Direttiva 2014/65/UE dwar is-swieq fl-istrumenti finanzjarji u li temenda d-Direttiva 2002/92/KE u d-Direttiva 2011/61/UE (ĠU L 173, 12.6.2014, p. 349).  </w:t>
      </w:r>
    </w:p>
  </w:footnote>
  <w:footnote w:id="2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</w:t>
      </w:r>
      <w:r>
        <w:t>2004/39/KE tal-Parlament Ew</w:t>
      </w:r>
      <w:r>
        <w:t>ropew u tal-Kunsill tal-21 ta' April 2004 dwar is-swieq fl-istrumenti finanzjarji li temenda d-Direttivi tal-Kunsill 85/611/KEE u 93/6/KEE u d-Direttiva 2000/12/KE tal-Parlament Ewropew u tal-Kunsill u li tħassar id-Direttiva tal-Kunsill 93/22/KEE (ĠU L 14</w:t>
      </w:r>
      <w:r>
        <w:t>5, 30.4.2004, p. 1).</w:t>
      </w:r>
    </w:p>
  </w:footnote>
  <w:footnote w:id="3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</w:t>
      </w:r>
      <w:r>
        <w:t>(UE) Nru 600/2014 tal-Parlament Ewropew u tal-Kunsill tal-15 ta' Mejju 2014 dwar is-swieq tal-istrumenti finanzjarji u li jemenda r-Regolament (UE) Nru 648/2012 (ĠU L 173, 12.6.2014, p. 84).</w:t>
      </w:r>
    </w:p>
  </w:footnote>
  <w:footnote w:id="4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</w:t>
      </w:r>
      <w:r>
        <w:t>2009/138/KE t</w:t>
      </w:r>
      <w:r>
        <w:t>al-Parlament Ewropew u tal-Kunsill tal-25 ta’ Novembru 2009 dwar il-bidu u l-eżerċizzju tan-negozju tal-assigurazzjoni u tar-riassigurazzjoni (Solvibbiltà II) (ĠU L 335, 17.12.2009, p.1).</w:t>
      </w:r>
    </w:p>
  </w:footnote>
  <w:footnote w:id="5">
    <w:p w:rsidR="00186429" w:rsidRDefault="00C34362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ab/>
      </w:r>
      <w:r>
        <w:t xml:space="preserve">ĠU </w:t>
      </w:r>
      <w:r>
        <w:t>C , , p. .</w:t>
      </w:r>
    </w:p>
  </w:footnote>
  <w:footnote w:id="6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  <w:t xml:space="preserve">ĠU </w:t>
      </w:r>
      <w:r>
        <w:t>C , , p. .</w:t>
      </w:r>
    </w:p>
  </w:footnote>
  <w:footnote w:id="7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</w:t>
      </w:r>
      <w:r>
        <w:t>(UE) Nru 600/2014 ta</w:t>
      </w:r>
      <w:r>
        <w:t>l-Parlament Ewropew u tal-Kunsill tal-15 ta' Mejju 2014 dwar is-swieq tal-istrumenti finanzjarji u li jemenda r-Regolament (UE) Nru 648/2012 (ĠU L 173, 12.6.2014, p. 84).</w:t>
      </w:r>
    </w:p>
  </w:footnote>
  <w:footnote w:id="8">
    <w:p w:rsidR="00186429" w:rsidRDefault="00C34362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</w:t>
      </w:r>
      <w:r>
        <w:t>2009/138/KE tal-Parlament Ewropew u tal-Kunsill tal-25 ta’ Novembru 20</w:t>
      </w:r>
      <w:r>
        <w:t>09 dwar il-bidu u l-eżerċizzju tan-negozju tal-assigurazzjoni u tar-riassigurazzjoni (Solvibbiltà II) (ĠU L 335, 17.12.2009, p.1).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2" w:rsidRPr="00C34362" w:rsidRDefault="00C34362" w:rsidP="00C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336FE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33AF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938BA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B3C6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08A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486F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8A03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10 16:17:1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26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F9FD0297-93BD-41BB-9F52-2D64EAC0FEAE"/>
    <w:docVar w:name="LW_COVERPAGE_TYPE" w:val="1"/>
    <w:docVar w:name="LW_CROSSREFERENCE" w:val="&lt;UNUSED&gt;"/>
    <w:docVar w:name="LW_DocType" w:val="COM"/>
    <w:docVar w:name="LW_EMISSION" w:val="20.9.2017"/>
    <w:docVar w:name="LW_EMISSION_ISODATE" w:val="2017-09-20"/>
    <w:docVar w:name="LW_EMISSION_LOCATION" w:val="BRX"/>
    <w:docVar w:name="LW_EMISSION_PREFIX" w:val="Brussell,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31"/>
    <w:docVar w:name="LW_REF.II.NEW.CP_YEAR" w:val="2017"/>
    <w:docVar w:name="LW_REF.INST.NEW" w:val="COM"/>
    <w:docVar w:name="LW_REF.INST.NEW_ADOPTED" w:val="final"/>
    <w:docVar w:name="LW_REF.INST.NEW_TEXT" w:val="(2017) 5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temenda d-Direttiva 2014/65/UE dwar is-swieq fl-istrumenti finanzjarji u d-Direttiva 2009/138/KE dwar il-bidu u l-e\u380?er\u267?izzju tan-negozju tal-assigurazzjoni u tar-riassigurazzjoni (Solvibbiltà II)"/>
    <w:docVar w:name="LW_TYPE.DOC.CP" w:val="DIRETTIVA TAL-PARLAMENT EWROPEW U TAL-KUNSILL"/>
  </w:docVars>
  <w:rsids>
    <w:rsidRoot w:val="00186429"/>
    <w:rsid w:val="00186429"/>
    <w:rsid w:val="00C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None">
    <w:name w:val="None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C3436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3436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343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36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3436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C3436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C343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C343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None">
    <w:name w:val="None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C3436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3436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343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36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3436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C3436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C343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C343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1C4B-991A-4664-AE07-E6DED2DF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14</Pages>
  <Words>4030</Words>
  <Characters>29557</Characters>
  <Application>Microsoft Office Word</Application>
  <DocSecurity>0</DocSecurity>
  <Lines>477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JANSEN Colette (SG)</cp:lastModifiedBy>
  <cp:revision>19</cp:revision>
  <cp:lastPrinted>2017-09-15T15:54:00Z</cp:lastPrinted>
  <dcterms:created xsi:type="dcterms:W3CDTF">2017-11-07T12:29:00Z</dcterms:created>
  <dcterms:modified xsi:type="dcterms:W3CDTF">2017-11-10T15:32:00Z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SJ-024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Yellow (DQC version 03)</vt:lpwstr>
  </property>
</Properties>
</file>