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D83A8CD-F923-4527-8791-89A478399A2B" style="width:450.75pt;height:40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Niniejszy wniosek stanowi część pakietu środków mających na celu usprawnienie nadzoru rynków finansowych UE poprzez poprawienie funkcjonowania systemu Europejskich Urzędów Nadzoru oraz przyspieszenie i ukończenie tworzenia unii rynków kapitałowych. Niniejszy wniosek dotyczy nadzoru sprawowanego przez Europejski Urząd Nadzoru Giełd i Papierów Wartościowych (ESMA) oraz jego uprawnień i przewiduje przeniesienie niektórych uprawnień nadzorczych przysługujących obecnie właściwym organom krajowym.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Dyrektywą 2014/65/UE w sprawie rynków instrumentów finansowych (MiFID II)</w:t>
      </w:r>
      <w:r>
        <w:rPr>
          <w:rStyle w:val="FootnoteReference"/>
          <w:noProof/>
        </w:rPr>
        <w:footnoteReference w:id="1"/>
      </w:r>
      <w:r>
        <w:rPr>
          <w:noProof/>
          <w:color w:val="000000" w:themeColor="text1"/>
        </w:rPr>
        <w:t xml:space="preserve"> </w:t>
      </w:r>
      <w:r>
        <w:rPr>
          <w:noProof/>
        </w:rPr>
        <w:t>wprowadzono nowy rodzaj usług, które podlegają wymogowi uzyskania zezwolenia i nadzorowi: są to usługi w zakresie udostępniania informacji świadczone przez dostawców usług w zakresie udostępniania informacji. W dyrektywie 2004/39/WE w sprawie rynków instrumentów finansowych (MiFID I) nie uwzględniono kwestii skutecznego obiegu, monitorowania i odtwarzania danych transakcyjnych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Spowodowało to, że dane transakcyjne w UE nie były ani spójne, ani o wystarczającej jakości, aby można było monitorować, czy cele dyrektywy MiFID są właściwie realizowane. Ponadto dane transakcyjne nie były udostępniane przez odpowiednie systemy obrotu na całym obszarze UE po rozsądnych kosztach.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Ponieważ niespójności pod względem jakości, formatu, rzetelności i kosztów mają negatywny wpływ na przejrzystość danych, ochronę inwestorów i efektywność rynku, MiFID II ma na celu poprawę jakości i dostępności danych transakcyjnych poprzez ustanowienie standardowego formatu tych danych, który jest łatwy do konsolidacji, łatwy do zrozumienia i dostępny po rozsądnych kosztach, a także poprzez nałożenie formalnych wymogów organizacyjnych na dostawców usług w zakresie udostępniania informacji oraz zobowiązanie ich do posiadania zezwolenia wydanego przez właściwe organy krajowe.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Z uwagi na transgraniczny wymiar przetwarzania danych, korzyści płynące ze skupienia w jednym ręku uprawnień dotyczących danych, w tym potencjalne korzyści skali, a także negatywny wpływ ewentualnych rozbieżności w praktykach nadzorczych zarówno na jakość danych transakcyjnych, jak i na zadania dostawców usług w zakresie udostępniania informacji, należy przenieść z organów krajowych na ESMA uprawnienia do udzielania zezwoleń dostawcom usług w zakresie udostępniania informacji oraz do nadzoru nad nimi.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Niniejszy wniosek ogranicza się zatem do przeniesienia z właściwych organów krajowych na ESMA uprawnień do udzielania zezwoleń tym podmiotom oraz do nadzoru nad nimi poprzez uwzględnienie tych uprawnień w </w:t>
      </w:r>
      <w:r>
        <w:rPr>
          <w:noProof/>
          <w:color w:val="000000" w:themeColor="text1"/>
        </w:rPr>
        <w:t>rozporządzeniu (UE) nr 600/2014 w sprawie rynków instrumentów finansowych (MiFIR)</w:t>
      </w:r>
      <w:r>
        <w:rPr>
          <w:rStyle w:val="FootnoteReference"/>
          <w:noProof/>
          <w:color w:val="000000" w:themeColor="text1"/>
        </w:rPr>
        <w:footnoteReference w:id="3"/>
      </w:r>
      <w:r>
        <w:rPr>
          <w:noProof/>
        </w:rPr>
        <w:t xml:space="preserve"> bez wprowadzania dalszych zmian do przepisów </w:t>
      </w:r>
      <w:r>
        <w:rPr>
          <w:noProof/>
        </w:rPr>
        <w:lastRenderedPageBreak/>
        <w:t xml:space="preserve">materialnych mających zastosowanie do dostawców usług w zakresie udostępniania informacji, w tym do warunków dotyczących udzielania zezwoleń i wymogów organizacyjnych ustanowionych pierwotnie w MiFID II. W związku z tym uchylone zostają odpowiednie przepisy dotyczące usług w zakresie udostępniania informacji określone w MiFID II.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>Ponadto niniejszy wniosek dotyczy również roli EIOPA w procedurach zatwierdzania modeli wewnętrznych.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>Dyrektywa Wypłacalność II (dyrektywa 2009/138/WE</w:t>
      </w:r>
      <w:r>
        <w:rPr>
          <w:rStyle w:val="FootnoteReference"/>
          <w:noProof/>
          <w:color w:val="000000" w:themeColor="text1"/>
        </w:rPr>
        <w:footnoteReference w:id="4"/>
      </w:r>
      <w:r>
        <w:rPr>
          <w:noProof/>
          <w:color w:val="000000" w:themeColor="text1"/>
        </w:rPr>
        <w:t>) stanowi, że zgodnie z opartą na ocenie ryzyka koncepcją kapitałowego wymogu wypłacalności (SCR) możliwe jest w szczególnych okolicznościach, aby zakłady ubezpieczeń i zakłady reasekuracji oraz grupy takich zakładów, na poziomie poszczególnych zakładów lub grup, stosowały do obliczania SCR modele wewnętrzne, a nie standardową formułę. Te modele wewnętrzne wymagają zatwierdzenia przez organ nadzoru. Pomimo przeprowadzonych przez EIOPA cennych prac nad konwergencją praktyk nadzorczych w odniesieniu do modeli wewnętrznych, utrzymują się znaczne niespójności, jeśli chodzi o wymogi właściwych organów dotyczące modeli wewnętrznych; występują także trudności w ustaleniu wspólnych uzgodnień w sprawie modeli wewnętrznych grup w ramach kolegiów organów nadzoru.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  <w:color w:val="000000" w:themeColor="text1"/>
        </w:rPr>
        <w:t>Rozbieżności w nadzorowaniu i zatwierdzaniu modeli wewnętrznych prowadzą do niespójności i stwarzają nierówne warunki działania wśród uczestników rynku. Celem niniejszego wniosku jest więc wzmocnienie konwergencji praktyk nadzorczych poprzez zwiększenie roli EIOPA w odniesieniu do modeli wewnętrznych w drodze przepisów dotyczących współpracy i wymiany informacji oraz przyznanie EIOPA uprawnień do przyjmowania opinii w tym obszarze i do brania udziału, z własnej inicjatywy, w rozstrzyganiu sporów między organami nadzoru, m.in. za pośrednictwem wiążącej mediacji.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</w:rPr>
        <w:t>Spójność z przepisami obowiązującymi w tej dziedzinie polityki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Niniejszy wniosek jest spójny z innymi aktami prawa Unii, w tym z aktami, które przyznają bezpośrednie uprawnienia Europejskim Urzędom Nadzoru: </w:t>
      </w:r>
    </w:p>
    <w:p>
      <w:pPr>
        <w:pStyle w:val="ManualHeading2"/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</w:rPr>
        <w:t>Spójność z innymi politykami Unii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 xml:space="preserve">Niniejszy wniosek nie ma wpływu na inne obszary polityki Unii. 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2.</w:t>
      </w:r>
      <w:r>
        <w:rPr>
          <w:noProof/>
        </w:rPr>
        <w:tab/>
      </w:r>
      <w:r>
        <w:rPr>
          <w:noProof/>
          <w:color w:val="000000" w:themeColor="text1"/>
        </w:rPr>
        <w:t>PODSTAWA PRAWNA, POMOCNICZOŚĆ I PROPORCJONALNOŚĆ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Podstawa prawna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 xml:space="preserve">Podstawą wniosku jest art. 53 ust. 1 i art. 62 Traktatu o funkcjonowaniu Unii Europejskiej. 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 xml:space="preserve">Pomocniczość (w przypadku kompetencji niewyłącznych)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Zgodnie z zasadą pomocniczości (art. 5 ust. 3 TFUE), Unia podejmuje działania tylko wówczas, gdy cele zamierzonego działania nie mogą zostać osiągnięte w sposób </w:t>
      </w:r>
      <w:r>
        <w:rPr>
          <w:noProof/>
        </w:rPr>
        <w:lastRenderedPageBreak/>
        <w:t xml:space="preserve">wystarczający przez państwa członkowskie i jeśli ze względu na rozmiary lub skutki proponowanego działania możliwe jest lepsze ich osiągnięcie na poziomie Unii.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Przepisy materialne dotyczące udzielania zezwoleń i nadzoru już uwzględniono w dyrektywie MiFID II, a więc kompetencje materialne już zostały przekazane instytucjom na szczeblu Unii. Jedyne zmiany zaproponowane w niniejszym wniosku polegają na tym, że to ESMA, a nie właściwe organy krajowe, będzie odpowiedzialna za udzielanie zezwoleń dostawcom usług w zakresie udostępniania informacji oraz za nadzór nad nimi. W tym względzie rynki finansowe mają ze swej natury charakter transgraniczny i cecha ta tylko ulega pogłębieniu. Intensywność danych dotyczących rynków finansowych również wzrasta w szybkim tempie. Aby sprostać tym wyzwaniom, należy zwiększyć wydajność aspektów ram prawnych MIFID II dotyczących przetwarzania danych. Poprzez przeniesienie na ESMA uprawnień do udzielania zezwoleń dostawcom usług w zakresie udostępniania informacji i do nadzoru nad nimi można zapewnić jednolite warunki dla danych transakcyjnych i kanałów zgłaszania transakcji, a jednocześnie pozwolić właściwym władzom krajowym na uwolnienie zasobów na potrzeby nadzoru nad użytkownikami końcowymi danych. </w:t>
      </w:r>
    </w:p>
    <w:p>
      <w:pPr>
        <w:pStyle w:val="ManualHeading2"/>
        <w:tabs>
          <w:tab w:val="clear" w:pos="850"/>
          <w:tab w:val="left" w:pos="0"/>
        </w:tabs>
        <w:ind w:left="0" w:firstLine="0"/>
        <w:rPr>
          <w:rFonts w:eastAsia="Arial Unicode MS"/>
          <w:b w:val="0"/>
          <w:noProof/>
          <w:color w:val="000000" w:themeColor="text1"/>
          <w:u w:color="000000"/>
          <w:bdr w:val="nil"/>
        </w:rPr>
      </w:pPr>
      <w:r>
        <w:rPr>
          <w:noProof/>
        </w:rPr>
        <w:t>Zasada zatwierdzania modeli wewnętrznych przez organy nadzoru jest już zawarta w dyrektywie Wypłacalność II .Zmiany proponowane w niniejszym wniosku mają na celu wzmocnienie roli EIOPA, aby zwiększyć konwergencję praktyk nadzorczych w tym obszarze, w szczególności w odniesieniu do grup ubezpieczeniowych działających w kilku państwach członkowskich UE, pozostawiając jednak uprawnienie do zatwierdzenia takich wniosków organom nadzoru i, w stosownych przypadkach, kolegium organów nadzoru.</w:t>
      </w:r>
      <w:r>
        <w:rPr>
          <w:b w:val="0"/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Proporcjonalność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Wniosek w pełni uwzględnia zasadę proporcjonalności, gdyż jest odpowiedni do osiągnięcia wyznaczonych celów i nie wykracza poza to, co jest konieczne do ich osiągnięcia. Wniosek jest zgodny z zasadą proporcjonalności, uwzględniając właściwą równowagę między interesem publicznym a racjonalnością proponowanego środka pod względem kosztów. 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Wybór instrumentu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Niniejszy wniosek zmienia dyrektywę Parlamentu Europejskiego i Rady przyjętą na podstawie art. 53 ust. 1 TFUE oraz dyrektywę Parlamentu Europejskiego i Rady przyjętą na podstawie art. 53 i 62 TFUE. Aby zmienić obie te dyrektywy, wymagany jest zatem wniosek dotyczący dyrektywy. 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3.</w:t>
      </w:r>
      <w:r>
        <w:rPr>
          <w:noProof/>
        </w:rPr>
        <w:tab/>
      </w:r>
      <w:r>
        <w:rPr>
          <w:noProof/>
          <w:color w:val="000000" w:themeColor="text1"/>
        </w:rPr>
        <w:t>WYNIKI OCEN EX POST, KONSULTACJI Z ZAINTERESOWANYMI STRONAMI I OCEN SKUTKÓW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Ocena skutków</w:t>
      </w:r>
    </w:p>
    <w:p>
      <w:pPr>
        <w:pStyle w:val="ManualHeading2"/>
        <w:tabs>
          <w:tab w:val="clear" w:pos="850"/>
          <w:tab w:val="left" w:pos="0"/>
        </w:tabs>
        <w:ind w:left="0" w:firstLine="0"/>
        <w:rPr>
          <w:b w:val="0"/>
          <w:noProof/>
        </w:rPr>
      </w:pPr>
      <w:r>
        <w:rPr>
          <w:b w:val="0"/>
          <w:noProof/>
        </w:rPr>
        <w:t>Proponowane zmiany wspomnianych dyrektyw mają bardzo ograniczony charakter, a ponieważ dyrektywy te zostały wdrożone i są stosowane od niedawna, ich zmiany nie uzasadniają przeprowadzenia odrębnej oceny.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Sprawność regulacyjna i uproszczenie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Punkt kompleksowej obsługi dla udzielania zezwoleń i sprawowania nadzoru, jaki powstanie dzięki zmianie dyrektywy MiFID II i rozporządzenia MiFIR, przyczyni się do zmniejszenia obciążeń regulacyjnych, m.in. dla mniejszych dostawców usług w zakresie udostępniania informacji. Uprawnienia i kompetencje właściwych organów w odniesieniu do dostawców usług w zakresie udostępniania informacji zostaną przekazane ESMA. Te jednolite ramy </w:t>
      </w:r>
      <w:r>
        <w:rPr>
          <w:noProof/>
        </w:rPr>
        <w:lastRenderedPageBreak/>
        <w:t>udzielania zezwoleń i sprawowania nadzoru spowodują znaczne uproszczenie dla dostawców usług w zakresie udostępniania informacji prowadzących działalność transgraniczną oraz zmniejszenie obciążeń administracyjnych.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  <w:color w:val="000000" w:themeColor="text1"/>
        </w:rPr>
        <w:t>W odniesieniu do dyrektywy Wypłacalność II konwergencja praktyk nadzorczych przyczynia się do usprawnienia procedur i wymogów dotyczących składania wniosków w całej Unii, ograniczając tym samym nierówne warunki działania, w szczególności dla grup ubezpieczeniowych.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Prawa podstawowe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Prawo do rzetelnego procesu sądowego oraz prawo do obrony zostały zagwarantowane, głównie poprzez jasne ramy proceduralne i sądową kontrolę czynności dochodzeniowych, w przypadku gdy jest to wymagane przez sędziego krajowego, i ostatecznych decyzji wydawanych przez Trybunał Sprawiedliwości na podstawie niniejszej dyrektywy. 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4.</w:t>
      </w:r>
      <w:r>
        <w:rPr>
          <w:noProof/>
        </w:rPr>
        <w:tab/>
      </w:r>
      <w:r>
        <w:rPr>
          <w:noProof/>
          <w:color w:val="000000" w:themeColor="text1"/>
        </w:rPr>
        <w:t>WPŁYW NA BUDŻET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>Wpływ na budżet został przedstawiony w aktach zmieniających rozporządzenie MiFIR i aktach zmieniających rozporządzenie ustanawiające EIOPA.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5.</w:t>
      </w:r>
      <w:r>
        <w:rPr>
          <w:noProof/>
        </w:rPr>
        <w:tab/>
      </w:r>
      <w:r>
        <w:rPr>
          <w:noProof/>
          <w:color w:val="000000" w:themeColor="text1"/>
        </w:rPr>
        <w:t>ELEMENTY FAKULTATYWNE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Szczegółowe objaśnienia poszczególnych przepisów wniosku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art. 1 wniosku określono zmiany, które są niezbędne dla przeniesienia obecnych uprawnień i kompetencji powierzonych właściwym organom na ESMA, która będzie odpowiedzialna za udzielanie zezwoleń przedsiębiorstwom zamierzającym prowadzić usługi w zakresie udostępniania informacji oraz za nadzór nad nimi.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Zmiany te obejmują modyfikacje i uchylenie szeregu przepisów MiFID II, w tym tytułu V dotyczącego dostawców usług w zakresie udostępniania informacji, sekcji D w załączniku I oraz przepisów dotyczących uprawnień właściwych organów do nakładania sankcji na dostawców usług w zakresie udostępniania informacji.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>Art. 2 niniejszego wniosku zawiera zmiany dyrektywy Wypłacalność II mające na celu zwiększenie roli EIOPA, co przyczyni się do konwergencji praktyk nadzorczych w zakresie wniosku dotyczącego modelu wewnętrznego, i obejmuje on zmiany w odniesieniu do wymiany informacji w zakresie takich wniosków dotyczących modelu, możliwości wydawania przez EIOPA opinii w odniesieniu do tej kwestii, a także możliwości uczestnictwa EIOPA w rozstrzyganiu sporów między organami nadzoru, na ich wniosek lub z własnej inicjatywy bądź, w pewnych okolicznościach, na wniosek zainteresowanych zakładów.</w:t>
      </w:r>
    </w:p>
    <w:p>
      <w:pPr>
        <w:rPr>
          <w:noProof/>
        </w:rPr>
      </w:pPr>
      <w:r>
        <w:rPr>
          <w:noProof/>
        </w:rPr>
        <w:t>Zmiany przewidują także, że EIOPA powinna przygotowywać roczne sprawozdania w tej sprawie. Pozwoli to na ścisłe monitorowanie sytuacji w zakresie wniosków dotyczących modelu wewnętrznego, w tym naświetlenie wszelkich nierozstrzygniętych kwestii w odniesieniu do konwergencji praktyk nadzorczych w tym obszarze.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Artykuł ten przewiduje także dostosowanie niektórych elementów dyrektywy Wypłacalność II (art. 231 ust. 3 i art. 237 ust. 3) do zmian rozporządzenia ustanawiającego EIOPA zawartych we wniosku Komisji w sprawie tego rozporządzenia odnośnie do wiążącej mediacji. Ponadto artykułem tym wprowadza się niezbędne zmiany do art. 248 ust. 4 dyrektywy Wypłacalność II w sprawie wiążącej mediacji, usuwając odniesienia do </w:t>
      </w:r>
      <w:r>
        <w:rPr>
          <w:noProof/>
          <w:color w:val="000000" w:themeColor="text1"/>
        </w:rPr>
        <w:lastRenderedPageBreak/>
        <w:t>poprzedniej procedury rozstrzygania sporów przed Komitetem Europejskich Inspektorów ds. Ubezpieczeń i Emerytur Pracowniczych, który został zastąpiony przez EIOPA.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Art. 3 i 4 zawierają przepisy dotyczące transpozycji i wejścia w życie.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2017/0231 (COD)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DYREKTYWA PARLAMENTU EUROPEJSKIEGO I RADY</w:t>
      </w:r>
    </w:p>
    <w:p>
      <w:pPr>
        <w:pStyle w:val="Titreobjet"/>
        <w:rPr>
          <w:noProof/>
        </w:rPr>
      </w:pPr>
      <w:r>
        <w:rPr>
          <w:noProof/>
        </w:rPr>
        <w:t>zmieniająca dyrektywę 2014/65/UE w sprawie rynków instrumentów finansowych oraz dyrektywę 2009/138/WE w sprawie podejmowania i prowadzenia działalności ubezpieczeniowej i reasekuracyjnej (Wypłacalność II)</w:t>
      </w:r>
    </w:p>
    <w:p>
      <w:pPr>
        <w:pStyle w:val="IntrtEEE"/>
        <w:rPr>
          <w:noProof/>
        </w:rPr>
      </w:pPr>
      <w:r>
        <w:rPr>
          <w:noProof/>
        </w:rPr>
        <w:t>(Tekst mający znaczenie dla EOG)</w:t>
      </w:r>
    </w:p>
    <w:p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53 ust. 1 i art. 62,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po przekazaniu projektu aktu ustawodawczego parlamentom narodowym,</w:t>
      </w:r>
    </w:p>
    <w:p>
      <w:pPr>
        <w:rPr>
          <w:noProof/>
        </w:rPr>
      </w:pPr>
      <w:r>
        <w:rPr>
          <w:noProof/>
        </w:rPr>
        <w:t>uwzględniając opinię Europejskiego Banku Centralnego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uwzględniając opinię Europejskiego Komitetu Ekonomiczno-Społecznego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stanowiąc zgodnie ze zwykłą procedurą ustawodawczą,</w:t>
      </w:r>
    </w:p>
    <w:p>
      <w:pPr>
        <w:rPr>
          <w:noProof/>
        </w:rPr>
      </w:pPr>
      <w:r>
        <w:rPr>
          <w:noProof/>
        </w:rPr>
        <w:t xml:space="preserve">a także mając na uwadze, co następuje: 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W dyrektywie 2014/65/UE ustanowiono ramy prawne dla dostawców usług w zakresie udostępniania informacji oraz zawarto wymóg posiadania przez dostawców usług w zakresie udostępniania informacji posttransakcyjnych zezwolenia jako zatwierdzone podmioty publikujące („APA”). Ponadto dostawcy informacji skonsolidowanych („CTP”) zostali zobowiązani do oferowania skonsolidowanych danych transakcyjnych dotyczących wszystkich transakcji zarówno na instrumentach kapitałowych, jak i na instrumentach innych niż kapitałowe w całej Unii, zgodnie z dyrektywą 2014/65/UE. Ponadto dyrektywą 2014/65/UE sformalizowano kanały zgłaszania transakcji właściwym organom poprzez zobowiązanie osób trzecich, które zgłaszają transakcje w imieniu przedsiębiorstw, do posiadania zezwolenia jako zatwierdzone mechanizmy sprawozdawcze (ARM).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Jakość danych transakcyjnych oraz przetwarzania i dostarczania takich danych, w tym transgranicznego przetwarzania i dostarczania danych, ma ogromne znaczenie dla osiągnięcia głównego celu rozporządzenia Parlamentu Europejskiego i Rady (UE) nr 600/2014, jakim jest zwiększenie przejrzystości rynków finansowych. Dzięki dokładnym danym użytkownicy uzyskują ogólny obraz działalności handlowej na wszystkich unijnych rynkach finansowych a właściwe organy – dokładne i wszechstronne informacje dotyczące interesujących je transakcji. Z uwagi na transgraniczny wymiar przetwarzania danych, korzyści płynące ze skupienia w jednym ręku uprawnień dotyczących danych, w tym potencjalne korzyści skali, a także negatywny wpływ ewentualnych rozbieżności w praktykach nadzorczych </w:t>
      </w:r>
      <w:r>
        <w:rPr>
          <w:noProof/>
        </w:rPr>
        <w:lastRenderedPageBreak/>
        <w:t>zarówno na jakość danych transakcyjnych, jak i na zadania dostawców usług w zakresie udostępniania informacji, należy przenieść z organów krajowych na ESMA uprawnienia do udzielania zezwoleń dostawcom usług w zakresie udostępniania informacji oraz do nadzoru nad nimi.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Aby dokonać spójnego przeniesienia takich uprawnień, należy uchylić odpowiednie przepisy dotyczące wymogów operacyjnych dla dostawców usług w zakresie udostępniania informacji oraz kompetencji właściwych organów w odniesieniu do dostawców usług w zakresie udostępniania informacji określonych w dyrektywie 2014/65/UE, oraz wprowadzić odpowiednie przepisy do rozporządzenia Parlamentu Europejskiego i Rady (UE) nr 600/2014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Przeniesienie na ESMA uprawnień do udzielania zezwoleń dostawcom usług w zakresie udostępniania informacji oraz do nadzoru nad nimi jest spójne z zadaniami ESMA. Dokładniej rzecz ujmując, przeniesienie uprawnień związanych z gromadzeniem danych, udzielaniem zezwoleń i nadzorem z właściwych organów na ESMA ma zasadnicze znaczenie dla innych zadań wykonywanych przez ESMA na podstawie rozporządzenia (UE) nr 600/2014, takich jak monitorowanie rynku, uprawnienia ESMA do tymczasowej interwencji i do zarządzania pozycjami, a także zapewnienie spójnego przestrzegania wymogów w zakresie przejrzystości przed- i posttransakcyjnej. Dyrektywa 2014/65/UE powinna zatem zostać odpowiednio zmieniona,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W dyrektywie Parlamentu Europejskiego i Rady 2009/138/WE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(Wypłacalność II) przewidziano, że zgodnie z opartą na ocenie ryzyka koncepcją kapitałowego wymogu wypłacalności, w szczególnych okolicznościach możliwe jest, aby zakłady ubezpieczeń i zakłady reasekuracji oraz grupy takich zakładów do obliczania tego wymogu stosowały modele wewnętrzne, a nie standardową formułę.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Zapewnienie ubezpieczającym i beneficjentom równoważnego poziomu ochrony wymaga, aby tego rodzaju modele wewnętrzne zostały uprzednio zatwierdzone przez organy nadzoru na podstawie zharmonizowanych procedur i standardów.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Aby zapewnić wysoki stopień konwergencji w dziedzinie nadzoru i zatwierdzania modeli wewnętrznych, EIOPA powinna mieć możliwość wydawania opinii na temat kwestii związanych z takimi modelami wewnętrznymi.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W celu wspierania konwergencji praktyk nadzorczych EIOPA powinna mieć możliwość – z własnej inicjatywy lub na wniosek organów nadzoru – udzielenia wsparcia tym organom w osiągnięciu porozumienia. W szczególnych okolicznościach, w przypadku gdy organy nadzoru nie dojdą do porozumienia w sprawie zatwierdzenia modelu wewnętrznego grupy – i zanim organ sprawujący nadzór nad grupą przyjmie ostateczną decyzję – przedsiębiorstwo powinno mieć możliwość zwrócenia się do EIOPA o mediację i pomoc w osiągnięciu porozumienia przez organy nadzoru. Organy nadzoru powinny współpracować i wymieniać się z EIOPA wszystkimi istotnymi informacjami, tak aby EIOPA mogła w pełni uczestniczyć w procesie zatwierdzania modelu wewnętrznego grupy.</w:t>
      </w:r>
    </w:p>
    <w:p>
      <w:pPr>
        <w:pStyle w:val="ManualConsidrant"/>
        <w:rPr>
          <w:noProof/>
        </w:rPr>
      </w:pPr>
      <w:r>
        <w:lastRenderedPageBreak/>
        <w:t>(9)</w:t>
      </w:r>
      <w:r>
        <w:tab/>
      </w:r>
      <w:r>
        <w:rPr>
          <w:noProof/>
        </w:rPr>
        <w:t xml:space="preserve">W celu uwzględnienia nowej struktury zespołów na podstawie rozporządzenia (UE) nr 1094/2010, należy zmienić odpowiednie przepisy dyrektywy Wypłacalność II dotyczące zespołów w celu dostosowania ich do nowej procedury wiążącej mediacji przewidzianej w tym rozporządzeniu.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rStyle w:val="None"/>
          <w:noProof/>
        </w:rPr>
        <w:t>Aby uwzględnić zastąpienie Komitetu Europejskich Inspektorów ds. Ubezpieczeń i Emerytur Pracowniczych (CEIOPS) przez EIOPA, w dyrektywie Wypłacalność II należy skreślić odniesienia do CEIOPS.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Należy zatem odpowiednio zmienić dyrektywę 2009/138/WE,</w:t>
      </w:r>
    </w:p>
    <w:p>
      <w:pPr>
        <w:pStyle w:val="Formuledadoption"/>
        <w:rPr>
          <w:noProof/>
        </w:rPr>
      </w:pPr>
      <w:r>
        <w:rPr>
          <w:noProof/>
        </w:rPr>
        <w:t>PRZYJMUJĄ NINIEJSZĄ DYREKTYWĘ: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Zmiany dyrektywy 2014/65/UE</w:t>
      </w:r>
    </w:p>
    <w:p>
      <w:pPr>
        <w:spacing w:after="200"/>
        <w:rPr>
          <w:noProof/>
        </w:rPr>
      </w:pPr>
      <w:r>
        <w:rPr>
          <w:noProof/>
        </w:rPr>
        <w:t>W dyrektywie 2014/65/UE wprowadza się następujące zmiany:</w:t>
      </w:r>
    </w:p>
    <w:p>
      <w:pPr>
        <w:spacing w:after="200"/>
        <w:rPr>
          <w:noProof/>
        </w:rPr>
      </w:pPr>
      <w:r>
        <w:rPr>
          <w:noProof/>
        </w:rPr>
        <w:t>1) w art. 1 wprowadza się następujące zmiany:</w:t>
      </w:r>
    </w:p>
    <w:p>
      <w:pPr>
        <w:spacing w:after="200"/>
        <w:ind w:firstLine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>ust. 1 otrzymuje brzmienie:</w:t>
      </w:r>
    </w:p>
    <w:p>
      <w:pPr>
        <w:spacing w:after="200"/>
        <w:ind w:left="720"/>
        <w:rPr>
          <w:noProof/>
        </w:rPr>
      </w:pPr>
      <w:r>
        <w:rPr>
          <w:noProof/>
        </w:rPr>
        <w:t>„1.</w:t>
      </w:r>
      <w:r>
        <w:rPr>
          <w:noProof/>
        </w:rPr>
        <w:tab/>
        <w:t>Niniejszą dyrektywę stosuje się do firm inwestycyjnych, operatorów rynków oraz firm z państw trzecich świadczących usługi inwestycyjne lub prowadzących działalność inwestycyjną poprzez utworzenie oddziału w Unii.”;</w:t>
      </w:r>
    </w:p>
    <w:p>
      <w:pPr>
        <w:spacing w:after="200"/>
        <w:ind w:firstLine="720"/>
        <w:rPr>
          <w:noProof/>
        </w:rPr>
      </w:pPr>
      <w:r>
        <w:rPr>
          <w:noProof/>
        </w:rPr>
        <w:t>b) w ust. 2 uchyla się lit. d);</w:t>
      </w:r>
    </w:p>
    <w:p>
      <w:pPr>
        <w:spacing w:after="200"/>
        <w:rPr>
          <w:noProof/>
        </w:rPr>
      </w:pPr>
      <w:r>
        <w:rPr>
          <w:noProof/>
        </w:rPr>
        <w:t xml:space="preserve">2) w art. 4 ust. 1 wprowadza się następujące zmiany: </w:t>
      </w:r>
    </w:p>
    <w:p>
      <w:pPr>
        <w:spacing w:after="200"/>
        <w:ind w:left="720"/>
        <w:rPr>
          <w:noProof/>
        </w:rPr>
      </w:pPr>
      <w:r>
        <w:rPr>
          <w:noProof/>
        </w:rPr>
        <w:t>a) pkt 36) i 37) otrzymują brzmienie:</w:t>
      </w:r>
    </w:p>
    <w:p>
      <w:pPr>
        <w:spacing w:after="200"/>
        <w:ind w:left="720"/>
        <w:rPr>
          <w:noProof/>
        </w:rPr>
      </w:pPr>
      <w:r>
        <w:rPr>
          <w:noProof/>
        </w:rPr>
        <w:t>„36)</w:t>
      </w:r>
      <w:r>
        <w:rPr>
          <w:noProof/>
        </w:rPr>
        <w:tab/>
        <w:t>„organ zarządzający” oznacza organ bądź organy firmy inwestycyjnej lub operatora rynku, wyznaczone zgodnie z prawem krajowym, które są uprawnione do formułowania strategii firmy, jej celów i ogólnego kierunku jej działalności oraz które nadzorują i monitorują proces podejmowania decyzji w zakresie zarządzania i obejmują osoby, które faktycznie kierują działalnością firmy.</w:t>
      </w:r>
      <w:r>
        <w:rPr>
          <w:noProof/>
          <w:highlight w:val="yellow"/>
        </w:rPr>
        <w:t xml:space="preserve"> </w:t>
      </w:r>
    </w:p>
    <w:p>
      <w:pPr>
        <w:spacing w:after="200"/>
        <w:ind w:left="720"/>
        <w:rPr>
          <w:noProof/>
        </w:rPr>
      </w:pPr>
      <w:r>
        <w:rPr>
          <w:noProof/>
        </w:rPr>
        <w:t xml:space="preserve">W przypadku gdy w niniejszej dyrektywie zawarte są odniesienia do organu zarządzającego a zgodnie z prawem krajowym funkcja zarządcza i funkcja nadzorcza organu zarządzającego są przypisane różnym organom lub różnym członkom jednego organu, państwa członkowskie wskazują organy lub odpowiedzialnych członków organu zarządzającego odpowiedzialnych zgodnie z przepisami krajowymi, chyba że w niniejszej dyrektywie określono inaczej; </w:t>
      </w:r>
    </w:p>
    <w:p>
      <w:pPr>
        <w:spacing w:after="200"/>
        <w:ind w:left="720"/>
        <w:rPr>
          <w:noProof/>
        </w:rPr>
      </w:pPr>
      <w:r>
        <w:rPr>
          <w:noProof/>
        </w:rPr>
        <w:t>37)</w:t>
      </w:r>
      <w:r>
        <w:rPr>
          <w:noProof/>
        </w:rPr>
        <w:tab/>
        <w:t>„kadra kierownicza wyższego szczebla” oznacza osoby fizyczne, które sprawują funkcje wykonawcze w firmie inwestycyjnej lub w operatorze rynku i które są odpowiedzialne za bieżące zarządzanie danym podmiotem i składają z niego sprawozdania organowi zarządzającemu, w tym za realizację polityki w zakresie dystrybucji usług i produktów na rzecz klientów przez firmę i jej pracowników;”;</w:t>
      </w:r>
    </w:p>
    <w:p>
      <w:pPr>
        <w:pStyle w:val="Text1"/>
        <w:ind w:left="720"/>
        <w:rPr>
          <w:noProof/>
        </w:rPr>
      </w:pPr>
      <w:r>
        <w:rPr>
          <w:noProof/>
        </w:rPr>
        <w:t xml:space="preserve">c) uchyla się pkt 52), 53), 54) i 55) lit. c). </w:t>
      </w:r>
    </w:p>
    <w:p>
      <w:pPr>
        <w:pStyle w:val="Text1"/>
        <w:ind w:left="0"/>
        <w:rPr>
          <w:noProof/>
        </w:rPr>
      </w:pPr>
      <w:r>
        <w:rPr>
          <w:noProof/>
        </w:rPr>
        <w:t>3) uchyla się tytuł V;</w:t>
      </w:r>
    </w:p>
    <w:p>
      <w:pPr>
        <w:pStyle w:val="Text1"/>
        <w:ind w:left="0"/>
        <w:rPr>
          <w:noProof/>
        </w:rPr>
      </w:pPr>
      <w:r>
        <w:rPr>
          <w:noProof/>
        </w:rPr>
        <w:lastRenderedPageBreak/>
        <w:t>4) w art. 70 wprowadza się następujące zmiany:</w:t>
      </w:r>
    </w:p>
    <w:p>
      <w:pPr>
        <w:pStyle w:val="Text1"/>
        <w:ind w:left="0" w:firstLine="720"/>
        <w:rPr>
          <w:noProof/>
        </w:rPr>
      </w:pPr>
      <w:r>
        <w:rPr>
          <w:noProof/>
        </w:rPr>
        <w:t xml:space="preserve">a) w ust. 3 lit. a) uchyla się podpunkty (xxxvii)–(xxxx); </w:t>
      </w:r>
    </w:p>
    <w:p>
      <w:pPr>
        <w:pStyle w:val="Text1"/>
        <w:ind w:left="0" w:firstLine="720"/>
        <w:rPr>
          <w:noProof/>
        </w:rPr>
      </w:pPr>
      <w:r>
        <w:rPr>
          <w:noProof/>
        </w:rPr>
        <w:t>b) ust. 4 lit. a) otrzymuje brzmienie:</w:t>
      </w:r>
    </w:p>
    <w:p>
      <w:pPr>
        <w:spacing w:after="200"/>
        <w:ind w:firstLine="720"/>
        <w:rPr>
          <w:noProof/>
        </w:rPr>
      </w:pPr>
      <w:r>
        <w:rPr>
          <w:noProof/>
        </w:rPr>
        <w:t>„a) art. 5, art. 6 ust. 2, art. 34, 35, 39 lub 44 niniejszej dyrektywy; lub”;</w:t>
      </w:r>
    </w:p>
    <w:p>
      <w:pPr>
        <w:pStyle w:val="Text1"/>
        <w:ind w:left="0" w:firstLine="720"/>
        <w:rPr>
          <w:noProof/>
        </w:rPr>
      </w:pPr>
      <w:r>
        <w:rPr>
          <w:noProof/>
        </w:rPr>
        <w:t>c) ust. 6 lit. c) otrzymuje brzmienie:</w:t>
      </w:r>
    </w:p>
    <w:p>
      <w:pPr>
        <w:spacing w:after="200"/>
        <w:ind w:left="720"/>
        <w:rPr>
          <w:noProof/>
        </w:rPr>
      </w:pPr>
      <w:r>
        <w:rPr>
          <w:noProof/>
        </w:rPr>
        <w:t>„c) w przypadku firmy inwestycyjnej, operatora rynku uprawnionego do prowadzenia MTF lub OTF, bądź też rynku regulowanego, cofnięcie lub zawieszenie udzielonego instytucji zezwolenia zgodnie z art. 8 i 43;”;</w:t>
      </w:r>
    </w:p>
    <w:p>
      <w:pPr>
        <w:spacing w:after="200"/>
        <w:rPr>
          <w:noProof/>
        </w:rPr>
      </w:pPr>
      <w:r>
        <w:rPr>
          <w:noProof/>
        </w:rPr>
        <w:t>5) art. 71 ust. 6 otrzymuje brzmienie:</w:t>
      </w:r>
    </w:p>
    <w:p>
      <w:pPr>
        <w:spacing w:after="200"/>
        <w:rPr>
          <w:noProof/>
        </w:rPr>
      </w:pPr>
      <w:r>
        <w:rPr>
          <w:noProof/>
        </w:rPr>
        <w:t>„6.   W przypadku gdy opublikowana kara administracyjna lub sankcja karna dotyczy firmy inwestycyjnej, operatora rynku, instytucji kredytowej w związku z usługami inwestycyjnymi i działalnością inwestycyjną lub usługami dodatkowymi bądź oddziałów firm z państw trzecich uprawnionych zgodnie z niniejszą dyrektywą, EUNGiPW dodaje wzmiankę do opublikowanej kary w odpowiednim rejestrze.”;</w:t>
      </w:r>
    </w:p>
    <w:p>
      <w:pPr>
        <w:spacing w:after="200"/>
        <w:rPr>
          <w:noProof/>
        </w:rPr>
      </w:pPr>
      <w:r>
        <w:rPr>
          <w:noProof/>
        </w:rPr>
        <w:t>6) art. 77 ust. 1 akapit pierwszy zdanie wprowadzające otrzymuje brzmienie:</w:t>
      </w:r>
    </w:p>
    <w:p>
      <w:pPr>
        <w:pBdr>
          <w:bottom w:val="single" w:sz="6" w:space="1" w:color="auto"/>
        </w:pBdr>
        <w:spacing w:after="200"/>
        <w:rPr>
          <w:noProof/>
        </w:rPr>
      </w:pPr>
      <w:r>
        <w:rPr>
          <w:noProof/>
        </w:rPr>
        <w:t xml:space="preserve">„Państwa członkowskie zapewniają przynajmniej, aby każda osoba upoważniona w rozumieniu dyrektywy 2006/43/WE Parlamentu Europejskiego i Rady*, wykonująca w firmie inwestycyjnej lub na rynku regulowanym zadanie opisane w art. 34 dyrektywy 2013/34/UE lub art. 73 dyrektywy 2009/65/WE bądź jakiekolwiek inne zadanie przewidziane prawem, ma obowiązek niezwłocznego zgłaszania właściwym organom wszelkich faktów lub decyzji dotyczących tego przedsiębiorstwa, o których dowiedziała się w trakcie wykonywania swoich zadań i które mogą: </w:t>
      </w:r>
    </w:p>
    <w:p>
      <w:pPr>
        <w:spacing w:after="200"/>
        <w:rPr>
          <w:noProof/>
        </w:rPr>
      </w:pPr>
      <w:r>
        <w:rPr>
          <w:noProof/>
        </w:rPr>
        <w:t xml:space="preserve">* Dyrektywa 2006/43/WE Parlamentu Europejskiego i Rady z dnia 17 maja 2006 r. w sprawie ustawowych badań rocznych sprawozdań finansowych i skonsolidowanych sprawozdań finansowych, zmieniająca dyrektywy Rady 78/660/EWG i 83/349/EWG oraz uchylająca dyrektywę Rady 84/253/EWG (Dz.U. L 157 z 9.6.2006, s. 87).”; </w:t>
      </w:r>
    </w:p>
    <w:p>
      <w:pPr>
        <w:spacing w:after="200"/>
        <w:rPr>
          <w:noProof/>
        </w:rPr>
      </w:pPr>
      <w:r>
        <w:rPr>
          <w:noProof/>
        </w:rPr>
        <w:t>7) w art. 89 wprowadza się następujące zmiany:</w:t>
      </w:r>
    </w:p>
    <w:p>
      <w:pPr>
        <w:spacing w:after="200"/>
        <w:ind w:firstLine="720"/>
        <w:rPr>
          <w:noProof/>
        </w:rPr>
      </w:pPr>
      <w:r>
        <w:rPr>
          <w:noProof/>
        </w:rPr>
        <w:t>a) ust. 2 otrzymuje brzmienie:</w:t>
      </w:r>
    </w:p>
    <w:p>
      <w:pPr>
        <w:spacing w:after="200"/>
        <w:ind w:left="720"/>
        <w:rPr>
          <w:noProof/>
        </w:rPr>
      </w:pPr>
      <w:r>
        <w:rPr>
          <w:noProof/>
        </w:rPr>
        <w:t>„2. Uprawnienia do przyjmowania aktów delegowanych, o których mowa w art. 2 ust. 3, art. 4 ust. 1 pkt 2 akapit drugi, art. 4 ust. 2, art. 13 ust. 1, art. 16 ust. 12, art. 23 ust. 4, art. 24 ust. 13, art. 25 ust. 8, art. 27 ust. 9, art. 28 ust. 3, art. 30 ust. 5, art. 31 ust. 4, art. 32 ust. 4, art. 33 ust. 8, art. 52 ust. 4, art. 54 ust. 4, art. 58 ust. 6 i art. 79 ust. 8, powierza się Komisji na czas nieokreślony od dnia 2 lipca 2014 r.”;</w:t>
      </w:r>
    </w:p>
    <w:p>
      <w:pPr>
        <w:spacing w:after="200"/>
        <w:ind w:firstLine="720"/>
        <w:rPr>
          <w:noProof/>
        </w:rPr>
      </w:pPr>
      <w:r>
        <w:rPr>
          <w:noProof/>
        </w:rPr>
        <w:t xml:space="preserve">b) ust. 3 otrzymuje brzmienie: </w:t>
      </w:r>
    </w:p>
    <w:p>
      <w:pPr>
        <w:spacing w:after="200"/>
        <w:ind w:left="720"/>
        <w:rPr>
          <w:noProof/>
        </w:rPr>
      </w:pPr>
      <w:r>
        <w:rPr>
          <w:noProof/>
        </w:rPr>
        <w:t>„3. Przekazanie uprawnień, o których mowa w art. 2 ust. 3, art. 4 ust. 1 pkt 2 akapit drugi, art. 4 ust. 2, art. 13 ust. 1, art. 16 ust. 12, art. 23 ust. 4, art. 24 ust. 13, art. 25 ust. 8, art. 27 ust. 9, art. 28 ust. 3, art. 30 ust. 5, art. 31 ust. 4, art. 32 ust. 4, art. 33 ust. 8, art. 52 ust. 4, art. 54 ust. 4, art. 58 ust. 6 i art. 79 ust. 8, może zostać w dowolnym momencie odwołane przez Parlament Europejski lub przez Radę. Decyzja o odwołaniu kończy przekazanie określonych w niej uprawnień. Decyzja o odwołaniu staje się skuteczna od następnego dnia po jej opublikowaniu w </w:t>
      </w:r>
      <w:r>
        <w:rPr>
          <w:i/>
          <w:noProof/>
        </w:rPr>
        <w:t xml:space="preserve">Dzienniku </w:t>
      </w:r>
      <w:r>
        <w:rPr>
          <w:i/>
          <w:noProof/>
        </w:rPr>
        <w:lastRenderedPageBreak/>
        <w:t>Urzędowym Unii Europejskiej</w:t>
      </w:r>
      <w:r>
        <w:rPr>
          <w:noProof/>
        </w:rPr>
        <w:t xml:space="preserve"> lub w określonym w tej decyzji późniejszym terminie. Nie wpływa ona na ważność jakichkolwiek już obowiązujących aktów delegowanych.”;</w:t>
      </w:r>
    </w:p>
    <w:p>
      <w:pPr>
        <w:spacing w:after="200"/>
        <w:ind w:left="720"/>
        <w:rPr>
          <w:noProof/>
        </w:rPr>
      </w:pPr>
      <w:r>
        <w:rPr>
          <w:noProof/>
        </w:rPr>
        <w:t>c) ust. 5 otrzymuje brzmienie:</w:t>
      </w:r>
    </w:p>
    <w:p>
      <w:pPr>
        <w:spacing w:after="200"/>
        <w:ind w:left="720"/>
        <w:rPr>
          <w:noProof/>
        </w:rPr>
      </w:pPr>
      <w:r>
        <w:rPr>
          <w:noProof/>
        </w:rPr>
        <w:t>„5. Akt delegowany przyjęty zgodnie z art. 2 ust. 3, art. 4 ust. 1 pkt 2 akapit drugi, art. 4 ust. 2, art. 13 ust. 1, art. 16 ust. 12, art. 23 ust. 4, art. 24 ust. 13, art. 25 ust. 8, art. 27 ust. 9, art. 28 ust. 3, art. 30 ust. 5, art. 31 ust. 4, art. 32 ust. 4, art. 33 ust. 8, art. 52 ust. 4, art. 54 ust. 4, art. 58 ust. 6 i art. 79 ust. 8 wchodzi w życie tylko wówczas, gdy ani Parlament Europejski ani Rada nie wyraziły sprzeciwu w terminie trzech miesięcy od przekazania tego aktu Parlamentowi Europejskiemu i Radzie, lub gdy, przed upływem tego terminu, zarówno Parlament Europejski, jak i Rada poinformowały Komisję, że nie wniosą sprzeciwu. Termin ten przedłuża się o trzy miesiące z inicjatywy Parlamentu Europejskiego lub Rady.”;</w:t>
      </w:r>
    </w:p>
    <w:p>
      <w:pPr>
        <w:spacing w:after="200"/>
        <w:rPr>
          <w:noProof/>
        </w:rPr>
      </w:pPr>
      <w:r>
        <w:rPr>
          <w:noProof/>
        </w:rPr>
        <w:t xml:space="preserve">8) w art. 90 uchyla się ust. 2 i 3; </w:t>
      </w:r>
    </w:p>
    <w:p>
      <w:pPr>
        <w:spacing w:after="200"/>
        <w:rPr>
          <w:noProof/>
        </w:rPr>
      </w:pPr>
      <w:r>
        <w:rPr>
          <w:noProof/>
        </w:rPr>
        <w:t>9) art. 93 ust. 1 akapit drugi otrzymuje brzmienie:</w:t>
      </w:r>
    </w:p>
    <w:p>
      <w:pPr>
        <w:pStyle w:val="Text1"/>
        <w:ind w:left="0"/>
        <w:rPr>
          <w:noProof/>
        </w:rPr>
      </w:pPr>
      <w:r>
        <w:rPr>
          <w:noProof/>
        </w:rPr>
        <w:t>„Państwa członkowskie stosują te środki od dnia 3 stycznia 2018 r.”;</w:t>
      </w:r>
    </w:p>
    <w:p>
      <w:pPr>
        <w:spacing w:after="200"/>
        <w:rPr>
          <w:noProof/>
        </w:rPr>
      </w:pPr>
      <w:r>
        <w:rPr>
          <w:noProof/>
        </w:rPr>
        <w:t>10) w załączniku I uchyla się sekcję D.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pStyle w:val="Titrearticle"/>
        <w:rPr>
          <w:b/>
          <w:i w:val="0"/>
          <w:noProof/>
        </w:rPr>
      </w:pPr>
      <w:r>
        <w:rPr>
          <w:b/>
          <w:noProof/>
        </w:rPr>
        <w:t>Zmiany w dyrektywie 2009/138/WE</w:t>
      </w:r>
    </w:p>
    <w:p>
      <w:pPr>
        <w:rPr>
          <w:noProof/>
        </w:rPr>
      </w:pPr>
      <w:r>
        <w:rPr>
          <w:noProof/>
        </w:rPr>
        <w:t>W dyrektywie 2009/138/WE wprowadza się następujące zmiany:</w:t>
      </w:r>
    </w:p>
    <w:p>
      <w:pPr>
        <w:pStyle w:val="Point0"/>
        <w:rPr>
          <w:rStyle w:val="None"/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1)</w:t>
      </w:r>
      <w:r>
        <w:rPr>
          <w:noProof/>
        </w:rPr>
        <w:tab/>
      </w:r>
      <w:r>
        <w:rPr>
          <w:rStyle w:val="None"/>
          <w:noProof/>
        </w:rPr>
        <w:t>w art. 112 ust. 4 dodaje się akapity w brzmieniu: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 xml:space="preserve">„Kiedy organy nadzoru uznają wniosek za kompletny, informują o nim EIOPA. 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Na żądanie EIOPA organy nadzoru dostarczają EIOPA całą dokumentację</w:t>
      </w:r>
      <w:r>
        <w:rPr>
          <w:rFonts w:ascii="Times New Roman" w:hAnsi="Times New Roman"/>
          <w:noProof/>
        </w:rPr>
        <w:t xml:space="preserve"> </w:t>
      </w:r>
      <w:r>
        <w:rPr>
          <w:rStyle w:val="None"/>
          <w:rFonts w:ascii="Times New Roman" w:hAnsi="Times New Roman"/>
          <w:noProof/>
          <w:color w:val="auto"/>
          <w:sz w:val="24"/>
        </w:rPr>
        <w:t>złożoną przez zakład w ramach swojego wniosku.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EIOPA może wydać opinię skierowaną do zainteresowanych organów nadzoru zgodnie z art. 21a ust. 1 lit. a) i art. 29 ust. 1 lit. a) rozporządzenia (UE) nr 1094/2010 w ciągu 4 miesięcy od otrzymania przez zainteresowane organy kompletnego wniosku.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W przypadku gdy zostanie wydana taka opinia organ nadzoru podejmuje decyzję, o której mowa w akapicie pierwszym, zgodnie z tą opinią lub – jeżeli decyzja nie zostanie podjęta zgodnie z tą opinią – przekazuje EIOPA i wnioskodawcy pisemne uzasadnienie.”;</w:t>
      </w:r>
    </w:p>
    <w:p>
      <w:pPr>
        <w:pStyle w:val="Point0"/>
        <w:rPr>
          <w:rStyle w:val="None"/>
          <w:rFonts w:eastAsia="Arial Unicode MS"/>
          <w:noProof/>
          <w:szCs w:val="24"/>
        </w:rPr>
      </w:pPr>
      <w:r>
        <w:rPr>
          <w:noProof/>
        </w:rPr>
        <w:t>2)</w:t>
      </w:r>
      <w:r>
        <w:rPr>
          <w:noProof/>
        </w:rPr>
        <w:tab/>
      </w:r>
      <w:r>
        <w:rPr>
          <w:rStyle w:val="None"/>
          <w:noProof/>
        </w:rPr>
        <w:t>w art. 231 wprowadza się następujące zmiany:</w:t>
      </w:r>
    </w:p>
    <w:p>
      <w:pPr>
        <w:pStyle w:val="Point1"/>
        <w:rPr>
          <w:rStyle w:val="None"/>
          <w:rFonts w:eastAsia="Arial Unicode MS"/>
          <w:noProof/>
          <w:szCs w:val="24"/>
        </w:rPr>
      </w:pPr>
      <w:r>
        <w:rPr>
          <w:noProof/>
        </w:rPr>
        <w:t>a)</w:t>
      </w:r>
      <w:r>
        <w:rPr>
          <w:noProof/>
        </w:rPr>
        <w:tab/>
      </w:r>
      <w:r>
        <w:rPr>
          <w:rStyle w:val="None"/>
          <w:noProof/>
        </w:rPr>
        <w:t>w ust. 1 wprowadza się następujące zmiany:</w:t>
      </w:r>
    </w:p>
    <w:p>
      <w:pPr>
        <w:pStyle w:val="Body"/>
        <w:ind w:left="720" w:firstLine="697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(i) akapit pierwszy otrzymuje brzmienie:</w:t>
      </w:r>
    </w:p>
    <w:p>
      <w:pPr>
        <w:pStyle w:val="Body"/>
        <w:ind w:left="216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lastRenderedPageBreak/>
        <w:t>„1. W przypadku złożenia przez zakład ubezpieczeń lub zakład reasekuracji oraz jego zakłady powiązane bądź wspólnie przez zakłady powiązane z ubezpieczeniową spółką holdingową wniosku o zezwolenie na obliczanie skonsolidowanego kapitałowego wymogu wypłacalności grupy oraz kapitałowego wymogu wypłacalności zakładów ubezpieczeń i zakładów reasekuracji w grupie przy zastosowaniu modelu wewnętrznego zainteresowane organy nadzoru podejmują współpracę między sobą oraz z EIOPA w celu przyjęcia decyzji o udzieleniu lub odmowie udzielenia takiego zezwolenia oraz w celu określenia ewentualnych warunków, którym ono podlega.”;</w:t>
      </w:r>
    </w:p>
    <w:p>
      <w:pPr>
        <w:pStyle w:val="Body"/>
        <w:ind w:left="720" w:firstLine="720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(ii) akapit trzeci otrzymuje brzmienie:</w:t>
      </w:r>
    </w:p>
    <w:p>
      <w:pPr>
        <w:pStyle w:val="Body"/>
        <w:ind w:left="216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„Organ sprawujący nadzór nad grupą bezzwłocznie informuje o otrzymaniu wniosku pozostałych członków kolegium organów nadzoru i niezwłocznie przekazuje kompletny wniosek wraz z dokumentacją złożoną przez zakład członkom kolegium, w tym EIOPA.”;</w:t>
      </w:r>
    </w:p>
    <w:p>
      <w:pPr>
        <w:pStyle w:val="Point1"/>
        <w:rPr>
          <w:rStyle w:val="None"/>
          <w:rFonts w:eastAsia="Arial Unicode MS"/>
          <w:noProof/>
          <w:szCs w:val="24"/>
        </w:rPr>
      </w:pPr>
      <w:r>
        <w:rPr>
          <w:noProof/>
        </w:rPr>
        <w:t>b)</w:t>
      </w:r>
      <w:r>
        <w:rPr>
          <w:noProof/>
        </w:rPr>
        <w:tab/>
      </w:r>
      <w:r>
        <w:rPr>
          <w:rStyle w:val="None"/>
          <w:noProof/>
        </w:rPr>
        <w:t>dodaje się nowy ust. 2b w brzmieniu: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 xml:space="preserve">„2b. W przypadku gdy EIOPA uzna, że wniosek, o którym mowa w akapicie pierwszym, reprezentuje szczególne kwestie, jeśli chodzi o spójność zatwierdzeń wniosków dotyczących modeli wewnętrznych w całej Unii, EIOPA może wydać opinię skierowaną do organów nadzoru zgodnie z art. 21a ust. 1 lit. a) i art. 29 ust. 1 lit. a) rozporządzenia (UE) nr 1094/2010 w ciągu 4 miesięcy od otrzymania kompletnego wniosku przez organ sprawujący nadzór nad grupą. 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W przypadku gdy zostanie wydana taka opinia organy nadzoru przyjmują wspólną decyzję, o której mowa w akapicie drugim, zgodnie z tą opinią lub – jeżeli wspólna decyzja nie zostanie przyjęta zgodnie z tą opinią – przekazują EIOPA i wnioskodawcy pisemne uzasadnienie.”;</w:t>
      </w:r>
    </w:p>
    <w:p>
      <w:pPr>
        <w:pStyle w:val="Point1"/>
        <w:rPr>
          <w:rStyle w:val="None"/>
          <w:rFonts w:eastAsia="Calibri"/>
          <w:noProof/>
          <w:szCs w:val="24"/>
          <w:bdr w:val="none" w:sz="0" w:space="0" w:color="auto" w:frame="1"/>
        </w:rPr>
      </w:pPr>
      <w:r>
        <w:rPr>
          <w:noProof/>
        </w:rPr>
        <w:t>c)</w:t>
      </w:r>
      <w:r>
        <w:rPr>
          <w:noProof/>
        </w:rPr>
        <w:tab/>
      </w:r>
      <w:r>
        <w:rPr>
          <w:rStyle w:val="None"/>
          <w:noProof/>
        </w:rPr>
        <w:t>w ust. 3 wprowadza się następujące zmiany:</w:t>
      </w:r>
    </w:p>
    <w:p>
      <w:pPr>
        <w:pStyle w:val="Body"/>
        <w:ind w:left="720" w:firstLine="697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(i) akapit pierwszy otrzymuje brzmienie:</w:t>
      </w:r>
    </w:p>
    <w:p>
      <w:pPr>
        <w:pStyle w:val="Body"/>
        <w:ind w:left="1440"/>
        <w:jc w:val="both"/>
        <w:rPr>
          <w:rStyle w:val="None"/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„Jeżeli w ciągu sześciomiesięcznego okresu, o którym mowa w ust. 2, którykolwiek z zainteresowanych organów nadzoru skierował sprawę do EIOPA zgodnie z art. 19 rozporządzenia (UE) nr 1094/2010 bądź EIOPA udziela pomocy organom nadzoru z własnej inicjatywy zgodnie z art. 19 ust. 1 lit. b) tego rozporządzenia, organ sprawujący nadzór nad grupą odracza decyzję do momentu przyjęcia decyzji przez EIOPA zgodnie z art. 19 ust. 3 tego rozporządzenia, i podejmuje decyzję zgodną z decyzją EIOPA.</w:t>
      </w:r>
      <w:r>
        <w:rPr>
          <w:rFonts w:ascii="Times New Roman" w:hAnsi="Times New Roman"/>
          <w:noProof/>
        </w:rPr>
        <w:t xml:space="preserve"> Decyzję podjętą przez organ sprawujący nadzór nad grupą </w:t>
      </w:r>
      <w:r>
        <w:rPr>
          <w:rStyle w:val="None"/>
          <w:rFonts w:ascii="Times New Roman" w:hAnsi="Times New Roman"/>
          <w:noProof/>
          <w:color w:val="auto"/>
          <w:sz w:val="24"/>
        </w:rPr>
        <w:t>uznaje się za rozstrzygającą i jest ona stosowana przez zainteresowane organy nadzoru</w:t>
      </w:r>
      <w:r>
        <w:rPr>
          <w:rFonts w:ascii="Times New Roman" w:hAnsi="Times New Roman"/>
          <w:noProof/>
        </w:rPr>
        <w:t>.”;</w:t>
      </w:r>
    </w:p>
    <w:p>
      <w:pPr>
        <w:pStyle w:val="Body"/>
        <w:ind w:left="720" w:firstLine="720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(ii) akapit trzeci zdanie pierwsze otrzymuje brzmienie:</w:t>
      </w:r>
    </w:p>
    <w:p>
      <w:pPr>
        <w:spacing w:before="240"/>
        <w:ind w:left="1440"/>
        <w:rPr>
          <w:rStyle w:val="None"/>
          <w:rFonts w:eastAsia="Arial Unicode MS"/>
          <w:noProof/>
          <w:color w:val="000000"/>
          <w:sz w:val="22"/>
          <w:szCs w:val="24"/>
          <w:bdr w:val="none" w:sz="0" w:space="0" w:color="auto" w:frame="1"/>
        </w:rPr>
      </w:pPr>
      <w:r>
        <w:rPr>
          <w:noProof/>
          <w:color w:val="000000"/>
        </w:rPr>
        <w:lastRenderedPageBreak/>
        <w:t>„W przypadku gdy EIOPA nie wyda decyzji, o której mowa w akapicie drugim, zgodnie z art. 19 ust. 3 rozporządzenia (UE) nr 1094/2010, ostateczna decyzja należy do organu sprawującego nadzór nad grupą.”;</w:t>
      </w:r>
    </w:p>
    <w:p>
      <w:pPr>
        <w:pStyle w:val="Point1"/>
        <w:rPr>
          <w:rStyle w:val="None"/>
          <w:rFonts w:eastAsia="Arial Unicode MS"/>
          <w:noProof/>
          <w:szCs w:val="24"/>
        </w:rPr>
      </w:pPr>
      <w:r>
        <w:rPr>
          <w:noProof/>
        </w:rPr>
        <w:t>d)</w:t>
      </w:r>
      <w:r>
        <w:rPr>
          <w:noProof/>
        </w:rPr>
        <w:tab/>
      </w:r>
      <w:r>
        <w:rPr>
          <w:rStyle w:val="None"/>
          <w:noProof/>
        </w:rPr>
        <w:t>ust. 6 akapit drugi otrzymuje brzmienie: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„Organ sprawujący nadzór nad grupą należycie uwzględnia wszelkie opinie i zastrzeżenia wyrażone w tym sześciomiesięcznym terminie przez inne zainteresowane organy nadzoru i przez EIOPA.”;</w:t>
      </w:r>
    </w:p>
    <w:p>
      <w:pPr>
        <w:pStyle w:val="Point1"/>
        <w:rPr>
          <w:rStyle w:val="None"/>
          <w:rFonts w:eastAsia="Arial Unicode MS"/>
          <w:noProof/>
          <w:szCs w:val="24"/>
        </w:rPr>
      </w:pPr>
      <w:r>
        <w:rPr>
          <w:noProof/>
        </w:rPr>
        <w:t>e)</w:t>
      </w:r>
      <w:r>
        <w:rPr>
          <w:noProof/>
        </w:rPr>
        <w:tab/>
      </w:r>
      <w:r>
        <w:rPr>
          <w:rStyle w:val="None"/>
          <w:noProof/>
        </w:rPr>
        <w:t>ust. 6 akapit trzeci otrzymuje brzmienie: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„Organ sprawujący nadzór nad grupą przekazuje wnioskodawcy, pozostałym zainteresowanym organom nadzoru oraz EIOPA dokument zawierający jego w pełni uzasadnioną decyzję.”;</w:t>
      </w:r>
    </w:p>
    <w:p>
      <w:pPr>
        <w:pStyle w:val="Point1"/>
        <w:rPr>
          <w:rStyle w:val="None"/>
          <w:rFonts w:eastAsia="Arial Unicode MS"/>
          <w:noProof/>
          <w:szCs w:val="24"/>
        </w:rPr>
      </w:pPr>
      <w:r>
        <w:rPr>
          <w:noProof/>
        </w:rPr>
        <w:t>f)</w:t>
      </w:r>
      <w:r>
        <w:rPr>
          <w:noProof/>
        </w:rPr>
        <w:tab/>
      </w:r>
      <w:r>
        <w:rPr>
          <w:rStyle w:val="None"/>
          <w:noProof/>
        </w:rPr>
        <w:t>dodaje się ust. 6a w brzmieniu: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„6a. Po upływie sześciomiesięcznego okresu, o którym mowa w ust. 2, i zanim organ sprawujący nadzór nad grupą podejmie decyzję, o której mowa w ust. 6, zakład, który złożył wniosek zgodnie z ust. 1, może zwrócić się do EIOPA o udzielenia wsparcia organom nadzoru w osiągnięciu porozumienia, zgodnie z art. 19 rozporządzenia (UE) nr 1094/2010.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 w:frame="1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Organ sprawujący nadzór nad grupą odracza decyzję do momentu przyjęcia decyzji przez EIOPA zgodnie z art. 19 ust. 3 rozporządzenia (UE) nr 1094/2010 i podejmuje decyzję zgodną z decyzją EIOPA. Decyzję podjętą przez organ sprawujący nadzór nad grupą uznaje się za rozstrzygającą i jest ona stosowana przez zainteresowane organy nadzoru.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 xml:space="preserve">EIOPA przyjmuje decyzję w ciągu jednego miesiąca od zakończenia okresu postępowania pojednawczego, o którym mowa w art. 19 ust. 2 rozporządzenia (UE) nr 1094/2010. </w:t>
      </w:r>
    </w:p>
    <w:p>
      <w:pPr>
        <w:pStyle w:val="Body"/>
        <w:ind w:left="720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W przypadku gdy EIOPA nie wyda decyzji, o której mowa w akapicie trzecim, zgodnie z art. 19 ust. 3 rozporządzenia (UE) nr 1094/2010, ostateczna decyzja należy do organu sprawującego nadzór nad grupą. Decyzję podjętą przez organ sprawujący nadzór nad grupą uznaje się za rozstrzygającą i jest ona stosowana przez zainteresowane organy nadzoru.”;</w:t>
      </w:r>
    </w:p>
    <w:p>
      <w:pPr>
        <w:pStyle w:val="Point0"/>
        <w:rPr>
          <w:rStyle w:val="None"/>
          <w:rFonts w:eastAsia="Arial Unicode MS"/>
          <w:noProof/>
          <w:szCs w:val="24"/>
        </w:rPr>
      </w:pPr>
      <w:r>
        <w:rPr>
          <w:noProof/>
        </w:rPr>
        <w:t>3)</w:t>
      </w:r>
      <w:r>
        <w:rPr>
          <w:noProof/>
        </w:rPr>
        <w:tab/>
      </w:r>
      <w:r>
        <w:rPr>
          <w:rStyle w:val="None"/>
          <w:noProof/>
        </w:rPr>
        <w:t>dodaje się art. 231a i 231b w brzmieniu:</w:t>
      </w:r>
    </w:p>
    <w:p>
      <w:pPr>
        <w:pStyle w:val="Titrearticle"/>
        <w:rPr>
          <w:rStyle w:val="None"/>
          <w:rFonts w:eastAsia="Arial Unicode MS"/>
          <w:b/>
          <w:noProof/>
          <w:szCs w:val="24"/>
        </w:rPr>
      </w:pPr>
      <w:r>
        <w:rPr>
          <w:rStyle w:val="None"/>
          <w:i w:val="0"/>
          <w:noProof/>
        </w:rPr>
        <w:t>„</w:t>
      </w:r>
      <w:r>
        <w:rPr>
          <w:rStyle w:val="None"/>
          <w:noProof/>
        </w:rPr>
        <w:t>Artykuł 231a</w:t>
      </w:r>
      <w:r>
        <w:rPr>
          <w:rStyle w:val="None"/>
          <w:rFonts w:eastAsia="Arial Unicode MS"/>
          <w:b/>
          <w:noProof/>
          <w:szCs w:val="24"/>
        </w:rPr>
        <w:br/>
      </w:r>
      <w:r>
        <w:rPr>
          <w:rStyle w:val="None"/>
          <w:b/>
          <w:noProof/>
        </w:rPr>
        <w:t>Zatwierdzanie modeli wewnętrznych przez organy nadzoru</w:t>
      </w:r>
    </w:p>
    <w:p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 xml:space="preserve">1. EIOPA może, z własnej inicjatywy lub na żądanie organów nadzoru bądź zakładów ubezpieczeń lub zakładów reasekuracji, wydać opinię skierowaną do organów nadzoru zgodnie z art. 21a ust. 1 lit. a) i art. 29 ust. 1 lit. a) rozporządzenia (UE) nr 1094/2010 w sprawie modeli wewnętrznych oraz zatwierdzenia wniosków dotyczących modeli </w:t>
      </w:r>
      <w:r>
        <w:rPr>
          <w:rStyle w:val="None"/>
          <w:rFonts w:ascii="Times New Roman" w:hAnsi="Times New Roman"/>
          <w:noProof/>
          <w:color w:val="auto"/>
          <w:sz w:val="24"/>
        </w:rPr>
        <w:lastRenderedPageBreak/>
        <w:t xml:space="preserve">wewnętrznych, jak określono w art. 112–127, art. 230, 231 i 233, w celu wspierania konwergencji praktyk nadzorczych. </w:t>
      </w:r>
    </w:p>
    <w:p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W przypadku gdy EIOPA wyda opinię, o której mowa w akapicie pierwszym, organy nadzoru przyjmują – stosownie do przypadku – swoją decyzję lub wspólną decyzję, zgodnie z tą opinią lub – jeżeli decyzja lub wspólna decyzja nie zostaną przyjęte zgodnie z tą opinią – przekazują EIOPA i wnioskodawcy pisemne uzasadnienie.</w:t>
      </w:r>
    </w:p>
    <w:p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2. W przypadku gdy organy nadzoru przeprowadzają wspólne kontrole na miejscu, w których bierze udział personel EIOPA zgodnie z art. 21 rozporządzenia (UE) nr 1094/2010, badając zakłady lub grupy zakładów stosujące pełen lub częściowy model wewnętrzny zgodnie z art. 112–127, 230, 231 lub 233, personel EIOPA sporządza odrębne sprawozdanie na temat tego modelu wewnętrznego. Sprawozdanie to przedkłada się zarządowi EIOPA.</w:t>
      </w:r>
    </w:p>
    <w:p>
      <w:pPr>
        <w:pStyle w:val="Titrearticle"/>
        <w:rPr>
          <w:rStyle w:val="None"/>
          <w:rFonts w:eastAsia="Arial Unicode MS"/>
          <w:noProof/>
          <w:szCs w:val="24"/>
        </w:rPr>
      </w:pPr>
      <w:r>
        <w:rPr>
          <w:rStyle w:val="None"/>
          <w:noProof/>
        </w:rPr>
        <w:t>Artykuł 231b</w:t>
      </w:r>
      <w:r>
        <w:rPr>
          <w:rStyle w:val="None"/>
          <w:rFonts w:eastAsia="Arial Unicode MS"/>
          <w:b/>
          <w:noProof/>
          <w:szCs w:val="24"/>
        </w:rPr>
        <w:br/>
      </w:r>
      <w:r>
        <w:rPr>
          <w:rStyle w:val="None"/>
          <w:b/>
          <w:noProof/>
        </w:rPr>
        <w:t>Przegląd</w:t>
      </w:r>
    </w:p>
    <w:p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 xml:space="preserve">1. EIOPA corocznie przedkłada Parlamentowi Europejskiemu, Radzie i Komisji sprawozdanie na temat ogólnych kwestii, jakimi zajmowały się organy nadzoru w procesie zatwierdzania modeli wewnętrznych lub ich zmian zgodnie z art. 112–127, 230, 231 i 233. </w:t>
      </w:r>
    </w:p>
    <w:p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Organy nadzoru przekazują EIOPA informacje, które EIOPA uzna za istotne do sporządzenia takiego sprawozdania.</w:t>
      </w:r>
    </w:p>
    <w:p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2. EIOPA przedstawia Komisji – do dnia 1 stycznia 2020 r. i po przeprowadzeniu konsultacji publicznych – opinię w sprawie stosowania art. 112–127, 230, 231 i 233 przez organy nadzoru, a także aktów delegowanych i wykonawczych standardów technicznych przyjętych na podstawie tych artykułów. Opinia ta obejmuje również ocenę wszelkich rozbieżności w modelach wewnętrznych w obrębie Unii.</w:t>
      </w:r>
    </w:p>
    <w:p>
      <w:pPr>
        <w:pStyle w:val="Body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  <w:r>
        <w:rPr>
          <w:rStyle w:val="None"/>
          <w:rFonts w:ascii="Times New Roman" w:hAnsi="Times New Roman"/>
          <w:noProof/>
          <w:color w:val="auto"/>
          <w:sz w:val="24"/>
        </w:rPr>
        <w:t>3. W oparciu o opinię przedłożoną przez EIOPA zgodnie z ust. 2 Komisja przedkłada sprawozdanie Parlamentowi Europejskiemu i Radzie w sprawie stosowania art. 112–127, 230, 231 i 233 przez organy nadzoru, a także aktów delegowanych i wykonawczych standardów technicznych przyjętych na podstawie tych artykułów, do dnia 1 stycznia 2021 r.”;</w:t>
      </w:r>
    </w:p>
    <w:p>
      <w:pPr>
        <w:pStyle w:val="Point0"/>
        <w:rPr>
          <w:rStyle w:val="None"/>
          <w:noProof/>
          <w:szCs w:val="24"/>
        </w:rPr>
      </w:pPr>
      <w:r>
        <w:rPr>
          <w:noProof/>
        </w:rPr>
        <w:t>4)</w:t>
      </w:r>
      <w:r>
        <w:rPr>
          <w:noProof/>
        </w:rPr>
        <w:tab/>
      </w:r>
      <w:r>
        <w:rPr>
          <w:rStyle w:val="None"/>
          <w:noProof/>
        </w:rPr>
        <w:t>art. 237 ust. 3 akapit trzeci zdanie pierwsze otrzymuje brzmienie:</w:t>
      </w:r>
    </w:p>
    <w:p>
      <w:pPr>
        <w:spacing w:before="240"/>
        <w:ind w:left="720"/>
        <w:rPr>
          <w:rStyle w:val="None"/>
          <w:rFonts w:eastAsia="Arial Unicode MS"/>
          <w:i/>
          <w:noProof/>
          <w:color w:val="000000"/>
          <w:sz w:val="22"/>
          <w:szCs w:val="24"/>
          <w:bdr w:val="none" w:sz="0" w:space="0" w:color="auto" w:frame="1"/>
        </w:rPr>
      </w:pPr>
      <w:r>
        <w:rPr>
          <w:noProof/>
          <w:color w:val="000000"/>
        </w:rPr>
        <w:t>„Jeżeli EIOPA nie wyda decyzji, o której mowa w akapicie</w:t>
      </w:r>
      <w:r>
        <w:rPr>
          <w:noProof/>
        </w:rPr>
        <w:t xml:space="preserve"> drugim,</w:t>
      </w:r>
      <w:r>
        <w:rPr>
          <w:rStyle w:val="None"/>
          <w:noProof/>
        </w:rPr>
        <w:t xml:space="preserve"> </w:t>
      </w:r>
      <w:r>
        <w:rPr>
          <w:noProof/>
          <w:color w:val="000000"/>
        </w:rPr>
        <w:t>na podstawie art. 19 ust. 3 rozporządzenia (UE) nr 1094/2010, ostateczna decyzja należy do organu sprawującego nadzór nad grupą.”; oraz</w:t>
      </w:r>
    </w:p>
    <w:p>
      <w:pPr>
        <w:pStyle w:val="Point0"/>
        <w:rPr>
          <w:rStyle w:val="None"/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5)</w:t>
      </w:r>
      <w:r>
        <w:rPr>
          <w:noProof/>
        </w:rPr>
        <w:tab/>
      </w:r>
      <w:r>
        <w:rPr>
          <w:rStyle w:val="None"/>
          <w:noProof/>
        </w:rPr>
        <w:t>w art. 248 ust. 4 skreśla się akapit trzeci.</w:t>
      </w:r>
    </w:p>
    <w:p>
      <w:pPr>
        <w:pStyle w:val="Titrearticle"/>
        <w:rPr>
          <w:noProof/>
        </w:rPr>
      </w:pPr>
      <w:r>
        <w:rPr>
          <w:noProof/>
        </w:rPr>
        <w:t>Artykuł 3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Transpozycja</w:t>
      </w:r>
      <w:r>
        <w:rPr>
          <w:b/>
          <w:noProof/>
          <w:highlight w:val="yellow"/>
        </w:rPr>
        <w:t xml:space="preserve">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Państwa członkowskie przyjmują i publikują, do dnia [12/18 miesięcy od daty wejścia w życie] r., przepisy ustawowe, wykonawcze i administracyjne niezbędne do </w:t>
      </w:r>
      <w:r>
        <w:rPr>
          <w:noProof/>
        </w:rPr>
        <w:lastRenderedPageBreak/>
        <w:t>wykonania niniejszej dyrektywy. Przekazują one niezwłocznie Komisji tekst podstawowych przepisów prawa krajowego, przyjętych w dziedzinie objętej niniejszą dyrektywą.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Państwa członkowskie stosują środki w odniesieniu do art. 1 od dnia [36 miesięcy od dnia wejścia w życie], a w odniesieniu do art. 2 od dnia [data rozpoczęcia stosowania zmiany rozporządzenia w sprawie EIOPA].</w:t>
      </w:r>
    </w:p>
    <w:p>
      <w:pPr>
        <w:pStyle w:val="Titrearticle"/>
      </w:pPr>
      <w:r>
        <w:rPr>
          <w:noProof/>
        </w:rPr>
        <w:t>Artykuł 4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Wejście w życie</w:t>
      </w:r>
    </w:p>
    <w:p>
      <w:pPr>
        <w:rPr>
          <w:noProof/>
        </w:rPr>
      </w:pPr>
      <w:r>
        <w:rPr>
          <w:noProof/>
        </w:rPr>
        <w:t xml:space="preserve">Niniejsza dyrektywa wchodzi w życie </w:t>
      </w:r>
      <w:r>
        <w:t>dwudziestego</w:t>
      </w:r>
      <w:r>
        <w:rPr>
          <w:noProof/>
        </w:rPr>
        <w:t xml:space="preserve"> dnia po jej opublikowaniu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Artykuł 5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Adresaci</w:t>
      </w:r>
    </w:p>
    <w:p>
      <w:pPr>
        <w:keepNext/>
        <w:keepLines/>
        <w:rPr>
          <w:noProof/>
        </w:rPr>
      </w:pPr>
      <w:r>
        <w:rPr>
          <w:noProof/>
        </w:rPr>
        <w:t>Niniejsza dyrektywa skierowana jest do państw członkowskich.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keepNext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p>
      <w:pPr>
        <w:pStyle w:val="Institutionquisigne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Dyrektywa 2014/65/UE w sprawie rynków instrumentów finansowych oraz zmieniająca dyrektywę 2002/92/WE i dyrektywę 2011/61/UE (Dz.U. L 173 z 12.6.2014, s. 349).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Dyrektywa 2004/39/WE Parlamentu Europejskiego i Rady z dnia 21 kwietnia 2004 r. w sprawie rynków instrumentów finansowych zmieniająca dyrektywę Rady 85/611/EWG i 93/6/EWG i dyrektywę 2000/12/WE Parlamentu Europejskiego i Rady oraz uchylająca dyrektywę Rady 93/22/EWG (Dz.U. L 145 z 30.4.2004, s. 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nr 600/2014 z dnia 15 maja 2014 r. w sprawie rynków instrumentów finansowych oraz zmieniające rozporządzenie (UE) nr 648/2012 (Dz.U. L 173 z 12.6.2014, s. 84).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Dyrektywa Parlamentu Europejskiego i Rady 2009/138/WE z dnia 25 listopada 2009 r. w sprawie podejmowania i prowadzenia działalności ubezpieczeniowej i reasekuracyjnej (Wypłacalność II) (Dz.U. L 335 z 17.12.2009, s. 1).</w:t>
      </w:r>
    </w:p>
  </w:footnote>
  <w:footnote w:id="5">
    <w:p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ab/>
        <w:t>Dz.U. C  z , s. 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Dz.U. C  z , s. 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nr 600/2014 z dnia 15 maja 2014 r. w sprawie rynków instrumentów finansowych oraz zmieniające rozporządzenie (UE) nr 648/2012 (Dz.U. L 173 z 12.6.2014, s. 84).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Dyrektywa Parlamentu Europejskiego i Rady 2009/138/WE z dnia 25 listopada 2009 r. w sprawie podejmowania i prowadzenia działalności ubezpieczeniowej i reasekuracyjnej (Wypłacalność II) (Dz.U. L 335 z 17.12.2009, s.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336FE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33AF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938BA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B3C69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08AB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486F1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8A033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1-10 16:17:5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26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D83A8CD-F923-4527-8791-89A478399A2B"/>
    <w:docVar w:name="LW_COVERPAGE_TYPE" w:val="1"/>
    <w:docVar w:name="LW_CROSSREFERENCE" w:val="&lt;UNUSED&gt;"/>
    <w:docVar w:name="LW_DocType" w:val="COM"/>
    <w:docVar w:name="LW_EMISSION" w:val="20.9.2017"/>
    <w:docVar w:name="LW_EMISSION_ISODATE" w:val="2017-09-20"/>
    <w:docVar w:name="LW_EMISSION_LOCATION" w:val="BRX"/>
    <w:docVar w:name="LW_EMISSION_PREFIX" w:val="Bruksela, dnia "/>
    <w:docVar w:name="LW_EMISSION_SUFFIX" w:val=" r.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kst maj\u261?cy znaczenie dla EOG)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31"/>
    <w:docVar w:name="LW_REF.II.NEW.CP_YEAR" w:val="2017"/>
    <w:docVar w:name="LW_REF.INST.NEW" w:val="COM"/>
    <w:docVar w:name="LW_REF.INST.NEW_ADOPTED" w:val="final"/>
    <w:docVar w:name="LW_REF.INST.NEW_TEXT" w:val="(2017) 5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Wniosek"/>
    <w:docVar w:name="LW_SUPERTITRE" w:val="&lt;UNUSED&gt;"/>
    <w:docVar w:name="LW_TITRE.OBJ.CP" w:val="zmieniaj\u261?ca dyrektyw\u281? 2014/65/UE w sprawie rynków instrumentów finansowych oraz dyrektyw\u281? 2009/138/WE w sprawie podejmowania i prowadzenia dzia\u322?alno\u347?ci ubezpieczeniowej i reasekuracyjnej (Wyp\u322?acalno\u347?\u263? II)"/>
    <w:docVar w:name="LW_TYPE.DOC.CP" w:val="DYREKTYW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customStyle="1" w:styleId="None">
    <w:name w:val="None"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customStyle="1" w:styleId="None">
    <w:name w:val="None"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9804-E987-4B33-8670-A7F9015C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15</Pages>
  <Words>4484</Words>
  <Characters>27849</Characters>
  <Application>Microsoft Office Word</Application>
  <DocSecurity>0</DocSecurity>
  <Lines>488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2017-09-15T15:54:00Z</cp:lastPrinted>
  <dcterms:created xsi:type="dcterms:W3CDTF">2017-11-06T09:28:00Z</dcterms:created>
  <dcterms:modified xsi:type="dcterms:W3CDTF">2017-11-10T15:17:00Z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SJ-024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