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3" w:rsidRDefault="006F241D" w:rsidP="006F241D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0516DE75-1236-4D2F-B001-303453CE5FF4" style="width:450.2pt;height:394.75pt">
            <v:imagedata r:id="rId12" o:title=""/>
          </v:shape>
        </w:pict>
      </w:r>
    </w:p>
    <w:bookmarkEnd w:id="0"/>
    <w:p w:rsidR="00FB17F3" w:rsidRDefault="00FB17F3">
      <w:pPr>
        <w:pStyle w:val="Pagedecouverture"/>
        <w:rPr>
          <w:noProof/>
        </w:rPr>
        <w:sectPr w:rsidR="00FB17F3" w:rsidSect="006F24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FB17F3" w:rsidRDefault="00FB17F3">
      <w:pPr>
        <w:rPr>
          <w:noProof/>
        </w:rPr>
      </w:pPr>
      <w:bookmarkStart w:id="1" w:name="_GoBack"/>
      <w:bookmarkEnd w:id="1"/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CCCCCC"/>
          </w:tcPr>
          <w:p w:rsidR="00FB17F3" w:rsidRDefault="006F241D"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Skeda tas-Sommarju Eżekuttiv</w:t>
            </w:r>
          </w:p>
        </w:tc>
      </w:tr>
      <w:tr w:rsidR="00FB17F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B17F3" w:rsidRDefault="006F241D">
            <w:pPr>
              <w:spacing w:before="120" w:after="1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</w:rPr>
              <w:t xml:space="preserve">Valutazzjoni tal-impatt dwar ir-reviżjoni tar-Regolament (KE) Nru 1073/2009 dwar regoli komuni għall-aċċess għas-suq </w:t>
            </w:r>
            <w:r>
              <w:rPr>
                <w:rFonts w:ascii="Tahoma" w:hAnsi="Tahoma"/>
                <w:noProof/>
                <w:color w:val="FFFFFF" w:themeColor="background1"/>
                <w:sz w:val="20"/>
              </w:rPr>
              <w:t>internazzjonali tas-servizzi tal-kowċ u x-xarabank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CCCCCC"/>
          </w:tcPr>
          <w:p w:rsidR="00FB17F3" w:rsidRDefault="006F241D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A. Ħtieġa li tittieħed azzjoni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0E0E0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X’inhi l-problema u għaliex hi problema fil-livell tal-UE?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Il-problemi ewlenin huma li: 1) l-operaturi qed isibu bosta xkiel fis-swieq nazzjonali biex joħolqu servizzi ta</w:t>
            </w:r>
            <w:r>
              <w:rPr>
                <w:rFonts w:ascii="Tahoma" w:hAnsi="Tahoma"/>
                <w:noProof/>
                <w:sz w:val="20"/>
              </w:rPr>
              <w:t>l-kowċ interurbani u 2) il-modi sostenibbli tat-trasport tal-passiġġieri għandhom sehem żgħir. Iċ-ċittadini qed iġarrbu nuqqas ta’ konnettività. Qed ibatu minħabba żieda fl-inċidenti, xi drabi fatali, l-emissjonijiet u l-konġestjonijiet għax żdiedu l-karoz</w:t>
            </w:r>
            <w:r>
              <w:rPr>
                <w:rFonts w:ascii="Tahoma" w:hAnsi="Tahoma"/>
                <w:noProof/>
                <w:sz w:val="20"/>
              </w:rPr>
              <w:t xml:space="preserve">zi fit-toroq.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X’għandu jinkiseb?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L-għanijiet ġenerali qed jagħmlu l-mobbiltà u l-konnettività interurbani aktar faċli għall-Ewropej u jżidu s-sehem tal-modi sostenibbli tat-trasport.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X’inhu l-valur miżjud ta’ azzjoni fil-livell tal-UE (is-sussidjarjetà)?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Fejn jidħlu r-regoli dwar l-aċċess għas-swieq nazzjonali għas-servizzi tal-kowċ u x-xarabank, fl-UE teżisti frammentazzjoni sħiħa li qed ixxekkel il-kapaċità tat-trasportaturi biex j</w:t>
            </w:r>
            <w:r>
              <w:rPr>
                <w:rFonts w:ascii="Tahoma" w:hAnsi="Tahoma"/>
                <w:noProof/>
                <w:sz w:val="20"/>
              </w:rPr>
              <w:t xml:space="preserve">oħolqu servizzi fi ħdan in-netwerks tal-kowċ pan-Ewropej. Waħedhom, l-Istati Membri la jistgħu jintroduċu regoli uniformi tal-aċċess għas-suq jew lanqas jistgħu jiżguraw il-koerenza u l-koordinazzjoni tagħhom.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CCCCCC"/>
          </w:tcPr>
          <w:p w:rsidR="00FB17F3" w:rsidRDefault="006F241D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B. Soluzzjonijiet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X’inhuma l-għażliet varji biex jinkisbu l-għanijiet? Hemm għażla ppreferuta jew le? Jekk le, għaliex? </w:t>
            </w:r>
          </w:p>
        </w:tc>
      </w:tr>
      <w:tr w:rsidR="00FB17F3">
        <w:trPr>
          <w:trHeight w:val="553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L-għażla 1</w:t>
            </w:r>
            <w:r>
              <w:rPr>
                <w:rFonts w:ascii="Tahoma" w:hAnsi="Tahoma"/>
                <w:noProof/>
                <w:sz w:val="20"/>
              </w:rPr>
              <w:t>: aċċess miftuħ għas-suq tas-servizzi regolari bil-possibbiltà li l-awtorizzazzjoni tiġi rrifjutata jekk tkun kompromessa l-vijabbiltà tal-kun</w:t>
            </w:r>
            <w:r>
              <w:rPr>
                <w:rFonts w:ascii="Tahoma" w:hAnsi="Tahoma"/>
                <w:noProof/>
                <w:sz w:val="20"/>
              </w:rPr>
              <w:t xml:space="preserve">tratt tas-servizz pubbliku (PSC). </w:t>
            </w:r>
          </w:p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L-għażla 2</w:t>
            </w:r>
            <w:r>
              <w:rPr>
                <w:rFonts w:ascii="Tahoma" w:hAnsi="Tahoma"/>
                <w:noProof/>
                <w:sz w:val="20"/>
              </w:rPr>
              <w:t>: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 xml:space="preserve">aċċess miftuħ għas-suq interurban tas-servizzi regolari sa distanzi ta’ 100 km jew iżjed. L-awtorizzazzjoni tista’ tiġi rrifjutata jekk il-vijabbiltà tal-kuntratt tas-servizz pubbliku (PSC) tkun kompromessa. </w:t>
            </w:r>
          </w:p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L-għażla 3</w:t>
            </w:r>
            <w:r>
              <w:rPr>
                <w:rFonts w:ascii="Tahoma" w:hAnsi="Tahoma"/>
                <w:noProof/>
                <w:sz w:val="20"/>
              </w:rPr>
              <w:t>: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>aċċess miftuħ għas-suq interurban tas-servizzi regolari mingħajr proċess tal-awtorizzazzjoni għal servizzi ta’ distanzi twal</w:t>
            </w:r>
            <w:r>
              <w:rPr>
                <w:noProof/>
              </w:rPr>
              <w:t>.</w:t>
            </w:r>
            <w:r>
              <w:rPr>
                <w:rFonts w:ascii="Tahoma" w:hAnsi="Tahoma"/>
                <w:noProof/>
                <w:sz w:val="20"/>
              </w:rPr>
              <w:t xml:space="preserve">    </w:t>
            </w:r>
          </w:p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L-għażla 4</w:t>
            </w:r>
            <w:r>
              <w:rPr>
                <w:rFonts w:ascii="Tahoma" w:hAnsi="Tahoma"/>
                <w:noProof/>
                <w:sz w:val="20"/>
              </w:rPr>
              <w:t>: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 xml:space="preserve">regolamentazzjoni mhux vinkolanti li tħeġġeġ aċċess ġust u mhux diskriminatorju għall-vendi. </w:t>
            </w:r>
          </w:p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L-għażla</w:t>
            </w:r>
            <w:r>
              <w:rPr>
                <w:rFonts w:ascii="Tahoma" w:hAnsi="Tahoma"/>
                <w:b/>
                <w:noProof/>
                <w:sz w:val="20"/>
              </w:rPr>
              <w:t xml:space="preserve"> 5</w:t>
            </w:r>
            <w:r>
              <w:rPr>
                <w:rFonts w:ascii="Tahoma" w:hAnsi="Tahoma"/>
                <w:noProof/>
                <w:sz w:val="20"/>
              </w:rPr>
              <w:t>:</w:t>
            </w:r>
            <w:r>
              <w:rPr>
                <w:noProof/>
              </w:rPr>
              <w:t xml:space="preserve"> </w:t>
            </w:r>
            <w:r>
              <w:rPr>
                <w:rFonts w:ascii="Tahoma" w:hAnsi="Tahoma"/>
                <w:noProof/>
                <w:sz w:val="20"/>
              </w:rPr>
              <w:t xml:space="preserve">regoli dwar l-aċċess ekwu li jeżiġu aċċess ġust u mhux diskriminatorju għall-vendi. </w:t>
            </w:r>
          </w:p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L-għażla ppreferuta hi taħlita tal-Għażla 2 u l-Għażla 5.</w:t>
            </w:r>
          </w:p>
        </w:tc>
      </w:tr>
      <w:tr w:rsidR="00FB17F3">
        <w:tc>
          <w:tcPr>
            <w:tcW w:w="9828" w:type="dxa"/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X’inhuma l-fehmiet differenti tal-partijiet konċernati? Liema għażla u min jappoġġaha? </w:t>
            </w:r>
          </w:p>
        </w:tc>
      </w:tr>
      <w:tr w:rsidR="00FB17F3">
        <w:tc>
          <w:tcPr>
            <w:tcW w:w="9828" w:type="dxa"/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B’mod ġenerali, </w:t>
            </w:r>
            <w:r>
              <w:rPr>
                <w:rFonts w:ascii="Tahoma" w:hAnsi="Tahoma"/>
                <w:noProof/>
                <w:sz w:val="20"/>
              </w:rPr>
              <w:t>il-partijiet konċernati jappoġġaw it-twaqqif ta’ qafas komuni tal-UE, iżda l-fehmiet tal-awtoritajiet nazzjonali huma mħallta. L-opinjonijiet kienu mħallta wkoll fejn tidħol il-kwistjoni li jkun żgurat aċċess għas-swieq nazzjonali tas-servizzi regolari min</w:t>
            </w:r>
            <w:r>
              <w:rPr>
                <w:rFonts w:ascii="Tahoma" w:hAnsi="Tahoma"/>
                <w:noProof/>
                <w:sz w:val="20"/>
              </w:rPr>
              <w:t>għajr diskriminazzjoni u li jitneħħa r-rekwiżit li s-servizzi okkażjonali jkollhom formola tal-vjaġġ (jiġifieri PO1, PO2, &amp; PO3). Kien hemm qbil mifrux li għandha titħaddem il-proċedura tal-awtorizzazzjoni (jiġifieri PO1 &amp; PO2) u titfassal definizzjoni ta’</w:t>
            </w:r>
            <w:r>
              <w:rPr>
                <w:rFonts w:ascii="Tahoma" w:hAnsi="Tahoma"/>
                <w:noProof/>
                <w:sz w:val="20"/>
              </w:rPr>
              <w:t xml:space="preserve"> vendi tal-kowċijiet (jiġifieri PO4 &amp; PO5). Il-biċċa l-kbira tal-partijiet konċernati appoġġaw ukoll it-twaqqif ta’ rekwiżiti komuni biex ikun żgurat li l-aċċess għall-vendi tal-kowċijiet ikun ġust.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CCCCCC"/>
          </w:tcPr>
          <w:p w:rsidR="00FB17F3" w:rsidRDefault="006F241D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C. Impatti tal-għażla ppreferuta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X’inhuma l-benefiċċji </w:t>
            </w:r>
            <w:r>
              <w:rPr>
                <w:rFonts w:ascii="Tahoma" w:hAnsi="Tahoma"/>
                <w:b/>
                <w:noProof/>
                <w:sz w:val="20"/>
              </w:rPr>
              <w:t xml:space="preserve">tal-għażla ppreferuta (jekk hemm, inkella ta’ dawk ewlenin)? </w:t>
            </w:r>
          </w:p>
        </w:tc>
      </w:tr>
      <w:tr w:rsidR="00FB17F3">
        <w:trPr>
          <w:trHeight w:val="1334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Iffrankar kumulattiv nett ta’ EUR 183 miljun fil-kostijiet tal-emissjonijiet tas-CO</w:t>
            </w:r>
            <w:r>
              <w:rPr>
                <w:rFonts w:ascii="Tahoma" w:hAnsi="Tahoma"/>
                <w:noProof/>
                <w:sz w:val="20"/>
                <w:vertAlign w:val="subscript"/>
              </w:rPr>
              <w:t>2</w:t>
            </w:r>
            <w:r>
              <w:rPr>
                <w:rFonts w:ascii="Tahoma" w:hAnsi="Tahoma"/>
                <w:noProof/>
                <w:sz w:val="20"/>
              </w:rPr>
              <w:t xml:space="preserve"> u ffrankar kumulattiv nett ta’ EUR 590 miljun fil-kostijiet tat-tniġġis tal-arja; fl-2030 jinħolqu 85,000 impjieg ġdid; jorħsu n-nollijiet, tiżdied il-frekwenza u titjieb id-disponibbiltà tas-servizzi; in-negozji u l-amministrazzjonijiet jiffrankaw madwar</w:t>
            </w:r>
            <w:r>
              <w:rPr>
                <w:rFonts w:ascii="Tahoma" w:hAnsi="Tahoma"/>
                <w:noProof/>
                <w:sz w:val="20"/>
              </w:rPr>
              <w:t xml:space="preserve"> EUR 1,560 miljun; tiżdied l-attività tat-trasport bil-kowċ b’madwar 11 % fl-2030 meta mqabbel max-xenarju bażi u b’madwar punt perċentwali wieħed mil-lat ta’ sehem modali; tissaħħaħ il-konnettività tal-gruppi soċjali żvantaġġati bi 62 biljun kilometru tal</w:t>
            </w:r>
            <w:r>
              <w:rPr>
                <w:rFonts w:ascii="Tahoma" w:hAnsi="Tahoma"/>
                <w:noProof/>
                <w:sz w:val="20"/>
              </w:rPr>
              <w:t>-passiġġieri fl-2030 meta mqabbel max-xenarju bażi; u l-kostijiet tal-inċidenti jonqsu għal EUR 2.8 biljun.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X’inhuma l-kostijiet tal-għażla ppreferuta (jekk hemm, inkella dawk ewlenin)?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- Impatt ħażin iżda limitat fuq il-modi l-oħra tat-trasport bi tnaq</w:t>
            </w:r>
            <w:r>
              <w:rPr>
                <w:rFonts w:ascii="Tahoma" w:hAnsi="Tahoma"/>
                <w:noProof/>
                <w:sz w:val="20"/>
              </w:rPr>
              <w:t>qis stmat ta’ 4.8% għall-attività tat-trasport ferrovjarju fl-2030 meta mqabbel max-xenarju bażi, għax titjieb il-prestazzjoni tas-servizzi tal-kowċ.</w:t>
            </w:r>
          </w:p>
          <w:p w:rsidR="00FB17F3" w:rsidRDefault="006F241D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- Impatt ħażin fuq uħud mill-kuntratti tas-servizz pubbliku (PSCs) b’telf fl-introjtu mis-servizzi ferrovj</w:t>
            </w:r>
            <w:r>
              <w:rPr>
                <w:rFonts w:ascii="Tahoma" w:hAnsi="Tahoma"/>
                <w:noProof/>
                <w:sz w:val="20"/>
              </w:rPr>
              <w:t>arji tal-PSCs ta’ madwar 1.4 %.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lastRenderedPageBreak/>
              <w:t xml:space="preserve">X’inhuma l-impatti fuq l-SMEs u fuq il-kompetittività?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Ħafna mill-miżuri mhux mistennija jħallu xi impatti partikolari fuq l-SMEs iżda malli jiżdiedu l-opportunitajiet, mistennija tiżdied ukoll l-istimulazzjoni tas-swieq.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Se jkun hemm impatti sinifikanti fuq il-baġits u l-amministrazzjonijiet nazzjonali? </w:t>
            </w:r>
          </w:p>
        </w:tc>
      </w:tr>
      <w:tr w:rsidR="00FB17F3">
        <w:tc>
          <w:tcPr>
            <w:tcW w:w="9828" w:type="dxa"/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L-għażliet ippreferuti jfissru żidiet fil-kostijiet għall-awtoritajiet nazzjonali biex jinfurzaw ir-regoli fuq il-vendi (iżda dawn huma ferm inqas sinifikanti </w:t>
            </w:r>
            <w:r>
              <w:rPr>
                <w:rFonts w:ascii="Tahoma" w:hAnsi="Tahoma"/>
                <w:noProof/>
                <w:sz w:val="20"/>
              </w:rPr>
              <w:t>mill-iffrankar għan-negozji).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Se jkun hemm impatti sinifikanti oħra?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Jiżdied l-ivvjaġġar interurban. Titjieb il-mobbiltà taċ-ċittadini li inkella ma jkunux jifilħu jħallsu biex jivvjaġġaw. Jonqsu l-impatti ħżiena tat-trasport interurban tal-passiġġieri,</w:t>
            </w:r>
            <w:r>
              <w:rPr>
                <w:rFonts w:ascii="Tahoma" w:hAnsi="Tahoma"/>
                <w:noProof/>
                <w:sz w:val="20"/>
              </w:rPr>
              <w:t xml:space="preserve"> bħall-emissjonijiet, l-inċidenti, il-fatalitajiet u l-konġestjonijiet fit-toroq, u tiżdied l-effiċjenza tal-użu tar-riżorsi tat-trasport.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Il-proporzjonalità? </w:t>
            </w:r>
          </w:p>
        </w:tc>
      </w:tr>
      <w:tr w:rsidR="00FB17F3">
        <w:tc>
          <w:tcPr>
            <w:tcW w:w="9828" w:type="dxa"/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i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 xml:space="preserve">L-għażla ppreferuta ma tmurx lil hinn minn dak meħtieġ biex tissolva l-problema oriġinali u </w:t>
            </w:r>
            <w:r>
              <w:rPr>
                <w:rFonts w:ascii="Tahoma" w:hAnsi="Tahoma"/>
                <w:noProof/>
                <w:sz w:val="20"/>
              </w:rPr>
              <w:t>biex jintlaħqu l-għanijiet tal-proposta.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C0C0C0"/>
          </w:tcPr>
          <w:p w:rsidR="00FB17F3" w:rsidRDefault="006F241D">
            <w:pPr>
              <w:spacing w:before="60" w:after="6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>D. Segwitu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E6E6E6"/>
          </w:tcPr>
          <w:p w:rsidR="00FB17F3" w:rsidRDefault="006F241D">
            <w:pPr>
              <w:pStyle w:val="Default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b/>
                <w:noProof/>
                <w:sz w:val="20"/>
              </w:rPr>
              <w:t xml:space="preserve">Meta se tiġi rieżaminata l-politika? </w:t>
            </w:r>
          </w:p>
        </w:tc>
      </w:tr>
      <w:tr w:rsidR="00FB17F3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FB17F3" w:rsidRDefault="006F241D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Ħames snin minn meta jibdew japplikaw ir-regoli.</w:t>
            </w:r>
          </w:p>
        </w:tc>
      </w:tr>
    </w:tbl>
    <w:p w:rsidR="00FB17F3" w:rsidRDefault="00FB17F3">
      <w:pPr>
        <w:rPr>
          <w:rFonts w:ascii="Tahoma" w:hAnsi="Tahoma" w:cs="Tahoma"/>
          <w:noProof/>
          <w:sz w:val="20"/>
          <w:szCs w:val="20"/>
        </w:rPr>
      </w:pPr>
    </w:p>
    <w:sectPr w:rsidR="00FB17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417" w:bottom="1134" w:left="1417" w:header="709" w:footer="709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EFEC13" w15:done="0"/>
  <w15:commentEx w15:paraId="6D01A7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EFEC13" w16cid:durableId="1D893154"/>
  <w16cid:commentId w16cid:paraId="6D01A7CD" w16cid:durableId="1D8930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F3" w:rsidRDefault="006F241D">
      <w:r>
        <w:separator/>
      </w:r>
    </w:p>
  </w:endnote>
  <w:endnote w:type="continuationSeparator" w:id="0">
    <w:p w:rsidR="00FB17F3" w:rsidRDefault="006F241D">
      <w:r>
        <w:continuationSeparator/>
      </w:r>
    </w:p>
  </w:endnote>
  <w:endnote w:type="continuationNotice" w:id="1">
    <w:p w:rsidR="00FB17F3" w:rsidRDefault="00FB1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6F241D" w:rsidRDefault="006F241D" w:rsidP="006F2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6F241D" w:rsidRDefault="006F241D" w:rsidP="006F241D">
    <w:pPr>
      <w:pStyle w:val="FooterCoverPage"/>
      <w:rPr>
        <w:rFonts w:ascii="Arial" w:hAnsi="Arial" w:cs="Arial"/>
        <w:b/>
        <w:sz w:val="48"/>
      </w:rPr>
    </w:pPr>
    <w:r w:rsidRPr="006F241D">
      <w:rPr>
        <w:rFonts w:ascii="Arial" w:hAnsi="Arial" w:cs="Arial"/>
        <w:b/>
        <w:sz w:val="48"/>
      </w:rPr>
      <w:t>MT</w:t>
    </w:r>
    <w:r w:rsidRPr="006F241D">
      <w:rPr>
        <w:rFonts w:ascii="Arial" w:hAnsi="Arial" w:cs="Arial"/>
        <w:b/>
        <w:sz w:val="48"/>
      </w:rPr>
      <w:tab/>
    </w:r>
    <w:r w:rsidRPr="006F241D">
      <w:rPr>
        <w:rFonts w:ascii="Arial" w:hAnsi="Arial" w:cs="Arial"/>
        <w:b/>
        <w:sz w:val="48"/>
      </w:rPr>
      <w:tab/>
    </w:r>
    <w:r w:rsidRPr="006F241D">
      <w:tab/>
    </w:r>
    <w:r w:rsidRPr="006F241D"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6F241D" w:rsidRDefault="006F241D" w:rsidP="006F241D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F3" w:rsidRDefault="00FB17F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05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7F3" w:rsidRDefault="006F2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7F3" w:rsidRDefault="00FB17F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10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7F3" w:rsidRDefault="006F24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7F3" w:rsidRDefault="00FB17F3">
    <w:pPr>
      <w:pStyle w:val="FooterCover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F3" w:rsidRDefault="006F241D">
      <w:r>
        <w:separator/>
      </w:r>
    </w:p>
  </w:footnote>
  <w:footnote w:type="continuationSeparator" w:id="0">
    <w:p w:rsidR="00FB17F3" w:rsidRDefault="006F241D">
      <w:r>
        <w:continuationSeparator/>
      </w:r>
    </w:p>
  </w:footnote>
  <w:footnote w:type="continuationNotice" w:id="1">
    <w:p w:rsidR="00FB17F3" w:rsidRDefault="00FB17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6F241D" w:rsidRDefault="006F241D" w:rsidP="006F2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6F241D" w:rsidRDefault="006F241D" w:rsidP="006F241D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D" w:rsidRPr="006F241D" w:rsidRDefault="006F241D" w:rsidP="006F241D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F3" w:rsidRDefault="00FB17F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F3" w:rsidRDefault="00FB17F3"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F3" w:rsidRDefault="00FB17F3">
    <w:pPr>
      <w:pStyle w:val="HeaderCover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87C"/>
    <w:multiLevelType w:val="hybridMultilevel"/>
    <w:tmpl w:val="7006399E"/>
    <w:lvl w:ilvl="0" w:tplc="23DE7F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C4E1654"/>
    <w:multiLevelType w:val="multilevel"/>
    <w:tmpl w:val="7006399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5FD19AF"/>
    <w:multiLevelType w:val="hybridMultilevel"/>
    <w:tmpl w:val="0E623F1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5832DB6"/>
    <w:multiLevelType w:val="hybridMultilevel"/>
    <w:tmpl w:val="D2EE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B39AB"/>
    <w:multiLevelType w:val="multilevel"/>
    <w:tmpl w:val="0E623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7775577"/>
    <w:multiLevelType w:val="hybridMultilevel"/>
    <w:tmpl w:val="FC98E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VE A3">
    <w15:presenceInfo w15:providerId="None" w15:userId="MOVE 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0516DE75-1236-4D2F-B001-303453CE5FF4"/>
    <w:docVar w:name="LW_COVERPAGE_TYPE" w:val="1"/>
    <w:docVar w:name="LW_CROSSREFERENCE" w:val="{COM(2017) 647 final}_x000d__x000a_{SWD(2017) 358 final}_x000d_"/>
    <w:docVar w:name="LW_DocType" w:val="NORMAL"/>
    <w:docVar w:name="LW_EMISSION" w:val="8.11.2017"/>
    <w:docVar w:name="LW_EMISSION_ISODATE" w:val="2017-11-08"/>
    <w:docVar w:name="LW_EMISSION_LOCATION" w:val="BRX"/>
    <w:docVar w:name="LW_EMISSION_PREFIX" w:val="Brussell,"/>
    <w:docVar w:name="LW_EMISSION_SUFFIX" w:val="&lt;EMPTY&gt;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i jemenda r-Regolament (KE) Nru 1073/2009 dwar regoli komuni g\u295?all-a\u267?\u267?ess g\u295?as-suq internazzjonali tas-servizzi tal-kow\u267? u x-xarabank"/>
    <w:docVar w:name="LW_PART_NBR" w:val="1"/>
    <w:docVar w:name="LW_PART_NBR_TOTAL" w:val="1"/>
    <w:docVar w:name="LW_REF.INST.NEW" w:val="SWD"/>
    <w:docVar w:name="LW_REF.INST.NEW_ADOPTED" w:val="final"/>
    <w:docVar w:name="LW_REF.INST.NEW_TEXT" w:val="(2017) 35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TAL-VALUTAZZJONI TAL-IMPATT_x000b_"/>
    <w:docVar w:name="LW_TYPEACTEPRINCIPAL.CP" w:val="Proposta g\u295?al Regolament tal-Parlament Ewropew u tal-Kunsill"/>
  </w:docVars>
  <w:rsids>
    <w:rsidRoot w:val="00FB17F3"/>
    <w:rsid w:val="006F241D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 w:bidi="ar-SA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24"/>
      <w:szCs w:val="2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 w:bidi="ar-SA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 w:bidi="ar-SA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FF24BEE692C4CA94781A66E31F216" ma:contentTypeVersion="1" ma:contentTypeDescription="Create a new document." ma:contentTypeScope="" ma:versionID="7d6ee1b4a7e3a71187b7d9d3fe1f64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5FE9-6CE3-4E9C-B9CD-1391676A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7B3CE-EE00-43FE-BE10-7423387A8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24173-A8CF-4AAB-BE0C-126D8400FDC0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AA059B-1C49-417A-9622-2CC605EA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4748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ROADMAP (Template)</vt:lpstr>
    </vt:vector>
  </TitlesOfParts>
  <Manager/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(Template)</dc:title>
  <dc:creator/>
  <cp:lastModifiedBy>PAREDES ECHAURI Cristina (CAB-ALMUNIA)</cp:lastModifiedBy>
  <cp:revision>20</cp:revision>
  <cp:lastPrinted>2017-02-23T16:54:00Z</cp:lastPrinted>
  <dcterms:created xsi:type="dcterms:W3CDTF">2017-10-12T07:29:00Z</dcterms:created>
  <dcterms:modified xsi:type="dcterms:W3CDTF">2017-11-15T11:13:00Z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0x010100622FF24BEE692C4CA94781A66E31F216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400</vt:r8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  <property fmtid="{D5CDD505-2E9C-101B-9397-08002B2CF9AE}" pid="11" name="Level of sensitivity">
    <vt:lpwstr>Standard treatment</vt:lpwstr>
  </property>
</Properties>
</file>