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9C8" w:rsidRDefault="005835B3"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0629BE26-94A0-4B61-A619-29729C6A6489" style="width:450.75pt;height:395.25pt">
            <v:imagedata r:id="rId12" o:title=""/>
          </v:shape>
        </w:pict>
      </w:r>
    </w:p>
    <w:bookmarkEnd w:id="0"/>
    <w:p w:rsidR="00EB19C8" w:rsidRDefault="00EB19C8">
      <w:pPr>
        <w:pStyle w:val="Pagedecouverture"/>
        <w:rPr>
          <w:noProof/>
        </w:rPr>
        <w:sectPr w:rsidR="00EB19C8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tbl>
      <w:tblPr>
        <w:tblStyle w:val="TableGrid"/>
        <w:tblW w:w="10188" w:type="dxa"/>
        <w:tblLook w:val="01E0" w:firstRow="1" w:lastRow="1" w:firstColumn="1" w:lastColumn="1" w:noHBand="0" w:noVBand="0"/>
      </w:tblPr>
      <w:tblGrid>
        <w:gridCol w:w="10188"/>
      </w:tblGrid>
      <w:tr w:rsidR="00EB19C8">
        <w:tc>
          <w:tcPr>
            <w:tcW w:w="10188" w:type="dxa"/>
            <w:tcBorders>
              <w:bottom w:val="single" w:sz="4" w:space="0" w:color="auto"/>
            </w:tcBorders>
            <w:shd w:val="clear" w:color="auto" w:fill="CCCCCC"/>
          </w:tcPr>
          <w:p w:rsidR="00EB19C8" w:rsidRDefault="005835B3">
            <w:pPr>
              <w:spacing w:before="60" w:after="60"/>
              <w:jc w:val="center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lastRenderedPageBreak/>
              <w:t>Sažetak</w:t>
            </w:r>
          </w:p>
        </w:tc>
      </w:tr>
    </w:tbl>
    <w:tbl>
      <w:tblPr>
        <w:tblStyle w:val="TableGrid1"/>
        <w:tblW w:w="10188" w:type="dxa"/>
        <w:tblLook w:val="01E0" w:firstRow="1" w:lastRow="1" w:firstColumn="1" w:lastColumn="1" w:noHBand="0" w:noVBand="0"/>
      </w:tblPr>
      <w:tblGrid>
        <w:gridCol w:w="10188"/>
      </w:tblGrid>
      <w:tr w:rsidR="00EB19C8"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hideMark/>
          </w:tcPr>
          <w:p w:rsidR="00EB19C8" w:rsidRDefault="005835B3">
            <w:pPr>
              <w:spacing w:before="120" w:after="120"/>
              <w:jc w:val="both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</w:rPr>
              <w:t>Procjena učinka revizije Direktive 2009/33/EZ</w:t>
            </w:r>
          </w:p>
        </w:tc>
      </w:tr>
      <w:tr w:rsidR="00EB19C8"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B19C8" w:rsidRDefault="005835B3">
            <w:pPr>
              <w:spacing w:before="60" w:after="60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</w:rPr>
              <w:t>A. Potreba za djelovanjem</w:t>
            </w:r>
          </w:p>
        </w:tc>
      </w:tr>
      <w:tr w:rsidR="00EB19C8"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B19C8" w:rsidRDefault="005835B3">
            <w:pPr>
              <w:pStyle w:val="Default"/>
              <w:jc w:val="both"/>
              <w:rPr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</w:rPr>
              <w:t xml:space="preserve">O kojem je problemu riječ i zašto je to problem na razini EU-a? </w:t>
            </w:r>
          </w:p>
        </w:tc>
      </w:tr>
      <w:tr w:rsidR="00EB19C8">
        <w:trPr>
          <w:trHeight w:val="1438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C8" w:rsidRDefault="005835B3">
            <w:pPr>
              <w:spacing w:after="120"/>
              <w:jc w:val="both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</w:rPr>
              <w:t xml:space="preserve">Direktivom o čistim vozilima samo je marginalno ostvaren njezin glavni cilj, odnosno poticanje javne nabave čistih vozila (s niskom razinom emisija ili bez emisija i vozila na druga alternativna goriva). Stoga ona ima ograničeni utjecaj na uvođenje vozila </w:t>
            </w:r>
            <w:r>
              <w:rPr>
                <w:noProof/>
                <w:sz w:val="22"/>
              </w:rPr>
              <w:t>na tržište, na smanjenje emisija CO</w:t>
            </w:r>
            <w:r>
              <w:rPr>
                <w:noProof/>
                <w:sz w:val="22"/>
                <w:vertAlign w:val="subscript"/>
              </w:rPr>
              <w:t>2</w:t>
            </w:r>
            <w:r>
              <w:rPr>
                <w:noProof/>
                <w:sz w:val="22"/>
              </w:rPr>
              <w:t xml:space="preserve"> i onečišćivača zraka iz vozila kupljenih postupkom javne nabave i na konkurentnost sektora. Taj problem posljedica je ograničenog područja primjene Direktive, nejasnih odredaba o kupnji vozila i ograničene uporabe općen</w:t>
            </w:r>
            <w:r>
              <w:rPr>
                <w:noProof/>
                <w:sz w:val="22"/>
              </w:rPr>
              <w:t xml:space="preserve">ito složene metodologije izražavanja novčanom vrijednošću.  </w:t>
            </w:r>
          </w:p>
        </w:tc>
      </w:tr>
      <w:tr w:rsidR="00EB19C8"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EB19C8" w:rsidRDefault="005835B3">
            <w:pPr>
              <w:pStyle w:val="Default"/>
              <w:jc w:val="both"/>
              <w:rPr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</w:rPr>
              <w:t xml:space="preserve">Što bi trebalo postići? </w:t>
            </w:r>
          </w:p>
        </w:tc>
      </w:tr>
      <w:tr w:rsidR="00EB19C8"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C8" w:rsidRDefault="005835B3">
            <w:pPr>
              <w:spacing w:after="120"/>
              <w:jc w:val="both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</w:rPr>
              <w:t>Glavni cilj politike jest pridonijeti održivosti i konkurentnosti cestovnog prijevoza povećanjem javne nabave čistih vozila (vozila s niskom razinom emisija ili bez emi</w:t>
            </w:r>
            <w:r>
              <w:rPr>
                <w:noProof/>
                <w:sz w:val="22"/>
              </w:rPr>
              <w:t>sija i vozila na druga alternativna goriva). Javnom nabavom djelotvorno će se podupirati uvođenje čistih vozila na tržište i smanjenje emisija CO</w:t>
            </w:r>
            <w:r>
              <w:rPr>
                <w:noProof/>
                <w:sz w:val="22"/>
                <w:vertAlign w:val="subscript"/>
              </w:rPr>
              <w:t>2</w:t>
            </w:r>
            <w:r>
              <w:rPr>
                <w:noProof/>
                <w:sz w:val="22"/>
              </w:rPr>
              <w:t xml:space="preserve"> i onečišćivača zraka uz očuvanje rasta i konkurentnosti u prometnom sektoru. Inicijativom se nastoji proširit</w:t>
            </w:r>
            <w:r>
              <w:rPr>
                <w:noProof/>
                <w:sz w:val="22"/>
              </w:rPr>
              <w:t xml:space="preserve">i područje primjene Direktive i pojednostavniti njezina provedba te stvoriti dugoročna sigurnost tržišne potražnje.  </w:t>
            </w:r>
          </w:p>
        </w:tc>
      </w:tr>
      <w:tr w:rsidR="00EB19C8"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EB19C8" w:rsidRDefault="005835B3">
            <w:pPr>
              <w:pStyle w:val="Default"/>
              <w:jc w:val="both"/>
              <w:rPr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</w:rPr>
              <w:t>Koja je dodana vrijednost djelovanja na razini EU</w:t>
            </w:r>
            <w:r>
              <w:rPr>
                <w:noProof/>
              </w:rPr>
              <w:noBreakHyphen/>
            </w:r>
            <w:r>
              <w:rPr>
                <w:b/>
                <w:noProof/>
                <w:sz w:val="22"/>
              </w:rPr>
              <w:t xml:space="preserve">a (supsidijarnost)? </w:t>
            </w:r>
          </w:p>
        </w:tc>
      </w:tr>
      <w:tr w:rsidR="00EB19C8"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C8" w:rsidRDefault="005835B3">
            <w:pPr>
              <w:spacing w:after="120"/>
              <w:jc w:val="both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</w:rPr>
              <w:t>U Govoru o stanju Unije 2017. spominje se prioritetna mjera osigu</w:t>
            </w:r>
            <w:r>
              <w:rPr>
                <w:noProof/>
                <w:sz w:val="22"/>
              </w:rPr>
              <w:t>ravanja da EU ima vodeću ulogu u dekarbonizaciji. Na tržištima EU-a još uvijek nema dovoljno potražnje. Ovom inicijativom stvara se poticaj na strani potražnje koji će dovesti do većeg tržišnog prihvaćanja čistih lakih i teških vozila. Njome se dopunjuju s</w:t>
            </w:r>
            <w:r>
              <w:rPr>
                <w:noProof/>
                <w:sz w:val="22"/>
              </w:rPr>
              <w:t>tandardne vrijednosti emisija CO</w:t>
            </w:r>
            <w:r>
              <w:rPr>
                <w:noProof/>
                <w:sz w:val="22"/>
                <w:vertAlign w:val="subscript"/>
              </w:rPr>
              <w:t>2</w:t>
            </w:r>
            <w:r>
              <w:rPr>
                <w:noProof/>
                <w:sz w:val="22"/>
              </w:rPr>
              <w:t xml:space="preserve"> nakon 2020. za automobile i kombije u pristupu u okviru paketa i utvrđuje se dodatni poticaj za teška vozila s niskom razinom emisija i teška vozila bez emisija, što je područje u kojem se još ne primjenjuju mjere za smanj</w:t>
            </w:r>
            <w:r>
              <w:rPr>
                <w:noProof/>
                <w:sz w:val="22"/>
              </w:rPr>
              <w:t>enje emisija CO</w:t>
            </w:r>
            <w:r>
              <w:rPr>
                <w:noProof/>
                <w:sz w:val="22"/>
                <w:vertAlign w:val="subscript"/>
              </w:rPr>
              <w:t>2</w:t>
            </w:r>
            <w:r>
              <w:rPr>
                <w:noProof/>
                <w:sz w:val="22"/>
              </w:rPr>
              <w:t>.</w:t>
            </w:r>
          </w:p>
          <w:p w:rsidR="00EB19C8" w:rsidRDefault="005835B3">
            <w:pPr>
              <w:spacing w:after="120"/>
              <w:jc w:val="both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</w:rPr>
              <w:t>Inicijativom se osigurava dugoročno političko usmjerenje i podupire strateško usklađivanje javne nabave. Sigurnošću u pogledu dugoročne potražnje potaknut će se tržišna ulaganja i smanjenje troškova vozila, čime će se omogućiti bolje mjere politike lokalni</w:t>
            </w:r>
            <w:r>
              <w:rPr>
                <w:noProof/>
                <w:sz w:val="22"/>
              </w:rPr>
              <w:t>h i regionalnih tijela. Mjere su razmjerne i njima se ne utječe na glavnu odgovornost organiziranja (javnog) prijevoza, a javnim tijelima u državama članicama osigurava se fleksibilnost i diskrecija u provedbi. Revizijom se tržišni poticaj proširuje s trži</w:t>
            </w:r>
            <w:r>
              <w:rPr>
                <w:noProof/>
                <w:sz w:val="22"/>
              </w:rPr>
              <w:t xml:space="preserve">šta naprednijih država članica na države članice s tržištima u nastajanju i pridonosi se izgradnji europskog tržišnog pristupa koji države članice ne mogu same postići. Srednjoročne i dugoročne koristi za europske građane velike su. </w:t>
            </w:r>
          </w:p>
        </w:tc>
      </w:tr>
      <w:tr w:rsidR="00EB19C8"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B19C8" w:rsidRDefault="005835B3">
            <w:pPr>
              <w:spacing w:before="60" w:after="60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</w:rPr>
              <w:t>B. Rješenja</w:t>
            </w:r>
          </w:p>
        </w:tc>
      </w:tr>
      <w:tr w:rsidR="00EB19C8"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EB19C8" w:rsidRDefault="005835B3">
            <w:pPr>
              <w:pStyle w:val="Default"/>
              <w:jc w:val="both"/>
              <w:rPr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</w:rPr>
              <w:t xml:space="preserve">Kojim se različitim mogućnostima mogu ostvariti ciljevi? Daje li se prednost određenoj mogućnosti? Ako ne, zašto? </w:t>
            </w:r>
          </w:p>
        </w:tc>
      </w:tr>
      <w:tr w:rsidR="00EB19C8">
        <w:trPr>
          <w:trHeight w:val="226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C8" w:rsidRDefault="005835B3">
            <w:pPr>
              <w:spacing w:after="120"/>
              <w:jc w:val="both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</w:rPr>
              <w:t xml:space="preserve">Mogućnosti politike (MP) razlikuju se prema stupnju ambicioznosti i intervenciji. </w:t>
            </w:r>
          </w:p>
          <w:p w:rsidR="00EB19C8" w:rsidRDefault="005835B3">
            <w:pPr>
              <w:spacing w:after="120"/>
              <w:jc w:val="both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</w:rPr>
              <w:t xml:space="preserve">Prva mogućnost politike uključuje razmatranje stavljanja </w:t>
            </w:r>
            <w:r>
              <w:rPr>
                <w:noProof/>
                <w:sz w:val="22"/>
              </w:rPr>
              <w:t xml:space="preserve">izvan snage Direktive o čistim vozilima. Glavni ciljevi politike ove inicijative trebali bi se ostvarivati nacionalnim mjerama politike i dobrovoljnim djelovanjem na razini EU-a.  </w:t>
            </w:r>
          </w:p>
          <w:p w:rsidR="00EB19C8" w:rsidRDefault="005835B3">
            <w:pPr>
              <w:spacing w:after="120"/>
              <w:jc w:val="both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</w:rPr>
              <w:t>Druga mogućnost politike uključuje zajedničku definiciju čistih vozila i re</w:t>
            </w:r>
            <w:r>
              <w:rPr>
                <w:noProof/>
                <w:sz w:val="22"/>
              </w:rPr>
              <w:t xml:space="preserve">vidiranu metodologiju za izražavanje novčane vrijednosti energetskih i okolišnih učinaka vozila. Države članice moraju izabrati hoće li prenijeti tu definiciju u svoje pravo. U tom slučaju od njih se traži da uspostave nacionalni okvir politike u kojem se </w:t>
            </w:r>
            <w:r>
              <w:rPr>
                <w:noProof/>
                <w:sz w:val="22"/>
              </w:rPr>
              <w:t xml:space="preserve">navodi stupanj ambicioznosti do 2030. Alternativno, mogu prenijeti metodologiju izražavanja novčanom vrijednošću koju tada moraju primjenjivati sva javna tijela. </w:t>
            </w:r>
          </w:p>
          <w:p w:rsidR="00EB19C8" w:rsidRDefault="005835B3">
            <w:pPr>
              <w:spacing w:after="120"/>
              <w:jc w:val="both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</w:rPr>
              <w:t xml:space="preserve">Trećom mogućnošću politike, koja ima dvije varijante (visok i nizak stupanj ambicioznosti), </w:t>
            </w:r>
            <w:r>
              <w:rPr>
                <w:noProof/>
                <w:sz w:val="22"/>
              </w:rPr>
              <w:t>proširuje se područje primjene Direktive o čistim vozilima na vozila koja su iznajmljena, uzeta u najam ili iznajmljena s pravom otkupa te na posebne ugovore o uslugama prijevoza. Tom mogućnošću uvodi se definicija čistih vozila na temelju pristupa praga e</w:t>
            </w:r>
            <w:r>
              <w:rPr>
                <w:noProof/>
                <w:sz w:val="22"/>
              </w:rPr>
              <w:t>misija (emisija CO</w:t>
            </w:r>
            <w:r>
              <w:rPr>
                <w:noProof/>
                <w:sz w:val="22"/>
                <w:vertAlign w:val="subscript"/>
              </w:rPr>
              <w:t>2</w:t>
            </w:r>
            <w:r>
              <w:rPr>
                <w:noProof/>
                <w:sz w:val="22"/>
              </w:rPr>
              <w:t xml:space="preserve"> i onečišćivača zraka iz ispušnih cijevi) za laka vozila i utvrđuju se povezani minimalni ciljevi javne nabave na razini države članice. Njome se uspostavlja i zajednički sustav izvješćivanja i praćenja.  </w:t>
            </w:r>
          </w:p>
          <w:p w:rsidR="00EB19C8" w:rsidRDefault="005835B3">
            <w:pPr>
              <w:spacing w:after="120"/>
              <w:jc w:val="both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</w:rPr>
              <w:t>Četvrtom mogućnošću politike, k</w:t>
            </w:r>
            <w:r>
              <w:rPr>
                <w:noProof/>
                <w:sz w:val="22"/>
              </w:rPr>
              <w:t xml:space="preserve">oja ima dvije varijante (visok i nizak stupanj ambicioznosti), proširuje se područje primjene Direktive kao i trećom mogućnošću politike, ali se uvodi definicija čistih vozila temeljena na pristupu alternativnih goriva (baterija i gorivne ćelije, prirodni </w:t>
            </w:r>
            <w:r>
              <w:rPr>
                <w:noProof/>
                <w:sz w:val="22"/>
              </w:rPr>
              <w:t xml:space="preserve">plin, hibridna vozila punjiva na utičnici) za sva </w:t>
            </w:r>
            <w:r>
              <w:rPr>
                <w:noProof/>
                <w:sz w:val="22"/>
              </w:rPr>
              <w:lastRenderedPageBreak/>
              <w:t xml:space="preserve">laka i teška vozila i utvrđuju se povezani minimalni ciljevi javne nabave na razini države članice. I trećom i četvrtom mogućnošću politike uklanja se metodologija izražavanja novčanom vrijednošću. </w:t>
            </w:r>
          </w:p>
          <w:p w:rsidR="00EB19C8" w:rsidRDefault="005835B3">
            <w:pPr>
              <w:spacing w:after="120"/>
              <w:jc w:val="both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</w:rPr>
              <w:t>Peta mo</w:t>
            </w:r>
            <w:r>
              <w:rPr>
                <w:noProof/>
                <w:sz w:val="22"/>
              </w:rPr>
              <w:t xml:space="preserve">gućnost politike najdalekosežnija je. Trenutačna Direktiva zamjenjuje se Uredbom kojom se pripisuje metodologija za izražavanje novčane vrijednosti energetskih i okolišnih učinaka vozila. Ova mogućnost bila bi najdjelotvornija za ostvarivanje ciljeva, ali </w:t>
            </w:r>
            <w:r>
              <w:rPr>
                <w:noProof/>
                <w:sz w:val="22"/>
              </w:rPr>
              <w:t xml:space="preserve">donosi najveće troškove i njome se uvodi visok stupanj intervencije. </w:t>
            </w:r>
          </w:p>
          <w:p w:rsidR="00EB19C8" w:rsidRDefault="005835B3">
            <w:pPr>
              <w:spacing w:after="120"/>
              <w:jc w:val="both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</w:rPr>
              <w:t>Šestom mogućnošću politike proširuje se područje primjene Direktive o čistim vozilima na vozila koja su iznajmljena, uzeta u najam ili iznajmljena s pravom otkupa te na ugovore o posebni</w:t>
            </w:r>
            <w:r>
              <w:rPr>
                <w:noProof/>
                <w:sz w:val="22"/>
              </w:rPr>
              <w:t>m uslugama prijevoza. Tom mogućnošću uvodi se definicija čistih vozila temeljena na kombinaciji pristupa praga emisija (emisija CO</w:t>
            </w:r>
            <w:r>
              <w:rPr>
                <w:noProof/>
                <w:sz w:val="22"/>
                <w:vertAlign w:val="subscript"/>
              </w:rPr>
              <w:t>2</w:t>
            </w:r>
            <w:r>
              <w:rPr>
                <w:noProof/>
                <w:sz w:val="22"/>
              </w:rPr>
              <w:t xml:space="preserve"> i onečišćivača zraka iz ispušnih cijevi) za laka vozila i pristupa temeljenog na alternativnim gorivima za teška vozila te s</w:t>
            </w:r>
            <w:r>
              <w:rPr>
                <w:noProof/>
                <w:sz w:val="22"/>
              </w:rPr>
              <w:t>e utvrđuju minimalni ciljevi javne nabave na razini države članice. Omogućuju se buduće prilagodbe zahtjeva iz Direktive za teška vozila u odnosu na zahtjeve u pogledu emisija CO</w:t>
            </w:r>
            <w:r>
              <w:rPr>
                <w:noProof/>
                <w:sz w:val="22"/>
                <w:vertAlign w:val="subscript"/>
              </w:rPr>
              <w:t>2</w:t>
            </w:r>
            <w:r>
              <w:rPr>
                <w:noProof/>
                <w:sz w:val="22"/>
              </w:rPr>
              <w:t xml:space="preserve"> za ta vozila na razini EU-a. Uspostavlja se i zajednički sustav izvješćivanj</w:t>
            </w:r>
            <w:r>
              <w:rPr>
                <w:noProof/>
                <w:sz w:val="22"/>
              </w:rPr>
              <w:t xml:space="preserve">a i praćenja.  </w:t>
            </w:r>
          </w:p>
        </w:tc>
      </w:tr>
      <w:tr w:rsidR="00EB19C8"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EB19C8" w:rsidRDefault="005835B3">
            <w:pPr>
              <w:pStyle w:val="Default"/>
              <w:jc w:val="both"/>
              <w:rPr>
                <w:b/>
                <w:bCs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</w:rPr>
              <w:lastRenderedPageBreak/>
              <w:t xml:space="preserve">Koja su stajališta različitih dionika? Tko podržava koju mogućnost? </w:t>
            </w:r>
          </w:p>
        </w:tc>
      </w:tr>
      <w:tr w:rsidR="00EB19C8"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C8" w:rsidRDefault="005835B3">
            <w:pPr>
              <w:spacing w:after="120"/>
              <w:jc w:val="both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</w:rPr>
              <w:t>Dionici nisu podržali prvu mogućnost politike. U pogledu druge mogućnosti politike priznata je dodana vrijednost definicije čistih vozila, ali su izražene raširene sumnj</w:t>
            </w:r>
            <w:r>
              <w:rPr>
                <w:noProof/>
                <w:sz w:val="22"/>
              </w:rPr>
              <w:t>e u pogledu toga kako osigurati usklađenost i ambicioznost nacionalnih okvira politika. Većina javnih i privatnih dionika (gradovi, operateri, proizvođači) podržala je uvođenje definicije čistih vozila pri čemu su neki podržavali pristup temeljen na emisij</w:t>
            </w:r>
            <w:r>
              <w:rPr>
                <w:noProof/>
                <w:sz w:val="22"/>
              </w:rPr>
              <w:t>ama, a neki pristup temeljen na gorivima. Proizvođači automobila zatražili su utvrđivanje ambicioznog minimalnog cilja javne nabave za vozila na alternativna goriva. Predstavnici javnih tijela većinom su podržali pristup utemeljen na emisijama, a minimalne</w:t>
            </w:r>
            <w:r>
              <w:rPr>
                <w:noProof/>
                <w:sz w:val="22"/>
              </w:rPr>
              <w:t xml:space="preserve"> ciljeve podržali su ako oni nisu utvrđeni na razini gradova. Prijevoznici su izrazili slično stajalište. Istaknuti su nedostaci u pogledu teških vozila. Većina je nedvojbeno smatrala da bi se revizijom trebala ukloniti metodologija izražavanja novčanom vr</w:t>
            </w:r>
            <w:r>
              <w:rPr>
                <w:noProof/>
                <w:sz w:val="22"/>
              </w:rPr>
              <w:t xml:space="preserve">ijednošću. Većina dionika odbacila je petu mogućnost politike. </w:t>
            </w:r>
          </w:p>
        </w:tc>
      </w:tr>
      <w:tr w:rsidR="00EB19C8">
        <w:tc>
          <w:tcPr>
            <w:tcW w:w="10188" w:type="dxa"/>
            <w:tcBorders>
              <w:bottom w:val="single" w:sz="4" w:space="0" w:color="auto"/>
            </w:tcBorders>
            <w:shd w:val="clear" w:color="auto" w:fill="CCCCCC"/>
          </w:tcPr>
          <w:p w:rsidR="00EB19C8" w:rsidRDefault="005835B3">
            <w:pPr>
              <w:spacing w:before="60" w:after="60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</w:rPr>
              <w:t>C. Učinci mogućnosti kojoj se daje prednost</w:t>
            </w:r>
          </w:p>
        </w:tc>
      </w:tr>
      <w:tr w:rsidR="00EB19C8">
        <w:tc>
          <w:tcPr>
            <w:tcW w:w="10188" w:type="dxa"/>
            <w:tcBorders>
              <w:bottom w:val="single" w:sz="4" w:space="0" w:color="auto"/>
            </w:tcBorders>
            <w:shd w:val="clear" w:color="auto" w:fill="E6E6E6"/>
          </w:tcPr>
          <w:p w:rsidR="00EB19C8" w:rsidRDefault="005835B3">
            <w:pPr>
              <w:pStyle w:val="Default"/>
              <w:jc w:val="both"/>
              <w:rPr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</w:rPr>
              <w:t xml:space="preserve">Koje su koristi mogućnosti kojoj se daje prednost (ako postoji, inače prednosti glavnih mogućnosti)? </w:t>
            </w:r>
          </w:p>
        </w:tc>
      </w:tr>
      <w:tr w:rsidR="00EB19C8">
        <w:trPr>
          <w:trHeight w:val="1201"/>
        </w:trPr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 w:rsidR="00EB19C8" w:rsidRDefault="005835B3">
            <w:pPr>
              <w:spacing w:before="120"/>
              <w:jc w:val="both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</w:rPr>
              <w:t xml:space="preserve">Očekuje se da će se šestom mogućnošću </w:t>
            </w:r>
            <w:r>
              <w:rPr>
                <w:noProof/>
                <w:sz w:val="22"/>
              </w:rPr>
              <w:t>politike, kojoj se daje prednost, smanjiti emisije CO</w:t>
            </w:r>
            <w:r>
              <w:rPr>
                <w:noProof/>
                <w:sz w:val="22"/>
                <w:vertAlign w:val="subscript"/>
              </w:rPr>
              <w:t>2</w:t>
            </w:r>
            <w:r>
              <w:rPr>
                <w:noProof/>
                <w:sz w:val="22"/>
              </w:rPr>
              <w:t>, NO</w:t>
            </w:r>
            <w:r>
              <w:rPr>
                <w:noProof/>
                <w:sz w:val="22"/>
                <w:vertAlign w:val="subscript"/>
              </w:rPr>
              <w:t>x</w:t>
            </w:r>
            <w:r>
              <w:rPr>
                <w:noProof/>
                <w:sz w:val="22"/>
              </w:rPr>
              <w:t xml:space="preserve"> i čestica (PM10) te okolišni troškovi povezani s emisijama CO</w:t>
            </w:r>
            <w:r>
              <w:rPr>
                <w:noProof/>
                <w:sz w:val="22"/>
                <w:vertAlign w:val="subscript"/>
              </w:rPr>
              <w:t>2</w:t>
            </w:r>
            <w:r>
              <w:rPr>
                <w:noProof/>
                <w:sz w:val="22"/>
              </w:rPr>
              <w:t xml:space="preserve"> i onečišćivača zraka (2,2 milijarde EUR, životni vijek vozila kupljenih u razdoblju 2020. – 2035.). Procjenjuje se da će se u razdobl</w:t>
            </w:r>
            <w:r>
              <w:rPr>
                <w:noProof/>
                <w:sz w:val="22"/>
              </w:rPr>
              <w:t>ju od 2020. do 2035. omogućiti stvaranje dodatnih 6700 radnih mjesta te da će se prihod industrije u istom razdoblju povećati za 4,2 milijarde EUR.</w:t>
            </w:r>
          </w:p>
        </w:tc>
      </w:tr>
      <w:tr w:rsidR="00EB19C8">
        <w:tc>
          <w:tcPr>
            <w:tcW w:w="10188" w:type="dxa"/>
            <w:tcBorders>
              <w:bottom w:val="single" w:sz="4" w:space="0" w:color="auto"/>
            </w:tcBorders>
            <w:shd w:val="clear" w:color="auto" w:fill="E6E6E6"/>
          </w:tcPr>
          <w:p w:rsidR="00EB19C8" w:rsidRDefault="005835B3">
            <w:pPr>
              <w:pStyle w:val="Default"/>
              <w:jc w:val="both"/>
              <w:rPr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</w:rPr>
              <w:t xml:space="preserve">Koliki su troškovi mogućnosti kojoj se daje prednost (ako postoji, inače troškovi glavnih mogućnosti)? </w:t>
            </w:r>
          </w:p>
        </w:tc>
      </w:tr>
      <w:tr w:rsidR="00EB19C8">
        <w:trPr>
          <w:trHeight w:val="803"/>
        </w:trPr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 w:rsidR="00EB19C8" w:rsidRDefault="005835B3">
            <w:pPr>
              <w:spacing w:before="60" w:after="60"/>
              <w:jc w:val="both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</w:rPr>
              <w:t>Procjenjuje se da će se šestom mogućnošću politike tijekom razdoblja 2020. – 2035. ostvariti neto uštede od otprilike 4,2 milijarde EUR u odnosu na osnovni scenarij, što podrazumijeva šire socioekonomske (povećanje prihoda poduzeća, stvaranje radnih mjesta</w:t>
            </w:r>
            <w:r>
              <w:rPr>
                <w:noProof/>
                <w:sz w:val="22"/>
              </w:rPr>
              <w:t>) i ekološke koristi (koristi povezane sa smanjenjem CO</w:t>
            </w:r>
            <w:r>
              <w:rPr>
                <w:noProof/>
                <w:sz w:val="22"/>
                <w:vertAlign w:val="subscript"/>
              </w:rPr>
              <w:t>2</w:t>
            </w:r>
            <w:r>
              <w:rPr>
                <w:noProof/>
                <w:sz w:val="22"/>
              </w:rPr>
              <w:t xml:space="preserve"> i onečišćivača zraka).  </w:t>
            </w:r>
          </w:p>
        </w:tc>
      </w:tr>
      <w:tr w:rsidR="00EB19C8">
        <w:tc>
          <w:tcPr>
            <w:tcW w:w="10188" w:type="dxa"/>
            <w:tcBorders>
              <w:bottom w:val="single" w:sz="4" w:space="0" w:color="auto"/>
            </w:tcBorders>
            <w:shd w:val="clear" w:color="auto" w:fill="E6E6E6"/>
          </w:tcPr>
          <w:p w:rsidR="00EB19C8" w:rsidRDefault="005835B3">
            <w:pPr>
              <w:pStyle w:val="Default"/>
              <w:jc w:val="both"/>
              <w:rPr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</w:rPr>
              <w:t xml:space="preserve">Kakav je učinak na mala i srednja poduzeća i konkurentnost? </w:t>
            </w:r>
          </w:p>
        </w:tc>
      </w:tr>
      <w:tr w:rsidR="00EB19C8"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 w:rsidR="00EB19C8" w:rsidRDefault="005835B3">
            <w:pPr>
              <w:spacing w:before="60" w:after="60"/>
              <w:jc w:val="both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</w:rPr>
              <w:t>Kada je riječ o lakim vozilima, učinci na mala i srednja poduzeća i konkurentnost skromni su budući da se postu</w:t>
            </w:r>
            <w:r>
              <w:rPr>
                <w:noProof/>
                <w:sz w:val="22"/>
              </w:rPr>
              <w:t xml:space="preserve">pkom javne nabave kupuje mali broj vozila u odnosu na broj transakcija na tržištu vozila. Trgovačka društva koja pružaju usluge najma i iznajmljivanja morat će prilagoditi svoje vozne parkove, što će se olakšati ubrzavanjem smanjenja troškova na tržištima </w:t>
            </w:r>
            <w:r>
              <w:rPr>
                <w:noProof/>
                <w:sz w:val="22"/>
              </w:rPr>
              <w:t>vozila. Očekuje se da će se troškovi prenijeti na klijente, što će pozitivno utjecati na operativni trošak. U sektoru teških vozila mala i srednja poduzeća koja proizvode vozila s niskom razinom emisija i vozila bez emisija imat će koristi, a mala i srednj</w:t>
            </w:r>
            <w:r>
              <w:rPr>
                <w:noProof/>
                <w:sz w:val="22"/>
              </w:rPr>
              <w:t>a poduzeća koja su dobavljači tradicionalnih vozila morat će se prilagoditi. Jasnom i predvidljivom dugoročnom potražnjom na tržištu autobusa poduprijet će se konkurentnost sektora. Povećanje ulaganja u infrastrukturu za napajanje i punjenje gorivom te ula</w:t>
            </w:r>
            <w:r>
              <w:rPr>
                <w:noProof/>
                <w:sz w:val="22"/>
              </w:rPr>
              <w:t>ganja u elektroenergetske mreže pozitivno bi utjecalo na rast.</w:t>
            </w:r>
          </w:p>
        </w:tc>
      </w:tr>
      <w:tr w:rsidR="00EB19C8">
        <w:tc>
          <w:tcPr>
            <w:tcW w:w="10188" w:type="dxa"/>
            <w:tcBorders>
              <w:bottom w:val="single" w:sz="4" w:space="0" w:color="auto"/>
            </w:tcBorders>
            <w:shd w:val="clear" w:color="auto" w:fill="E6E6E6"/>
          </w:tcPr>
          <w:p w:rsidR="00EB19C8" w:rsidRDefault="005835B3">
            <w:pPr>
              <w:pStyle w:val="Default"/>
              <w:jc w:val="both"/>
              <w:rPr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</w:rPr>
              <w:t xml:space="preserve">Hoće li to znatno utjecati na nacionalne proračune i uprave? </w:t>
            </w:r>
          </w:p>
        </w:tc>
      </w:tr>
      <w:tr w:rsidR="00EB19C8">
        <w:tc>
          <w:tcPr>
            <w:tcW w:w="10188" w:type="dxa"/>
            <w:shd w:val="clear" w:color="auto" w:fill="auto"/>
          </w:tcPr>
          <w:p w:rsidR="00EB19C8" w:rsidRDefault="005835B3">
            <w:pPr>
              <w:spacing w:before="60" w:after="60"/>
              <w:jc w:val="both"/>
              <w:rPr>
                <w:noProof/>
                <w:sz w:val="22"/>
                <w:szCs w:val="22"/>
              </w:rPr>
            </w:pPr>
            <w:r>
              <w:rPr>
                <w:noProof/>
              </w:rPr>
              <w:t>Procjenjuje se da će u razdoblju 2020. – 2035. dodatni troškovi javne nabave iznositi 2,2 milijarde EUR.</w:t>
            </w:r>
            <w:r>
              <w:rPr>
                <w:noProof/>
                <w:sz w:val="22"/>
              </w:rPr>
              <w:t xml:space="preserve"> Tijekom cijelog razdoblj</w:t>
            </w:r>
            <w:r>
              <w:rPr>
                <w:noProof/>
                <w:sz w:val="22"/>
              </w:rPr>
              <w:t xml:space="preserve">a procjenjivanja (do 2035.) procjenjuju se male uštede administrativnih troškova od 2,4 milijuna EUR. </w:t>
            </w:r>
          </w:p>
        </w:tc>
      </w:tr>
      <w:tr w:rsidR="00EB19C8">
        <w:tc>
          <w:tcPr>
            <w:tcW w:w="10188" w:type="dxa"/>
            <w:tcBorders>
              <w:bottom w:val="single" w:sz="4" w:space="0" w:color="auto"/>
            </w:tcBorders>
            <w:shd w:val="clear" w:color="auto" w:fill="E6E6E6"/>
          </w:tcPr>
          <w:p w:rsidR="00EB19C8" w:rsidRDefault="005835B3">
            <w:pPr>
              <w:pStyle w:val="Default"/>
              <w:jc w:val="both"/>
              <w:rPr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</w:rPr>
              <w:t xml:space="preserve">Očekuju li se drugi bitni učinci? </w:t>
            </w:r>
          </w:p>
        </w:tc>
      </w:tr>
      <w:tr w:rsidR="00EB19C8"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 w:rsidR="00EB19C8" w:rsidRDefault="005835B3">
            <w:pPr>
              <w:spacing w:before="60" w:after="60"/>
              <w:jc w:val="both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</w:rPr>
              <w:t xml:space="preserve">U ovoj procjeni učinka nisu primijećeni drugi bitni učinci. Procjenom učinka utvrđeno je da se učinci na porezne </w:t>
            </w:r>
            <w:r>
              <w:rPr>
                <w:noProof/>
                <w:sz w:val="22"/>
              </w:rPr>
              <w:lastRenderedPageBreak/>
              <w:t>prihode mogu razlikovati na razini država članica zbog različitih poreza na gorivo i energiju.</w:t>
            </w:r>
          </w:p>
        </w:tc>
      </w:tr>
      <w:tr w:rsidR="00EB19C8">
        <w:tc>
          <w:tcPr>
            <w:tcW w:w="10188" w:type="dxa"/>
            <w:tcBorders>
              <w:bottom w:val="single" w:sz="4" w:space="0" w:color="auto"/>
            </w:tcBorders>
            <w:shd w:val="clear" w:color="auto" w:fill="E6E6E6"/>
          </w:tcPr>
          <w:p w:rsidR="00EB19C8" w:rsidRDefault="005835B3">
            <w:pPr>
              <w:pStyle w:val="Default"/>
              <w:jc w:val="both"/>
              <w:rPr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</w:rPr>
              <w:lastRenderedPageBreak/>
              <w:t xml:space="preserve">Proporcionalnost? </w:t>
            </w:r>
          </w:p>
        </w:tc>
      </w:tr>
      <w:tr w:rsidR="00EB19C8">
        <w:tc>
          <w:tcPr>
            <w:tcW w:w="10188" w:type="dxa"/>
            <w:shd w:val="clear" w:color="auto" w:fill="auto"/>
          </w:tcPr>
          <w:p w:rsidR="00EB19C8" w:rsidRDefault="005835B3">
            <w:pPr>
              <w:spacing w:before="60" w:after="60"/>
              <w:jc w:val="both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</w:rPr>
              <w:t>Postupci javne nabave strateški su usklađeni. Inicijativom se državama članicama i javnim tijelima omogućuje da minimalne zahtjeve prilagode</w:t>
            </w:r>
            <w:r>
              <w:rPr>
                <w:noProof/>
                <w:sz w:val="22"/>
              </w:rPr>
              <w:t xml:space="preserve"> uvjetima na domaćem tržištu. Predloženim mjerama ne utječe se na nadležnost država članica da organiziraju prijevoz. Mjere se odnose na udio javne nabave, a ne na svu javnu nabavu, i ostavlja se mogućnost izbora tehnologije. Minimalni zahtjevi razlikuju s</w:t>
            </w:r>
            <w:r>
              <w:rPr>
                <w:noProof/>
                <w:sz w:val="22"/>
              </w:rPr>
              <w:t xml:space="preserve">e među državama članicama. </w:t>
            </w:r>
          </w:p>
        </w:tc>
      </w:tr>
      <w:tr w:rsidR="00EB19C8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0188" w:type="dxa"/>
            <w:shd w:val="clear" w:color="auto" w:fill="D9D9D9" w:themeFill="background1" w:themeFillShade="D9"/>
          </w:tcPr>
          <w:p w:rsidR="00EB19C8" w:rsidRDefault="005835B3">
            <w:pPr>
              <w:spacing w:before="60" w:after="60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</w:rPr>
              <w:t>D. Daljnje mjere</w:t>
            </w:r>
          </w:p>
        </w:tc>
      </w:tr>
      <w:tr w:rsidR="00EB19C8">
        <w:tblPrEx>
          <w:tblLook w:val="04A0" w:firstRow="1" w:lastRow="0" w:firstColumn="1" w:lastColumn="0" w:noHBand="0" w:noVBand="1"/>
        </w:tblPrEx>
        <w:tc>
          <w:tcPr>
            <w:tcW w:w="10188" w:type="dxa"/>
          </w:tcPr>
          <w:p w:rsidR="00EB19C8" w:rsidRDefault="005835B3">
            <w:pPr>
              <w:pStyle w:val="Default"/>
              <w:jc w:val="both"/>
              <w:rPr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</w:rPr>
              <w:t xml:space="preserve">Kad će se politika preispitati? </w:t>
            </w:r>
          </w:p>
        </w:tc>
      </w:tr>
      <w:tr w:rsidR="00EB19C8">
        <w:tblPrEx>
          <w:tblLook w:val="04A0" w:firstRow="1" w:lastRow="0" w:firstColumn="1" w:lastColumn="0" w:noHBand="0" w:noVBand="1"/>
        </w:tblPrEx>
        <w:tc>
          <w:tcPr>
            <w:tcW w:w="10188" w:type="dxa"/>
          </w:tcPr>
          <w:p w:rsidR="00EB19C8" w:rsidRDefault="005835B3">
            <w:pPr>
              <w:spacing w:before="60" w:after="60"/>
              <w:jc w:val="both"/>
              <w:rPr>
                <w:b/>
                <w:noProof/>
                <w:sz w:val="22"/>
                <w:szCs w:val="22"/>
              </w:rPr>
            </w:pPr>
            <w:r>
              <w:rPr>
                <w:noProof/>
                <w:sz w:val="22"/>
              </w:rPr>
              <w:t>Komisija će 2027. ocijeniti novo zakonodavstvo.</w:t>
            </w:r>
          </w:p>
        </w:tc>
      </w:tr>
    </w:tbl>
    <w:p w:rsidR="00EB19C8" w:rsidRDefault="00EB19C8">
      <w:pPr>
        <w:rPr>
          <w:rFonts w:ascii="Tahoma" w:hAnsi="Tahoma" w:cs="Tahoma"/>
          <w:noProof/>
          <w:sz w:val="20"/>
          <w:szCs w:val="20"/>
        </w:rPr>
      </w:pPr>
    </w:p>
    <w:sectPr w:rsidR="00EB19C8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 w:code="9"/>
      <w:pgMar w:top="1276" w:right="567" w:bottom="624" w:left="1134" w:header="284" w:footer="25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9C8" w:rsidRDefault="005835B3">
      <w:r>
        <w:separator/>
      </w:r>
    </w:p>
  </w:endnote>
  <w:endnote w:type="continuationSeparator" w:id="0">
    <w:p w:rsidR="00EB19C8" w:rsidRDefault="00583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9C8" w:rsidRDefault="00EB19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9C8" w:rsidRDefault="005835B3"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HR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proofErr w:type="spellStart"/>
    <w:r>
      <w:rPr>
        <w:rFonts w:ascii="Arial" w:hAnsi="Arial" w:cs="Arial"/>
        <w:b/>
        <w:sz w:val="48"/>
      </w:rPr>
      <w:t>HR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9C8" w:rsidRDefault="00EB19C8"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9C8" w:rsidRDefault="00EB19C8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9C8" w:rsidRDefault="005835B3">
    <w:pPr>
      <w:pStyle w:val="FooterCoverPage"/>
      <w:rPr>
        <w:rFonts w:ascii="Arial" w:hAnsi="Arial" w:cs="Arial"/>
        <w:b/>
        <w:sz w:val="48"/>
      </w:rPr>
    </w:pPr>
    <w:r>
      <w:rPr>
        <w:rFonts w:ascii="Arial" w:hAnsi="Arial"/>
        <w:b/>
        <w:sz w:val="48"/>
      </w:rPr>
      <w:t>EN</w:t>
    </w:r>
    <w:r>
      <w:tab/>
    </w:r>
    <w:r>
      <w:tab/>
    </w:r>
    <w:proofErr w:type="spellStart"/>
    <w:r>
      <w:rPr>
        <w:rFonts w:ascii="Arial" w:hAnsi="Arial"/>
        <w:b/>
        <w:sz w:val="48"/>
      </w:rPr>
      <w:t>EN</w:t>
    </w:r>
    <w:proofErr w:type="spellEnd"/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9C8" w:rsidRDefault="00EB19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9C8" w:rsidRDefault="005835B3">
      <w:r>
        <w:separator/>
      </w:r>
    </w:p>
  </w:footnote>
  <w:footnote w:type="continuationSeparator" w:id="0">
    <w:p w:rsidR="00EB19C8" w:rsidRDefault="005835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9C8" w:rsidRDefault="00EB19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9C8" w:rsidRDefault="00EB19C8"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9C8" w:rsidRDefault="00EB19C8"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9C8" w:rsidRDefault="00EB19C8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9C8" w:rsidRDefault="00EB19C8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9C8" w:rsidRDefault="00EB19C8">
    <w:pPr>
      <w:pStyle w:val="Header"/>
      <w:jc w:val="center"/>
    </w:pPr>
    <w:bookmarkStart w:id="1" w:name="_GoBack"/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9159F"/>
    <w:multiLevelType w:val="hybridMultilevel"/>
    <w:tmpl w:val="43A8E84A"/>
    <w:lvl w:ilvl="0" w:tplc="FE468D86">
      <w:start w:val="1"/>
      <w:numFmt w:val="decimal"/>
      <w:lvlText w:val="%1)"/>
      <w:lvlJc w:val="left"/>
      <w:pPr>
        <w:ind w:left="7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8" w:hanging="360"/>
      </w:pPr>
    </w:lvl>
    <w:lvl w:ilvl="2" w:tplc="0809001B" w:tentative="1">
      <w:start w:val="1"/>
      <w:numFmt w:val="lowerRoman"/>
      <w:lvlText w:val="%3."/>
      <w:lvlJc w:val="right"/>
      <w:pPr>
        <w:ind w:left="2528" w:hanging="180"/>
      </w:pPr>
    </w:lvl>
    <w:lvl w:ilvl="3" w:tplc="0809000F" w:tentative="1">
      <w:start w:val="1"/>
      <w:numFmt w:val="decimal"/>
      <w:lvlText w:val="%4."/>
      <w:lvlJc w:val="left"/>
      <w:pPr>
        <w:ind w:left="3248" w:hanging="360"/>
      </w:pPr>
    </w:lvl>
    <w:lvl w:ilvl="4" w:tplc="08090019" w:tentative="1">
      <w:start w:val="1"/>
      <w:numFmt w:val="lowerLetter"/>
      <w:lvlText w:val="%5."/>
      <w:lvlJc w:val="left"/>
      <w:pPr>
        <w:ind w:left="3968" w:hanging="360"/>
      </w:pPr>
    </w:lvl>
    <w:lvl w:ilvl="5" w:tplc="0809001B" w:tentative="1">
      <w:start w:val="1"/>
      <w:numFmt w:val="lowerRoman"/>
      <w:lvlText w:val="%6."/>
      <w:lvlJc w:val="right"/>
      <w:pPr>
        <w:ind w:left="4688" w:hanging="180"/>
      </w:pPr>
    </w:lvl>
    <w:lvl w:ilvl="6" w:tplc="0809000F" w:tentative="1">
      <w:start w:val="1"/>
      <w:numFmt w:val="decimal"/>
      <w:lvlText w:val="%7."/>
      <w:lvlJc w:val="left"/>
      <w:pPr>
        <w:ind w:left="5408" w:hanging="360"/>
      </w:pPr>
    </w:lvl>
    <w:lvl w:ilvl="7" w:tplc="08090019" w:tentative="1">
      <w:start w:val="1"/>
      <w:numFmt w:val="lowerLetter"/>
      <w:lvlText w:val="%8."/>
      <w:lvlJc w:val="left"/>
      <w:pPr>
        <w:ind w:left="6128" w:hanging="360"/>
      </w:pPr>
    </w:lvl>
    <w:lvl w:ilvl="8" w:tplc="0809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1">
    <w:nsid w:val="2C53387C"/>
    <w:multiLevelType w:val="hybridMultilevel"/>
    <w:tmpl w:val="7006399E"/>
    <w:lvl w:ilvl="0" w:tplc="23DE7F78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>
    <w:nsid w:val="300C6FEB"/>
    <w:multiLevelType w:val="hybridMultilevel"/>
    <w:tmpl w:val="C95A05F4"/>
    <w:lvl w:ilvl="0" w:tplc="FE468D8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9885615"/>
    <w:multiLevelType w:val="hybridMultilevel"/>
    <w:tmpl w:val="62ACEEEE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">
    <w:nsid w:val="4C4E1654"/>
    <w:multiLevelType w:val="multilevel"/>
    <w:tmpl w:val="7006399E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>
    <w:nsid w:val="55FD19AF"/>
    <w:multiLevelType w:val="hybridMultilevel"/>
    <w:tmpl w:val="0E623F1A"/>
    <w:lvl w:ilvl="0" w:tplc="08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>
    <w:nsid w:val="671B39AB"/>
    <w:multiLevelType w:val="multilevel"/>
    <w:tmpl w:val="0E623F1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>
    <w:nsid w:val="77775577"/>
    <w:multiLevelType w:val="hybridMultilevel"/>
    <w:tmpl w:val="FC98EE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ACCOMPAGNANT.CP" w:val="Prilo\u382?en dokumentu"/>
    <w:docVar w:name="LW_CORRIGENDUM" w:val="&lt;UNUSED&gt;"/>
    <w:docVar w:name="LW_COVERPAGE_EXISTS" w:val="True"/>
    <w:docVar w:name="LW_COVERPAGE_GUID" w:val="0629BE26-94A0-4B61-A619-29729C6A6489"/>
    <w:docVar w:name="LW_COVERPAGE_TYPE" w:val="1"/>
    <w:docVar w:name="LW_CROSSREFERENCE" w:val="{COM(2017) 653 final}_x000b_{SWD(2017) 366 final}"/>
    <w:docVar w:name="LW_DocType" w:val="NORMAL"/>
    <w:docVar w:name="LW_EMISSION" w:val="8.11.2017."/>
    <w:docVar w:name="LW_EMISSION_ISODATE" w:val="2017-11-08"/>
    <w:docVar w:name="LW_EMISSION_LOCATION" w:val="BRX"/>
    <w:docVar w:name="LW_EMISSION_PREFIX" w:val="Bruxelles, "/>
    <w:docVar w:name="LW_EMISSION_SUFFIX" w:val="&lt;EMPTY&gt;"/>
    <w:docVar w:name="LW_ID_DOCTYPE_NONLW" w:val="CP-027"/>
    <w:docVar w:name="LW_LANGUE" w:val="HR"/>
    <w:docVar w:name="LW_LEVEL_OF_SENSITIVITY" w:val="Standard treatment"/>
    <w:docVar w:name="LW_NOM.INST" w:val="EUROPSKA KOMISIJA"/>
    <w:docVar w:name="LW_NOM.INST_JOINTDOC" w:val="&lt;EMPTY&gt;"/>
    <w:docVar w:name="LW_OBJETACTEPRINCIPAL.CP" w:val="o izmjeni Direktive 2009/33/EZ o promicanju \u269?istih i energetski u\u269?inkovitih vozila u cestovnom prijevozu"/>
    <w:docVar w:name="LW_PART_NBR" w:val="1"/>
    <w:docVar w:name="LW_PART_NBR_TOTAL" w:val="1"/>
    <w:docVar w:name="LW_REF.INST.NEW" w:val="SWD"/>
    <w:docVar w:name="LW_REF.INST.NEW_ADOPTED" w:val="final"/>
    <w:docVar w:name="LW_REF.INST.NEW_TEXT" w:val="(2017) 367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ITRE.OBJ.CP" w:val="&lt;UNUSED&gt;"/>
    <w:docVar w:name="LW_TYPE.DOC.CP" w:val="RADNI DOKUMENT SLU\u381?BI KOMISIJE_x000b__x000b_SA\u381?ETAK PROCJENE UTJECAJA_x000b_"/>
    <w:docVar w:name="LW_TYPEACTEPRINCIPAL.CP" w:val="Prijedlog Direktive Europskog parlamenta i Vije\u263?a"/>
  </w:docVars>
  <w:rsids>
    <w:rsidRoot w:val="00EB19C8"/>
    <w:rsid w:val="005835B3"/>
    <w:rsid w:val="00EB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hr-H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after="120"/>
      <w:jc w:val="both"/>
    </w:pPr>
    <w:rPr>
      <w:rFonts w:eastAsiaTheme="minorHAnsi"/>
      <w:szCs w:val="22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/>
      <w:ind w:left="-850" w:right="-850"/>
    </w:pPr>
    <w:rPr>
      <w:rFonts w:eastAsiaTheme="minorHAnsi"/>
      <w:szCs w:val="22"/>
      <w:lang w:eastAsia="en-US" w:bidi="ar-SA"/>
    </w:rPr>
  </w:style>
  <w:style w:type="paragraph" w:styleId="FootnoteText">
    <w:name w:val="footnote text"/>
    <w:basedOn w:val="Normal"/>
    <w:semiHidden/>
    <w:pPr>
      <w:ind w:left="720" w:hanging="720"/>
      <w:jc w:val="both"/>
    </w:pPr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Pr>
      <w:rFonts w:eastAsiaTheme="minorHAnsi"/>
      <w:sz w:val="24"/>
      <w:szCs w:val="22"/>
      <w:lang w:eastAsia="en-US" w:bidi="ar-SA"/>
    </w:rPr>
  </w:style>
  <w:style w:type="paragraph" w:customStyle="1" w:styleId="ZCom">
    <w:name w:val="Z_Com"/>
    <w:basedOn w:val="Normal"/>
    <w:next w:val="ZDGName"/>
    <w:uiPriority w:val="99"/>
    <w:pPr>
      <w:widowControl w:val="0"/>
      <w:autoSpaceDE w:val="0"/>
      <w:autoSpaceDN w:val="0"/>
      <w:ind w:right="85"/>
      <w:jc w:val="both"/>
    </w:pPr>
    <w:rPr>
      <w:rFonts w:ascii="Arial" w:eastAsiaTheme="minorEastAsia" w:hAnsi="Arial" w:cs="Arial"/>
    </w:rPr>
  </w:style>
  <w:style w:type="paragraph" w:customStyle="1" w:styleId="ZDGName">
    <w:name w:val="Z_DGName"/>
    <w:basedOn w:val="Normal"/>
    <w:uiPriority w:val="99"/>
    <w:pPr>
      <w:widowControl w:val="0"/>
      <w:autoSpaceDE w:val="0"/>
      <w:autoSpaceDN w:val="0"/>
      <w:ind w:right="85"/>
    </w:pPr>
    <w:rPr>
      <w:rFonts w:ascii="Arial" w:eastAsiaTheme="minorEastAsia" w:hAnsi="Arial" w:cs="Arial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jc w:val="both"/>
    </w:pPr>
    <w:rPr>
      <w:rFonts w:eastAsiaTheme="minorHAnsi"/>
      <w:szCs w:val="22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/>
      <w:ind w:left="-850" w:right="-850"/>
    </w:pPr>
  </w:style>
  <w:style w:type="character" w:customStyle="1" w:styleId="FooterCoverPageChar">
    <w:name w:val="Footer Cover Page Char"/>
    <w:basedOn w:val="DefaultParagraphFont"/>
    <w:link w:val="FooterCoverPage"/>
    <w:rPr>
      <w:sz w:val="24"/>
      <w:szCs w:val="24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/>
      <w:jc w:val="both"/>
    </w:pPr>
  </w:style>
  <w:style w:type="character" w:customStyle="1" w:styleId="HeaderCoverPageChar">
    <w:name w:val="Header Cover Page Char"/>
    <w:basedOn w:val="DefaultParagraphFont"/>
    <w:link w:val="HeaderCoverPage"/>
    <w:rPr>
      <w:sz w:val="24"/>
      <w:szCs w:val="24"/>
    </w:rPr>
  </w:style>
  <w:style w:type="table" w:customStyle="1" w:styleId="TableGrid1">
    <w:name w:val="Table Grid1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lassification">
    <w:name w:val="Declassification"/>
    <w:basedOn w:val="Normal"/>
    <w:next w:val="Normal"/>
    <w:pPr>
      <w:jc w:val="both"/>
    </w:pPr>
    <w:rPr>
      <w:rFonts w:eastAsiaTheme="minorHAnsi"/>
      <w:szCs w:val="22"/>
      <w:lang w:eastAsia="en-US" w:bidi="ar-SA"/>
    </w:r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after="120"/>
      <w:jc w:val="both"/>
    </w:pPr>
    <w:rPr>
      <w:rFonts w:eastAsiaTheme="minorHAnsi"/>
      <w:szCs w:val="22"/>
      <w:lang w:eastAsia="en-US" w:bidi="ar-SA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ind w:left="113" w:right="113"/>
      <w:jc w:val="center"/>
    </w:pPr>
    <w:rPr>
      <w:b/>
      <w:sz w:val="32"/>
    </w:rPr>
  </w:style>
  <w:style w:type="character" w:customStyle="1" w:styleId="FooterChar">
    <w:name w:val="Footer Char"/>
    <w:basedOn w:val="DefaultParagraphFont"/>
    <w:link w:val="Footer"/>
    <w:uiPriority w:val="99"/>
    <w:rPr>
      <w:rFonts w:eastAsiaTheme="minorHAnsi"/>
      <w:sz w:val="24"/>
      <w:szCs w:val="22"/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/>
      <w:ind w:left="-567" w:right="-567"/>
    </w:pPr>
    <w:rPr>
      <w:rFonts w:eastAsiaTheme="minorHAnsi"/>
      <w:szCs w:val="22"/>
      <w:lang w:eastAsia="en-US" w:bidi="ar-SA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/>
      <w:ind w:left="113" w:right="113"/>
      <w:jc w:val="center"/>
    </w:pPr>
    <w:rPr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hr-H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after="120"/>
      <w:jc w:val="both"/>
    </w:pPr>
    <w:rPr>
      <w:rFonts w:eastAsiaTheme="minorHAnsi"/>
      <w:szCs w:val="22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/>
      <w:ind w:left="-850" w:right="-850"/>
    </w:pPr>
    <w:rPr>
      <w:rFonts w:eastAsiaTheme="minorHAnsi"/>
      <w:szCs w:val="22"/>
      <w:lang w:eastAsia="en-US" w:bidi="ar-SA"/>
    </w:rPr>
  </w:style>
  <w:style w:type="paragraph" w:styleId="FootnoteText">
    <w:name w:val="footnote text"/>
    <w:basedOn w:val="Normal"/>
    <w:semiHidden/>
    <w:pPr>
      <w:ind w:left="720" w:hanging="720"/>
      <w:jc w:val="both"/>
    </w:pPr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Pr>
      <w:rFonts w:eastAsiaTheme="minorHAnsi"/>
      <w:sz w:val="24"/>
      <w:szCs w:val="22"/>
      <w:lang w:eastAsia="en-US" w:bidi="ar-SA"/>
    </w:rPr>
  </w:style>
  <w:style w:type="paragraph" w:customStyle="1" w:styleId="ZCom">
    <w:name w:val="Z_Com"/>
    <w:basedOn w:val="Normal"/>
    <w:next w:val="ZDGName"/>
    <w:uiPriority w:val="99"/>
    <w:pPr>
      <w:widowControl w:val="0"/>
      <w:autoSpaceDE w:val="0"/>
      <w:autoSpaceDN w:val="0"/>
      <w:ind w:right="85"/>
      <w:jc w:val="both"/>
    </w:pPr>
    <w:rPr>
      <w:rFonts w:ascii="Arial" w:eastAsiaTheme="minorEastAsia" w:hAnsi="Arial" w:cs="Arial"/>
    </w:rPr>
  </w:style>
  <w:style w:type="paragraph" w:customStyle="1" w:styleId="ZDGName">
    <w:name w:val="Z_DGName"/>
    <w:basedOn w:val="Normal"/>
    <w:uiPriority w:val="99"/>
    <w:pPr>
      <w:widowControl w:val="0"/>
      <w:autoSpaceDE w:val="0"/>
      <w:autoSpaceDN w:val="0"/>
      <w:ind w:right="85"/>
    </w:pPr>
    <w:rPr>
      <w:rFonts w:ascii="Arial" w:eastAsiaTheme="minorEastAsia" w:hAnsi="Arial" w:cs="Arial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jc w:val="both"/>
    </w:pPr>
    <w:rPr>
      <w:rFonts w:eastAsiaTheme="minorHAnsi"/>
      <w:szCs w:val="22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/>
      <w:ind w:left="-850" w:right="-850"/>
    </w:pPr>
  </w:style>
  <w:style w:type="character" w:customStyle="1" w:styleId="FooterCoverPageChar">
    <w:name w:val="Footer Cover Page Char"/>
    <w:basedOn w:val="DefaultParagraphFont"/>
    <w:link w:val="FooterCoverPage"/>
    <w:rPr>
      <w:sz w:val="24"/>
      <w:szCs w:val="24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/>
      <w:jc w:val="both"/>
    </w:pPr>
  </w:style>
  <w:style w:type="character" w:customStyle="1" w:styleId="HeaderCoverPageChar">
    <w:name w:val="Header Cover Page Char"/>
    <w:basedOn w:val="DefaultParagraphFont"/>
    <w:link w:val="HeaderCoverPage"/>
    <w:rPr>
      <w:sz w:val="24"/>
      <w:szCs w:val="24"/>
    </w:rPr>
  </w:style>
  <w:style w:type="table" w:customStyle="1" w:styleId="TableGrid1">
    <w:name w:val="Table Grid1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lassification">
    <w:name w:val="Declassification"/>
    <w:basedOn w:val="Normal"/>
    <w:next w:val="Normal"/>
    <w:pPr>
      <w:jc w:val="both"/>
    </w:pPr>
    <w:rPr>
      <w:rFonts w:eastAsiaTheme="minorHAnsi"/>
      <w:szCs w:val="22"/>
      <w:lang w:eastAsia="en-US" w:bidi="ar-SA"/>
    </w:r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after="120"/>
      <w:jc w:val="both"/>
    </w:pPr>
    <w:rPr>
      <w:rFonts w:eastAsiaTheme="minorHAnsi"/>
      <w:szCs w:val="22"/>
      <w:lang w:eastAsia="en-US" w:bidi="ar-SA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ind w:left="113" w:right="113"/>
      <w:jc w:val="center"/>
    </w:pPr>
    <w:rPr>
      <w:b/>
      <w:sz w:val="32"/>
    </w:rPr>
  </w:style>
  <w:style w:type="character" w:customStyle="1" w:styleId="FooterChar">
    <w:name w:val="Footer Char"/>
    <w:basedOn w:val="DefaultParagraphFont"/>
    <w:link w:val="Footer"/>
    <w:uiPriority w:val="99"/>
    <w:rPr>
      <w:rFonts w:eastAsiaTheme="minorHAnsi"/>
      <w:sz w:val="24"/>
      <w:szCs w:val="22"/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/>
      <w:ind w:left="-567" w:right="-567"/>
    </w:pPr>
    <w:rPr>
      <w:rFonts w:eastAsiaTheme="minorHAnsi"/>
      <w:szCs w:val="22"/>
      <w:lang w:eastAsia="en-US" w:bidi="ar-SA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/>
      <w:ind w:left="113" w:right="113"/>
      <w:jc w:val="center"/>
    </w:pPr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header" Target="header3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oter" Target="footer6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header" Target="header6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2FF24BEE692C4CA94781A66E31F216" ma:contentTypeVersion="1" ma:contentTypeDescription="Create a new document." ma:contentTypeScope="" ma:versionID="7d6ee1b4a7e3a71187b7d9d3fe1f644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24173-A8CF-4AAB-BE0C-126D8400FDC0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EC7B3CE-EE00-43FE-BE10-7423387A8B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0C5FE9-6CE3-4E9C-B9CD-1391676A23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30F0DD-5C97-437D-8158-53B60F6AB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1418</Words>
  <Characters>8592</Characters>
  <Application>Microsoft Office Word</Application>
  <DocSecurity>0</DocSecurity>
  <Lines>859</Lines>
  <Paragraphs>834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ROADMAP (Template)</vt:lpstr>
    </vt:vector>
  </TitlesOfParts>
  <Manager/>
  <Company/>
  <LinksUpToDate>false</LinksUpToDate>
  <CharactersWithSpaces>9176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ROADMAP (Template)</dc:title>
  <dc:creator/>
  <cp:lastModifiedBy>PAREDES ECHAURI Cristina (CAB-ALMUNIA)</cp:lastModifiedBy>
  <cp:revision>17</cp:revision>
  <cp:lastPrinted>2017-02-23T16:54:00Z</cp:lastPrinted>
  <dcterms:created xsi:type="dcterms:W3CDTF">2017-11-13T15:52:00Z</dcterms:created>
  <dcterms:modified xsi:type="dcterms:W3CDTF">2017-11-23T11:50:00Z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0x010100622FF24BEE692C4CA94781A66E31F216</vt:lpwstr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Order">
    <vt:r8>400</vt:r8>
  </property>
  <property fmtid="{D5CDD505-2E9C-101B-9397-08002B2CF9AE}" pid="8" name="Part">
    <vt:lpwstr>1</vt:lpwstr>
  </property>
  <property fmtid="{D5CDD505-2E9C-101B-9397-08002B2CF9AE}" pid="9" name="Total parts">
    <vt:lpwstr>1</vt:lpwstr>
  </property>
  <property fmtid="{D5CDD505-2E9C-101B-9397-08002B2CF9AE}" pid="10" name="DocStatus">
    <vt:lpwstr>Green</vt:lpwstr>
  </property>
  <property fmtid="{D5CDD505-2E9C-101B-9397-08002B2CF9AE}" pid="11" name="Level of sensitivity">
    <vt:lpwstr>Standard treatment</vt:lpwstr>
  </property>
</Properties>
</file>