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0535FA3-071A-4D9E-919E-E04BE520DC1B" style="width:450.8pt;height:397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</w:t>
      </w:r>
    </w:p>
    <w:p>
      <w:pPr>
        <w:pStyle w:val="NormalCentered"/>
        <w:rPr>
          <w:noProof/>
        </w:rPr>
      </w:pPr>
      <w:r>
        <w:rPr>
          <w:noProof/>
        </w:rPr>
        <w:t>Πληροφορίες σχετικά με την εφαρμογή ελάχιστων στόχων για τις δημόσιες συμβάσεις στον τομέα των καθαρών οχημάτων οδικών μεταφορών με στόχο τη στήριξη της κινητικότητας χαμηλών εκπομπών στα κράτη μέλη</w:t>
      </w:r>
    </w:p>
    <w:p>
      <w:pPr>
        <w:spacing w:before="0" w:after="0"/>
        <w:rPr>
          <w:b/>
          <w:noProof/>
          <w:szCs w:val="24"/>
        </w:rPr>
      </w:pPr>
    </w:p>
    <w:p>
      <w:pPr>
        <w:spacing w:before="0" w:after="0"/>
        <w:rPr>
          <w:i/>
          <w:noProof/>
          <w:szCs w:val="24"/>
        </w:rPr>
      </w:pPr>
      <w:r>
        <w:rPr>
          <w:i/>
          <w:noProof/>
        </w:rPr>
        <w:t>Πίνακας 1: Κωδικοί κοινού λεξιλογίου για τις δημόσιες συμβάσεις που αναφέρονται στο άρθρο 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9"/>
      </w:tblGrid>
      <w:tr>
        <w:tc>
          <w:tcPr>
            <w:tcW w:w="2660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Κωδικός CPV</w:t>
            </w:r>
          </w:p>
        </w:tc>
        <w:tc>
          <w:tcPr>
            <w:tcW w:w="6629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Περιγραφή</w:t>
            </w:r>
          </w:p>
        </w:tc>
      </w:tr>
      <w:tr>
        <w:tc>
          <w:tcPr>
            <w:tcW w:w="2660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60112000-6</w:t>
            </w:r>
          </w:p>
        </w:tc>
        <w:tc>
          <w:tcPr>
            <w:tcW w:w="6629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Υπηρεσίες δημόσιων οδικών μεταφορών</w:t>
            </w:r>
          </w:p>
        </w:tc>
      </w:tr>
      <w:tr>
        <w:tc>
          <w:tcPr>
            <w:tcW w:w="2660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60130000-8</w:t>
            </w:r>
          </w:p>
        </w:tc>
        <w:tc>
          <w:tcPr>
            <w:tcW w:w="6629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Υπηρεσίες ειδικών οδικών μεταφορών επιβατών</w:t>
            </w:r>
          </w:p>
        </w:tc>
      </w:tr>
      <w:tr>
        <w:tc>
          <w:tcPr>
            <w:tcW w:w="2660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60140000-1</w:t>
            </w:r>
          </w:p>
        </w:tc>
        <w:tc>
          <w:tcPr>
            <w:tcW w:w="6629" w:type="dxa"/>
          </w:tcPr>
          <w:p>
            <w:pPr>
              <w:rPr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Μη προγραμματισμένες μεταφορές επιβατών</w:t>
            </w:r>
          </w:p>
        </w:tc>
      </w:tr>
      <w:tr>
        <w:tc>
          <w:tcPr>
            <w:tcW w:w="2660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60172000-3</w:t>
            </w:r>
          </w:p>
        </w:tc>
        <w:tc>
          <w:tcPr>
            <w:tcW w:w="6629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Ενοικίαση λεωφορείων και πούλμαν με οδηγό</w:t>
            </w:r>
          </w:p>
        </w:tc>
      </w:tr>
      <w:tr>
        <w:tc>
          <w:tcPr>
            <w:tcW w:w="2660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90511000-2</w:t>
            </w:r>
          </w:p>
        </w:tc>
        <w:tc>
          <w:tcPr>
            <w:tcW w:w="6629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Υπηρεσίες αποκομιδής απορριμμάτων</w:t>
            </w:r>
          </w:p>
        </w:tc>
      </w:tr>
      <w:tr>
        <w:tc>
          <w:tcPr>
            <w:tcW w:w="2660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60160000-7</w:t>
            </w:r>
          </w:p>
        </w:tc>
        <w:tc>
          <w:tcPr>
            <w:tcW w:w="6629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Οδική μεταφορά αλληλογραφίας</w:t>
            </w:r>
          </w:p>
        </w:tc>
      </w:tr>
      <w:tr>
        <w:tc>
          <w:tcPr>
            <w:tcW w:w="2660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60161000-4</w:t>
            </w:r>
          </w:p>
        </w:tc>
        <w:tc>
          <w:tcPr>
            <w:tcW w:w="6629" w:type="dxa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Υπηρεσίες μεταφοράς δεμάτων</w:t>
            </w:r>
          </w:p>
        </w:tc>
      </w:tr>
    </w:tbl>
    <w:p>
      <w:pPr>
        <w:spacing w:before="0" w:after="0"/>
        <w:rPr>
          <w:i/>
          <w:noProof/>
          <w:szCs w:val="24"/>
        </w:rPr>
      </w:pPr>
      <w:r>
        <w:rPr>
          <w:i/>
          <w:noProof/>
          <w:szCs w:val="24"/>
        </w:rPr>
        <w:br/>
      </w:r>
      <w:r>
        <w:rPr>
          <w:i/>
          <w:noProof/>
        </w:rPr>
        <w:t xml:space="preserve">Πίνακας 2: Όρια εκπομπών από ελαφρά οχήματα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417"/>
        <w:gridCol w:w="2376"/>
      </w:tblGrid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 xml:space="preserve">Κατηγορίες οχημάτων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2030</w:t>
            </w:r>
          </w:p>
        </w:tc>
      </w:tr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CO2 g/km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RDE εκπομπές ατμοσφαιρικών ρύπων* ως ποσοστό των ορίων εκπομπών**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CO2 g/km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RDE εκπομπές ατμοσφαιρικών ρύπων* ως ποσοστό των ορίων εκπομπών</w:t>
            </w:r>
          </w:p>
        </w:tc>
      </w:tr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Οχήματα κατηγορίας M1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α.α.</w:t>
            </w:r>
          </w:p>
        </w:tc>
      </w:tr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Οχήματα κατηγορίας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α.α.</w:t>
            </w:r>
          </w:p>
        </w:tc>
      </w:tr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Οχήματα κατηγορίας N1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α.α.</w:t>
            </w:r>
          </w:p>
        </w:tc>
      </w:tr>
    </w:tbl>
    <w:p>
      <w:pPr>
        <w:rPr>
          <w:noProof/>
          <w:sz w:val="18"/>
          <w:szCs w:val="18"/>
        </w:rPr>
      </w:pPr>
      <w:r>
        <w:rPr>
          <w:i/>
          <w:noProof/>
          <w:sz w:val="20"/>
        </w:rPr>
        <w:t xml:space="preserve">* </w:t>
      </w:r>
      <w:r>
        <w:rPr>
          <w:noProof/>
          <w:sz w:val="18"/>
          <w:szCs w:val="18"/>
        </w:rPr>
        <w:t>Εκπομπές υπό πραγματικές συνθήκες οδήγησης (RDE)</w:t>
      </w:r>
      <w:r>
        <w:rPr>
          <w:noProof/>
          <w:sz w:val="18"/>
        </w:rPr>
        <w:t xml:space="preserve"> υπερλεπτών σωματιδίων σε αριθμό σωματιδίων ανά χιλιόμετρο (PN), και οξειδίων του αζώτου σε mg/km (NOx) μετρούμενων σύμφωνα με την ισχύουσα έκδοση του παραρτήματος IIIΑ του κανονισμού 2017/1151.</w:t>
      </w:r>
    </w:p>
    <w:p>
      <w:pPr>
        <w:rPr>
          <w:i/>
          <w:noProof/>
          <w:szCs w:val="24"/>
        </w:rPr>
      </w:pPr>
      <w:r>
        <w:rPr>
          <w:noProof/>
          <w:sz w:val="18"/>
        </w:rPr>
        <w:t>** Τα ισχύοντα όρια εκπομπών προβλέπονται στο παράρτημα I του κανονισμού (ΕΚ) 715/2007 ή στους κανονισμούς που τον διαδέχθηκαν.</w:t>
      </w:r>
    </w:p>
    <w:p>
      <w:pPr>
        <w:spacing w:before="0" w:after="0"/>
        <w:rPr>
          <w:i/>
          <w:noProof/>
          <w:szCs w:val="24"/>
        </w:rPr>
      </w:pPr>
      <w:r>
        <w:rPr>
          <w:i/>
          <w:noProof/>
          <w:szCs w:val="24"/>
        </w:rPr>
        <w:br/>
      </w:r>
      <w:r>
        <w:rPr>
          <w:i/>
          <w:noProof/>
        </w:rPr>
        <w:t>Πίνακας 3: Απαιτήσεις για τα εναλλακτικά καύσιμα βαρέων οχημάτων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 xml:space="preserve">Κατηγορίες οχημάτων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Εναλλακτικά καύσιμα</w:t>
            </w:r>
          </w:p>
        </w:tc>
      </w:tr>
      <w:t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Οχήματα των κατηγοριών M3, N2, N3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Η ηλεκτρική ενέργεια*, το υδρογόνο, το φυσικό αέριο, συμπεριλαμβανομένου του βιομεθανίου, σε αέρια μορφή (συμπιεσμένο φυσικό αέριο — CNG) και σε υγροποιημένη μορφή (υγροποιημένο φυσικό αέριο — LNG)</w:t>
            </w:r>
          </w:p>
        </w:tc>
      </w:tr>
    </w:tbl>
    <w:p>
      <w:pPr>
        <w:spacing w:after="240"/>
        <w:rPr>
          <w:noProof/>
          <w:sz w:val="18"/>
          <w:szCs w:val="18"/>
        </w:rPr>
      </w:pPr>
      <w:r>
        <w:rPr>
          <w:noProof/>
          <w:sz w:val="18"/>
        </w:rPr>
        <w:t xml:space="preserve"> *Προς χρήση σε οχήματα όπως καθορίζεται στο άρθρο 2 παράγραφος 2 της οδηγίας 2014/94/EU, υπό την προϋπόθεση ότι η ηλεκτρική ενέργεια χρησιμοποιείται σε σχετικό τμήμα της λειτουργικής χρήσης του οχήματος. </w:t>
      </w:r>
    </w:p>
    <w:p>
      <w:pPr>
        <w:rPr>
          <w:i/>
          <w:noProof/>
          <w:szCs w:val="24"/>
        </w:rPr>
      </w:pPr>
      <w:r>
        <w:rPr>
          <w:i/>
          <w:noProof/>
        </w:rPr>
        <w:t>Πίνακας 4: Ελάχιστος στόχος όσον αφορά το ποσοστό ελαφρών οχημάτων σύμφωνα με τον πίνακα 2 ως προς τις συνολικές δημόσιες συμβάσεις ελαφρών οχημάτων σε επίπεδο κράτους μέλους*</w:t>
      </w:r>
    </w:p>
    <w:tbl>
      <w:tblPr>
        <w:tblW w:w="592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843"/>
        <w:gridCol w:w="2126"/>
      </w:tblGrid>
      <w:tr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Κράτος μέλος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2030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Λουξεμβούργο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Σουηδία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Δανία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Φινλανδία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Γερμανία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Γαλλία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34%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Ηνωμένο Βασίλειο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Κάτω Χώρες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Αυστρία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Βέλγιο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Ιταλία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Ιρλανδία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Ισπανία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33%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33%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Κύπρος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Μάλτα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35%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Πορτογαλία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27%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27%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Ελλάδα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23%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Σλοβενία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Τσεχική Δημοκρατία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27%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27%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Εσθονία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Σλοβακία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Λιθουανία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Πολωνία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Κροατία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Ουγγαρία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Λετονία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20%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Ρουμανία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17%</w:t>
            </w:r>
          </w:p>
        </w:tc>
      </w:tr>
      <w:tr>
        <w:trPr>
          <w:trHeight w:val="30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Βουλγαρία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16%</w:t>
            </w:r>
          </w:p>
        </w:tc>
      </w:tr>
    </w:tbl>
    <w:p>
      <w:pPr>
        <w:rPr>
          <w:i/>
          <w:noProof/>
          <w:sz w:val="20"/>
          <w:szCs w:val="20"/>
        </w:rPr>
      </w:pPr>
      <w:r>
        <w:rPr>
          <w:noProof/>
          <w:sz w:val="20"/>
        </w:rPr>
        <w:t>*Τα οχήματα μηδενικών εκπομπών από τον αγωγό εξαγωγής υπολογίζονται ως 1 όχημα που συμβάλλει στην επίτευξη του στόχου. Όλα τα λοιπά οχήματα που πληρούν τις απαιτήσεις του πίνακα 2 του παρόντος παραρτήματος υπολογίζονται ως 0,5 οχήματα.</w:t>
      </w:r>
    </w:p>
    <w:p>
      <w:pPr>
        <w:spacing w:before="240"/>
        <w:rPr>
          <w:i/>
          <w:noProof/>
          <w:szCs w:val="24"/>
        </w:rPr>
      </w:pPr>
      <w:r>
        <w:rPr>
          <w:i/>
          <w:noProof/>
        </w:rPr>
        <w:t>Πίνακας 5: Ελάχιστος στόχος όσον αφορά το ποσοστό βαρέων οχημάτων σύμφωνα με τον πίνακα 3 ως προς τις συνολικές δημόσιες συμβάσεις βαρέων οχημάτων σε επίπεδο κράτους μέλους*</w:t>
      </w:r>
    </w:p>
    <w:tbl>
      <w:tblPr>
        <w:tblW w:w="38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275"/>
        <w:gridCol w:w="1278"/>
        <w:gridCol w:w="1148"/>
        <w:gridCol w:w="1463"/>
      </w:tblGrid>
      <w:tr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Κράτος μέλος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Φορτηγά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Λεωφορεία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2030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Λουξεμβούργο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Σουηδία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Δανία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Φινλανδία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69%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Γερμανία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Γαλλία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71%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Ηνωμένο Βασίλειο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Κάτω Χώρες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Αυστρία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Βέλγιο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Ιταλία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Ιρλανδία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Ισπανία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Κύπρος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Μάλτα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Πορτογαλία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61%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Ελλάδα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38%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57%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Σλοβενία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33%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50%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Τσεχική Δημοκρατία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46%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Εσθονία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36%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53%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Σλοβακία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Λιθουανία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47%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70%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Πολωνία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37%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56%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Κροατία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32%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48%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Ουγγαρία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42%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63%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Λετονία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40%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60%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Ρουμανία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29%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43%</w:t>
            </w:r>
          </w:p>
        </w:tc>
      </w:tr>
      <w:tr>
        <w:trPr>
          <w:trHeight w:val="30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Βουλγαρία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39%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58%</w:t>
            </w:r>
          </w:p>
        </w:tc>
      </w:tr>
    </w:tbl>
    <w:p>
      <w:pPr>
        <w:rPr>
          <w:noProof/>
        </w:rPr>
      </w:pPr>
      <w:r>
        <w:rPr>
          <w:noProof/>
          <w:sz w:val="20"/>
        </w:rPr>
        <w:t xml:space="preserve">* Τα οχήματα μηδενικών εκπομπών από τον αγωγό εξαγωγής ή τα οχήματα που χρησιμοποιούν φυσικό αέριο, υπό την προϋπόθεση ότι κινούνται αποκλειστικά με βιομεθάνιο και ότι αυτό αποδεικνύεται με σύμβαση για την παροχή βιομεθανίου ή άλλου μέσου πρόσβασης σε βιομεθάνιο, υπολογίζονται ως 1 όχημα που συμβάλλει στην επίτευξη του στόχου. Ο εν λόγω υπολογισμός δεν εφαρμόζεται σε όσα κράτη μέλη ο ελάχιστος στόχος για τις δημόσιες συμβάσεις υπερβαίνει το 50 % του συνολικού μεγέθους των δημοσίων συμβάσεων και η τιμή διαχωρισμού είναι το 50 %. </w:t>
      </w:r>
      <w:r>
        <w:rPr>
          <w:noProof/>
          <w:sz w:val="20"/>
          <w:szCs w:val="20"/>
        </w:rPr>
        <w:t>Όλα τα λοιπά οχήματα που πληρούν τις απαιτήσεις του πίνακα 2 του παρόντος παραρτήματος υπολογίζονται ως 0,5 οχήματα.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3449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9CD5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25A3C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0789D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E224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3A084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6540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E927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1-10 15:24:01"/>
    <w:docVar w:name="DQCRepairStyles" w:val=";Date d'adoption;Statut;Type du document;Date d'adoption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60535FA3-071A-4D9E-919E-E04BE520DC1B"/>
    <w:docVar w:name="LW_COVERPAGE_TYPE" w:val="1"/>
    <w:docVar w:name="LW_CROSSREFERENCE" w:val="{SWD(2017) 366 final}_x000b_{SWD(2017) 367 final}"/>
    <w:docVar w:name="LW_DocType" w:val="ANNEX"/>
    <w:docVar w:name="LW_EMISSION" w:val="8.11.2017"/>
    <w:docVar w:name="LW_EMISSION_ISODATE" w:val="2017-11-08"/>
    <w:docVar w:name="LW_EMISSION_LOCATION" w:val="BRX"/>
    <w:docVar w:name="LW_EMISSION_PREFIX" w:val="\u914?\u961?\u965?\u958?\u941?\u955?\u955?\u949?\u962?,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\u957? \u964?\u961?\u959?\u960?\u959?\u960?\u959?\u943?\u951?\u963?\u951? \u964?\u951?\u962? \u959?\u948?\u951?\u947?\u943?\u945?\u962? 2009/33/\u917?\u922? \u963?\u967?\u949?\u964?\u953?\u954?\u940? \u956?\u949? \u964?\u951?\u957? \u960?\u961?\u959?\u974?\u952?\u951?\u963?\u951? \u954?\u945?\u952?\u945?\u961?\u974?\u957? \u954?\u945?\u953? \u949?\u957?\u949?\u961?\u947?\u949?\u953?\u945?\u954?\u974?\u962? \u945?\u960?\u959?\u948?\u959?\u964?\u953?\u954?\u974?\u957? \u959?\u967?\u951?\u956?\u940?\u964?\u969?\u957? \u959?\u948?\u953?\u954?\u974?\u957? \u956?\u949?\u964?\u945?\u966?\u959?\u961?\u974?\u957?"/>
    <w:docVar w:name="LW_OBJETACTEPRINCIPAL.CP" w:val="\u947?\u953?\u945? \u964?\u951?\u957? \u964?\u961?\u959?\u960?\u959?\u960?\u959?\u943?\u951?\u963?\u951? \u964?\u951?\u962? \u959?\u948?\u951?\u947?\u943?\u945?\u962? 2009/33/\u917?\u922? \u963?\u967?\u949?\u964?\u953?\u954?\u940? \u956?\u949? \u964?\u951?\u957? \u960?\u961?\u959?\u974?\u952?\u951?\u963?\u951? \u954?\u945?\u952?\u945?\u961?\u974?\u957? \u954?\u945?\u953? \u949?\u957?\u949?\u961?\u947?\u949?\u953?\u945?\u954?\u974?\u962? \u945?\u960?\u959?\u948?\u959?\u964?\u953?\u954?\u974?\u957? \u959?\u967?\u951?\u956?\u940?\u964?\u969?\u957? \u959?\u948?\u953?\u954?\u974?\u957? \u956?\u949?\u964?\u945?\u966?\u959?\u961?\u974?\u957?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60?\u961?\u972?\u964?\u945?\u963?\u951?\u962? \u959?\u948?\u951?\u947?\u943?\u945?\u962? \u964?\u959?\u965? \u917?\u965?\u961?\u969?\u960?\u945?\u970?\u954?\u959?\u973? \u922?\u959?\u953?\u957?\u959?\u946?\u959?\u965?\u955?\u943?\u959?\u965? \u954?\u945?\u953? \u964?\u959?\u965? \u931?\u965?\u956?\u946?\u959?\u965?\u955?\u943?\u959?\u965?"/>
    <w:docVar w:name="LW_TYPEACTEPRINCIPAL.CP" w:val="\u960?\u961?\u972?\u964?\u945?\u963?\u951?\u962? \u959?\u948?\u951?\u947?\u943?\u945?\u962? \u964?\u959?\u965? \u917?\u965?\u961?\u969?\u960?\u945?\u970?\u954?\u959?\u973? \u922?\u959?\u953?\u957?\u959?\u946?\u959?\u965?\u955?\u943?\u959?\u965? \u954?\u945?\u953? \u964?\u959?\u965? \u931?\u965?\u956?\u946?\u959?\u965?\u955?\u943?\u959?\u96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713</Words>
  <Characters>3746</Characters>
  <Application>Microsoft Office Word</Application>
  <DocSecurity>0</DocSecurity>
  <Lines>340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DIGIT/A3</cp:lastModifiedBy>
  <cp:revision>9</cp:revision>
  <cp:lastPrinted>2017-11-10T14:24:00Z</cp:lastPrinted>
  <dcterms:created xsi:type="dcterms:W3CDTF">2017-11-10T14:23:00Z</dcterms:created>
  <dcterms:modified xsi:type="dcterms:W3CDTF">2017-11-23T10:15:00Z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Yellow (DQC version 03)</vt:lpwstr>
  </property>
</Properties>
</file>