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A56D9C6-E6C4-4FB6-97C9-E673B02AE798" style="width:450.8pt;height:422.6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Обобщение</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Оценка на въздействието на предложението за Регламент на Съвета за изменение на Регламент (ЕС) № 904/2010 по отношение на мерките за засилване на административното сътрудничество в областта на данъка върху добавената стойност</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Необходимост от действия</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Защо? В какво се състои проблемът?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Измамите с ДДС пораждат постоянно безпокойство в ЕС, тъй като разликата между потенциалните и реално събраните приходи от ДДС възлиза на 160 млрд. евро; от тях 40—60 млрд. евро се дължат на трансгранични измами, свързани с ДДС. Проблемите се коренят в слабостите на „преходния режим“, предвиден в Директивата за ДДС, който позволява продажбата на стоки и услуги без заплащане на ДДС при търговия в рамките на ЕС. Три са основните проблема, които се разглеждат в предложението:</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„вътреобщностна измама с липсващ търговец (известна също като „верижна измама“) — това са случаите, при които клиент на трансгранична доставка купува стоки или услуги, без да заплаща ДДС за тях, но при продажбата начислява данъка, без да го преведе на данъчните органи, като същевременно клиентът му има право да си приспадне заплатения ДДС;</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измами при продажбата на употребявани автомобили, при които се облага само маржът, вместо цялата продажна цена; и</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 xml:space="preserve">измами във връзка с митнически режими 42 и 63, при които ДДС не се дължи в държавата на вноса — какъвто е общият режим за ДДС, тъй като стоките биват доставени на предприятие в друга държава членка.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Какво се очаква да бъде постигнато с настоящата инициатива?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Целите на инициативата са данъчните администрации да получат по-ефикасни и ефективни инструменти за борба с трите основни източника на измами с ДДС при трансгранични сделки. По-ефикасните използване и обмен на информацията между органите и засилването на ролята на Eurofisc ще дадат възможност на данъчните администрации на държавите членки по-добре да идентифицират нарушителите, да сложат край на измамите и в крайна сметка да гарантират равнопоставени условия на конкуренция за предприятията.</w:t>
            </w:r>
            <w:r>
              <w:rPr>
                <w:noProof/>
                <w:sz w:val="20"/>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Каква е добавената стойност от действие на равнището на ЕС?</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Въпреки че управлението, събирането и контролът на ДДС попадат преди всичко в националната компетентност на държавите членки, измамите с ДДС често са свързани с трансгранични сделки в рамките на единния пазар. Това оказва отрицателно въздействие върху функционирането на единния пазар и причинява сериозни загуби за бюджета на ЕС. Ето защо ЕС въведе инструменти за сътрудничество, с помощта на които се организира обменът на информация между данъчните администрации и се подпомагат съвместните провеки и дейността на Eurofisc. Повишаването на ефикасността на тези инструменти на равнище ЕС, по-специално чрез засилване ролята на Eurofisc, ще създаде добавена стойност, която превишава резултатите, които могат да бъдат постигнати само от действия на отделните държави членки.</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Б. Решения</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Какви законодателни и незаконодателни варианти на политиката бяха взети под внимание? Има ли предпочитан вариант? Защо?</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Бяха набелязани 5 основни варианта, включващи подварианти. Всички варианти, взети заедно като пакет, ще подобрят сегашното положение по отношение на трансграничните измами с ДДС:</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въвеждането на съвместна обработка и анализ на данните в рамките на Eurofisc;</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извършването на нови съвместни действия при проверките на данъчните администрации и повишаване на координацията между тях в рамките на Eurofisc;</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lastRenderedPageBreak/>
              <w:t>въвеждането на обмен на информация и на разузнавателни сведения между данъчните администрации на държавите членки в рамките на Eurofisc и правоприлагащите органи на ниво ЕС;</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подобряване на достъпа до данните за регистрацията на превозни средства;</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 xml:space="preserve">обмен между митническите и данъчните органи на информация относно регистрацията по ДДС и информация във връзка с митнически режими </w:t>
            </w:r>
            <w:bookmarkStart w:id="2" w:name="_Toc486230711"/>
            <w:bookmarkStart w:id="3" w:name="_Toc487638296"/>
            <w:r>
              <w:rPr>
                <w:rFonts w:ascii="Arial" w:hAnsi="Arial"/>
                <w:noProof/>
                <w:sz w:val="20"/>
              </w:rPr>
              <w:t>42 и 63.</w:t>
            </w:r>
          </w:p>
          <w:bookmarkEnd w:id="2"/>
          <w:bookmarkEnd w:id="3"/>
          <w:p>
            <w:pPr>
              <w:spacing w:line="280" w:lineRule="exact"/>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lastRenderedPageBreak/>
              <w:t>Кой подкрепя отделните варианти?</w:t>
            </w:r>
            <w:r>
              <w:rPr>
                <w:rFonts w:ascii="Tahoma" w:hAnsi="Tahoma"/>
                <w:noProof/>
                <w:sz w:val="20"/>
              </w:rPr>
              <w:t xml:space="preserve">  </w:t>
            </w:r>
          </w:p>
        </w:tc>
      </w:tr>
      <w:tr>
        <w:tc>
          <w:tcPr>
            <w:tcW w:w="10188" w:type="dxa"/>
            <w:shd w:val="clear" w:color="auto" w:fill="auto"/>
          </w:tcPr>
          <w:p>
            <w:pPr>
              <w:spacing w:line="280" w:lineRule="exact"/>
              <w:jc w:val="both"/>
              <w:rPr>
                <w:rFonts w:ascii="Arial" w:hAnsi="Arial" w:cs="Arial"/>
                <w:noProof/>
                <w:sz w:val="20"/>
                <w:szCs w:val="20"/>
              </w:rPr>
            </w:pPr>
            <w:r>
              <w:rPr>
                <w:rFonts w:ascii="Arial" w:hAnsi="Arial"/>
                <w:noProof/>
                <w:sz w:val="20"/>
              </w:rPr>
              <w:t xml:space="preserve">Държавите членки подкрепят въвеждането на съвместна обработка на данни и на мерки за борба с измамите във връзка с митнически режими 42 и 63. Идеята за достъп до данните за регистрацията на превозни средства получи ограничена подкрепа. </w:t>
            </w:r>
          </w:p>
          <w:p>
            <w:pPr>
              <w:spacing w:line="280" w:lineRule="exact"/>
              <w:jc w:val="both"/>
              <w:rPr>
                <w:rFonts w:ascii="Arial" w:hAnsi="Arial" w:cs="Arial"/>
                <w:noProof/>
                <w:sz w:val="20"/>
                <w:szCs w:val="20"/>
              </w:rPr>
            </w:pPr>
            <w:r>
              <w:rPr>
                <w:rFonts w:ascii="Arial" w:hAnsi="Arial"/>
                <w:noProof/>
                <w:sz w:val="20"/>
              </w:rPr>
              <w:t xml:space="preserve">Други заинтересовани страни подкрепят прилагането на нов автоматичен обмен на информация и нови начини за сътрудничество между данъчните и правоприлагащите органи. Те се обявяваха за по-активна роля на Eurofisc и изразиха цялостното си положително мнение за съвместните проверки.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В. Въздействие на предпочитаните варианти</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Какви са ползите от предпочитания вариант (ако има такъв; в противен случай — от основните варианти)?</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Не е възможно да се направи точна оценка и количествено измерване на ползите от основните предпочитани варианти. </w:t>
            </w:r>
          </w:p>
          <w:p>
            <w:pPr>
              <w:spacing w:line="280" w:lineRule="exact"/>
              <w:jc w:val="both"/>
              <w:rPr>
                <w:rFonts w:ascii="Arial" w:hAnsi="Arial" w:cs="Arial"/>
                <w:noProof/>
                <w:sz w:val="20"/>
                <w:szCs w:val="20"/>
              </w:rPr>
            </w:pPr>
            <w:r>
              <w:rPr>
                <w:rFonts w:ascii="Arial" w:hAnsi="Arial"/>
                <w:noProof/>
                <w:sz w:val="20"/>
                <w:u w:val="single"/>
              </w:rPr>
              <w:t>За държавите членки</w:t>
            </w:r>
            <w:r>
              <w:rPr>
                <w:noProof/>
              </w:rPr>
              <w:t>:</w:t>
            </w:r>
            <w:r>
              <w:rPr>
                <w:rFonts w:ascii="Arial" w:hAnsi="Arial"/>
                <w:noProof/>
                <w:sz w:val="20"/>
              </w:rPr>
              <w:t xml:space="preserve"> очаква се основните варианти, включени в инициативата, бързо и ефективно да подобрят ситуацията, свързана с трансграничните измами с ДДС, и следователно да доведат до увеличаване на приходите от ДДС. </w:t>
            </w:r>
          </w:p>
          <w:p>
            <w:pPr>
              <w:spacing w:line="280" w:lineRule="exact"/>
              <w:jc w:val="both"/>
              <w:rPr>
                <w:rFonts w:ascii="Arial" w:hAnsi="Arial" w:cs="Arial"/>
                <w:noProof/>
                <w:sz w:val="20"/>
                <w:szCs w:val="20"/>
              </w:rPr>
            </w:pPr>
            <w:r>
              <w:rPr>
                <w:rFonts w:ascii="Arial" w:hAnsi="Arial"/>
                <w:noProof/>
                <w:sz w:val="20"/>
                <w:u w:val="single"/>
              </w:rPr>
              <w:t>За предприятията</w:t>
            </w:r>
            <w:r>
              <w:rPr>
                <w:noProof/>
              </w:rPr>
              <w:t>:</w:t>
            </w:r>
            <w:r>
              <w:rPr>
                <w:rFonts w:ascii="Arial" w:hAnsi="Arial"/>
                <w:noProof/>
                <w:sz w:val="20"/>
              </w:rPr>
              <w:t xml:space="preserve"> по-точното фокусиране на мерките върху извършителите на измами може да намали разходите за привеждане в съответствие, понасяни от предприятията, извършващи търговия в рамките на ЕС. </w:t>
            </w:r>
          </w:p>
          <w:p>
            <w:pPr>
              <w:spacing w:line="280" w:lineRule="exact"/>
              <w:jc w:val="both"/>
              <w:rPr>
                <w:rFonts w:ascii="Arial" w:hAnsi="Arial" w:cs="Arial"/>
                <w:noProof/>
                <w:sz w:val="20"/>
                <w:szCs w:val="20"/>
                <w:u w:val="single"/>
              </w:rPr>
            </w:pPr>
            <w:r>
              <w:rPr>
                <w:rFonts w:ascii="Arial" w:hAnsi="Arial"/>
                <w:noProof/>
                <w:sz w:val="20"/>
                <w:u w:val="single"/>
              </w:rPr>
              <w:t>За единния пазар</w:t>
            </w:r>
            <w:r>
              <w:rPr>
                <w:noProof/>
              </w:rPr>
              <w:t>:</w:t>
            </w:r>
            <w:r>
              <w:rPr>
                <w:rFonts w:ascii="Arial" w:hAnsi="Arial"/>
                <w:noProof/>
                <w:sz w:val="20"/>
              </w:rPr>
              <w:t xml:space="preserve"> очаква се положително въздействие върху единния пазар, тъй като борбата срещу измамите с ДДС ще осигури равнопоставени условия на конкуренция за спазващите правилата предприятия в целия ЕС.</w:t>
            </w:r>
            <w:r>
              <w:rPr>
                <w:rFonts w:ascii="Arial" w:hAnsi="Arial"/>
                <w:noProof/>
                <w:sz w:val="20"/>
                <w:u w:val="single"/>
              </w:rPr>
              <w:t xml:space="preserve"> </w:t>
            </w:r>
          </w:p>
          <w:p>
            <w:pPr>
              <w:spacing w:line="280" w:lineRule="exact"/>
              <w:jc w:val="both"/>
              <w:rPr>
                <w:rFonts w:ascii="Arial" w:hAnsi="Arial" w:cs="Arial"/>
                <w:noProof/>
                <w:sz w:val="20"/>
                <w:szCs w:val="20"/>
              </w:rPr>
            </w:pPr>
            <w:r>
              <w:rPr>
                <w:rFonts w:ascii="Arial" w:hAnsi="Arial"/>
                <w:noProof/>
                <w:sz w:val="20"/>
              </w:rPr>
              <w:t xml:space="preserve">Въздействието върху околната среда и върху социалната сфера не е значително.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Какви са разходите за предпочитания вариант (ако има такъв, в противен случай — за основните варианти)?</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u w:val="single"/>
              </w:rPr>
              <w:t>За предприятията</w:t>
            </w:r>
            <w:r>
              <w:rPr>
                <w:noProof/>
              </w:rPr>
              <w:t>:</w:t>
            </w:r>
            <w:r>
              <w:rPr>
                <w:rFonts w:ascii="Arial" w:hAnsi="Arial"/>
                <w:noProof/>
                <w:sz w:val="20"/>
              </w:rPr>
              <w:t xml:space="preserve"> без допълнителни разходи. Предложението ще създаде условия за по-добро използване и анализ на вече наличната информация.</w:t>
            </w:r>
          </w:p>
          <w:p>
            <w:pPr>
              <w:spacing w:line="280" w:lineRule="exact"/>
              <w:jc w:val="both"/>
              <w:rPr>
                <w:rFonts w:ascii="Arial" w:hAnsi="Arial" w:cs="Arial"/>
                <w:i/>
                <w:noProof/>
                <w:sz w:val="20"/>
                <w:szCs w:val="20"/>
              </w:rPr>
            </w:pPr>
            <w:r>
              <w:rPr>
                <w:rFonts w:ascii="Arial" w:hAnsi="Arial"/>
                <w:noProof/>
                <w:sz w:val="20"/>
                <w:u w:val="single"/>
              </w:rPr>
              <w:t>За държавите членки</w:t>
            </w:r>
            <w:r>
              <w:rPr>
                <w:noProof/>
              </w:rPr>
              <w:t>:</w:t>
            </w:r>
            <w:r>
              <w:rPr>
                <w:rFonts w:ascii="Arial" w:hAnsi="Arial"/>
                <w:noProof/>
                <w:sz w:val="20"/>
              </w:rPr>
              <w:t xml:space="preserve"> въвеждането на съвместна обработка на данни няма да доведе до допълнителни разходи, тъй като те се поемат от програмата „Фискалис“. Данните за регистрацията на превозни средства и митническите данни вече са на разположение. Предоставянето на данъчните администрации на автоматичен достъп до информацията би изисквало ограничени по мащаб разработки в областта на ИТ. Разходите обаче не могат да бъдат прогнозирани, тъй като не съществуват подобни данни (държавите членки също не разполагат с такива) от близкото минало.</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Какви ще са последиците за предприятията, МСП и микропредприятията?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Очаква се, че инициативата няма да има неблагоприятно отражение върху предприятията, МСП и микропредприятията, тъй като не следва да породи допълнителна административна тежест и разходи за привеждане в съответствие. </w:t>
            </w:r>
          </w:p>
          <w:p>
            <w:pPr>
              <w:spacing w:line="280" w:lineRule="exact"/>
              <w:jc w:val="both"/>
              <w:rPr>
                <w:rFonts w:ascii="Arial" w:hAnsi="Arial" w:cs="Arial"/>
                <w:i/>
                <w:noProof/>
                <w:sz w:val="20"/>
                <w:szCs w:val="20"/>
              </w:rPr>
            </w:pPr>
            <w:r>
              <w:rPr>
                <w:rFonts w:ascii="Arial" w:hAnsi="Arial"/>
                <w:noProof/>
                <w:sz w:val="20"/>
              </w:rPr>
              <w:t>Напротив, предприятията следва да се възползват от по-равнопоставените условия на конкуренция и по-доброто функциониране на единния пазар.</w:t>
            </w:r>
            <w:r>
              <w:rPr>
                <w:rFonts w:ascii="Arial" w:hAnsi="Arial"/>
                <w:i/>
                <w:noProof/>
                <w:sz w:val="20"/>
              </w:rPr>
              <w:t xml:space="preserv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Ще има ли значително въздействие върху националните бюджети и администрации?</w:t>
            </w:r>
          </w:p>
        </w:tc>
      </w:tr>
      <w:tr>
        <w:tc>
          <w:tcPr>
            <w:tcW w:w="10188" w:type="dxa"/>
            <w:shd w:val="clear" w:color="auto" w:fill="auto"/>
          </w:tcPr>
          <w:p>
            <w:pPr>
              <w:spacing w:line="280" w:lineRule="exact"/>
              <w:jc w:val="both"/>
              <w:rPr>
                <w:rFonts w:ascii="Arial" w:hAnsi="Arial" w:cs="Arial"/>
                <w:noProof/>
                <w:sz w:val="20"/>
                <w:szCs w:val="20"/>
              </w:rPr>
            </w:pPr>
            <w:r>
              <w:rPr>
                <w:rFonts w:ascii="Arial" w:hAnsi="Arial"/>
                <w:noProof/>
                <w:sz w:val="20"/>
              </w:rPr>
              <w:t xml:space="preserve">Въпреки че някои варианти са свързани с разходи за разработки в областта на ИТ, новите инструменти за борба с измамите с ДДС ще създадат ползи за националните бюджети. Не е възможно ползите да бъдат точно измерени, но се предвижда нетният краен резултат да е положителен.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Ще има ли друго значително въздействие?</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Настоящото предложение ще доведе до нов обмен и съвместна обработка на информацията за ДДС, в това число на лични данни, което може да засегне основните права. Предвиденият нов обмен на информация и обработката на данни обаче ще бъдат строго фокусирани и ограничени до необходимото за постигане на целите на инициативата — ефективна борба срещу трансграничните измами с ДДС.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Г. Последващи действия</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Кога ще се извърши преглед на политиката? </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Tahoma" w:hAnsi="Tahoma" w:cs="Tahoma"/>
                <w:noProof/>
                <w:sz w:val="20"/>
                <w:szCs w:val="20"/>
              </w:rPr>
            </w:pPr>
            <w:r>
              <w:rPr>
                <w:rFonts w:ascii="Tahoma" w:hAnsi="Tahoma"/>
                <w:noProof/>
                <w:sz w:val="20"/>
              </w:rPr>
              <w:t>Съгласно член 59 от Регламент (ЕС) № 904/2010 на всеки пет години се прави преглед на прилагането му. Освен това държавите членки трябва да съобщават на Комисията всякаква налична информация, отнасяща се до прилагането на регламента (член 49), включително годишни статистически данни.</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1A48"/>
    <w:multiLevelType w:val="hybridMultilevel"/>
    <w:tmpl w:val="ED3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144FD"/>
    <w:multiLevelType w:val="hybridMultilevel"/>
    <w:tmpl w:val="DB6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8619C"/>
    <w:multiLevelType w:val="hybridMultilevel"/>
    <w:tmpl w:val="2098CDA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6167F"/>
    <w:multiLevelType w:val="hybridMultilevel"/>
    <w:tmpl w:val="E9F042E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7?\u1088?\u1080?\u1076?\u1088?\u1091?\u1078?\u1072?\u1074?\u1072?\u1097?"/>
    <w:docVar w:name="LW_CORRIGENDUM" w:val="&lt;UNUSED&gt;"/>
    <w:docVar w:name="LW_COVERPAGE_EXISTS" w:val="True"/>
    <w:docVar w:name="LW_COVERPAGE_GUID" w:val="1A56D9C6-E6C4-4FB6-97C9-E673B02AE798"/>
    <w:docVar w:name="LW_COVERPAGE_TYPE" w:val="1"/>
    <w:docVar w:name="LW_CROSSREFERENCE" w:val="{COM(2017) 706 final}_x000b_{SWD(2017) 428 final}"/>
    <w:docVar w:name="LW_DocType" w:val="NORMAL"/>
    <w:docVar w:name="LW_EMISSION" w:val="30.11.2017"/>
    <w:docVar w:name="LW_EMISSION_ISODATE" w:val="2017-11-30"/>
    <w:docVar w:name="LW_EMISSION_LOCATION" w:val="BRX"/>
    <w:docVar w:name="LW_EMISSION_PREFIX" w:val="Брюксел, "/>
    <w:docVar w:name="LW_EMISSION_SUFFIX" w:val="\u1075?."/>
    <w:docVar w:name="LW_ID_DOCTYPE_NONLW" w:val="CP-02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0?\u1079?\u1084?\u1077?\u1085?\u1077?\u1085?\u1080?\u1077? \u1085?\u1072? \u1056?\u1077?\u1075?\u1083?\u1072?\u1084?\u1077?\u1085?\u1090? (E\u1057?) \u8470? 904/2010 \u1087?\u1086? \u1086?\u1090?\u1085?\u1086?\u1096?\u1077?\u1085?\u1080?\u1077? \u1085?\u1072? \u1084?\u1077?\u1088?\u1082?\u1080?\u1090?\u1077? \u1079?\u1072? \u1079?\u1072?\u1089?\u1080?\u1083?\u1074?\u1072?\u1085?\u1077? \u1085?\u1072? \u1072?\u1076?\u1084?\u1080?\u1085?\u1080?\u1089?\u1090?\u1088?\u1072?\u1090?\u1080?\u1074?\u1085?\u1086?\u1090?\u1086? \u1089?\u1098?\u1090?\u1088?\u1091?\u1076?\u1085?\u1080?\u1095?\u1077?\u1089?\u1090?\u1074?\u1086? \u1074? \u1086?\u1073?\u1083?\u1072?\u1089?\u1090?\u1090?\u1072? \u1085?\u1072? \u1076?\u1072?\u1085?\u1098?\u1082?\u1072? \u1074?\u1098?\u1088?\u1093?\u1091? \u1076?\u1086?\u1073?\u1072?\u1074?\u1077?\u1085?\u1072?\u1090?\u1072? \u1089?\u1090?\u1086?\u1081?\u1085?\u1086?\u1089?\u1090?"/>
    <w:docVar w:name="LW_PART_NBR" w:val="1"/>
    <w:docVar w:name="LW_PART_NBR_TOTAL" w:val="1"/>
    <w:docVar w:name="LW_REF.INST.NEW" w:val="SWD"/>
    <w:docVar w:name="LW_REF.INST.NEW_ADOPTED" w:val="final"/>
    <w:docVar w:name="LW_REF.INST.NEW_TEXT" w:val="(2017)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1056?\u1040?\u1041?\u1054?\u1058?\u1045?\u1053? \u1044?\u1054?\u1050?\u1059?\u1052?\u1045?\u1053?\u1058? \u1053?\u1040? \u1057?\u1051?\u1059?\u1046?\u1041?\u1048?\u1058?\u1045? \u1053?\u1040? \u1050?\u1054?\u1052?\u1048?\u1057?\u1048?\u1071?\u1058?\u1040?_x000b__x000b_\u1054?\u1041?\u1054?\u1041?\u1065?\u1045?\u1053?\u1040? \u1054?\u1062?\u1045?\u1053?\u1050?\u1040? \u1053?\u1040? \u1042?\u1066?\u1047?\u1044?\u1045?\u1049?\u1057?\u1058?\u1042?\u1048?\u1045?\u1058?\u1054?_x000b_"/>
    <w:docVar w:name="LW_TYPEACTEPRINCIPAL.CP" w:val="\u1048?\u1079?\u1084?\u1077?\u1085?\u1077?\u1085?\u1086? \u1087?\u1088?\u1077?\u1076?\u1083?\u1086?\u1078?\u1077?\u1085?\u1080?\u1077? \u1079?\u1072? \u1056?\u1077?\u1075?\u1083?\u1072?\u1084?\u1077?\u1085?\u1090? \u1085?\u1072? \u1057?\u1098?\u1074?\u1077?\u1090?\u1072?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bg-BG"/>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bg-BG"/>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5EF4959E7CFD845856F3BE47146C716" ma:contentTypeVersion="1" ma:contentTypeDescription="Create a new document in this library." ma:contentTypeScope="" ma:versionID="1754e5ff0a4b075aa19c18a670fedc3d">
  <xsd:schema xmlns:xsd="http://www.w3.org/2001/XMLSchema" xmlns:xs="http://www.w3.org/2001/XMLSchema" xmlns:p="http://schemas.microsoft.com/office/2006/metadata/properties" xmlns:ns3="75cd4fff-5666-4db4-b5ad-db4cdbd98c70" targetNamespace="http://schemas.microsoft.com/office/2006/metadata/properties" ma:root="true" ma:fieldsID="858d0a9dde80d806be8ce94973168f65" ns3:_="">
    <xsd:import namespace="75cd4fff-5666-4db4-b5ad-db4cdbd98c7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4fff-5666-4db4-b5ad-db4cdbd98c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5cd4fff-5666-4db4-b5ad-db4cdbd98c70">EN</EC_Collab_DocumentLanguage>
    <EC_Collab_Status xmlns="75cd4fff-5666-4db4-b5ad-db4cdbd98c70">Not Started</EC_Collab_Status>
    <EC_Collab_Reference xmlns="75cd4fff-5666-4db4-b5ad-db4cdbd98c70"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B79A3BAA-65AE-4EC3-9310-36A8AE79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4fff-5666-4db4-b5ad-db4cdbd98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documentManagement/types"/>
    <ds:schemaRef ds:uri="http://purl.org/dc/terms/"/>
    <ds:schemaRef ds:uri="http://purl.org/dc/dcmitype/"/>
    <ds:schemaRef ds:uri="http://schemas.microsoft.com/office/2006/metadata/properties"/>
    <ds:schemaRef ds:uri="75cd4fff-5666-4db4-b5ad-db4cdbd98c7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1125</Words>
  <Characters>6585</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2017-11-10T15:48:00Z</dcterms:created>
  <dcterms:modified xsi:type="dcterms:W3CDTF">2017-12-04T17:02:00Z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0x010100258AA79CEB83498886A3A086811232500055EF4959E7CFD845856F3BE47146C716</vt:lpwstr>
  </property>
  <property fmtid="{D5CDD505-2E9C-101B-9397-08002B2CF9AE}" pid="10" name="TemplateUrl">
    <vt:lpwstr/>
  </property>
  <property fmtid="{D5CDD505-2E9C-101B-9397-08002B2CF9AE}" pid="11" name="Level of sensitivity">
    <vt:lpwstr>Standard treatment</vt:lpwstr>
  </property>
</Properties>
</file>