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37252883-F6B5-4EBF-82E5-A79B1902BCCA" style="width:450.5pt;height:395.7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TA' SPJEGAZZJONI</w:t>
      </w:r>
    </w:p>
    <w:p>
      <w:pPr>
        <w:pStyle w:val="Point0"/>
        <w:rPr>
          <w:b/>
          <w:noProof/>
        </w:rPr>
      </w:pPr>
      <w:r>
        <w:rPr>
          <w:b/>
          <w:noProof/>
        </w:rPr>
        <w:t>1.</w:t>
      </w:r>
      <w:r>
        <w:rPr>
          <w:noProof/>
        </w:rPr>
        <w:tab/>
      </w:r>
      <w:r>
        <w:rPr>
          <w:b/>
          <w:noProof/>
        </w:rPr>
        <w:t>IL-KUNTEST ĠURIDIKU TA’ DIN ID-DIRETTIVA</w:t>
      </w:r>
    </w:p>
    <w:p>
      <w:pPr>
        <w:rPr>
          <w:noProof/>
        </w:rPr>
      </w:pPr>
      <w:r>
        <w:rPr>
          <w:noProof/>
        </w:rPr>
        <w:t>Id-Direttiva tal-Kunsill 92/66/KEE tistabbilixxi miżuri li għandhom jiġu applikati fil-każ ta’ tifqigħa tal-marda ta’ Newcastle fit-tjur u f’ċerti għasafar. Fost affarijiet oħra, id-Direttiva tagħti lill-Kunsill, li jaġixxi b’maġġoranza kwalifikata fuq proposta tal-Kummissjoni, is-setgħa li jemenda l-Annessi tad-Direttiva. Fost affarijiet oħra, il-Kunsill għandu, għaldaqstant, is-setgħa li jemenda l-Annessi V, VI u VII, li jkopru l-ħatra ta’ Laboratorju ta’ Referenza tal-UE (EURL) għall-marda ta’ Newcastle, il-mudell li għandu jintuża mill-Istati Membri sabiex jirrappurtaw lill-Kummissjoni dwar is-sitwazzjoni tal-marda, u l-miżuri ta’ kontroll applikati, kif ukoll il-kriterji biex l-Istati Membri jfasslu pjanijiet ta’ kontinġenza li jridu jiġu implimentati f'każ ta' tifqigħa.</w:t>
      </w:r>
    </w:p>
    <w:p>
      <w:pPr>
        <w:rPr>
          <w:noProof/>
        </w:rPr>
      </w:pPr>
      <w:r>
        <w:rPr>
          <w:noProof/>
        </w:rPr>
        <w:t xml:space="preserve">Dawk is-setgħat mogħtija lill-Kunsill jmorru kontra s-sistema l-ġdida ta’ leġiżlazzjoni u regolamentazzjoni eżekuttiva introdotti mit-Trattat dwar il-Funzjonament tal-Unjoni Ewropea (TFUE), b’mod partikolari l-Artikolu 291. Barra minn hekk, f’dak li għandu x’jaqsam mal-ħatra tal-EURLs, id-dispożizzjonijiet attwali biex jiġi emendat l-Anness V tad-Direttiva tal-Kunsill 92/66/KEE huma inkonsistenti mar-reġim il-ġdid għall-ħatra tal-EURLs introdott bir-Regolament (UE) 2017/625 dwar il-Kontrolli Uffiċjali (“OCR”). Dan ir-Regolament jirrikjedi li l-Kummissjoni taħtar EURLs permezz ta’ atti ta’ implimentazzjoni. </w:t>
      </w:r>
    </w:p>
    <w:p>
      <w:pPr>
        <w:rPr>
          <w:noProof/>
        </w:rPr>
      </w:pPr>
      <w:r>
        <w:rPr>
          <w:noProof/>
        </w:rPr>
        <w:t xml:space="preserve">L-għan ta’ din il-Proposta huwa li temenda d-Direttiva tal-Kunsill 92/66/KEE biex tiġi allinjata mat-TFUE u ma' dispożizzjonijiet ta’ kontroll uffiċjali ġodda, sabiex tiġi żgurata koerenza u ċertezza legali li jippermettu s-simplifikazzjoni meħtieġa tal-proċeduri. </w:t>
      </w:r>
    </w:p>
    <w:p>
      <w:pPr>
        <w:rPr>
          <w:noProof/>
        </w:rPr>
      </w:pPr>
      <w:r>
        <w:rPr>
          <w:noProof/>
        </w:rPr>
        <w:t>Il-Laboratorju ta’ Referenza Ewropew (EURL) attwali għall-marda ta’ Newcastle jinsab fir-Renju Unit. Għalhekk, jeħtieġ li jiġi sostitwit b'EURL li jinsab f’wieħed mis-27 Stat Membru ieħor billi r-Renju Unit se joħroġ mill-UE. Il-proċedura attwali għall-ħatra ta’ EURL għall-marda ta’ Newcastle hija permezz ta’ Direttiva tal-Kunsill. Għalhekk, hija meħtieġa b’mod urġenti deċiżjoni dwar proċedura allinjata u ssimplifikata sabiex tippermetti li l-EURL il-ġdid jaħdem kif suppost sad-data ta’ meta r-Renju Unit joħroġ mill-UE. Din ir-reviżjoni teknika tad-Direttiva tippermetti l-użu tal-proċedura ta’ implimentazzjoni meħtieġa biex jinħatar EURL ġdid għall-marda ta’ Newcastle sal-iskadenzi stretti relatati mal-BREXIT.</w:t>
      </w:r>
    </w:p>
    <w:p>
      <w:pPr>
        <w:rPr>
          <w:noProof/>
        </w:rPr>
      </w:pPr>
      <w:r>
        <w:rPr>
          <w:noProof/>
        </w:rPr>
        <w:t>Filwaqt li l-objettiv ewlieni huwa li tiġi allinjata d-Direttiva inkwistjoni mat-TFUE u mar-regoli tal-UE dwar il-ħatra tal-EURLs, il-miżuri proposti se jipprovdu wkoll aktar konsistenza legali u proċeduri ta’ implimentazzjoni aktar simplifikati.</w:t>
      </w:r>
    </w:p>
    <w:p>
      <w:pPr>
        <w:pStyle w:val="Point0"/>
        <w:rPr>
          <w:b/>
          <w:smallCaps/>
          <w:noProof/>
        </w:rPr>
      </w:pPr>
      <w:r>
        <w:rPr>
          <w:b/>
          <w:smallCaps/>
          <w:noProof/>
        </w:rPr>
        <w:t>2.</w:t>
      </w:r>
      <w:r>
        <w:rPr>
          <w:noProof/>
        </w:rPr>
        <w:tab/>
      </w:r>
      <w:r>
        <w:rPr>
          <w:b/>
          <w:smallCaps/>
          <w:noProof/>
        </w:rPr>
        <w:t>KONSULTAZZJONIJIET QABEL L-ADOZZJONI TA’ DIN ID-DIRETTIVA</w:t>
      </w:r>
    </w:p>
    <w:p>
      <w:pPr>
        <w:keepNext/>
        <w:tabs>
          <w:tab w:val="left" w:pos="0"/>
        </w:tabs>
        <w:outlineLvl w:val="0"/>
        <w:rPr>
          <w:noProof/>
        </w:rPr>
      </w:pPr>
      <w:r>
        <w:rPr>
          <w:noProof/>
        </w:rPr>
        <w:t>Ir-reviżjoni tad-Direttiva 92/66/KEE tikkonċerna biss il-bidliet tekniċi meħtieġa. Dawn l-emendi huma meħtieġa biex jiżguraw konsistenza mat-TFUE u mar-Regolament (UE) 2017/625 dwar il-kontrolli uffiċjali. Il-partijiet ikkonċernati ġew ikkonsultati b’mod wiesa’ dwar kemm it-Trattat kif ukoll ir-Regolament.</w:t>
      </w:r>
    </w:p>
    <w:p>
      <w:pPr>
        <w:keepNext/>
        <w:tabs>
          <w:tab w:val="left" w:pos="0"/>
        </w:tabs>
        <w:outlineLvl w:val="0"/>
        <w:rPr>
          <w:noProof/>
        </w:rPr>
      </w:pPr>
      <w:r>
        <w:rPr>
          <w:noProof/>
        </w:rPr>
        <w:t>Barra minn hekk, fid-dawl tan-natura purament teknika/proċedurali tal-bidliet maħsuba, f’dan il-każ speċifiku mhijiex meqjusa neċessarja konsultazzjoni pubblika sħiħa dwar l-istrateġija. Il-mekkaniżmu ta’ rispons ta’ erba’ ġimgħat dwar il-Pjan Direzzjonali se japplika.</w:t>
      </w:r>
    </w:p>
    <w:p>
      <w:pPr>
        <w:pStyle w:val="Point0"/>
        <w:rPr>
          <w:b/>
          <w:smallCaps/>
          <w:noProof/>
        </w:rPr>
      </w:pPr>
      <w:r>
        <w:rPr>
          <w:b/>
          <w:smallCaps/>
          <w:noProof/>
        </w:rPr>
        <w:t>3.</w:t>
      </w:r>
      <w:r>
        <w:rPr>
          <w:noProof/>
        </w:rPr>
        <w:tab/>
      </w:r>
      <w:r>
        <w:rPr>
          <w:b/>
          <w:smallCaps/>
          <w:noProof/>
        </w:rPr>
        <w:t>IL-BAŻI ĠURIDIKA TA’ DIN ID-DIRETTIVA</w:t>
      </w:r>
    </w:p>
    <w:p>
      <w:pPr>
        <w:rPr>
          <w:noProof/>
        </w:rPr>
      </w:pPr>
      <w:r>
        <w:rPr>
          <w:noProof/>
        </w:rPr>
        <w:t>Il-bażi ġuridika hija l-Artikolu 43(2) tat-TFUE.</w:t>
      </w:r>
    </w:p>
    <w:p>
      <w:pPr>
        <w:pStyle w:val="Point0"/>
        <w:rPr>
          <w:b/>
          <w:smallCaps/>
          <w:noProof/>
        </w:rPr>
      </w:pPr>
      <w:r>
        <w:rPr>
          <w:b/>
          <w:smallCaps/>
          <w:noProof/>
        </w:rPr>
        <w:t>4.</w:t>
      </w:r>
      <w:r>
        <w:rPr>
          <w:noProof/>
        </w:rPr>
        <w:tab/>
      </w:r>
      <w:r>
        <w:rPr>
          <w:b/>
          <w:smallCaps/>
          <w:noProof/>
        </w:rPr>
        <w:t>IMPLIKAZZJONI BAĠITARJA</w:t>
      </w:r>
    </w:p>
    <w:p>
      <w:pPr>
        <w:rPr>
          <w:noProof/>
        </w:rPr>
      </w:pPr>
      <w:r>
        <w:rPr>
          <w:noProof/>
        </w:rPr>
        <w:t>Il-proposta ma timplikax infiq li mhuwiex diġà previst fid-dikjarazzjoni finanzjarja tal-qafas finanzjarju komuni. L-ebda riżorsa umana addizjonali mhi prevista lanqas.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2017/0329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DIRETTIVA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temenda d-Direttiva tal-Kunsill 92/66/KEE  li tintroduċi miżuri tal-Komunità għal kontroll tal-marda Newcastle</w:t>
      </w:r>
    </w:p>
    <w:p>
      <w:pPr>
        <w:pStyle w:val="IntrtEEE"/>
        <w:rPr>
          <w:noProof/>
        </w:rPr>
      </w:pPr>
      <w:r>
        <w:rPr>
          <w:noProof/>
        </w:rPr>
        <w:t>(Test b'rilevanza għaż-ŻEE)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 b’mod partikolari l-Artikolu 43(2) tiegħu,</w:t>
      </w:r>
    </w:p>
    <w:p>
      <w:pPr>
        <w:rPr>
          <w:noProof/>
        </w:rPr>
      </w:pPr>
      <w:r>
        <w:rPr>
          <w:noProof/>
        </w:rPr>
        <w:t>Wara li kkunsidraw il-proposta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1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Filwaqt li jaġixxu skont il-proċedura leġiżlattiva ordinarja,</w:t>
      </w:r>
    </w:p>
    <w:p>
      <w:pPr>
        <w:rPr>
          <w:noProof/>
          <w:sz w:val="20"/>
          <w:szCs w:val="20"/>
        </w:rPr>
      </w:pPr>
      <w:r>
        <w:rPr>
          <w:noProof/>
        </w:rPr>
        <w:t xml:space="preserve">Billi: </w:t>
      </w:r>
    </w:p>
    <w:p>
      <w:pPr>
        <w:pStyle w:val="ManualConsidrant"/>
        <w:rPr>
          <w:noProof/>
          <w:sz w:val="20"/>
          <w:szCs w:val="20"/>
        </w:rPr>
      </w:pPr>
      <w:r>
        <w:t>(1)</w:t>
      </w:r>
      <w:r>
        <w:tab/>
      </w:r>
      <w:r>
        <w:rPr>
          <w:noProof/>
        </w:rPr>
        <w:t>Id-Direttiva tal-Kunsill 92/66/KEE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tistipula l-miżuri ta’ kontroll tal-Unjoni li għandhom jittieħdu f’każ ta’ tifqigħa tal-marda ta’ Newcastle fi tjur, ħamiem tat-tlielaq u għasafar oħra miżmuma fil-kattività. </w:t>
      </w:r>
    </w:p>
    <w:p>
      <w:pPr>
        <w:pStyle w:val="ManualConsidrant"/>
        <w:rPr>
          <w:noProof/>
          <w:sz w:val="20"/>
          <w:szCs w:val="20"/>
        </w:rPr>
      </w:pPr>
      <w:r>
        <w:t>(2)</w:t>
      </w:r>
      <w:r>
        <w:tab/>
      </w:r>
      <w:r>
        <w:rPr>
          <w:noProof/>
        </w:rPr>
        <w:t>L-Artikolu 15 tad-Direttiva 92/66/KEE jipprevedi li l-laboratorju ta’ referenza tal-Unjoni Ewropea għall-marda ta’ Newcastle huwa msemmi fl-Anness V ta’ dik id-Direttiva. L-Anness V ta’ dik id-Direttiva debitament jirreferi għal dak il-laboratorju u jelenka l-funzjonijiet u d-dmirijiet tiegħu.</w:t>
      </w:r>
      <w:r>
        <w:rPr>
          <w:noProof/>
          <w:sz w:val="20"/>
          <w:highlight w:val="yellow"/>
        </w:rPr>
        <w:t xml:space="preserve"> </w:t>
      </w:r>
    </w:p>
    <w:p>
      <w:pPr>
        <w:pStyle w:val="ManualConsidrant"/>
        <w:rPr>
          <w:noProof/>
          <w:sz w:val="20"/>
          <w:szCs w:val="20"/>
        </w:rPr>
      </w:pPr>
      <w:r>
        <w:t>(3)</w:t>
      </w:r>
      <w:r>
        <w:tab/>
      </w:r>
      <w:r>
        <w:rPr>
          <w:noProof/>
        </w:rPr>
        <w:t>L-Artikolu 19 tad-Direttiva 92/66/KEE jipprevedi l-miżuri ta’ kontroll li għandhom jittieħdu mill-Istati Membri fil-każ li ħamiem tal-messaġġi jew għasafar li jinżammu fil-kattività jkunu ssuspettati li huma infettati bil-marda ta’ Newcastle. Dan jistipula li safejn meħtieġ għall-applikazzjoni xierqa ta’ dawk il-miżuri ta’ kontroll, l-Istati Membri għandhom jipprovdu lill-Kummissjoni b’informazzjoni dwar is-sitwazzjoni tal-marda u l-miżuri ta’ kontroll applikati bi qbil mal-mudell tal-formula stipulat fl-Anness VI ta’ dik id-Direttiva.</w:t>
      </w:r>
    </w:p>
    <w:p>
      <w:pPr>
        <w:pStyle w:val="ManualConsidrant"/>
        <w:rPr>
          <w:noProof/>
          <w:sz w:val="20"/>
          <w:szCs w:val="20"/>
        </w:rPr>
      </w:pPr>
      <w:r>
        <w:t>(4)</w:t>
      </w:r>
      <w:r>
        <w:tab/>
      </w:r>
      <w:r>
        <w:rPr>
          <w:noProof/>
        </w:rPr>
        <w:t>L-Artikolu 21 tad-Direttiva 92/66/KEE jipprevedi li l-Istati Membri għandhom iħejju pjanijiet ta’ kontinġenza li jispeċifikaw il-miżuri nazzjonali li għandhom jiġu implimentati f’każ ta’ tifqigħa tal-marda ta’ Newcastle. L-istess Artikolu jipprevedi li l-kriterji li għandhom jiġu applikati fit-tħejjija ta’ dawk il-pjanijiet huma stipulati fl-Anness VII ta’ dik id-Direttiva.</w:t>
      </w:r>
    </w:p>
    <w:p>
      <w:pPr>
        <w:pStyle w:val="ManualConsidrant"/>
        <w:rPr>
          <w:noProof/>
          <w:szCs w:val="24"/>
        </w:rPr>
      </w:pPr>
      <w:r>
        <w:t>(5)</w:t>
      </w:r>
      <w:r>
        <w:tab/>
      </w:r>
      <w:r>
        <w:rPr>
          <w:noProof/>
        </w:rPr>
        <w:t xml:space="preserve">L-Artikolu 24 tad-Direttiva 92/66/KE jipprevedi li l-Annessi tagħha għandhom ikunu emendati, kif u meta meħtieġ, mill-Kunsill li jaġixxi b’maġġoranza kwalifikata fuq </w:t>
      </w:r>
      <w:r>
        <w:rPr>
          <w:noProof/>
        </w:rPr>
        <w:lastRenderedPageBreak/>
        <w:t xml:space="preserve">proposta mill-Kummissjoni, partikolarment sabiex jitqiesu l-iżviluppi fir-riċerka u fil-proċeduri dijanjostiċi. </w:t>
      </w:r>
    </w:p>
    <w:p>
      <w:pPr>
        <w:pStyle w:val="ManualConsidrant"/>
        <w:rPr>
          <w:noProof/>
          <w:szCs w:val="24"/>
        </w:rPr>
      </w:pPr>
      <w:r>
        <w:t>(6)</w:t>
      </w:r>
      <w:r>
        <w:tab/>
      </w:r>
      <w:r>
        <w:rPr>
          <w:noProof/>
        </w:rPr>
        <w:t xml:space="preserve">L-Annessi V, VI u VII tad-Direttiva 92/66/KEE jistabbilixxu rispettivament (i) l-indikazzjoni tal- laboratorju ta’ referenza tal-Unjoni Ewropea għall-marda ta’ Newcastle kif ukoll il-funzjonijiet u d-dmirijiet tiegħu; (ii) il-mudell tal-formola li għandu jintuża mill-Istati Membri sabiex jirrappurtaw dwar is-sitwazzjoni tal-marda u l-miżuri ta’ kontroll applikati; u (iii) il-kriterji li jridu jiġu applikati mill-Istati Membri biex iħejju pjanijiet ta’ kontinġenza li jispeċifikaw il-miżuri nazzjonali li jridu jiġu implimentati fil-każ li tfaqqa’ l-marda ta’ Newcastle. </w:t>
      </w:r>
    </w:p>
    <w:p>
      <w:pPr>
        <w:pStyle w:val="ManualConsidrant"/>
        <w:rPr>
          <w:noProof/>
          <w:szCs w:val="24"/>
        </w:rPr>
      </w:pPr>
      <w:r>
        <w:t>(7)</w:t>
      </w:r>
      <w:r>
        <w:tab/>
      </w:r>
      <w:r>
        <w:rPr>
          <w:noProof/>
        </w:rPr>
        <w:t>Sabiex jiġu simplifikati l-proċeduri għall-kontroll tal-marda ta’ Newcastle, b’mod partikolari billi jitqiesu r-regoli l-ġodda fir-rigward tal-ħatra ta’ laboratorji ta’ referenza tal-Unjoni Ewropea previsti fl-Artikolu 93 tar-Regolament (UE) 2017/625 tal-Parlament Ewropew u tal-Kunsill</w:t>
      </w:r>
      <w:r>
        <w:rPr>
          <w:rStyle w:val="FootnoteReference"/>
          <w:noProof/>
        </w:rPr>
        <w:footnoteReference w:id="3"/>
      </w:r>
      <w:r>
        <w:rPr>
          <w:noProof/>
        </w:rPr>
        <w:t>, u billi titqies ukoll is-sistema l-ġdida tal-atti ta’ implimentazzjoni previsti fl-Artikolu 291 tat-Trattat dwar il-Funzjonament tal-Unjoni Ewropea, u sabiex jiġu żgurati kundizzjonijiet uniformi għall-implimentazzjoni tad-Direttiva 92/66/KEE, l-Annessi V, VI u VII tad-Direttiva 92/66/KEE jenħtieġ li jitħassru, u jenħtieġ li l-Kummissjoni tingħata setgħat ta’ implimentazzjoni fl-oqsma koperti minn dawk l-Annessi. Jenħtieġ li dawn is-setgħat ikunu eżerċitati skont ir-Regolament (UE) Nru 182/2011 tal-Parlament Ewropew u tal-Kunsill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. </w:t>
      </w:r>
    </w:p>
    <w:p>
      <w:pPr>
        <w:pStyle w:val="ManualConsidrant"/>
        <w:rPr>
          <w:noProof/>
          <w:szCs w:val="24"/>
        </w:rPr>
      </w:pPr>
      <w:r>
        <w:t>(8)</w:t>
      </w:r>
      <w:r>
        <w:tab/>
      </w:r>
      <w:r>
        <w:rPr>
          <w:noProof/>
        </w:rPr>
        <w:t xml:space="preserve">Għal raġunijiet ta’ ċarezza, il-funzjonijiet u d-dmirijiet tal-laboratorju ta’ referenza tal-Unjoni Ewropea għall-marda ta’ Newcastle jenħtieġ li jiġu stipulati fl-Artikolu 15 tad-Direttiva 92/66/KEE, u l-kriterji għal pjanijiet ta’ kontinġenza jenħtieġ li jiġu stipulati fl-Artikolu 21 ta’ dik id-Direttiva. </w:t>
      </w:r>
    </w:p>
    <w:p>
      <w:pPr>
        <w:pStyle w:val="ManualConsidrant"/>
        <w:rPr>
          <w:noProof/>
          <w:szCs w:val="24"/>
        </w:rPr>
      </w:pPr>
      <w:r>
        <w:t>(9)</w:t>
      </w:r>
      <w:r>
        <w:tab/>
      </w:r>
      <w:r>
        <w:rPr>
          <w:noProof/>
        </w:rPr>
        <w:t xml:space="preserve">Għal raġunijiet ta’ konsistenza u effiċjenza, l-Istati Membri għandhom jiżguraw it-traspożizzjoni f’waqtha tad-dispożizzjonijiet ta’ din id-Direttiva. </w:t>
      </w:r>
    </w:p>
    <w:p>
      <w:pPr>
        <w:pStyle w:val="ManualConsidrant"/>
        <w:rPr>
          <w:noProof/>
          <w:szCs w:val="24"/>
        </w:rPr>
      </w:pPr>
      <w:r>
        <w:t>(10)</w:t>
      </w:r>
      <w:r>
        <w:tab/>
      </w:r>
      <w:r>
        <w:rPr>
          <w:noProof/>
        </w:rPr>
        <w:t>Għaldaqstant, jenħtieġ li d-Direttiva 92/66/KEE tiġi emendata skont dan,</w:t>
      </w:r>
    </w:p>
    <w:p>
      <w:pPr>
        <w:pStyle w:val="Formuledadoption"/>
        <w:outlineLvl w:val="0"/>
        <w:rPr>
          <w:noProof/>
        </w:rPr>
      </w:pPr>
      <w:r>
        <w:rPr>
          <w:noProof/>
        </w:rPr>
        <w:t xml:space="preserve">ADOTTAW DIN ID-DIRETTIVA: </w:t>
      </w:r>
    </w:p>
    <w:p>
      <w:pPr>
        <w:pStyle w:val="Titrearticle"/>
        <w:outlineLvl w:val="0"/>
        <w:rPr>
          <w:noProof/>
        </w:rPr>
      </w:pPr>
      <w:r>
        <w:rPr>
          <w:noProof/>
        </w:rPr>
        <w:t>Artikolu 1</w:t>
      </w:r>
      <w:r>
        <w:rPr>
          <w:noProof/>
        </w:rPr>
        <w:br/>
      </w:r>
      <w:r>
        <w:rPr>
          <w:b/>
          <w:i w:val="0"/>
          <w:noProof/>
        </w:rPr>
        <w:t>Emendi għad-</w:t>
      </w:r>
      <w:r>
        <w:rPr>
          <w:b/>
          <w:i w:val="0"/>
          <w:noProof/>
          <w:color w:val="000000"/>
        </w:rPr>
        <w:t>Direttiva 92/66/KEE</w:t>
      </w:r>
    </w:p>
    <w:p>
      <w:pPr>
        <w:rPr>
          <w:noProof/>
        </w:rPr>
      </w:pPr>
      <w:r>
        <w:rPr>
          <w:noProof/>
        </w:rPr>
        <w:t xml:space="preserve">Id-Direttiva 92/66/KEE hija emendata kif ġej: </w:t>
      </w:r>
    </w:p>
    <w:p>
      <w:pPr>
        <w:pStyle w:val="Point0"/>
        <w:jc w:val="left"/>
        <w:rPr>
          <w:noProof/>
          <w:color w:val="000000"/>
        </w:rPr>
      </w:pPr>
      <w:r>
        <w:rPr>
          <w:noProof/>
          <w:color w:val="000000"/>
        </w:rPr>
        <w:t>(1)</w:t>
      </w:r>
      <w:r>
        <w:rPr>
          <w:noProof/>
        </w:rPr>
        <w:tab/>
      </w:r>
      <w:r>
        <w:rPr>
          <w:noProof/>
          <w:color w:val="000000"/>
        </w:rPr>
        <w:t xml:space="preserve">L-Artikolu 15 jinbidel b'dan li ġej: </w:t>
      </w:r>
    </w:p>
    <w:p>
      <w:pPr>
        <w:pStyle w:val="Text1"/>
        <w:jc w:val="center"/>
        <w:rPr>
          <w:i/>
          <w:noProof/>
        </w:rPr>
      </w:pPr>
      <w:r>
        <w:rPr>
          <w:i/>
          <w:noProof/>
        </w:rPr>
        <w:t>“Artikolu 15</w:t>
      </w:r>
    </w:p>
    <w:p>
      <w:pPr>
        <w:pStyle w:val="Point1"/>
        <w:rPr>
          <w:noProof/>
        </w:rPr>
      </w:pPr>
      <w:r>
        <w:rPr>
          <w:noProof/>
        </w:rPr>
        <w:lastRenderedPageBreak/>
        <w:t>1.</w:t>
      </w:r>
      <w:r>
        <w:rPr>
          <w:noProof/>
        </w:rPr>
        <w:tab/>
        <w:t>Il-Kummissjoni għandha taħtar, permezz ta’ atti ta’ implimentazzjoni, laboratorju ta’ referenza tal-Unjoni Ewropea għall-marda ta’ Newcastle. Dawk l-atti ta’ implimentazzjoni għandhom jiġu adottati f’konformità mal-proċedura ta’ eżami msemmija fl-Artikolu 25.</w:t>
      </w:r>
    </w:p>
    <w:p>
      <w:pPr>
        <w:pStyle w:val="Point1"/>
        <w:keepNext/>
        <w:rPr>
          <w:b/>
          <w:noProof/>
          <w:color w:val="000000"/>
        </w:rPr>
      </w:pPr>
      <w:r>
        <w:rPr>
          <w:noProof/>
          <w:color w:val="000000"/>
        </w:rPr>
        <w:t>2.</w:t>
      </w:r>
      <w:r>
        <w:rPr>
          <w:noProof/>
        </w:rPr>
        <w:tab/>
      </w:r>
      <w:r>
        <w:rPr>
          <w:noProof/>
          <w:color w:val="000000"/>
        </w:rPr>
        <w:t xml:space="preserve">Il-funzjonijiet u d-dmirijiet tal-laboratorju ta’ referenza tal-Unjoni Ewropea għall-marda ta’ Newcastle għandhom ikunu: </w:t>
      </w:r>
    </w:p>
    <w:p>
      <w:pPr>
        <w:pStyle w:val="Point2"/>
        <w:keepNext/>
        <w:rPr>
          <w:noProof/>
        </w:rPr>
      </w:pPr>
      <w:r>
        <w:rPr>
          <w:noProof/>
        </w:rPr>
        <w:t>(a)</w:t>
      </w:r>
      <w:r>
        <w:rPr>
          <w:noProof/>
        </w:rPr>
        <w:tab/>
        <w:t>li jikkoordina, f'konsultazzjoni mal-Kummissjoni, il-metodi li jintużaw fl-Istati Membri għad-dijanjosi tal-marda ta’ Newcastle, speċifikament billi:</w:t>
      </w:r>
    </w:p>
    <w:p>
      <w:pPr>
        <w:pStyle w:val="Point3"/>
        <w:rPr>
          <w:noProof/>
        </w:rPr>
      </w:pPr>
      <w:r>
        <w:rPr>
          <w:noProof/>
        </w:rPr>
        <w:t>(i)</w:t>
      </w:r>
      <w:r>
        <w:rPr>
          <w:noProof/>
        </w:rPr>
        <w:tab/>
        <w:t>jagħżel bit-tipi, jaħżen u iforni t-tessut tal-virus tal-marda ta’ Newcastle għal testijiet seroloġiċi u l-preparazzjoni ta’ antisera;</w:t>
      </w:r>
    </w:p>
    <w:p>
      <w:pPr>
        <w:pStyle w:val="Point3"/>
        <w:rPr>
          <w:noProof/>
        </w:rPr>
      </w:pPr>
      <w:r>
        <w:rPr>
          <w:noProof/>
        </w:rPr>
        <w:t>(ii)</w:t>
      </w:r>
      <w:r>
        <w:rPr>
          <w:noProof/>
        </w:rPr>
        <w:tab/>
        <w:t>iforni sera standard u reaġenti ta’ referenza oħra lil-laboratorji ta’ referenza nazzjonali sabiex jiġu standardizzati t-testijiet u r-reaġenti użati fl-Istati Membri;</w:t>
      </w:r>
    </w:p>
    <w:p>
      <w:pPr>
        <w:pStyle w:val="Point3"/>
        <w:rPr>
          <w:noProof/>
        </w:rPr>
      </w:pPr>
      <w:r>
        <w:rPr>
          <w:noProof/>
        </w:rPr>
        <w:t>(iii)</w:t>
      </w:r>
      <w:r>
        <w:rPr>
          <w:noProof/>
        </w:rPr>
        <w:tab/>
        <w:t>jibni u jżomm kollezzjoni ta’ razez u iżolati tal-virus tal-marda ta’ Newcastle;</w:t>
      </w:r>
    </w:p>
    <w:p>
      <w:pPr>
        <w:pStyle w:val="Point3"/>
        <w:rPr>
          <w:noProof/>
        </w:rPr>
      </w:pPr>
      <w:r>
        <w:rPr>
          <w:noProof/>
        </w:rPr>
        <w:t>(iv)</w:t>
      </w:r>
      <w:r>
        <w:rPr>
          <w:noProof/>
        </w:rPr>
        <w:tab/>
        <w:t>jorganizza testijiet komparattivi perjodiċi tal-proċeduri dijanjostiċi fuq il-livell tal-Unjoni;</w:t>
      </w:r>
    </w:p>
    <w:p>
      <w:pPr>
        <w:pStyle w:val="Point3"/>
        <w:rPr>
          <w:noProof/>
        </w:rPr>
      </w:pPr>
      <w:r>
        <w:rPr>
          <w:noProof/>
        </w:rPr>
        <w:t>(v)</w:t>
      </w:r>
      <w:r>
        <w:rPr>
          <w:noProof/>
        </w:rPr>
        <w:tab/>
        <w:t>jiġbor u jqabbel dejta u informazzjoni dwar il-metodi tad-dijanjożi użati u r-riżultati tat-testijiet imwettqa fl-Unjoni;</w:t>
      </w:r>
    </w:p>
    <w:p>
      <w:pPr>
        <w:pStyle w:val="Point3"/>
        <w:rPr>
          <w:noProof/>
        </w:rPr>
      </w:pPr>
      <w:r>
        <w:rPr>
          <w:noProof/>
        </w:rPr>
        <w:t>(vi)</w:t>
      </w:r>
      <w:r>
        <w:rPr>
          <w:noProof/>
        </w:rPr>
        <w:tab/>
        <w:t>jikkaratterizza l-iżolati tal-virus tal-marda ta’ Newcastle bil-metodi l-aktar aġġornati disponibbli sabiex iwasslu għal fehim aħjar tal-epidemjoloġija tal-marda ta’ Newcastle;</w:t>
      </w:r>
    </w:p>
    <w:p>
      <w:pPr>
        <w:pStyle w:val="Point3"/>
        <w:rPr>
          <w:noProof/>
        </w:rPr>
      </w:pPr>
      <w:r>
        <w:rPr>
          <w:noProof/>
        </w:rPr>
        <w:t>(vii)</w:t>
      </w:r>
      <w:r>
        <w:rPr>
          <w:noProof/>
        </w:rPr>
        <w:tab/>
        <w:t>iżomm aġġornat ma’ żviluppi fis-sorveljanza tal-marda ta’ Newcastle, fl-epidemjoloġija u fil-prevenzjoni mad-dinja kollha;</w:t>
      </w:r>
    </w:p>
    <w:p>
      <w:pPr>
        <w:pStyle w:val="Point3"/>
        <w:rPr>
          <w:noProof/>
        </w:rPr>
      </w:pPr>
      <w:r>
        <w:rPr>
          <w:noProof/>
        </w:rPr>
        <w:t>(viii)</w:t>
      </w:r>
      <w:r>
        <w:rPr>
          <w:noProof/>
        </w:rPr>
        <w:tab/>
        <w:t>iżomm l-għarfien espert dwar il-virus tal-marda ta’ Newcastle u viruses pertinenti oħra biex jgħin għal dijanjożi ddifferenzjata mħaffa;</w:t>
      </w:r>
    </w:p>
    <w:p>
      <w:pPr>
        <w:pStyle w:val="Point3"/>
        <w:rPr>
          <w:noProof/>
        </w:rPr>
      </w:pPr>
      <w:r>
        <w:rPr>
          <w:noProof/>
        </w:rPr>
        <w:t>(ix)</w:t>
      </w:r>
      <w:r>
        <w:rPr>
          <w:noProof/>
        </w:rPr>
        <w:tab/>
        <w:t>jikseb għarfien sħiħ tal-preparazzjoni u l-użu tal-prodotti tal-immunoloġija veterinarja li jintużaw fl-eradikazzjoni u l-kontroll tal-marda ta’ Newcastle;</w:t>
      </w:r>
    </w:p>
    <w:p>
      <w:pPr>
        <w:pStyle w:val="Point2"/>
        <w:jc w:val="left"/>
        <w:rPr>
          <w:noProof/>
          <w:color w:val="000000"/>
        </w:rPr>
      </w:pPr>
      <w:r>
        <w:rPr>
          <w:noProof/>
          <w:color w:val="000000"/>
        </w:rPr>
        <w:t>(b)</w:t>
      </w:r>
      <w:r>
        <w:rPr>
          <w:noProof/>
        </w:rPr>
        <w:tab/>
      </w:r>
      <w:r>
        <w:rPr>
          <w:noProof/>
          <w:color w:val="000000"/>
        </w:rPr>
        <w:t>jgħin attivament fid-dijanjosi tat-tifqigħ tal-marda ta’ Newcastle fl-Istati Membri billi jirċievi l-iżolati tal-viruses għad-dijanjosi konfermatorja, għall-karatterizzazzjoni u għall-istudji</w:t>
      </w:r>
      <w:r>
        <w:rPr>
          <w:noProof/>
        </w:rPr>
        <w:t xml:space="preserve"> epidemjoloġiċi;</w:t>
      </w:r>
    </w:p>
    <w:p>
      <w:pPr>
        <w:pStyle w:val="Point2"/>
        <w:rPr>
          <w:noProof/>
          <w:sz w:val="20"/>
          <w:szCs w:val="20"/>
        </w:rPr>
      </w:pPr>
      <w:r>
        <w:rPr>
          <w:noProof/>
          <w:color w:val="000000"/>
        </w:rPr>
        <w:t>(c)</w:t>
      </w:r>
      <w:r>
        <w:rPr>
          <w:noProof/>
        </w:rPr>
        <w:tab/>
      </w:r>
      <w:r>
        <w:rPr>
          <w:noProof/>
          <w:color w:val="000000"/>
        </w:rPr>
        <w:t>jiffaċilita t-taħriġ jew it-taħriġ mill-ġdid ta’ esperti fid-dijanjosi tal-laboratorju bil-ħsieb li jarmonizza t-tekniki fl-Unjoni kollha.”;</w:t>
      </w:r>
    </w:p>
    <w:p>
      <w:pPr>
        <w:pStyle w:val="Point0"/>
        <w:rPr>
          <w:noProof/>
          <w:color w:val="000000"/>
        </w:rPr>
      </w:pPr>
      <w:r>
        <w:rPr>
          <w:noProof/>
          <w:color w:val="000000"/>
        </w:rPr>
        <w:t>(2)</w:t>
      </w:r>
      <w:r>
        <w:rPr>
          <w:noProof/>
        </w:rPr>
        <w:tab/>
      </w:r>
      <w:r>
        <w:rPr>
          <w:noProof/>
          <w:color w:val="000000"/>
        </w:rPr>
        <w:t>L-Artikolu 19 hu emendat kif ġej:</w:t>
      </w:r>
    </w:p>
    <w:p>
      <w:pPr>
        <w:pStyle w:val="Point1"/>
        <w:rPr>
          <w:noProof/>
          <w:color w:val="000000"/>
        </w:rPr>
      </w:pPr>
      <w:r>
        <w:rPr>
          <w:noProof/>
          <w:color w:val="000000"/>
        </w:rPr>
        <w:t>(a)</w:t>
      </w:r>
      <w:r>
        <w:rPr>
          <w:noProof/>
        </w:rPr>
        <w:tab/>
      </w:r>
      <w:r>
        <w:rPr>
          <w:noProof/>
          <w:color w:val="000000"/>
        </w:rPr>
        <w:t>il-paragrafu 5 jinbidel b'dan li ġej:</w:t>
      </w:r>
    </w:p>
    <w:p>
      <w:pPr>
        <w:pStyle w:val="Point2"/>
        <w:rPr>
          <w:noProof/>
        </w:rPr>
      </w:pPr>
      <w:r>
        <w:rPr>
          <w:noProof/>
        </w:rPr>
        <w:t>“5.</w:t>
      </w:r>
      <w:r>
        <w:rPr>
          <w:noProof/>
        </w:rPr>
        <w:tab/>
        <w:t>Safejn huwa meħtieġ għall-applikazzjoni xierqa tal-miżuri stabbiliti f’dan l-Artikolu, l-Istati Membri għandhom jibagħtu lill-Kummissjoni, fil-qafas tal-Kumitat Permanenti dwar il-Pjanti, l-Annimali, l-Ikel u l-Għalf, informazzjoni dwar is-sitwazzjoni tal-marda u l-miżuri ta’ kontroll applikati.”;</w:t>
      </w:r>
    </w:p>
    <w:p>
      <w:pPr>
        <w:pStyle w:val="Point1"/>
        <w:rPr>
          <w:noProof/>
          <w:color w:val="000000"/>
        </w:rPr>
      </w:pPr>
      <w:r>
        <w:rPr>
          <w:noProof/>
          <w:color w:val="000000"/>
        </w:rPr>
        <w:lastRenderedPageBreak/>
        <w:t>(b)</w:t>
      </w:r>
      <w:r>
        <w:rPr>
          <w:noProof/>
        </w:rPr>
        <w:tab/>
      </w:r>
      <w:r>
        <w:rPr>
          <w:noProof/>
          <w:color w:val="000000"/>
        </w:rPr>
        <w:t>għandu jiżdied dan il-paragrafu 6:</w:t>
      </w:r>
    </w:p>
    <w:p>
      <w:pPr>
        <w:pStyle w:val="Point2"/>
        <w:rPr>
          <w:noProof/>
        </w:rPr>
      </w:pPr>
      <w:r>
        <w:rPr>
          <w:noProof/>
        </w:rPr>
        <w:t>“6.</w:t>
      </w:r>
      <w:r>
        <w:rPr>
          <w:noProof/>
        </w:rPr>
        <w:tab/>
        <w:t xml:space="preserve">Il-Kummissjoni, permezz ta’ atti ta’ implimentazzjoni, tista’ tistabbilixxi regoli dwar l-informazzjoni li għandha tintbagħat mill-Istati Membri lill-Kummissjoni kif previst fil-paragrafu 5. Dawk l-atti ta’ implimentazzjoni għandhom jiġu adottati f’konformità mal-proċedura ta’ eżami msemmija fl-Artikolu 25”. </w:t>
      </w:r>
    </w:p>
    <w:p>
      <w:pPr>
        <w:pStyle w:val="Point0"/>
        <w:rPr>
          <w:noProof/>
          <w:color w:val="000000"/>
        </w:rPr>
      </w:pPr>
      <w:r>
        <w:rPr>
          <w:noProof/>
          <w:color w:val="000000"/>
        </w:rPr>
        <w:t>(3)</w:t>
      </w:r>
      <w:r>
        <w:rPr>
          <w:noProof/>
        </w:rPr>
        <w:tab/>
      </w:r>
      <w:r>
        <w:rPr>
          <w:noProof/>
          <w:color w:val="000000"/>
        </w:rPr>
        <w:t xml:space="preserve">L-Artikolu 21 jinbidel b'dan li ġej: </w:t>
      </w:r>
    </w:p>
    <w:p>
      <w:pPr>
        <w:pStyle w:val="Text1"/>
        <w:jc w:val="center"/>
        <w:rPr>
          <w:i/>
          <w:noProof/>
        </w:rPr>
      </w:pPr>
      <w:r>
        <w:rPr>
          <w:i/>
          <w:noProof/>
        </w:rPr>
        <w:t>“Artikolu 21</w:t>
      </w:r>
    </w:p>
    <w:p>
      <w:pPr>
        <w:pStyle w:val="Point1"/>
        <w:rPr>
          <w:noProof/>
          <w:color w:val="000000"/>
        </w:rPr>
      </w:pPr>
      <w:r>
        <w:rPr>
          <w:noProof/>
          <w:color w:val="000000"/>
        </w:rPr>
        <w:t>1.</w:t>
      </w:r>
      <w:r>
        <w:rPr>
          <w:noProof/>
        </w:rPr>
        <w:tab/>
      </w:r>
      <w:r>
        <w:rPr>
          <w:noProof/>
          <w:color w:val="000000"/>
        </w:rPr>
        <w:t>Kull Stat Membru għandu jħejji pjan ta’ kontinġenza li jispeċifika l-miżuri nazzjonali li għandhom ikunu implimentati fil-każ li tfaqqa’ l-marda ta’ Newcastle. Il-pjan ta’ kontinġenza għandu jiġi aġġornat, kif meħtieġ, sabiex iqis l-iżviluppi fis-sitwazzjoni.</w:t>
      </w:r>
    </w:p>
    <w:p>
      <w:pPr>
        <w:pStyle w:val="Text2"/>
        <w:rPr>
          <w:noProof/>
        </w:rPr>
      </w:pPr>
      <w:r>
        <w:rPr>
          <w:noProof/>
        </w:rPr>
        <w:t xml:space="preserve">Il-pjan ta’ </w:t>
      </w:r>
      <w:r>
        <w:rPr>
          <w:noProof/>
          <w:color w:val="000000"/>
        </w:rPr>
        <w:t>kontinġenza</w:t>
      </w:r>
      <w:r>
        <w:rPr>
          <w:noProof/>
        </w:rPr>
        <w:t xml:space="preserve"> jrid jippermetti aċċess għall-faċilitajiet, it-tagħmir, il-persunal u l-materjali l-oħra xierqa kollha meħtieġa għall-qerda rapida u effiċjenti tat-tifqigħ tal-marda ta’ Newcastle. Għandu jagħti indikazzjoni preċiża tal-ħtiġijiet ta’ tilqim li kull Stat Membru jħoss li tkun meħtieġa bħala tilqim ta’ emerġenza.</w:t>
      </w:r>
    </w:p>
    <w:p>
      <w:pPr>
        <w:pStyle w:val="Point1"/>
        <w:rPr>
          <w:noProof/>
          <w:color w:val="000000"/>
        </w:rPr>
      </w:pPr>
      <w:r>
        <w:rPr>
          <w:noProof/>
          <w:color w:val="000000"/>
        </w:rPr>
        <w:t>2.</w:t>
      </w:r>
      <w:r>
        <w:rPr>
          <w:noProof/>
        </w:rPr>
        <w:tab/>
      </w:r>
      <w:r>
        <w:rPr>
          <w:noProof/>
          <w:color w:val="000000"/>
        </w:rPr>
        <w:t>Il-pjanijiet ta’ kontinġenza u kwalunkwe aġġornament tagħhom għandhom jiġu sottomessi lill-Kummissjoni.</w:t>
      </w:r>
    </w:p>
    <w:p>
      <w:pPr>
        <w:pStyle w:val="Point1"/>
        <w:rPr>
          <w:noProof/>
          <w:color w:val="000000"/>
        </w:rPr>
      </w:pPr>
      <w:r>
        <w:rPr>
          <w:noProof/>
          <w:color w:val="000000"/>
        </w:rPr>
        <w:t>3.</w:t>
      </w:r>
      <w:r>
        <w:rPr>
          <w:noProof/>
        </w:rPr>
        <w:tab/>
      </w:r>
      <w:r>
        <w:rPr>
          <w:noProof/>
          <w:color w:val="000000"/>
        </w:rPr>
        <w:t>Il-Kummissjoni għandha teżamina l-pjanijiet ta’ kontinġenza u kwalunkwe emenda meħtieġa sabiex tiddetermina jekk jippermettux li jinkiseb l-objettiv mixtieq, u għandha tissuġġerixxi lill-Istat Membru kkonċernat kwalunkwe emenda meħtieġa, b'mod partikulari biex tiżgura li huma kompatibbli ma’ dawk tal-Istati Membri l-oħra.</w:t>
      </w:r>
    </w:p>
    <w:p>
      <w:pPr>
        <w:pStyle w:val="Text2"/>
        <w:rPr>
          <w:noProof/>
          <w:color w:val="000000"/>
        </w:rPr>
      </w:pPr>
      <w:r>
        <w:rPr>
          <w:noProof/>
          <w:color w:val="000000"/>
        </w:rPr>
        <w:t>Il-Kummissjoni għandha tapprova l-pjanijiet ta’ kontinġenza u kull aġġornament li jsirilhom, jekk meħtieġ emendati, bi qbil mal-proċedura ta’ eżami msemmija fl-Artikolu 25.</w:t>
      </w:r>
    </w:p>
    <w:p>
      <w:pPr>
        <w:pStyle w:val="Point1"/>
        <w:rPr>
          <w:noProof/>
          <w:sz w:val="20"/>
          <w:szCs w:val="20"/>
        </w:rPr>
      </w:pPr>
      <w:r>
        <w:rPr>
          <w:noProof/>
          <w:color w:val="000000"/>
        </w:rPr>
        <w:t>4.</w:t>
      </w:r>
      <w:r>
        <w:rPr>
          <w:noProof/>
        </w:rPr>
        <w:tab/>
      </w:r>
      <w:r>
        <w:rPr>
          <w:noProof/>
          <w:color w:val="000000"/>
        </w:rPr>
        <w:t xml:space="preserve">Il-Kummissjoni, permezz ta’ atti ta’ implimentazzjoni, tista’ tistabbilixxi l-kriterji li għandhom jiġu applikati mill-Istati Membri għat-tħejjija tal-pjanijiet ta’ kontinġenza. </w:t>
      </w:r>
      <w:r>
        <w:rPr>
          <w:noProof/>
        </w:rPr>
        <w:t>Dawk l-atti ta’ implimentazzjoni għandhom jiġu adottati bi qbil mal-proċedura ta’ eżami msemmija fl-Artikolu 25.”</w:t>
      </w:r>
      <w:r>
        <w:rPr>
          <w:noProof/>
        </w:rPr>
        <w:tab/>
      </w:r>
    </w:p>
    <w:p>
      <w:pPr>
        <w:pStyle w:val="Point0"/>
        <w:rPr>
          <w:noProof/>
          <w:color w:val="000000"/>
        </w:rPr>
      </w:pPr>
      <w:r>
        <w:rPr>
          <w:noProof/>
          <w:color w:val="000000"/>
        </w:rPr>
        <w:t>(4)</w:t>
      </w:r>
      <w:r>
        <w:rPr>
          <w:noProof/>
        </w:rPr>
        <w:tab/>
      </w:r>
      <w:r>
        <w:rPr>
          <w:noProof/>
          <w:color w:val="000000"/>
        </w:rPr>
        <w:t>L-Artikolu 25 jinbidel b'dan li ġej:</w:t>
      </w:r>
    </w:p>
    <w:p>
      <w:pPr>
        <w:pStyle w:val="Text1"/>
        <w:jc w:val="center"/>
        <w:rPr>
          <w:i/>
          <w:noProof/>
        </w:rPr>
      </w:pPr>
      <w:r>
        <w:rPr>
          <w:i/>
          <w:noProof/>
        </w:rPr>
        <w:t>“Artikolu 25</w:t>
      </w:r>
    </w:p>
    <w:p>
      <w:pPr>
        <w:pStyle w:val="Point1"/>
        <w:rPr>
          <w:noProof/>
          <w:color w:val="000000"/>
        </w:rPr>
      </w:pPr>
      <w:r>
        <w:rPr>
          <w:noProof/>
          <w:color w:val="000000"/>
        </w:rPr>
        <w:t>1.</w:t>
      </w:r>
      <w:r>
        <w:rPr>
          <w:noProof/>
        </w:rPr>
        <w:tab/>
      </w:r>
      <w:r>
        <w:rPr>
          <w:noProof/>
          <w:color w:val="000000"/>
        </w:rPr>
        <w:t>Il-Kummissjoni għandha tkun megħjuna mill-Kumitat Permanenti dwar il-Pjanti, l-Annimali, l-Ikel u l-Għalf imwaqqaf bl-Artikolu 58(1) tar-Regolament (KE) Nru 178/2002 tal-Parlament Ewropew u tal-Kunsill</w:t>
      </w:r>
      <w:r>
        <w:rPr>
          <w:noProof/>
          <w:color w:val="000000"/>
          <w:vertAlign w:val="superscript"/>
        </w:rPr>
        <w:t>(*)</w:t>
      </w:r>
      <w:r>
        <w:rPr>
          <w:noProof/>
          <w:color w:val="000000"/>
        </w:rPr>
        <w:t>. Dak il-kumitat ikun kumitat skont it-tifsira tar-Regolament (UE) Nru 182/2011 tal-Parlament Ewropew u tal-Kunsill</w:t>
      </w:r>
      <w:r>
        <w:rPr>
          <w:noProof/>
          <w:color w:val="000000"/>
          <w:vertAlign w:val="superscript"/>
        </w:rPr>
        <w:t>(**)</w:t>
      </w:r>
      <w:r>
        <w:rPr>
          <w:noProof/>
          <w:color w:val="000000"/>
        </w:rPr>
        <w:t>.</w:t>
      </w:r>
    </w:p>
    <w:p>
      <w:pPr>
        <w:pStyle w:val="Point1"/>
        <w:rPr>
          <w:noProof/>
          <w:color w:val="000000"/>
        </w:rPr>
      </w:pPr>
      <w:r>
        <w:rPr>
          <w:noProof/>
          <w:color w:val="000000"/>
        </w:rPr>
        <w:t>2.</w:t>
      </w:r>
      <w:r>
        <w:rPr>
          <w:noProof/>
        </w:rPr>
        <w:tab/>
      </w:r>
      <w:r>
        <w:rPr>
          <w:noProof/>
          <w:color w:val="000000"/>
        </w:rPr>
        <w:t>Meta ssir referenza għal dan l-Artikolu, għandu japplika l-Artikolu 5 tar-Regolament (UE) Nru 182/2011.</w:t>
      </w:r>
    </w:p>
    <w:p>
      <w:pPr>
        <w:pStyle w:val="Text1"/>
        <w:rPr>
          <w:noProof/>
        </w:rPr>
      </w:pPr>
      <w:r>
        <w:rPr>
          <w:noProof/>
        </w:rPr>
        <w:t>_________________________</w:t>
      </w:r>
    </w:p>
    <w:p>
      <w:pPr>
        <w:pStyle w:val="Point1"/>
        <w:rPr>
          <w:noProof/>
          <w:sz w:val="20"/>
          <w:szCs w:val="20"/>
        </w:rPr>
      </w:pPr>
      <w:r>
        <w:rPr>
          <w:noProof/>
          <w:sz w:val="20"/>
        </w:rPr>
        <w:t>(*)</w:t>
      </w:r>
      <w:r>
        <w:rPr>
          <w:noProof/>
        </w:rPr>
        <w:tab/>
      </w:r>
      <w:r>
        <w:rPr>
          <w:noProof/>
          <w:sz w:val="20"/>
        </w:rPr>
        <w:t>Ir-Regolament tal-Parlament Ewropew u tal-Kunsill (KE) Nru 178/2002 tat-28 ta’ Jannar 2002 li jistabbilixxi l-prinċipji ġenerali u l-ħtiġijiet tal-liġi dwar l-ikel, li jistabbilixxi l-Awtorità Ewropea dwar is-Sigurtà fl-Ikel u jistabbilixxi l-proċeduri fi kwistjonijiet ta’ sigurtà tal-ikel (ĠU L 31, 1.2.2002, p. 1).</w:t>
      </w:r>
    </w:p>
    <w:p>
      <w:pPr>
        <w:pStyle w:val="Point1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</w:rPr>
        <w:lastRenderedPageBreak/>
        <w:t>(**)</w:t>
      </w:r>
      <w:r>
        <w:rPr>
          <w:noProof/>
        </w:rPr>
        <w:tab/>
      </w:r>
      <w:r>
        <w:rPr>
          <w:noProof/>
          <w:color w:val="000000"/>
          <w:sz w:val="20"/>
        </w:rPr>
        <w:t>Ir-Regolament (UE) Nru 182/2011 tal-Parlament Ewropew u tal-Kunsill tas-16 ta’ Frar 2011 li jistabbilixxi r-regoli u l-prinċipji ġenerali dwar il-modalitajiet ta’ kontroll mill-Istati Membri tal-eżerċizzju mill-Kummissjoni tas-setgħat ta’ implimentazzjoni (ĠU L 55, 28.2.2011, p. 13).”;</w:t>
      </w:r>
    </w:p>
    <w:p>
      <w:pPr>
        <w:pStyle w:val="Point0"/>
        <w:rPr>
          <w:noProof/>
          <w:color w:val="000000"/>
        </w:rPr>
      </w:pPr>
      <w:r>
        <w:rPr>
          <w:noProof/>
          <w:color w:val="000000"/>
        </w:rPr>
        <w:t>(5)</w:t>
      </w:r>
      <w:r>
        <w:rPr>
          <w:noProof/>
        </w:rPr>
        <w:tab/>
      </w:r>
      <w:r>
        <w:rPr>
          <w:noProof/>
          <w:color w:val="000000"/>
        </w:rPr>
        <w:t>L-Annessi V, VI u VII jitħassru.</w:t>
      </w:r>
    </w:p>
    <w:p>
      <w:pPr>
        <w:pStyle w:val="Titrearticle"/>
        <w:outlineLvl w:val="0"/>
        <w:rPr>
          <w:noProof/>
        </w:rPr>
      </w:pPr>
      <w:r>
        <w:rPr>
          <w:noProof/>
        </w:rPr>
        <w:t>Artikolu 2</w:t>
      </w:r>
      <w:r>
        <w:rPr>
          <w:noProof/>
        </w:rPr>
        <w:br/>
      </w:r>
      <w:r>
        <w:rPr>
          <w:b/>
          <w:i w:val="0"/>
          <w:noProof/>
        </w:rPr>
        <w:t xml:space="preserve">Traspożizzjoni </w:t>
      </w:r>
    </w:p>
    <w:p>
      <w:pPr>
        <w:rPr>
          <w:noProof/>
        </w:rPr>
      </w:pPr>
      <w:r>
        <w:rPr>
          <w:noProof/>
        </w:rPr>
        <w:t>Sat-30 ta’ Ġunju 2018, l-Istati Membri għandhom jadottaw u jippubblikaw il-miżuri neċessarji għall-konformità ma’ din id-Direttiva. Għandhom jinfurmaw minnufih lill-Kummissjoni b’dan.</w:t>
      </w:r>
    </w:p>
    <w:p>
      <w:pPr>
        <w:rPr>
          <w:noProof/>
        </w:rPr>
      </w:pPr>
      <w:r>
        <w:rPr>
          <w:noProof/>
        </w:rPr>
        <w:t>Għandhom japplikaw dawn il-miżuri mill-1 ta’ Jannar 2019.</w:t>
      </w:r>
    </w:p>
    <w:p>
      <w:pPr>
        <w:rPr>
          <w:noProof/>
        </w:rPr>
      </w:pPr>
      <w:r>
        <w:rPr>
          <w:noProof/>
        </w:rPr>
        <w:t>Meta l-Istati Membri jadottaw dawk il-miżuri, dawn għandhom jirreferu għal din id-Direttiva jew ikunu akkumpanjati b'din ir-referenza waqt il-pubblikazzjoni uffiċjali tagħhom. Il-metodi ta’ kif issir dik ir-referenza għandhom jiġu stabbiliti mill-Istati Membri.</w:t>
      </w:r>
    </w:p>
    <w:p>
      <w:pPr>
        <w:pStyle w:val="Titrearticle"/>
        <w:outlineLvl w:val="0"/>
        <w:rPr>
          <w:noProof/>
        </w:rPr>
      </w:pPr>
      <w:r>
        <w:rPr>
          <w:noProof/>
        </w:rPr>
        <w:t>Artikolu 3</w:t>
      </w:r>
      <w:r>
        <w:rPr>
          <w:noProof/>
        </w:rPr>
        <w:br/>
      </w:r>
      <w:r>
        <w:rPr>
          <w:b/>
          <w:i w:val="0"/>
          <w:noProof/>
        </w:rPr>
        <w:t>Dispożizzjoni tranżitorja</w:t>
      </w:r>
    </w:p>
    <w:p>
      <w:pPr>
        <w:rPr>
          <w:noProof/>
        </w:rPr>
      </w:pPr>
      <w:r>
        <w:rPr>
          <w:noProof/>
        </w:rPr>
        <w:t xml:space="preserve">Il-ħatra tal-laboratorju ta’ referenza Komunitarju għall-marda ta’ Newcastle imsemmija fl-Anness V tad-Direttiva 92/66/KEE, qabel l-emendi li saru permezz ta’ din id-Direttiva, għandha tibqa’ fis-seħħ sakemm il-laboratorju ta’ referenza tal-Unjoni Ewropea għall-marda ta’ Newcastle jkun ġie debitament maħtur skont l-Artikolu 15 tad-Direttiva 92/66/KEE, kif emendat minn din id-Direttiva. </w:t>
      </w:r>
    </w:p>
    <w:p>
      <w:pPr>
        <w:pStyle w:val="Titrearticle"/>
        <w:outlineLvl w:val="0"/>
        <w:rPr>
          <w:noProof/>
        </w:rPr>
      </w:pPr>
      <w:r>
        <w:rPr>
          <w:noProof/>
        </w:rPr>
        <w:t>Artikolu 4</w:t>
      </w:r>
      <w:r>
        <w:rPr>
          <w:noProof/>
        </w:rPr>
        <w:br/>
      </w:r>
      <w:r>
        <w:rPr>
          <w:b/>
          <w:i w:val="0"/>
          <w:noProof/>
        </w:rPr>
        <w:t>Dħul fis-seħħ</w:t>
      </w:r>
    </w:p>
    <w:p>
      <w:pPr>
        <w:spacing w:before="0" w:after="200" w:line="276" w:lineRule="auto"/>
        <w:jc w:val="left"/>
        <w:rPr>
          <w:noProof/>
          <w:color w:val="000000"/>
        </w:rPr>
      </w:pPr>
      <w:r>
        <w:rPr>
          <w:noProof/>
          <w:color w:val="000000"/>
        </w:rPr>
        <w:t>Din id-Direttiva għandha tidħol fis-seħħ fl-għoxrin jum wara l-pubblikazzjoni tagħha f'</w:t>
      </w:r>
      <w:r>
        <w:rPr>
          <w:i/>
          <w:noProof/>
          <w:color w:val="000000"/>
        </w:rPr>
        <w:t>Il-Ġurnal Uffiċjali tal-Unjoni Ewropea</w:t>
      </w:r>
      <w:r>
        <w:rPr>
          <w:noProof/>
          <w:color w:val="000000"/>
        </w:rPr>
        <w:t>.</w:t>
      </w:r>
    </w:p>
    <w:p>
      <w:pPr>
        <w:pStyle w:val="Titrearticle"/>
        <w:outlineLvl w:val="0"/>
        <w:rPr>
          <w:i w:val="0"/>
          <w:noProof/>
          <w:color w:val="000000"/>
        </w:rPr>
      </w:pPr>
      <w:r>
        <w:rPr>
          <w:noProof/>
          <w:color w:val="000000"/>
        </w:rPr>
        <w:t>Artikolu 5</w:t>
      </w:r>
      <w:r>
        <w:rPr>
          <w:noProof/>
          <w:color w:val="000000"/>
        </w:rPr>
        <w:br/>
      </w:r>
      <w:r>
        <w:rPr>
          <w:b/>
          <w:i w:val="0"/>
          <w:noProof/>
          <w:color w:val="000000"/>
        </w:rPr>
        <w:t>Destinatarji</w:t>
      </w:r>
    </w:p>
    <w:p>
      <w:pPr>
        <w:spacing w:before="0" w:after="200" w:line="276" w:lineRule="auto"/>
        <w:rPr>
          <w:noProof/>
          <w:color w:val="000000"/>
        </w:rPr>
      </w:pPr>
      <w:r>
        <w:rPr>
          <w:noProof/>
          <w:color w:val="000000"/>
        </w:rPr>
        <w:t>Din id-Direttiva hi indirizzata lill-Istati Membri.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ĠU C […], […], p. […]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Id-Direttiva tal-Kunsill 92/66/KEE tal-14 ta’ Lulju 1992 li tintroduċi miżuri tal-Komunità għal kontroll tal-marda Newcastle (ĠU L 260, 5.9.1992, p. 1).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Ir-Regolament (UE) 2017/625 tal-Parlament Ewropew u tal-Kunsill tal-15 ta’ Marzu 2017 dwar il-kontrolli uffiċjali u attivitajiet uffiċjali oħra mwettqa biex jiżguraw l-applikazzjoni tal-liġi tal-ikel u tal-għalf, ta’ regoli dwar is-saħħa u t-trattament xieraq tal-annimali, dwar is-saħħa tal-pjanti u dwar prodotti għall-protezzjoni tal-pjanti, li jemenda r-Regolamenti (KE) Nru 999/2001, (KE) Nru 396/2005, (KE) Nru 1069/2009, (KE) Nru 1107/2009, (UE) Nru 1151/2012, (UE) Nru 652/2014, (UE) 2016/429 u (UE) 2016/2031 tal-Parlament Ewropew u tal-Kunsill, ir-Regolamenti tal-Kunsill (KE) Nru 1/2005 u (KE) Nru 1099/2009 u d-Direttivi tal-Kunsill 98/58/KE, 1999/74/KE, 2007/43/KE, 2008/119/KE u 2008/120/KE, u li jħassar ir-Regolamenti (KE) Nru 854/2004 u (KE) Nru 882/2004 tal-Parlament Ewropew u tal-Kunsill, id-Direttivi tal-Kunsill 89/608/KEE, 89/662/KEE, 90/425/KEE, 91/496/KEE, 96/23/KE, 96/93/KE u 97/78/KE u d-Deċiżjoni tal-Kunsill 92/438/KEE (Regolament dwar il-Kontrolli Uffiċjali) (ĠU L 95, 7.4.2017, p. 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Ir-Regolament (UE) Nru 182/2011 tal-Parlament Ewropew u tal-Kunsill tas-16 ta’ Frar 2011 li jistabbilixxi r-regoli u l-prinċipji ġenerali dwar il-modalitajiet ta’ kontroll mill-Istati Membri tal-eżerċizzju mill-Kummissjoni tas-setgħat ta’ implimentazzjoni (ĠU L 55, 28.2.2011, p. 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FF090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04E8E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E28FD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60E1F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0580C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70605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C6662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EB6F3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21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4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7-12-06 12:22:2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37252883-F6B5-4EBF-82E5-A79B1902BCCA"/>
    <w:docVar w:name="LW_COVERPAGE_TYPE" w:val="1"/>
    <w:docVar w:name="LW_CROSSREFERENCE" w:val="&lt;UNUSED&gt;"/>
    <w:docVar w:name="LW_DocType" w:val="COM"/>
    <w:docVar w:name="LW_EMISSION" w:val="6.12.2017"/>
    <w:docVar w:name="LW_EMISSION_ISODATE" w:val="2017-12-06"/>
    <w:docVar w:name="LW_EMISSION_LOCATION" w:val="BRX"/>
    <w:docVar w:name="LW_EMISSION_PREFIX" w:val="Brussell, "/>
    <w:docVar w:name="LW_EMISSION_SUFFIX" w:val=" "/>
    <w:docVar w:name="LW_ID_DOCMODEL" w:val="SJ-024"/>
    <w:docVar w:name="LW_ID_DOCSIGNATURE" w:val="SJ-024"/>
    <w:docVar w:name="LW_ID_DOCSTRUCTURE" w:val="COM/PL/ORG"/>
    <w:docVar w:name="LW_ID_DOCTYPE" w:val="SJ-024"/>
    <w:docVar w:name="LW_ID_STATUT" w:val="SJ-024"/>
    <w:docVar w:name="LW_INTERETEEE.CP" w:val="(Test b'rilevanza g\u295?a\u380?-\u379?EE)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29"/>
    <w:docVar w:name="LW_REF.II.NEW.CP_YEAR" w:val="2017"/>
    <w:docVar w:name="LW_REF.INST.NEW" w:val="COM"/>
    <w:docVar w:name="LW_REF.INST.NEW_ADOPTED" w:val="final"/>
    <w:docVar w:name="LW_REF.INST.NEW_TEXT" w:val="(2017) 74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Proposta g\u295?al"/>
    <w:docVar w:name="LW_SUPERTITRE" w:val="&lt;UNUSED&gt;"/>
    <w:docVar w:name="LW_TITRE.OBJ.CP" w:val="li temenda d-Direttiva tal-Kunsill 92/66/KEE  li tintrodu\u267?i mi\u380?uri tal-Komunità g\u295?al kontroll tal-marda Newcastle"/>
    <w:docVar w:name="LW_TYPE.DOC.CP" w:val="DIRETTIVA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pPr>
      <w:numPr>
        <w:numId w:val="1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customStyle="1" w:styleId="T">
    <w:name w:val="T"/>
    <w:basedOn w:val="Titreobje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pPr>
      <w:numPr>
        <w:numId w:val="1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customStyle="1" w:styleId="T">
    <w:name w:val="T"/>
    <w:basedOn w:val="Titreobje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8B07-5EE7-4256-8E7C-F7C53622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7</Pages>
  <Words>1821</Words>
  <Characters>13205</Characters>
  <Application>Microsoft Office Word</Application>
  <DocSecurity>0</DocSecurity>
  <Lines>235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SANTE/7093/2017-EN</vt:lpstr>
    </vt:vector>
  </TitlesOfParts>
  <Manager/>
  <Company/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SANTE/7093/2017-EN</dc:title>
  <dc:subject>Directive</dc:subject>
  <dc:creator/>
  <cp:keywords>7093</cp:keywords>
  <dc:description>OUTLOOK - 21,11.2017</dc:description>
  <cp:lastModifiedBy>DIGIT/A3</cp:lastModifiedBy>
  <cp:revision>18</cp:revision>
  <cp:lastPrinted>2017-11-17T11:06:00Z</cp:lastPrinted>
  <dcterms:created xsi:type="dcterms:W3CDTF">2017-12-01T08:07:00Z</dcterms:created>
  <dcterms:modified xsi:type="dcterms:W3CDTF">2017-12-06T11:22:00Z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5.84.2.0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SJ-024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