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76697DC-2136-4F2D-A55F-1C0F424B2A97" style="width:450.8pt;height:433.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ind w:left="851"/>
        <w:rPr>
          <w:rFonts w:eastAsia="Arial Unicode MS"/>
          <w:noProof/>
        </w:rPr>
      </w:pPr>
      <w:r>
        <w:rPr>
          <w:noProof/>
        </w:rPr>
        <w:t>En förutsättning för att en mer integrerad ekonomisk och monetär union ska fungera är att det finns adekvata nationella strategier. Eftersom många viktiga politikområden som är av avgörande betydelse för EMU primärt förblir i medlemsstaternas händer, är det viktigt att reformer samordnas och görs i rätt ordning om de ska få full effekt inte bara på nationell, utan även på EU-nivå.</w:t>
      </w:r>
    </w:p>
    <w:p>
      <w:pPr>
        <w:pBdr>
          <w:top w:val="nil"/>
          <w:left w:val="nil"/>
          <w:bottom w:val="nil"/>
          <w:right w:val="nil"/>
          <w:between w:val="nil"/>
          <w:bar w:val="nil"/>
        </w:pBdr>
        <w:spacing w:before="0" w:after="240"/>
        <w:ind w:left="851"/>
        <w:rPr>
          <w:noProof/>
        </w:rPr>
      </w:pPr>
      <w:r>
        <w:rPr>
          <w:noProof/>
        </w:rPr>
        <w:t xml:space="preserve">I den fleråriga budgetramen efter 2020 tänker kommissionen föreslå ett nytt reformredskap för de medlemsstater som åtar sig att genomföra de reformer som diskuterats på EU-nivå och överenskommits i så kallade reformåtaganden. Verktyget skulle ha egna budgetanslag skilda från och utöver Europeiska struktur- och investeringsfonderna, som skulle behålla sina egna regler och villkor.  </w:t>
      </w:r>
    </w:p>
    <w:p>
      <w:pPr>
        <w:pBdr>
          <w:top w:val="nil"/>
          <w:left w:val="nil"/>
          <w:bottom w:val="nil"/>
          <w:right w:val="nil"/>
          <w:between w:val="nil"/>
          <w:bar w:val="nil"/>
        </w:pBdr>
        <w:spacing w:before="0" w:after="240"/>
        <w:ind w:left="851"/>
        <w:rPr>
          <w:rFonts w:eastAsia="SimSun"/>
          <w:noProof/>
          <w:color w:val="000000"/>
          <w:szCs w:val="24"/>
        </w:rPr>
      </w:pPr>
      <w:r>
        <w:rPr>
          <w:noProof/>
        </w:rPr>
        <w:t xml:space="preserve">Europeiska planeringsterminen skulle förbli det viktigaste forumet för utveckling mot starkare konvergens och effektivare samordning av sådan politik. </w:t>
      </w:r>
      <w:r>
        <w:rPr>
          <w:noProof/>
          <w:color w:val="000000"/>
        </w:rPr>
        <w:t xml:space="preserve">Det nya verktyget skulle inrättas för att hjälpa medlemsstaterna att genomföra de strukturreformer som identifierats under europeiska planeringsterminen och garantera att medlemsstaterna inte förlorade äganderätten till reformerna.  </w:t>
      </w:r>
    </w:p>
    <w:p>
      <w:pPr>
        <w:pBdr>
          <w:top w:val="nil"/>
          <w:left w:val="nil"/>
          <w:bottom w:val="nil"/>
          <w:right w:val="nil"/>
          <w:between w:val="nil"/>
          <w:bar w:val="nil"/>
        </w:pBdr>
        <w:spacing w:before="0" w:after="240"/>
        <w:ind w:left="851"/>
        <w:rPr>
          <w:noProof/>
        </w:rPr>
      </w:pPr>
      <w:r>
        <w:rPr>
          <w:noProof/>
        </w:rPr>
        <w:t xml:space="preserve">Det nya verktyget skulle användas för att främja en rad olika reformer. Det skulle fokusera på sådana reformer som bäst kan bidra till de nationella ekonomiernas motståndskraft och har positiv inverkan på andra medlemsstater. Hit hör reformer på produkt- och arbetsmarknaden, skattereformer, utvecklingen av kapitalmarknader, reformer för att förbättra företagsklimatet, investeringar i humankapital och reformer av den offentliga förvaltningen. </w:t>
      </w:r>
    </w:p>
    <w:p>
      <w:pPr>
        <w:pBdr>
          <w:top w:val="nil"/>
          <w:left w:val="nil"/>
          <w:bottom w:val="nil"/>
          <w:right w:val="nil"/>
          <w:between w:val="nil"/>
          <w:bar w:val="nil"/>
        </w:pBdr>
        <w:spacing w:before="0" w:after="240"/>
        <w:ind w:left="851"/>
        <w:rPr>
          <w:noProof/>
        </w:rPr>
      </w:pPr>
      <w:r>
        <w:rPr>
          <w:noProof/>
        </w:rPr>
        <w:t>Kommissionen avser att testa reformverktygets viktigaste facetter i en pilotfas under 2018–2020 genom att ge medlemsstaterna möjlighet att använda hela eller delar av de nuvarande europeiska struktur- och investeringsfondernas (ESI-fondernas) resultatreserv för reformer i stället för specifika projekt. Därför föreslår kommissionen ändringar av förordning (EU) nr 1303/2013 (förordningen om gemensamma bestämmelser).</w:t>
      </w:r>
    </w:p>
    <w:p>
      <w:pPr>
        <w:pBdr>
          <w:top w:val="nil"/>
          <w:left w:val="nil"/>
          <w:bottom w:val="nil"/>
          <w:right w:val="nil"/>
          <w:between w:val="nil"/>
          <w:bar w:val="nil"/>
        </w:pBdr>
        <w:spacing w:before="0" w:after="240"/>
        <w:ind w:left="851"/>
        <w:rPr>
          <w:noProof/>
        </w:rPr>
      </w:pPr>
      <w:r>
        <w:rPr>
          <w:noProof/>
        </w:rPr>
        <w:t xml:space="preserve">Det bör påpekas att de redan har skapats en koppling mellan den europeiska planeringsterminens prioriteringar och unionsbudgeten för programperioden 2014–2020, bland annat genom införandet av förhandsvillkor och makroekonomiska villkor för europeiska struktur- och investeringsfonderna. </w:t>
      </w:r>
    </w:p>
    <w:p>
      <w:pPr>
        <w:pBdr>
          <w:top w:val="nil"/>
          <w:left w:val="nil"/>
          <w:bottom w:val="nil"/>
          <w:right w:val="nil"/>
          <w:between w:val="nil"/>
          <w:bar w:val="nil"/>
        </w:pBdr>
        <w:spacing w:before="0" w:after="240"/>
        <w:ind w:left="851"/>
        <w:rPr>
          <w:noProof/>
        </w:rPr>
      </w:pPr>
      <w:r>
        <w:rPr>
          <w:noProof/>
        </w:rPr>
        <w:t xml:space="preserve">Enligt dagens förslag skulle denna koppling ytterligare förstärkas genom att medlemsstaterna fick använda hela eller delar av den resultatreserv som inrättats genom artiklarna 20–22 i förordningen om gemensamma bestämmelser för sammanhållningspolitik i syfte att främja strukturreformer. </w:t>
      </w:r>
    </w:p>
    <w:p>
      <w:pPr>
        <w:pBdr>
          <w:top w:val="nil"/>
          <w:left w:val="nil"/>
          <w:bottom w:val="nil"/>
          <w:right w:val="nil"/>
          <w:between w:val="nil"/>
          <w:bar w:val="nil"/>
        </w:pBdr>
        <w:spacing w:before="0" w:after="240"/>
        <w:ind w:left="851"/>
        <w:rPr>
          <w:noProof/>
        </w:rPr>
      </w:pPr>
      <w:r>
        <w:rPr>
          <w:noProof/>
        </w:rPr>
        <w:t xml:space="preserve">De reformer som skulle få stöd skulle fastställas i fleråriga åtagandepaket för reformer som skulle läggas fram och övervakas av via de nationella reformprogrammen. Reformåtagandena skulle definieras av medlemsstaterna själva och omfatta reformåtgärder med tydliga delmål och mål. </w:t>
      </w:r>
    </w:p>
    <w:p>
      <w:pPr>
        <w:spacing w:before="60"/>
        <w:ind w:left="851"/>
        <w:rPr>
          <w:noProof/>
        </w:rPr>
      </w:pPr>
      <w:r>
        <w:rPr>
          <w:noProof/>
        </w:rPr>
        <w:lastRenderedPageBreak/>
        <w:t xml:space="preserve">Kommissionen skulle sedan anta ett beslut, i form av en genomförandeakt, i vilket reformåtagandena och de belopp som avsatts till stöd för dessa från resultatreserven fastställdes. Beloppen skulle stå i proportion till reformernas art och vikt. Övervakningen och rapporteringen av hur de olika milstolparna uppnåddes skulle ingå i europeiska planeringsterminen. Information om framstegen skulle ingå i de nationella reformprogrammen, där det också skulle redogöras för vilka steg som gjorts mot slutförandet av reformen. </w:t>
      </w:r>
    </w:p>
    <w:p>
      <w:pPr>
        <w:pBdr>
          <w:top w:val="nil"/>
          <w:left w:val="nil"/>
          <w:bottom w:val="nil"/>
          <w:right w:val="nil"/>
          <w:between w:val="nil"/>
          <w:bar w:val="nil"/>
        </w:pBdr>
        <w:spacing w:before="0" w:after="240"/>
        <w:ind w:left="851"/>
        <w:rPr>
          <w:noProof/>
        </w:rPr>
      </w:pPr>
      <w:r>
        <w:rPr>
          <w:noProof/>
        </w:rPr>
        <w:t xml:space="preserve">De årliga landsrapporter som kommissionen sammanställer som del av den europeiska planeringsterminen skulle ge en uppdaterad bild av reformprocessen, vilket skulle kunna läggas till grund för kommissionens beslut om huruvida stöd ska ges inom ramen för verktyget. Stödet skulle betalas ut till fullo så snart medlemsstaten hade uppfyllt reformåtagandet. </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ind w:left="851"/>
        <w:rPr>
          <w:noProof/>
        </w:rPr>
      </w:pPr>
      <w:r>
        <w:rPr>
          <w:noProof/>
        </w:rPr>
        <w:t xml:space="preserve">Förslaget är förenligt med den övergripande rättsliga ramen som har upprättats för de europeiska struktur- och investeringsfonderna och innebär endast en riktad ändring av förordningen om gemensamma bestämmelser. </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ind w:left="851"/>
        <w:rPr>
          <w:noProof/>
        </w:rPr>
      </w:pPr>
      <w:r>
        <w:rPr>
          <w:noProof/>
        </w:rPr>
        <w:t>Förslaget innebär endast en riktad ändring av förordningen om gemensamma bestämmelser och förblir förenligt med den övriga unionspolitiken. Det nya verktyget för strukturellt stöd skulle komplettera det frivilliga tekniska stöd som tillhandahålls via stödprogrammet för strukturreformer. Reformåtagandena kunde också omfatta områden för vilka tekniskt stöd från stödprogrammet för strukturreformer skulle begäras från kommissionen- Begäran om sådant tekniskt stöd skulle förbli frivilligt.</w:t>
      </w:r>
    </w:p>
    <w:p>
      <w:pPr>
        <w:keepNext/>
        <w:tabs>
          <w:tab w:val="left" w:pos="850"/>
        </w:tabs>
        <w:spacing w:before="360"/>
        <w:ind w:left="850" w:hanging="850"/>
        <w:outlineLvl w:val="0"/>
        <w:rPr>
          <w:b/>
          <w:smallCaps/>
          <w:noProof/>
        </w:rPr>
      </w:pPr>
      <w:r>
        <w:rPr>
          <w:b/>
          <w:smallCaps/>
          <w:noProof/>
        </w:rPr>
        <w:t>2.</w:t>
      </w:r>
      <w:r>
        <w:rPr>
          <w:noProof/>
        </w:rPr>
        <w:tab/>
      </w:r>
      <w:r>
        <w:rPr>
          <w:b/>
          <w:smallCaps/>
          <w:noProof/>
        </w:rPr>
        <w:t>RÄTTSLIG GRUND, SUBSIDIARITETSPRINCIPEN OCH PROPORTIONALITETSPRINCIPEN</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Rättslig grund</w:t>
      </w:r>
    </w:p>
    <w:p>
      <w:pPr>
        <w:ind w:left="851"/>
        <w:rPr>
          <w:noProof/>
        </w:rPr>
      </w:pPr>
      <w:r>
        <w:rPr>
          <w:noProof/>
        </w:rPr>
        <w:t>I förordningen om gemensamma bestämmelser fastställs de gemensamma regler som gäller för de europeiska struktur- och investeringsfonderna. Utgående från principen om delad förvaltning mellan kommissionen och medlemsstaterna innehåller förordningen bestämmelser om programplaneringsprocessen, men också för förvaltning och övervakning (även finansiellt) av program, ekonomisk kontroll och utvärdering av projekt.</w:t>
      </w:r>
    </w:p>
    <w:p>
      <w:pPr>
        <w:ind w:left="851"/>
        <w:rPr>
          <w:noProof/>
        </w:rPr>
      </w:pPr>
      <w:r>
        <w:rPr>
          <w:noProof/>
        </w:rPr>
        <w:t xml:space="preserve">Förslaget ger medlemsstaterna möjlighet att avsätta den resultatreserv som avses i artiklarna 20–22 för strukturreformer på grundval av reformåtaganden, och skapar mekanismerna för genomförandet av reformåtaganden.  </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 xml:space="preserve">Subsidiaritetsprincipen (för icke-exklusiv befogenhet) </w:t>
      </w:r>
    </w:p>
    <w:p>
      <w:pPr>
        <w:ind w:left="850"/>
        <w:rPr>
          <w:noProof/>
        </w:rPr>
      </w:pPr>
      <w:r>
        <w:rPr>
          <w:noProof/>
        </w:rPr>
        <w:t xml:space="preserve">Förslaget är förenligt med subsidiaritetsprincipen eftersom det syftar till att genom sammanhållningspolitiken ge fortsatt ökat stöd till vissa medlemsstater som väljer att använda resultatreserven för att främja strukturreformer. Denna mekanism måste införas på EU-nivå. </w:t>
      </w:r>
    </w:p>
    <w:p>
      <w:pPr>
        <w:keepNext/>
        <w:tabs>
          <w:tab w:val="left" w:pos="850"/>
        </w:tabs>
        <w:ind w:left="850" w:hanging="850"/>
        <w:outlineLvl w:val="1"/>
        <w:rPr>
          <w:rFonts w:eastAsia="Arial Unicode MS"/>
          <w:b/>
          <w:noProof/>
          <w:u w:color="000000"/>
          <w:bdr w:val="nil"/>
        </w:rPr>
      </w:pPr>
      <w:r>
        <w:rPr>
          <w:noProof/>
        </w:rPr>
        <w:lastRenderedPageBreak/>
        <w:tab/>
      </w:r>
      <w:r>
        <w:rPr>
          <w:b/>
          <w:noProof/>
          <w:u w:color="000000"/>
          <w:bdr w:val="nil"/>
        </w:rPr>
        <w:t>Proportionalitetsprincipen</w:t>
      </w:r>
    </w:p>
    <w:p>
      <w:pPr>
        <w:ind w:left="850"/>
        <w:rPr>
          <w:noProof/>
        </w:rPr>
      </w:pPr>
      <w:r>
        <w:rPr>
          <w:noProof/>
        </w:rPr>
        <w:t>Förslaget innebär en begränsad och riktad ändring som inte går utöver vad som är nödvändigt för att uppnå målet om stöd till reformer i medlemsstaterna.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Val av instrument</w:t>
      </w:r>
    </w:p>
    <w:p>
      <w:pPr>
        <w:ind w:left="850"/>
        <w:rPr>
          <w:noProof/>
        </w:rPr>
      </w:pPr>
      <w:r>
        <w:rPr>
          <w:noProof/>
        </w:rPr>
        <w:t>Föreslaget instrument: ändring av den nuvarande förordningen.</w:t>
      </w:r>
    </w:p>
    <w:p>
      <w:pPr>
        <w:ind w:left="850"/>
        <w:rPr>
          <w:noProof/>
        </w:rPr>
      </w:pPr>
      <w:r>
        <w:rPr>
          <w:noProof/>
        </w:rPr>
        <w:t>Kommissionen har undersökt det handlingsutrymme som regelverket medger och anser att det, mot bakgrund av de erfarenheter som hittills gjorts, är nödvändigt att föreslå ändringar av förordning (EU) nr 1303/2013.</w:t>
      </w:r>
    </w:p>
    <w:p>
      <w:pPr>
        <w:keepNext/>
        <w:tabs>
          <w:tab w:val="left" w:pos="850"/>
        </w:tabs>
        <w:spacing w:before="360"/>
        <w:ind w:left="850" w:hanging="850"/>
        <w:outlineLvl w:val="0"/>
        <w:rPr>
          <w:b/>
          <w:smallCaps/>
          <w:noProof/>
        </w:rPr>
      </w:pPr>
      <w:r>
        <w:rPr>
          <w:b/>
          <w:smallCaps/>
          <w:noProof/>
        </w:rPr>
        <w:t>3.</w:t>
      </w:r>
      <w:r>
        <w:rPr>
          <w:noProof/>
        </w:rPr>
        <w:tab/>
      </w:r>
      <w:r>
        <w:rPr>
          <w:b/>
          <w:smallCaps/>
          <w:noProof/>
        </w:rPr>
        <w:t>RESULTAT AV EFTERHANDSUTVÄRDERINGAR, SAMRÅD MED BERÖRDA PARTER OCH KONSEKVENSBEDÖMNINGAR</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Efterhandsutvärderingar/kontroller av ändamålsenligheten med befintlig lagstiftning</w:t>
      </w:r>
    </w:p>
    <w:p>
      <w:pPr>
        <w:ind w:left="850"/>
        <w:rPr>
          <w:noProof/>
        </w:rPr>
      </w:pPr>
      <w:r>
        <w:rPr>
          <w:noProof/>
        </w:rPr>
        <w:t>Inga efterhandsutvärderingar/kontroller av ändamålsenligheten med befintlig lagstiftning har gjorts.</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Samråd med berörda parter</w:t>
      </w:r>
    </w:p>
    <w:p>
      <w:pPr>
        <w:ind w:left="850"/>
        <w:rPr>
          <w:noProof/>
        </w:rPr>
      </w:pPr>
      <w:r>
        <w:rPr>
          <w:noProof/>
        </w:rPr>
        <w:t>Det har inte skett något samråd med externa berörda parter.</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Insamling och användning av sakkunnigutlåtanden</w:t>
      </w:r>
    </w:p>
    <w:p>
      <w:pPr>
        <w:ind w:left="850"/>
        <w:rPr>
          <w:noProof/>
        </w:rPr>
      </w:pPr>
      <w:r>
        <w:rPr>
          <w:noProof/>
        </w:rPr>
        <w:t>Någon extern experthjälp har inte behövts.</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Konsekvensbedömning</w:t>
      </w:r>
    </w:p>
    <w:p>
      <w:pPr>
        <w:keepNext/>
        <w:tabs>
          <w:tab w:val="left" w:pos="850"/>
        </w:tabs>
        <w:ind w:left="850" w:hanging="850"/>
        <w:outlineLvl w:val="1"/>
        <w:rPr>
          <w:rFonts w:eastAsia="Arial Unicode MS"/>
          <w:noProof/>
          <w:u w:color="000000"/>
          <w:bdr w:val="nil"/>
        </w:rPr>
      </w:pPr>
      <w:r>
        <w:rPr>
          <w:noProof/>
        </w:rPr>
        <w:tab/>
        <w:t>Ej tillämpligt.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Lagstiftningens ändamålsenlighet och förenkling</w:t>
      </w:r>
    </w:p>
    <w:p>
      <w:pPr>
        <w:ind w:left="850"/>
        <w:rPr>
          <w:noProof/>
        </w:rPr>
      </w:pPr>
      <w:r>
        <w:rPr>
          <w:noProof/>
        </w:rPr>
        <w:t>Det här är inte ett initiativ inom ramen för programmet om lagstiftningens ändamålsenlighet och resultat (Refit-programmet).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Grundläggande rättigheter</w:t>
      </w:r>
    </w:p>
    <w:p>
      <w:pPr>
        <w:ind w:left="850"/>
        <w:rPr>
          <w:noProof/>
        </w:rPr>
      </w:pPr>
      <w:r>
        <w:rPr>
          <w:noProof/>
        </w:rPr>
        <w:t>Förslaget får inga konsekvenser för skyddet av de grundläggande rättigheterna.</w:t>
      </w:r>
    </w:p>
    <w:p>
      <w:pPr>
        <w:keepNext/>
        <w:tabs>
          <w:tab w:val="left" w:pos="850"/>
        </w:tabs>
        <w:spacing w:before="360"/>
        <w:ind w:left="850" w:hanging="850"/>
        <w:outlineLvl w:val="0"/>
        <w:rPr>
          <w:b/>
          <w:smallCaps/>
          <w:noProof/>
        </w:rPr>
      </w:pPr>
      <w:r>
        <w:rPr>
          <w:b/>
          <w:smallCaps/>
          <w:noProof/>
        </w:rPr>
        <w:t>4.</w:t>
      </w:r>
      <w:r>
        <w:rPr>
          <w:noProof/>
        </w:rPr>
        <w:tab/>
      </w:r>
      <w:r>
        <w:rPr>
          <w:b/>
          <w:smallCaps/>
          <w:noProof/>
        </w:rPr>
        <w:t>BUDGETKONSEKVENSER</w:t>
      </w:r>
    </w:p>
    <w:p>
      <w:pPr>
        <w:ind w:left="850"/>
        <w:rPr>
          <w:noProof/>
        </w:rPr>
      </w:pPr>
      <w:r>
        <w:rPr>
          <w:noProof/>
        </w:rPr>
        <w:t>Åtagandebemyndigandena påverkas inte eftersom någon ändring inte föreslås av de högsta stöd från ESI-fonderna som föreskrivs i de operativa programmen för programperioden 2014–2020. Det bör noteras att den föreslagna ändringen inte medför några förändringar av de årliga taken för åtaganden och betalningar i den fleråriga budgetramen enligt bilaga I till förordning (EU) nr 1311/2013.</w:t>
      </w:r>
    </w:p>
    <w:p>
      <w:pPr>
        <w:keepNext/>
        <w:tabs>
          <w:tab w:val="left" w:pos="850"/>
        </w:tabs>
        <w:spacing w:before="360"/>
        <w:ind w:left="850" w:hanging="850"/>
        <w:outlineLvl w:val="0"/>
        <w:rPr>
          <w:b/>
          <w:smallCaps/>
          <w:noProof/>
        </w:rPr>
      </w:pPr>
      <w:r>
        <w:rPr>
          <w:b/>
          <w:smallCaps/>
          <w:noProof/>
        </w:rPr>
        <w:t>5.</w:t>
      </w:r>
      <w:r>
        <w:rPr>
          <w:noProof/>
        </w:rPr>
        <w:tab/>
      </w:r>
      <w:r>
        <w:rPr>
          <w:b/>
          <w:smallCaps/>
          <w:noProof/>
        </w:rPr>
        <w:t>ÖVRIGA INSLAG</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Genomförandeplaner samt åtgärder för övervakning, utvärdering och rapportering</w:t>
      </w:r>
    </w:p>
    <w:p>
      <w:pPr>
        <w:ind w:left="850"/>
        <w:rPr>
          <w:noProof/>
        </w:rPr>
      </w:pPr>
      <w:r>
        <w:rPr>
          <w:noProof/>
        </w:rPr>
        <w:t>Ej tillämpligt. De befintliga genomförandesystemen för direkt förvaltning inom ESI-fonderna kan användas för att övervaka genomförandet av förslaget.</w:t>
      </w:r>
    </w:p>
    <w:p>
      <w:pPr>
        <w:keepNext/>
        <w:tabs>
          <w:tab w:val="left" w:pos="850"/>
        </w:tabs>
        <w:ind w:left="850" w:hanging="850"/>
        <w:outlineLvl w:val="1"/>
        <w:rPr>
          <w:rFonts w:eastAsia="Arial Unicode MS"/>
          <w:b/>
          <w:noProof/>
          <w:u w:color="000000"/>
          <w:bdr w:val="nil"/>
        </w:rPr>
      </w:pPr>
      <w:r>
        <w:rPr>
          <w:noProof/>
        </w:rPr>
        <w:lastRenderedPageBreak/>
        <w:tab/>
      </w:r>
      <w:r>
        <w:rPr>
          <w:b/>
          <w:noProof/>
          <w:u w:color="000000"/>
          <w:bdr w:val="nil"/>
        </w:rPr>
        <w:t>Förklarande dokument (för direktiv)</w:t>
      </w:r>
    </w:p>
    <w:p>
      <w:pPr>
        <w:ind w:left="850"/>
        <w:rPr>
          <w:noProof/>
        </w:rPr>
      </w:pPr>
      <w:r>
        <w:rPr>
          <w:noProof/>
        </w:rPr>
        <w:t>Ej tillämpligt.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Ingående redogörelse för de specifika bestämmelserna i förslaget</w:t>
      </w:r>
    </w:p>
    <w:p>
      <w:pPr>
        <w:ind w:left="850"/>
        <w:rPr>
          <w:noProof/>
        </w:rPr>
      </w:pPr>
      <w:r>
        <w:rPr>
          <w:noProof/>
        </w:rPr>
        <w:t xml:space="preserve">Artikel 1 kommer att ändras för att förklara att förordningen om gemensamma bestämmelser även omfattar stöd till strukturreformer som identifierats inom ramen för europeiska planeringsterminen. Uttrycket ”strukturreform” förklaras i en särskild definition i artikel 2.  </w:t>
      </w:r>
    </w:p>
    <w:p>
      <w:pPr>
        <w:ind w:left="850"/>
        <w:rPr>
          <w:noProof/>
        </w:rPr>
      </w:pPr>
      <w:r>
        <w:rPr>
          <w:noProof/>
        </w:rPr>
        <w:t xml:space="preserve">Artikel 4.7 ändras för att förtydliga att stödet till strukturreformer inte kommer att omfattas av delad förvaltning utan direkt förvaltning (finansiering som inte är knuten till kostnader, så som anges i artikel 12.1 e i den reviderade budgetförordningen), och kommer inte att förutsätta nationell samfinansiering. </w:t>
      </w:r>
    </w:p>
    <w:p>
      <w:pPr>
        <w:ind w:left="850"/>
        <w:rPr>
          <w:noProof/>
        </w:rPr>
      </w:pPr>
      <w:r>
        <w:rPr>
          <w:noProof/>
        </w:rPr>
        <w:t xml:space="preserve">I artikel 15 läggs en ny punkt till för att förklara att partnerskapsavtalen även måste innehålla uppgifter om omfördelningen av resultatreserven till stöd för strukturreformer. </w:t>
      </w:r>
    </w:p>
    <w:p>
      <w:pPr>
        <w:ind w:left="850"/>
        <w:rPr>
          <w:noProof/>
        </w:rPr>
      </w:pPr>
      <w:r>
        <w:rPr>
          <w:noProof/>
        </w:rPr>
        <w:t xml:space="preserve">Det föreslås att ändra artikel 22 i förordning (EU) nr 1303/2013 för att ge medlemsstaterna möjlighet att helt eller delvis avsätta resultatreserven till något av följande: </w:t>
      </w:r>
    </w:p>
    <w:p>
      <w:pPr>
        <w:ind w:left="1418" w:hanging="568"/>
        <w:rPr>
          <w:noProof/>
        </w:rPr>
      </w:pPr>
      <w:r>
        <w:rPr>
          <w:noProof/>
        </w:rPr>
        <w:t>a)</w:t>
      </w:r>
      <w:r>
        <w:rPr>
          <w:noProof/>
        </w:rPr>
        <w:tab/>
        <w:t>Program och prioriteringar som uppnått sina delmål i enlighet med punkterna 2–7 i den befintliga resultatramen.</w:t>
      </w:r>
    </w:p>
    <w:p>
      <w:pPr>
        <w:ind w:left="850"/>
        <w:rPr>
          <w:noProof/>
        </w:rPr>
      </w:pPr>
      <w:r>
        <w:rPr>
          <w:noProof/>
        </w:rPr>
        <w:t>b)</w:t>
      </w:r>
      <w:r>
        <w:rPr>
          <w:noProof/>
        </w:rPr>
        <w:tab/>
        <w:t xml:space="preserve">Stöd till strukturreformer. </w:t>
      </w:r>
    </w:p>
    <w:p>
      <w:pPr>
        <w:ind w:left="850"/>
        <w:rPr>
          <w:noProof/>
        </w:rPr>
      </w:pPr>
      <w:r>
        <w:rPr>
          <w:noProof/>
        </w:rPr>
        <w:t xml:space="preserve">Villkoren för begäran om stöd till strukturreformer finns i en ny punkt 8 i artikel 22. </w:t>
      </w:r>
    </w:p>
    <w:p>
      <w:pPr>
        <w:ind w:left="850"/>
        <w:rPr>
          <w:noProof/>
        </w:rPr>
      </w:pPr>
      <w:r>
        <w:rPr>
          <w:noProof/>
        </w:rPr>
        <w:t xml:space="preserve">En ny finansieringsmekanism för stöd till strukturreformer, i form av finansiering som inte är knuten till kostnader, föreslås i artikel 23a i denna förordning. Den artikeln innehåller bestämmelser om hur reformåtaganden ska göras och villkoren för utbetalning av stödet till medlemsstater när dessa har uppfyllt sina överenskomna reformåtaganden. </w:t>
      </w:r>
    </w:p>
    <w:p>
      <w:pPr>
        <w:ind w:left="850"/>
        <w:rPr>
          <w:rFonts w:eastAsia="Arial Unicode MS"/>
          <w:noProof/>
        </w:rPr>
      </w:pPr>
      <w:r>
        <w:rPr>
          <w:noProof/>
        </w:rPr>
        <w:t>Ändringen av artikel 91 klargör att hela eller delar av den resultatreserv som ingår i totalbeloppen för Euroepiska regionala utvecklingsfonden (ERUF), Europeiska socialfonden (ESF) och Sammanhållningsfonden får avsättas till stöd för strukturreformer enligt artikel 23a.</w:t>
      </w:r>
    </w:p>
    <w:p>
      <w:pPr>
        <w:pStyle w:val="ManualHeading1"/>
        <w:rPr>
          <w:rFonts w:eastAsia="Arial Unicode MS"/>
          <w:noProof/>
        </w:rPr>
      </w:pPr>
    </w:p>
    <w:p>
      <w:pPr>
        <w:ind w:left="850"/>
        <w:rPr>
          <w:rFonts w:eastAsia="Arial Unicode MS"/>
          <w:noProof/>
        </w:rPr>
      </w:pP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2017/0336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vad gäller stöd till strukturreformer i medlemsstaterna</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175 tredje stycket och artikel 177,</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efter att ha hört Europeiska ekonomiska och sociala kommittén</w:t>
      </w:r>
      <w:r>
        <w:rPr>
          <w:rStyle w:val="FootnoteReference"/>
          <w:noProof/>
        </w:rPr>
        <w:footnoteReference w:id="1"/>
      </w:r>
      <w:r>
        <w:rPr>
          <w:noProof/>
        </w:rPr>
        <w:t xml:space="preserve">, </w:t>
      </w:r>
    </w:p>
    <w:p>
      <w:pPr>
        <w:rPr>
          <w:noProof/>
        </w:rPr>
      </w:pPr>
      <w:r>
        <w:rPr>
          <w:noProof/>
        </w:rPr>
        <w:t>efter att ha hört Regionkommittén</w:t>
      </w:r>
      <w:r>
        <w:rPr>
          <w:rStyle w:val="FootnoteReference"/>
          <w:noProof/>
        </w:rPr>
        <w:footnoteReference w:id="2"/>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color w:val="000000"/>
        </w:rPr>
      </w:pPr>
      <w:r>
        <w:rPr>
          <w:noProof/>
        </w:rPr>
        <w:t>1)</w:t>
      </w:r>
      <w:r>
        <w:rPr>
          <w:noProof/>
        </w:rPr>
        <w:tab/>
      </w:r>
      <w:r>
        <w:rPr>
          <w:noProof/>
          <w:color w:val="000000"/>
        </w:rPr>
        <w:t xml:space="preserve">Eftersom den ekonomiska styrningen i unionen bidrar till den ekonomiska, sociala och territoriella sammanhållningen bör det vara möjligt att stödja reformåtaganden som medlemsstaterna gör för att genomföra rådets rekommendationer på området eller för att se till att de sammanhållningspolitiska fonderna får största möjliga inverkan på tillväxt och konkurrenskraft, som en specifik form av stöd som tillämpas i direkt förvaltning. </w:t>
      </w:r>
    </w:p>
    <w:p>
      <w:pPr>
        <w:pStyle w:val="ManualConsidrant"/>
        <w:rPr>
          <w:noProof/>
        </w:rPr>
      </w:pPr>
      <w:r>
        <w:rPr>
          <w:noProof/>
          <w:color w:val="000000"/>
        </w:rPr>
        <w:t>2)</w:t>
      </w:r>
      <w:r>
        <w:rPr>
          <w:noProof/>
        </w:rPr>
        <w:tab/>
      </w:r>
      <w:r>
        <w:rPr>
          <w:noProof/>
          <w:color w:val="000000"/>
        </w:rPr>
        <w:t>I syfte att underlätta medlemsstaternas reformer inom ramen för den ekonomiska styrprocessen är det nödvändigt att ge möjlighet</w:t>
      </w:r>
      <w:r>
        <w:rPr>
          <w:noProof/>
        </w:rPr>
        <w:t xml:space="preserve"> att helt eller delvis avsätta den resultatreserv som inrättats genom artikel 20 i förordning (EU) nr 1303/2013</w:t>
      </w:r>
      <w:r>
        <w:rPr>
          <w:rStyle w:val="FootnoteReference"/>
          <w:noProof/>
        </w:rPr>
        <w:footnoteReference w:id="3"/>
      </w:r>
      <w:r>
        <w:rPr>
          <w:noProof/>
        </w:rPr>
        <w:t xml:space="preserve"> för att stödja medlemsstaternas reformåtaganden.</w:t>
      </w:r>
    </w:p>
    <w:p>
      <w:pPr>
        <w:spacing w:after="240"/>
        <w:ind w:left="709" w:hanging="709"/>
        <w:rPr>
          <w:rFonts w:eastAsia="Calibri"/>
          <w:b/>
          <w:noProof/>
          <w:sz w:val="22"/>
        </w:rPr>
      </w:pPr>
      <w:r>
        <w:rPr>
          <w:noProof/>
        </w:rPr>
        <w:t>3)</w:t>
      </w:r>
      <w:r>
        <w:rPr>
          <w:noProof/>
        </w:rPr>
        <w:tab/>
        <w:t xml:space="preserve">En förutsättning för all omfördelning från resultatreserven bör vara att alla åtaganden avseende genomförande av reformer som fastställts inom ramen för europeiska planeringsterminen fullgjorts. Genomförandet av strukturreformer bör prioriteras, då dessa bäst kan bidra till de nationella ekonomiernas motståndskraft och har positiv inverkan på andra medlemsstater. Hit hör reformer på produkt- och arbetsmarknaden, skattereformer, utvecklingen av kapitalmarknader, reformer för att förbättra </w:t>
      </w:r>
      <w:r>
        <w:rPr>
          <w:noProof/>
        </w:rPr>
        <w:lastRenderedPageBreak/>
        <w:t>företagsklimatet, investeringar i humankapital och reformer av den offentliga förvaltningen.</w:t>
      </w:r>
      <w:r>
        <w:rPr>
          <w:noProof/>
          <w:sz w:val="22"/>
        </w:rPr>
        <w:t xml:space="preserve"> </w:t>
      </w:r>
    </w:p>
    <w:p>
      <w:pPr>
        <w:pStyle w:val="ManualConsidrant"/>
        <w:rPr>
          <w:noProof/>
        </w:rPr>
      </w:pPr>
      <w:r>
        <w:rPr>
          <w:noProof/>
        </w:rPr>
        <w:t>4)</w:t>
      </w:r>
      <w:r>
        <w:rPr>
          <w:noProof/>
        </w:rPr>
        <w:tab/>
        <w:t xml:space="preserve">Det är lämpligt att medlemsstaterna föreslår en detaljerad uppsättning åtgärder för genomförandet av strukturreformerna, med delmål och mål samt en tidtabell på högst tre år. </w:t>
      </w:r>
    </w:p>
    <w:p>
      <w:pPr>
        <w:pStyle w:val="ManualConsidrant"/>
        <w:rPr>
          <w:noProof/>
        </w:rPr>
      </w:pPr>
      <w:r>
        <w:rPr>
          <w:noProof/>
        </w:rPr>
        <w:t>5)</w:t>
      </w:r>
      <w:r>
        <w:rPr>
          <w:noProof/>
        </w:rPr>
        <w:tab/>
        <w:t xml:space="preserve">Stöd till reformåtaganden bör ta formen av finansiering som inte är knuten till kostnader enligt artikel 121.1 e i förordning (EU) ... [den reviderade budgetförordningen] under direkt förvaltning. De belopp som avsätts för genomförande av strukturreformer bör stå i proportion till reformernas art och vikt och komplettera befintligt unionsstöd till nationella reformer.  </w:t>
      </w:r>
    </w:p>
    <w:p>
      <w:pPr>
        <w:pStyle w:val="ManualConsidrant"/>
        <w:rPr>
          <w:noProof/>
        </w:rPr>
      </w:pPr>
      <w:r>
        <w:rPr>
          <w:noProof/>
        </w:rPr>
        <w:t>6)</w:t>
      </w:r>
      <w:r>
        <w:rPr>
          <w:noProof/>
        </w:rPr>
        <w:tab/>
        <w:t xml:space="preserve">Förfarandet för fastställandet av sådana åtaganden, deras innehåll och bestämmelserna kring denna specifika stödform bör fastställas.   </w:t>
      </w:r>
    </w:p>
    <w:p>
      <w:pPr>
        <w:pStyle w:val="ManualConsidrant"/>
        <w:rPr>
          <w:noProof/>
        </w:rPr>
      </w:pPr>
      <w:r>
        <w:rPr>
          <w:noProof/>
        </w:rPr>
        <w:t>7)</w:t>
      </w:r>
      <w:r>
        <w:rPr>
          <w:noProof/>
        </w:rPr>
        <w:tab/>
        <w:t xml:space="preserve">I syfte att möjliggöra ett snabbt genomförande av de åtgärder som framgår av denna förordning bör denna förordning träda i kraft dagen efter det att den har offentliggjorts i </w:t>
      </w:r>
      <w:r>
        <w:rPr>
          <w:i/>
          <w:noProof/>
        </w:rPr>
        <w:t>Europeiska unionens officiella tidning</w:t>
      </w:r>
      <w:r>
        <w:rPr>
          <w:noProof/>
        </w:rPr>
        <w:t>.</w:t>
      </w:r>
    </w:p>
    <w:p>
      <w:pPr>
        <w:pStyle w:val="ManualConsidrant"/>
        <w:rPr>
          <w:noProof/>
        </w:rPr>
      </w:pPr>
      <w:r>
        <w:rPr>
          <w:noProof/>
        </w:rPr>
        <w:t>8)</w:t>
      </w:r>
      <w:r>
        <w:rPr>
          <w:noProof/>
        </w:rPr>
        <w:tab/>
        <w:t>Därför bör förordning (EU) nr 1303/2013 ändras i enlighet med detta.</w:t>
      </w:r>
    </w:p>
    <w:p>
      <w:pPr>
        <w:pStyle w:val="ManualConsidrant"/>
        <w:rPr>
          <w:noProof/>
        </w:rPr>
      </w:pPr>
    </w:p>
    <w:p>
      <w:pPr>
        <w:rPr>
          <w:noProof/>
        </w:rPr>
      </w:pPr>
    </w:p>
    <w:p>
      <w:pPr>
        <w:pStyle w:val="Formuledadoption"/>
        <w:rPr>
          <w:noProof/>
        </w:rPr>
      </w:pPr>
      <w:r>
        <w:rPr>
          <w:noProof/>
        </w:rPr>
        <w:t>HÄRIGENOM FÖRESKRIVS FÖLJANDE.</w:t>
      </w:r>
    </w:p>
    <w:p>
      <w:pPr>
        <w:keepNext/>
        <w:spacing w:before="360"/>
        <w:jc w:val="center"/>
        <w:rPr>
          <w:i/>
          <w:noProof/>
        </w:rPr>
      </w:pPr>
      <w:r>
        <w:rPr>
          <w:i/>
          <w:noProof/>
        </w:rPr>
        <w:t>Artikel 1</w:t>
      </w:r>
    </w:p>
    <w:p>
      <w:pPr>
        <w:spacing w:before="0" w:after="200" w:line="276" w:lineRule="auto"/>
        <w:rPr>
          <w:noProof/>
        </w:rPr>
      </w:pPr>
      <w:r>
        <w:rPr>
          <w:noProof/>
        </w:rPr>
        <w:t>Förordning (EU) nr 1303/2013 ska ändras på följande sätt:</w:t>
      </w:r>
    </w:p>
    <w:p>
      <w:pPr>
        <w:ind w:left="850" w:hanging="850"/>
        <w:rPr>
          <w:noProof/>
        </w:rPr>
      </w:pPr>
      <w:r>
        <w:rPr>
          <w:noProof/>
        </w:rPr>
        <w:t>1.</w:t>
      </w:r>
      <w:r>
        <w:rPr>
          <w:noProof/>
        </w:rPr>
        <w:tab/>
        <w:t>I artikel 1 ska första stycket ersättas med följande:</w:t>
      </w:r>
    </w:p>
    <w:p>
      <w:pPr>
        <w:spacing w:after="240"/>
        <w:ind w:left="851"/>
        <w:rPr>
          <w:noProof/>
        </w:rPr>
      </w:pPr>
      <w:r>
        <w:rPr>
          <w:noProof/>
        </w:rPr>
        <w:t xml:space="preserve">”Denna förordning fastställer de gemensamma reglerna för Europeiska regionala utvecklingsfonden (ERUF), Europeiska socialfonden (ESF), Sammanhållningsfonden, Europeiska jordbruksfonden för landsbygdsutveckling (Ejflu) och Europeiska havs- och fiskerifonden (EHFF), som verkar inom en gemensam ram (nedan kallade </w:t>
      </w:r>
      <w:r>
        <w:rPr>
          <w:i/>
          <w:noProof/>
        </w:rPr>
        <w:t>de europeiska struktur- och investeringsfonderna</w:t>
      </w:r>
      <w:r>
        <w:rPr>
          <w:noProof/>
        </w:rPr>
        <w:t>). Den fastställer även bestämmelser som är nödvändiga för att säkerställa att de europeiska struktur- och investeringsfonderna fungerar effektivt och att fonderna samordnas med varandra och med andra unionsinstrument</w:t>
      </w:r>
      <w:r>
        <w:rPr>
          <w:b/>
          <w:noProof/>
        </w:rPr>
        <w:t>, samt bestämmelser för användning av resultatreserven för stöd till strukturreformer som har identifierats inom ramen för den europeiska planeringsterminen.</w:t>
      </w:r>
      <w:r>
        <w:rPr>
          <w:noProof/>
        </w:rPr>
        <w:t xml:space="preserve"> De gemensamma regler som är tillämpliga på de europeiska struktur- och investeringsfonderna anges i del två. </w:t>
      </w:r>
      <w:r>
        <w:rPr>
          <w:b/>
          <w:noProof/>
        </w:rPr>
        <w:t>De regler som är tillämpliga på partiell eller fullständig användning av resultatreserven för stöd till strukturreformer anges i artikel 23a.”</w:t>
      </w:r>
    </w:p>
    <w:p>
      <w:pPr>
        <w:tabs>
          <w:tab w:val="left" w:pos="851"/>
        </w:tabs>
        <w:spacing w:before="60" w:after="60"/>
        <w:rPr>
          <w:noProof/>
        </w:rPr>
      </w:pPr>
      <w:r>
        <w:rPr>
          <w:noProof/>
        </w:rPr>
        <w:t>2.</w:t>
      </w:r>
      <w:r>
        <w:rPr>
          <w:noProof/>
        </w:rPr>
        <w:tab/>
        <w:t>I artikel 2 ska följande punkt läggas till som punkt 40:</w:t>
      </w:r>
    </w:p>
    <w:p>
      <w:pPr>
        <w:tabs>
          <w:tab w:val="left" w:pos="851"/>
        </w:tabs>
        <w:spacing w:before="60" w:after="240"/>
        <w:ind w:left="851"/>
        <w:rPr>
          <w:b/>
          <w:noProof/>
        </w:rPr>
      </w:pPr>
      <w:r>
        <w:rPr>
          <w:b/>
          <w:noProof/>
        </w:rPr>
        <w:t>”</w:t>
      </w:r>
      <w:r>
        <w:rPr>
          <w:b/>
          <w:i/>
          <w:noProof/>
        </w:rPr>
        <w:t>strukturreform</w:t>
      </w:r>
      <w:r>
        <w:rPr>
          <w:b/>
          <w:noProof/>
        </w:rPr>
        <w:t>: reform som identifierats inom ramen för europeiska planeringsterminen i enlighet med artikel 2 a i rådets förordning (EG) nr 1466/97 av den 7 juli 1997 om förstärkning av övervakningen av de offentliga finanserna samt övervakningen och samordningen av den ekonomiska politiken.”</w:t>
      </w:r>
    </w:p>
    <w:p>
      <w:pPr>
        <w:tabs>
          <w:tab w:val="left" w:pos="851"/>
        </w:tabs>
        <w:spacing w:before="60" w:after="60"/>
        <w:rPr>
          <w:noProof/>
        </w:rPr>
      </w:pPr>
      <w:r>
        <w:rPr>
          <w:noProof/>
        </w:rPr>
        <w:lastRenderedPageBreak/>
        <w:t>3.</w:t>
      </w:r>
      <w:r>
        <w:rPr>
          <w:noProof/>
        </w:rPr>
        <w:tab/>
        <w:t xml:space="preserve">Artikel 4.7 ska ersättas med följande: </w:t>
      </w:r>
    </w:p>
    <w:p>
      <w:pPr>
        <w:tabs>
          <w:tab w:val="left" w:pos="851"/>
        </w:tabs>
        <w:spacing w:before="60" w:after="240"/>
        <w:ind w:left="851" w:hanging="851"/>
        <w:rPr>
          <w:noProof/>
        </w:rPr>
      </w:pPr>
      <w:r>
        <w:rPr>
          <w:noProof/>
        </w:rPr>
        <w:tab/>
        <w:t xml:space="preserve">”7. Den del av unionens budget som anslås till de europeiska struktur- och investeringsfonderna ska genomföras inom ramen för delad förvaltning mellan medlemsstaterna och kommissionen i enlighet med artikel 62 i budgetförordningen, med undantag av de stödbelopp från Sammanhållningsfonden som överförs till FSE, som avses i artikel 92.6 i denna förordning, och innovativa åtgärder på kommissionens initiativ enligt artikel 8 i ERUF-förordningen, tekniskt stöd på kommissionens initiativ, stöd till direkt förvaltning enligt EHFF-förordningen </w:t>
      </w:r>
      <w:r>
        <w:rPr>
          <w:b/>
          <w:noProof/>
        </w:rPr>
        <w:t>och användning av resultatreserven för stöd till strukturreformer enligt artikel 23a</w:t>
      </w:r>
      <w:r>
        <w:rPr>
          <w:noProof/>
        </w:rPr>
        <w:t>.”</w:t>
      </w:r>
    </w:p>
    <w:p>
      <w:pPr>
        <w:tabs>
          <w:tab w:val="left" w:pos="851"/>
        </w:tabs>
        <w:spacing w:before="60" w:after="60"/>
        <w:rPr>
          <w:noProof/>
          <w:szCs w:val="24"/>
        </w:rPr>
      </w:pPr>
      <w:r>
        <w:rPr>
          <w:noProof/>
        </w:rPr>
        <w:t>4.</w:t>
      </w:r>
      <w:r>
        <w:rPr>
          <w:noProof/>
        </w:rPr>
        <w:tab/>
        <w:t xml:space="preserve">I artikel 15.1 a ska ett nytt led viii läggas till: </w:t>
      </w:r>
    </w:p>
    <w:p>
      <w:pPr>
        <w:tabs>
          <w:tab w:val="left" w:pos="851"/>
        </w:tabs>
        <w:spacing w:before="60" w:after="240"/>
        <w:ind w:left="851" w:hanging="851"/>
        <w:rPr>
          <w:noProof/>
          <w:szCs w:val="24"/>
        </w:rPr>
      </w:pPr>
      <w:r>
        <w:rPr>
          <w:noProof/>
        </w:rPr>
        <w:tab/>
      </w:r>
      <w:r>
        <w:rPr>
          <w:b/>
          <w:noProof/>
        </w:rPr>
        <w:t xml:space="preserve">“viii) Information om </w:t>
      </w:r>
      <w:r>
        <w:rPr>
          <w:b/>
          <w:noProof/>
          <w:color w:val="444444"/>
        </w:rPr>
        <w:t xml:space="preserve">omfördelning av resultatreserven </w:t>
      </w:r>
      <w:r>
        <w:rPr>
          <w:b/>
          <w:noProof/>
        </w:rPr>
        <w:t>i enlighet med artikel 22.1a b.</w:t>
      </w:r>
      <w:r>
        <w:rPr>
          <w:noProof/>
        </w:rPr>
        <w:t xml:space="preserve">” </w:t>
      </w:r>
    </w:p>
    <w:p>
      <w:pPr>
        <w:tabs>
          <w:tab w:val="left" w:pos="851"/>
        </w:tabs>
        <w:spacing w:before="60" w:after="60"/>
        <w:rPr>
          <w:noProof/>
          <w:szCs w:val="24"/>
        </w:rPr>
      </w:pPr>
      <w:r>
        <w:rPr>
          <w:noProof/>
        </w:rPr>
        <w:t>5.</w:t>
      </w:r>
      <w:r>
        <w:rPr>
          <w:noProof/>
        </w:rPr>
        <w:tab/>
        <w:t xml:space="preserve">I artikel 20 ska första stycket ersättas med följande: </w:t>
      </w:r>
    </w:p>
    <w:p>
      <w:pPr>
        <w:tabs>
          <w:tab w:val="left" w:pos="851"/>
        </w:tabs>
        <w:spacing w:before="60" w:after="240"/>
        <w:ind w:left="851" w:hanging="851"/>
        <w:rPr>
          <w:rFonts w:eastAsia="Arial Unicode MS"/>
          <w:noProof/>
          <w:szCs w:val="24"/>
        </w:rPr>
      </w:pPr>
      <w:r>
        <w:rPr>
          <w:noProof/>
        </w:rPr>
        <w:tab/>
        <w:t xml:space="preserve">”6 % av de medel som anslagits till ERUF, ESF och Sammanhållningsfonden inom ramen för målet Investering för tillväxt och sysselsättning, som avses i artikel 89.2 a i den här förordningen, samt till Ejflu och till åtgärder som finansieras under delad förvaltning i enlighet med EHFF-förordningen, ska utgöra en resultatreserv, som ska fastställas i partnerskapsöverenskommelsen och programmen och </w:t>
      </w:r>
      <w:r>
        <w:rPr>
          <w:b/>
          <w:noProof/>
        </w:rPr>
        <w:t>antingen</w:t>
      </w:r>
      <w:r>
        <w:rPr>
          <w:noProof/>
        </w:rPr>
        <w:t xml:space="preserve"> anslås till särskilda prioriteringar</w:t>
      </w:r>
      <w:r>
        <w:rPr>
          <w:b/>
          <w:noProof/>
        </w:rPr>
        <w:t>, eller, för ERUF, ESF och Sammanhållningsfonden, stödja strukturreformer</w:t>
      </w:r>
      <w:r>
        <w:rPr>
          <w:noProof/>
        </w:rPr>
        <w:t xml:space="preserve"> i enlighet med artikel 22 i den här förordningen.” </w:t>
      </w:r>
    </w:p>
    <w:p>
      <w:pPr>
        <w:tabs>
          <w:tab w:val="left" w:pos="851"/>
        </w:tabs>
        <w:spacing w:before="60" w:after="60"/>
        <w:rPr>
          <w:noProof/>
        </w:rPr>
      </w:pPr>
      <w:r>
        <w:rPr>
          <w:noProof/>
        </w:rPr>
        <w:t>6.</w:t>
      </w:r>
      <w:r>
        <w:rPr>
          <w:noProof/>
        </w:rPr>
        <w:tab/>
        <w:t>I artikel 22 ska följande punkt läggas till som punkt 1a:</w:t>
      </w:r>
    </w:p>
    <w:p>
      <w:pPr>
        <w:spacing w:before="60" w:after="60"/>
        <w:ind w:left="851"/>
        <w:rPr>
          <w:rFonts w:eastAsia="Calibri"/>
          <w:b/>
          <w:noProof/>
          <w:szCs w:val="24"/>
        </w:rPr>
      </w:pPr>
      <w:r>
        <w:rPr>
          <w:b/>
          <w:noProof/>
        </w:rPr>
        <w:t xml:space="preserve">”1a. Medlemsstater får besluta att använda hela eller delar av resultatreserven för något av följande: </w:t>
      </w:r>
    </w:p>
    <w:p>
      <w:pPr>
        <w:pStyle w:val="Point1letter"/>
        <w:numPr>
          <w:ilvl w:val="3"/>
          <w:numId w:val="10"/>
        </w:numPr>
        <w:rPr>
          <w:b/>
          <w:noProof/>
        </w:rPr>
      </w:pPr>
      <w:r>
        <w:rPr>
          <w:b/>
          <w:noProof/>
        </w:rPr>
        <w:t>Program och prioriteringar som uppnått sina delmål i enlighet med punkterna 2–7.</w:t>
      </w:r>
    </w:p>
    <w:p>
      <w:pPr>
        <w:pStyle w:val="Point1letter"/>
        <w:numPr>
          <w:ilvl w:val="3"/>
          <w:numId w:val="10"/>
        </w:numPr>
        <w:rPr>
          <w:b/>
          <w:noProof/>
        </w:rPr>
      </w:pPr>
      <w:r>
        <w:rPr>
          <w:b/>
          <w:noProof/>
        </w:rPr>
        <w:t>Stöd till strukturreformer på grundval av reformåtaganden som genomförs i enlighet med punkt 8 och artikel 23a.”</w:t>
      </w:r>
    </w:p>
    <w:p>
      <w:pPr>
        <w:tabs>
          <w:tab w:val="left" w:pos="851"/>
        </w:tabs>
        <w:spacing w:before="60" w:after="60"/>
        <w:rPr>
          <w:rFonts w:eastAsia="Calibri"/>
          <w:noProof/>
          <w:szCs w:val="24"/>
        </w:rPr>
      </w:pPr>
      <w:r>
        <w:rPr>
          <w:noProof/>
        </w:rPr>
        <w:tab/>
        <w:t>I artikel 22 ska följande punkt läggas till som punkt 8:</w:t>
      </w:r>
    </w:p>
    <w:p>
      <w:pPr>
        <w:tabs>
          <w:tab w:val="left" w:pos="851"/>
        </w:tabs>
        <w:spacing w:before="60" w:after="240"/>
        <w:ind w:left="851"/>
        <w:rPr>
          <w:rFonts w:eastAsia="Calibri"/>
          <w:b/>
          <w:noProof/>
          <w:szCs w:val="24"/>
        </w:rPr>
      </w:pPr>
      <w:r>
        <w:rPr>
          <w:b/>
          <w:noProof/>
        </w:rPr>
        <w:t>”8. Medlemsstaters beslut om att använda hela eller delar av resultatreserven för stöd till strukturreformer enligt punkt 1a ska åtföljas av ett förslag om att ingå reformåtaganden enligt artikel 23a och ett förslag om omfördelning av hela eller delar av resultatreserven genom en ändring i enlighet med artiklarna 16.4 och 30.3.”</w:t>
      </w:r>
    </w:p>
    <w:p>
      <w:pPr>
        <w:tabs>
          <w:tab w:val="left" w:pos="851"/>
        </w:tabs>
        <w:spacing w:before="60"/>
        <w:rPr>
          <w:noProof/>
        </w:rPr>
      </w:pPr>
      <w:r>
        <w:rPr>
          <w:noProof/>
          <w:color w:val="000000"/>
        </w:rPr>
        <w:t xml:space="preserve">7. </w:t>
      </w:r>
      <w:r>
        <w:rPr>
          <w:noProof/>
        </w:rPr>
        <w:tab/>
      </w:r>
      <w:r>
        <w:rPr>
          <w:noProof/>
          <w:color w:val="000000"/>
        </w:rPr>
        <w:t>En ny artikel 23a</w:t>
      </w:r>
      <w:r>
        <w:rPr>
          <w:noProof/>
        </w:rPr>
        <w:t xml:space="preserve"> ska läggas till:</w:t>
      </w:r>
    </w:p>
    <w:p>
      <w:pPr>
        <w:tabs>
          <w:tab w:val="left" w:pos="851"/>
        </w:tabs>
        <w:spacing w:before="60"/>
        <w:ind w:firstLine="851"/>
        <w:jc w:val="center"/>
        <w:rPr>
          <w:noProof/>
        </w:rPr>
      </w:pPr>
      <w:r>
        <w:rPr>
          <w:b/>
          <w:noProof/>
        </w:rPr>
        <w:t>”Stöd till strukturreformer på grundval av reformåtaganden inom ramen för den europeiska planeringsterminen”</w:t>
      </w:r>
    </w:p>
    <w:p>
      <w:pPr>
        <w:spacing w:before="60"/>
        <w:ind w:left="851"/>
        <w:rPr>
          <w:b/>
          <w:noProof/>
        </w:rPr>
      </w:pPr>
      <w:r>
        <w:rPr>
          <w:b/>
          <w:noProof/>
        </w:rPr>
        <w:t xml:space="preserve">1. Medlemsstater som väljer att helt eller delvis omfördela resultatreserven enligt artikel 22.1a b ska föreslå kommissionen en detaljerad uppsättning åtgärder som är lämpliga för genomförandet av strukturreformer enligt unionslagstiftningen. Detta förslag ska omfatta reformåtaganden som ska innehålla delmål och mål för genomförandet av reformåtgärderna, samt en tidtabell på högst tre år. </w:t>
      </w:r>
    </w:p>
    <w:p>
      <w:pPr>
        <w:spacing w:before="60"/>
        <w:ind w:left="851"/>
        <w:rPr>
          <w:b/>
          <w:noProof/>
        </w:rPr>
      </w:pPr>
      <w:r>
        <w:rPr>
          <w:b/>
          <w:noProof/>
        </w:rPr>
        <w:lastRenderedPageBreak/>
        <w:t xml:space="preserve">2. Kommissionen ska bedöma förslaget. Den kan komma med synpunkter eller begära ytterligare upplysningar. Den berörda medlemsstaten ska tillhandahålla den information som begärs och på begäran se över reformåtagandena. </w:t>
      </w:r>
    </w:p>
    <w:p>
      <w:pPr>
        <w:spacing w:before="60"/>
        <w:ind w:left="851"/>
        <w:rPr>
          <w:b/>
          <w:noProof/>
        </w:rPr>
      </w:pPr>
      <w:r>
        <w:rPr>
          <w:b/>
          <w:noProof/>
        </w:rPr>
        <w:t xml:space="preserve">3. Kommissionen ska anta ett beslut, i form av en genomförandeakt, i vilket de reformåtaganden som medlemsstaten ska genomföra och de belopp som avsätts till stöd för dessa från resultatreserven fastställs. Beloppet ska stå i proportion till reformens art och vikt och komplettera andra åtgärder eller insatser som finansieras med unionsmedel. </w:t>
      </w:r>
    </w:p>
    <w:p>
      <w:pPr>
        <w:spacing w:before="60"/>
        <w:ind w:left="851"/>
        <w:rPr>
          <w:b/>
          <w:noProof/>
        </w:rPr>
      </w:pPr>
      <w:r>
        <w:rPr>
          <w:b/>
          <w:noProof/>
        </w:rPr>
        <w:t>4. Medlemsstaternas stöd till strukturreformer enligt denna artikel ska ta sig formen av finansiering som inte är knuten till kostnader enligt artikel 121.1 e i budgetförordningen; det ska förvaltas i enlighet med reglerna för direkt förvaltning som anges i den förordningen och ska inte förutsätta nationell samfinansiering. Kapitel I i avdelning II och avdelningarna III–IX i del II i denna förordning ska inte gälla.</w:t>
      </w:r>
    </w:p>
    <w:p>
      <w:pPr>
        <w:spacing w:before="60"/>
        <w:ind w:left="851"/>
        <w:rPr>
          <w:b/>
          <w:noProof/>
        </w:rPr>
      </w:pPr>
      <w:r>
        <w:rPr>
          <w:b/>
          <w:noProof/>
        </w:rPr>
        <w:t xml:space="preserve">5. Det beslut som avses i punkt 3 ska fastställa att stödet betalas ut till fullo så snart medlemsstaten helt har fullgjort reformåtagandet. </w:t>
      </w:r>
    </w:p>
    <w:p>
      <w:pPr>
        <w:spacing w:before="60" w:after="240"/>
        <w:ind w:left="851"/>
        <w:rPr>
          <w:noProof/>
        </w:rPr>
      </w:pPr>
      <w:r>
        <w:rPr>
          <w:b/>
          <w:noProof/>
        </w:rPr>
        <w:t xml:space="preserve">6. Medlemsstaten ska regelbundet, inom ramen för den europeiska planeringsterminens rapporteringsmekanismer, rapportera om hur långt man kommit med fullgörandet av åtagandet. Hur rapporteringen ska gå till och tidtabellen för denna ska fastställas i det beslut som avses i punkt 4.” </w:t>
      </w:r>
    </w:p>
    <w:p>
      <w:pPr>
        <w:tabs>
          <w:tab w:val="left" w:pos="851"/>
        </w:tabs>
        <w:autoSpaceDE w:val="0"/>
        <w:autoSpaceDN w:val="0"/>
        <w:adjustRightInd w:val="0"/>
        <w:spacing w:before="60" w:after="60"/>
        <w:rPr>
          <w:noProof/>
          <w:color w:val="000000"/>
          <w:szCs w:val="24"/>
        </w:rPr>
      </w:pPr>
      <w:r>
        <w:rPr>
          <w:noProof/>
          <w:color w:val="000000"/>
        </w:rPr>
        <w:t>8.</w:t>
      </w:r>
      <w:r>
        <w:rPr>
          <w:noProof/>
        </w:rPr>
        <w:tab/>
      </w:r>
      <w:r>
        <w:rPr>
          <w:noProof/>
          <w:color w:val="000000"/>
        </w:rPr>
        <w:t>I artikel 91</w:t>
      </w:r>
      <w:r>
        <w:rPr>
          <w:noProof/>
        </w:rPr>
        <w:t xml:space="preserve"> ska följande punkt läggas till</w:t>
      </w:r>
      <w:r>
        <w:rPr>
          <w:noProof/>
          <w:color w:val="000000"/>
        </w:rPr>
        <w:t xml:space="preserve">: </w:t>
      </w:r>
    </w:p>
    <w:p>
      <w:pPr>
        <w:tabs>
          <w:tab w:val="left" w:pos="851"/>
        </w:tabs>
        <w:autoSpaceDE w:val="0"/>
        <w:autoSpaceDN w:val="0"/>
        <w:adjustRightInd w:val="0"/>
        <w:spacing w:before="60" w:after="60"/>
        <w:ind w:left="851"/>
        <w:rPr>
          <w:rFonts w:eastAsia="Calibri"/>
          <w:b/>
          <w:noProof/>
          <w:color w:val="000000"/>
          <w:szCs w:val="24"/>
        </w:rPr>
      </w:pPr>
      <w:r>
        <w:rPr>
          <w:b/>
          <w:noProof/>
          <w:color w:val="000000"/>
        </w:rPr>
        <w:t>”4. Hela eller delar av den resultatreserv som ingår i de belopp som fastställs i artiklarna 91 och 92 får på begäran av en medlemsstat enligt artikel 22.8 avsättas för stöd till strukturreformer enligt artikel 23a.</w:t>
      </w:r>
    </w:p>
    <w:p>
      <w:pPr>
        <w:framePr w:hSpace="180" w:wrap="around" w:vAnchor="text" w:hAnchor="page" w:x="960" w:y="195"/>
        <w:widowControl w:val="0"/>
        <w:tabs>
          <w:tab w:val="left" w:pos="0"/>
          <w:tab w:val="left" w:pos="436"/>
          <w:tab w:val="left" w:pos="1134"/>
          <w:tab w:val="left" w:pos="1418"/>
          <w:tab w:val="left" w:pos="1701"/>
        </w:tabs>
        <w:autoSpaceDE w:val="0"/>
        <w:autoSpaceDN w:val="0"/>
        <w:adjustRightInd w:val="0"/>
        <w:spacing w:before="40" w:after="40"/>
        <w:rPr>
          <w:rFonts w:eastAsia="Calibri"/>
          <w:i/>
          <w:noProof/>
          <w:szCs w:val="24"/>
        </w:rPr>
      </w:pPr>
    </w:p>
    <w:p>
      <w:pPr>
        <w:keepNext/>
        <w:spacing w:before="360"/>
        <w:rPr>
          <w:i/>
          <w:noProof/>
        </w:rPr>
      </w:pPr>
      <w:r>
        <w:rPr>
          <w:i/>
          <w:noProof/>
        </w:rPr>
        <w:t>Artikel 2</w:t>
      </w:r>
    </w:p>
    <w:p>
      <w:pPr>
        <w:rPr>
          <w:noProof/>
        </w:rPr>
      </w:pPr>
      <w:r>
        <w:rPr>
          <w:noProof/>
        </w:rPr>
        <w:t xml:space="preserve">Denna förordning träder i kraft dagen efter det att den har offentliggjorts i </w:t>
      </w:r>
      <w:r>
        <w:rPr>
          <w:i/>
          <w:noProof/>
        </w:rPr>
        <w:t>Europeiska unionens officiella tidning</w:t>
      </w:r>
      <w:r>
        <w:rPr>
          <w:noProof/>
        </w:rPr>
        <w:t>.</w:t>
      </w:r>
    </w:p>
    <w:p>
      <w:pPr>
        <w:spacing w:before="480"/>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jc w:val="both"/>
        <w:rPr>
          <w:b/>
          <w:noProof/>
          <w:u w:val="single"/>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FR"/>
        </w:rPr>
      </w:pPr>
      <w:r>
        <w:rPr>
          <w:rStyle w:val="FootnoteReference"/>
        </w:rPr>
        <w:footnoteRef/>
      </w:r>
      <w:r>
        <w:rPr>
          <w:lang w:val="fr-FR"/>
        </w:rPr>
        <w:tab/>
        <w:t>EUT C […], […], s. […].</w:t>
      </w:r>
    </w:p>
  </w:footnote>
  <w:footnote w:id="2">
    <w:p>
      <w:pPr>
        <w:pStyle w:val="FootnoteText"/>
        <w:rPr>
          <w:lang w:val="fr-FR"/>
        </w:rPr>
      </w:pPr>
      <w:r>
        <w:rPr>
          <w:rStyle w:val="FootnoteReference"/>
        </w:rPr>
        <w:footnoteRef/>
      </w:r>
      <w:r>
        <w:rPr>
          <w:lang w:val="fr-FR"/>
        </w:rPr>
        <w:tab/>
        <w:t>EUT C […], […], s. […].</w:t>
      </w:r>
    </w:p>
  </w:footnote>
  <w:footnote w:id="3">
    <w:p>
      <w:pPr>
        <w:pStyle w:val="FootnoteText"/>
        <w:rPr>
          <w:lang w:val="pl-PL"/>
        </w:rPr>
      </w:pPr>
      <w:r>
        <w:rPr>
          <w:rStyle w:val="FootnoteReference"/>
        </w:rPr>
        <w:footnoteRef/>
      </w:r>
      <w:r>
        <w:tab/>
        <w:t>EUT L 347, 20.12.2013, s.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56F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8A8C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E24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1637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FC8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143C4E"/>
    <w:lvl w:ilvl="0">
      <w:start w:val="1"/>
      <w:numFmt w:val="decimal"/>
      <w:pStyle w:val="ListNumber"/>
      <w:lvlText w:val="%1."/>
      <w:lvlJc w:val="left"/>
      <w:pPr>
        <w:tabs>
          <w:tab w:val="num" w:pos="360"/>
        </w:tabs>
        <w:ind w:left="360" w:hanging="360"/>
      </w:pPr>
    </w:lvl>
  </w:abstractNum>
  <w:abstractNum w:abstractNumId="7">
    <w:nsid w:val="FFFFFF89"/>
    <w:multiLevelType w:val="singleLevel"/>
    <w:tmpl w:val="41B8BE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7:02: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76697DC-2136-4F2D-A55F-1C0F424B2A97"/>
    <w:docVar w:name="LW_COVERPAGE_TYPE" w:val="1"/>
    <w:docVar w:name="LW_CROSSREFERENCE" w:val="&lt;UNUSED&gt;"/>
    <w:docVar w:name="LW_DocType" w:val="COM"/>
    <w:docVar w:name="LW_EMISSION" w:val="6.12.2017"/>
    <w:docVar w:name="LW_EMISSION_ISODATE" w:val="2017-12-06"/>
    <w:docVar w:name="LW_EMISSION_LOCATION" w:val="BRX"/>
    <w:docVar w:name="LW_EMISSION_PREFIX" w:val="Bry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336"/>
    <w:docVar w:name="LW_REF.II.NEW.CP_YEAR" w:val="2017"/>
    <w:docVar w:name="LW_REF.INST.NEW" w:val="COM"/>
    <w:docVar w:name="LW_REF.INST.NEW_ADOPTED" w:val="final"/>
    <w:docVar w:name="LW_REF.INST.NEW_TEXT" w:val="(2017) 8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vad gäller stöd till strukturreformer i medlemsstaterna"/>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168C-BF0C-4F3E-A828-E480A491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2601</Words>
  <Characters>16626</Characters>
  <Application>Microsoft Office Word</Application>
  <DocSecurity>0</DocSecurity>
  <Lines>313</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2017-12-04T12:44:00Z</cp:lastPrinted>
  <dcterms:created xsi:type="dcterms:W3CDTF">2017-12-06T12:59:00Z</dcterms:created>
  <dcterms:modified xsi:type="dcterms:W3CDTF">2017-12-06T16:02:00Z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