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CEC76D-7581-4458-9D83-0E8BACD187CB" style="width:450.8pt;height:433.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ind w:left="851"/>
        <w:rPr>
          <w:rFonts w:eastAsia="Arial Unicode MS"/>
          <w:noProof/>
        </w:rPr>
      </w:pPr>
      <w:r>
        <w:rPr>
          <w:noProof/>
        </w:rPr>
        <w:t>Jäsenvaltioiden asianmukaiset kansalliset toimintapolitiikat ovat olennaisen tärkeitä aiempaa tiiviimmin yhdentyneen talous- ja rahaliiton kitkattoman toiminnan kannalta. Koska monet ratkaisevassa asemassa olevat politiikanalat jäävät edelleen ensisijaisesti jäsenvaltioiden vastuulle, on välttämätöntä, että niitä koordinoidaan ja että uudistukset jaksotetaan, jotta näiden politiikkojen tulokset voidaan maksimoida sekä jäsenvaltioiden että EU:n tasolla.</w:t>
      </w:r>
    </w:p>
    <w:p>
      <w:pPr>
        <w:pBdr>
          <w:top w:val="nil"/>
          <w:left w:val="nil"/>
          <w:bottom w:val="nil"/>
          <w:right w:val="nil"/>
          <w:between w:val="nil"/>
          <w:bar w:val="nil"/>
        </w:pBdr>
        <w:spacing w:before="0" w:after="240"/>
        <w:ind w:left="851"/>
        <w:rPr>
          <w:noProof/>
        </w:rPr>
      </w:pPr>
      <w:r>
        <w:rPr>
          <w:noProof/>
        </w:rPr>
        <w:t xml:space="preserve">Vuoden 2020 jälkeistä monivuotista rahoituskehystä varten komissio aikoo ehdottaa uutta uudistusten toteuttamisen tukivälinettä niille jäsenvaltioille, jotka sitoutuvat EU:n tasolla neuvoteltuihin ja ns. uudistussitoumuksissa vahvistettuihin uudistuksiin. Tukivälinettä varten on tarkoitus varata omat määrärahat. Väline toteutetaan erillään Euroopan rakenne- ja investointirahastoista, joihin sovelletaan näin jatkossakin omaa erillistä sääntö- ja ehtokokonaisuutta.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Talouspolitiikan eurooppalaisen ohjausjakson pitäisi pysyä keskeisenä välineenä, jonka puitteissa toteutetaan lähentymistä vahvistavia ja tällaisten toimintapolitiikkojen koordinointia tehostavia lisätoimia. </w:t>
      </w:r>
      <w:r>
        <w:rPr>
          <w:noProof/>
          <w:color w:val="000000"/>
        </w:rPr>
        <w:t xml:space="preserve">Tämä uudistusten toteuttamisen uusi tukiväline olisi perustettava tukemaan jäsenvaltioita talouspolitiikan eurooppalaisen ohjausjakson aikana määritettyjen rakenneuudistusten toteuttamisessa ja varmistamaan jäsenvaltioiden osallisuus uudistuksissa. </w:t>
      </w:r>
    </w:p>
    <w:p>
      <w:pPr>
        <w:pBdr>
          <w:top w:val="nil"/>
          <w:left w:val="nil"/>
          <w:bottom w:val="nil"/>
          <w:right w:val="nil"/>
          <w:between w:val="nil"/>
          <w:bar w:val="nil"/>
        </w:pBdr>
        <w:spacing w:before="0" w:after="240"/>
        <w:ind w:left="851"/>
        <w:rPr>
          <w:noProof/>
        </w:rPr>
      </w:pPr>
      <w:r>
        <w:rPr>
          <w:noProof/>
        </w:rPr>
        <w:t xml:space="preserve">Uudistusten toteuttamisen tukivälineellä olisi tuettava uudistuksia laaja-alaisesti. Pääpaino olisi oltava sellaisissa uudistuksissa, joilla voidaan eniten lisätä jäsenvaltioiden talouksien sopeutumiskykyä ja joilla on muihin jäsenvaltioihin kohdistuvia myönteisiä heijastusvaikutuksia. Tällaisia ovat muun muassa hyödyke- ja työmarkkinauudistukset, verouudistukset, pääomamarkkinoiden kehittäminen, liiketoimintaympäristöä parantavat uudistukset sekä investoinnit inhimilliseen pääomaan ja julkishallinnon uudistukset. </w:t>
      </w:r>
    </w:p>
    <w:p>
      <w:pPr>
        <w:pBdr>
          <w:top w:val="nil"/>
          <w:left w:val="nil"/>
          <w:bottom w:val="nil"/>
          <w:right w:val="nil"/>
          <w:between w:val="nil"/>
          <w:bar w:val="nil"/>
        </w:pBdr>
        <w:spacing w:before="0" w:after="240"/>
        <w:ind w:left="851"/>
        <w:rPr>
          <w:noProof/>
        </w:rPr>
      </w:pPr>
      <w:r>
        <w:rPr>
          <w:noProof/>
        </w:rPr>
        <w:t>Komissio aikoo testata uudistusten toteuttamisen tukivälineen keskeisiä ominaisuuksia vuosina 2018–2020 pilottivaiheen järjestelyssä, jossa jäsenvaltioille tarjotaan mahdollisuus käyttää nykyisten Euroopan rakenne- ja investointirahastojen suoritusvarauksen määrärahat kokonaan tai osittain uudistusten tukemiseen yksittäisten hankkeiden sijaan. Tätä varten komissio ehdottaa vastaavia muutoksia asetukseen (EU) N:o 1303/2013 (yhteisiä säännöksiä koskeva asetus).</w:t>
      </w:r>
    </w:p>
    <w:p>
      <w:pPr>
        <w:pBdr>
          <w:top w:val="nil"/>
          <w:left w:val="nil"/>
          <w:bottom w:val="nil"/>
          <w:right w:val="nil"/>
          <w:between w:val="nil"/>
          <w:bar w:val="nil"/>
        </w:pBdr>
        <w:spacing w:before="0" w:after="240"/>
        <w:ind w:left="851"/>
        <w:rPr>
          <w:noProof/>
        </w:rPr>
      </w:pPr>
      <w:r>
        <w:rPr>
          <w:noProof/>
        </w:rPr>
        <w:t xml:space="preserve">Olisi muistettava, että unionin talousarvio on jo kytketty talouspolitiikan eurooppalaisen ohjausjakson prioriteetteihin ohjelmakaudella 2014–2020 erityisesti ottamalla käyttöön Euroopan rakenne- ja investointirahastoja koskevia ennakkoehtoja ja makrotaloudellisia ehtoja. </w:t>
      </w:r>
    </w:p>
    <w:p>
      <w:pPr>
        <w:pBdr>
          <w:top w:val="nil"/>
          <w:left w:val="nil"/>
          <w:bottom w:val="nil"/>
          <w:right w:val="nil"/>
          <w:between w:val="nil"/>
          <w:bar w:val="nil"/>
        </w:pBdr>
        <w:spacing w:before="0" w:after="240"/>
        <w:ind w:left="851"/>
        <w:rPr>
          <w:noProof/>
        </w:rPr>
      </w:pPr>
      <w:r>
        <w:rPr>
          <w:noProof/>
        </w:rPr>
        <w:t xml:space="preserve">Tänään annetussa ehdotuksessa tätä kytköstä vahvistetaan entisestään antamalla jäsenvaltioille mahdollisuus käyttää yhteisiä säännöksiä koskevan asetuksen 20–22 artiklassa koheesiopolitiikkaa varten perustettu suoritusvaraus kokonaan tai osittain rakenneuudistusten tukemiseen. </w:t>
      </w:r>
    </w:p>
    <w:p>
      <w:pPr>
        <w:pBdr>
          <w:top w:val="nil"/>
          <w:left w:val="nil"/>
          <w:bottom w:val="nil"/>
          <w:right w:val="nil"/>
          <w:between w:val="nil"/>
          <w:bar w:val="nil"/>
        </w:pBdr>
        <w:spacing w:before="0" w:after="240"/>
        <w:ind w:left="851"/>
        <w:rPr>
          <w:noProof/>
        </w:rPr>
      </w:pPr>
      <w:r>
        <w:rPr>
          <w:noProof/>
        </w:rPr>
        <w:lastRenderedPageBreak/>
        <w:t xml:space="preserve">Tuettavat uudistukset on tarkoitus määritellä monivuotisissa uudistussitoumuspaketeissa, jotka esitetään ja joita seurataan kansallisten uudistusohjelmien kautta. Jäsenvaltiot ehdottaisivat uudistussitoumuksia itse, ja sitoumukset sisältäisivät useita uudistustoimenpiteitä ja niihin liitetyt selkeät väli- ja kokonaistavoitteet. </w:t>
      </w:r>
    </w:p>
    <w:p>
      <w:pPr>
        <w:spacing w:before="60"/>
        <w:ind w:left="851"/>
        <w:rPr>
          <w:noProof/>
        </w:rPr>
      </w:pPr>
      <w:r>
        <w:rPr>
          <w:noProof/>
        </w:rPr>
        <w:t xml:space="preserve">Tämän jälkeen komissio hyväksyisi päätöksen täytäntöönpanosäädöksellä, jossa vahvistetaan nämä uudistussitoumukset ja niiden tukemiseen suoritusvarauksesta osoitettava määrä. Tämä määrä olisi oikeassa suhteessa uudistuksen luonteeseen ja merkitykseen. Uudistuksen toteuttamisen seuranta ja raportointi eri välitavoitteiden saavuttamisesta olisi osa talouspolitiikan eurooppalaista ohjausjaksoa. Edistymistä seurattaisiin kansallisten uudistusohjelmien avulla, joissa olisi annettava tietoja siitä, miten uudistusten toteuttamisessa on edistytty. </w:t>
      </w:r>
    </w:p>
    <w:p>
      <w:pPr>
        <w:pBdr>
          <w:top w:val="nil"/>
          <w:left w:val="nil"/>
          <w:bottom w:val="nil"/>
          <w:right w:val="nil"/>
          <w:between w:val="nil"/>
          <w:bar w:val="nil"/>
        </w:pBdr>
        <w:spacing w:before="0" w:after="240"/>
        <w:ind w:left="851"/>
        <w:rPr>
          <w:noProof/>
        </w:rPr>
      </w:pPr>
      <w:r>
        <w:rPr>
          <w:noProof/>
        </w:rPr>
        <w:t xml:space="preserve">Komission yksiköiden osana talouspolitiikan eurooppalaista ohjausjaksoa laatimissa vuotuisissa maaraporteissa esitettäisiin päivitetty arvio uudistusten toteutuksen etenemisestä. Komissio tekee kyseisen arvion perusteella päätöksen tämän välineen puitteissa myönnettävästä tuesta. Tuki maksettaisiin täysimääräisesti sitten kun jäsenvaltio on pannut uudistussitoumuksen kokonaisuudessaan täytäntöön. </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ind w:left="851"/>
        <w:rPr>
          <w:noProof/>
        </w:rPr>
      </w:pPr>
      <w:r>
        <w:rPr>
          <w:noProof/>
        </w:rPr>
        <w:t xml:space="preserve">Ehdotus on yhdenmukainen Euroopan rakenne- ja investointirahastojen yleisen oikeudellisen kehyksen kanssa ja rajoittuu yhteisiä säännöksiä koskevan asetuksen kohdennettuun muuttamiseen. </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ind w:left="851"/>
        <w:rPr>
          <w:noProof/>
        </w:rPr>
      </w:pPr>
      <w:r>
        <w:rPr>
          <w:noProof/>
        </w:rPr>
        <w:t>Ehdotus rajoittuu yhteisiä säännöksiä koskevan asetuksen kohdennettuun muuttamiseen ja on yhdenmukainen unionin muiden politiikkojen kanssa. Uudella rakennetukivälineellä on tarkoitus täydentää rakenneuudistusten tukiohjelman puitteissa myönnettävää vapaaehtoista teknistä tukea. Uudistussitoumuksiin voisi sisältyä myös aloja, joille pyydettäisiin komissiolta teknistä tukea rakenneuudistusten tukiohjelmasta. Tällaisen teknisen tuen pyytäminen olisi edelleen vapaaehtoista.</w:t>
      </w:r>
    </w:p>
    <w:p>
      <w:pPr>
        <w:keepNext/>
        <w:tabs>
          <w:tab w:val="left" w:pos="850"/>
        </w:tabs>
        <w:spacing w:before="360"/>
        <w:ind w:left="850" w:hanging="850"/>
        <w:outlineLvl w:val="0"/>
        <w:rPr>
          <w:b/>
          <w:smallCaps/>
          <w:noProof/>
        </w:rPr>
      </w:pPr>
      <w:r>
        <w:rPr>
          <w:b/>
          <w:smallCaps/>
          <w:noProof/>
        </w:rPr>
        <w:t>2.</w:t>
      </w:r>
      <w:r>
        <w:rPr>
          <w:noProof/>
        </w:rPr>
        <w:tab/>
      </w:r>
      <w:r>
        <w:rPr>
          <w:b/>
          <w:smallCaps/>
          <w:noProof/>
        </w:rPr>
        <w:t>OIKEUSPERUSTA, TOISSIJAISUUSPERIAATE JA SUHTEELLISUUSPERIAATE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Oikeusperusta</w:t>
      </w:r>
    </w:p>
    <w:p>
      <w:pPr>
        <w:ind w:left="851"/>
        <w:rPr>
          <w:noProof/>
        </w:rPr>
      </w:pPr>
      <w:r>
        <w:rPr>
          <w:noProof/>
        </w:rPr>
        <w:t>Yhteisiä säännöksiä koskevassa asetuksessa vahvistetaan yhteiset säännöt, joita sovelletaan Euroopan rakenne- ja investointirahastoihin. Asetuksen kantavana periaatteena on Euroopan komission ja jäsenvaltioiden yhteistyössä toteuttama hallinnointi, ja siinä esitetään ohjelmatyöprosessiin sovellettavat säännökset sekä hankkeiden hallintoa (myös varainhoitoa), seurantaa, rahoitusvalvontaa ja arviointia koskevat järjestelyt.</w:t>
      </w:r>
    </w:p>
    <w:p>
      <w:pPr>
        <w:ind w:left="851"/>
        <w:rPr>
          <w:noProof/>
        </w:rPr>
      </w:pPr>
      <w:r>
        <w:rPr>
          <w:noProof/>
        </w:rPr>
        <w:t xml:space="preserve">Ehdotuksessa annetaan jäsenvaltioille mahdollisuus kohdistaa 20–22 artiklassa mainitun suoritusvarauksen varat rakenneuudistusten tukemiseen uudistussitoumusten perusteella ja määritellään mekanismit uudistussitoumusten toteuttamiselle. </w:t>
      </w:r>
    </w:p>
    <w:p>
      <w:pPr>
        <w:keepNext/>
        <w:tabs>
          <w:tab w:val="left" w:pos="850"/>
        </w:tabs>
        <w:ind w:left="850" w:hanging="850"/>
        <w:outlineLvl w:val="1"/>
        <w:rPr>
          <w:rFonts w:eastAsia="Arial Unicode MS"/>
          <w:b/>
          <w:noProof/>
          <w:u w:color="000000"/>
          <w:bdr w:val="nil"/>
        </w:rPr>
      </w:pPr>
      <w:r>
        <w:rPr>
          <w:noProof/>
        </w:rPr>
        <w:lastRenderedPageBreak/>
        <w:tab/>
      </w:r>
      <w:r>
        <w:rPr>
          <w:b/>
          <w:noProof/>
          <w:u w:color="000000"/>
          <w:bdr w:val="nil"/>
        </w:rPr>
        <w:t xml:space="preserve">Toissijaisuusperiaate (jaetun toimivallan osalta) </w:t>
      </w:r>
    </w:p>
    <w:p>
      <w:pPr>
        <w:ind w:left="850"/>
        <w:rPr>
          <w:noProof/>
        </w:rPr>
      </w:pPr>
      <w:r>
        <w:rPr>
          <w:noProof/>
        </w:rPr>
        <w:t xml:space="preserve">Ehdotus on toissijaisuusperiaatteen mukainen siltä osin kuin siinä säädetään niille jäsenvaltioille, jotka päättävät käyttää suoritusvarausta rakenneuudistusten tukemiseen, myönnettävän korotetun tuen jatkumisesta koheesiopolitiikan kautta. Tämä mekanismi on perustettava EU:n tasolla.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Oikeasuhteisuus</w:t>
      </w:r>
    </w:p>
    <w:p>
      <w:pPr>
        <w:ind w:left="850"/>
        <w:rPr>
          <w:noProof/>
        </w:rPr>
      </w:pPr>
      <w:r>
        <w:rPr>
          <w:noProof/>
        </w:rPr>
        <w:t>Ehdotus koskee rajoitettua ja kohdennettua muutosta, jossa ei ylitetä sitä, mikä on tarpeen tavoitteen eli jäsenvaltioissa toteutettavien uudistusten tukemisen saavuttamiseksi.</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Toimintatavan valinta</w:t>
      </w:r>
    </w:p>
    <w:p>
      <w:pPr>
        <w:ind w:left="850"/>
        <w:rPr>
          <w:noProof/>
        </w:rPr>
      </w:pPr>
      <w:r>
        <w:rPr>
          <w:noProof/>
        </w:rPr>
        <w:t>Ehdotettu sääntelytapa: voimassa olevan asetuksen muuttaminen.</w:t>
      </w:r>
    </w:p>
    <w:p>
      <w:pPr>
        <w:ind w:left="850"/>
        <w:rPr>
          <w:noProof/>
        </w:rPr>
      </w:pPr>
      <w:r>
        <w:rPr>
          <w:noProof/>
        </w:rPr>
        <w:t>Komissio on tarkastellut lainsäädäntöpuitteiden tarjoamaa liikkumavaraa ja pitää tähän mennessä saadun kokemuksen perusteella tarpeellisena ehdottaa muutoksia asetukseen (EU) N:o 1303/2013.</w:t>
      </w:r>
    </w:p>
    <w:p>
      <w:pPr>
        <w:keepNext/>
        <w:tabs>
          <w:tab w:val="left" w:pos="850"/>
        </w:tabs>
        <w:spacing w:before="360"/>
        <w:ind w:left="850" w:hanging="850"/>
        <w:outlineLvl w:val="0"/>
        <w:rPr>
          <w:b/>
          <w:smallCaps/>
          <w:noProof/>
        </w:rPr>
      </w:pPr>
      <w:r>
        <w:rPr>
          <w:b/>
          <w:smallCaps/>
          <w:noProof/>
        </w:rPr>
        <w:t>3.</w:t>
      </w:r>
      <w:r>
        <w:rPr>
          <w:noProof/>
        </w:rPr>
        <w:tab/>
      </w:r>
      <w:r>
        <w:rPr>
          <w:b/>
          <w:smallCaps/>
          <w:noProof/>
        </w:rPr>
        <w:t>JÄLKIARVIOINTIEN, SIDOSRYHMIEN KUULEMISTEN JA VAIKUTUSTENARVIOINTIEN TULOKSET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Jälkiarvioinnit/toimivuustarkastukset</w:t>
      </w:r>
    </w:p>
    <w:p>
      <w:pPr>
        <w:ind w:left="850"/>
        <w:rPr>
          <w:noProof/>
        </w:rPr>
      </w:pPr>
      <w:r>
        <w:rPr>
          <w:noProof/>
        </w:rPr>
        <w:t>Voimassa olevan lainsäädännön jälkiarviointia/toimivuustarkastuksia ei tehty.</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Sidosryhmien kuuleminen</w:t>
      </w:r>
    </w:p>
    <w:p>
      <w:pPr>
        <w:ind w:left="850"/>
        <w:rPr>
          <w:noProof/>
        </w:rPr>
      </w:pPr>
      <w:r>
        <w:rPr>
          <w:noProof/>
        </w:rPr>
        <w:t>Ulkoisia sidosryhmiä ei kuultu.</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Asiantuntijatiedon käyttö</w:t>
      </w:r>
    </w:p>
    <w:p>
      <w:pPr>
        <w:ind w:left="850"/>
        <w:rPr>
          <w:noProof/>
        </w:rPr>
      </w:pPr>
      <w:r>
        <w:rPr>
          <w:noProof/>
        </w:rPr>
        <w:t>Ulkopuolisten asiantuntijoiden käyttö ei ollut tarpeen.</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Vaikutusten arviointi</w:t>
      </w:r>
    </w:p>
    <w:p>
      <w:pPr>
        <w:keepNext/>
        <w:tabs>
          <w:tab w:val="left" w:pos="850"/>
        </w:tabs>
        <w:ind w:left="850" w:hanging="850"/>
        <w:outlineLvl w:val="1"/>
        <w:rPr>
          <w:rFonts w:eastAsia="Arial Unicode MS"/>
          <w:noProof/>
          <w:u w:color="000000"/>
          <w:bdr w:val="nil"/>
        </w:rPr>
      </w:pPr>
      <w:r>
        <w:rPr>
          <w:noProof/>
        </w:rPr>
        <w:tab/>
        <w: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Sääntelyn toimivuus ja yksinkertaistaminen</w:t>
      </w:r>
    </w:p>
    <w:p>
      <w:pPr>
        <w:ind w:left="850"/>
        <w:rPr>
          <w:noProof/>
        </w:rPr>
      </w:pPr>
      <w:r>
        <w:rPr>
          <w:noProof/>
        </w:rPr>
        <w:t>Tämä aloite ei kuulu sääntelyn toimivuutta ja tuloksellisuutta koskevan ohjelman (REFIT).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Perusoikeudet</w:t>
      </w:r>
    </w:p>
    <w:p>
      <w:pPr>
        <w:ind w:left="850"/>
        <w:rPr>
          <w:noProof/>
        </w:rPr>
      </w:pPr>
      <w:r>
        <w:rPr>
          <w:noProof/>
        </w:rPr>
        <w:t>Ehdotuksella ei ole seurauksia perusoikeuksien suojeluun.</w:t>
      </w:r>
    </w:p>
    <w:p>
      <w:pPr>
        <w:keepNext/>
        <w:tabs>
          <w:tab w:val="left" w:pos="850"/>
        </w:tabs>
        <w:spacing w:before="360"/>
        <w:ind w:left="850" w:hanging="850"/>
        <w:outlineLvl w:val="0"/>
        <w:rPr>
          <w:b/>
          <w:smallCaps/>
          <w:noProof/>
        </w:rPr>
      </w:pPr>
      <w:r>
        <w:rPr>
          <w:b/>
          <w:smallCaps/>
          <w:noProof/>
        </w:rPr>
        <w:t>4.</w:t>
      </w:r>
      <w:r>
        <w:rPr>
          <w:noProof/>
        </w:rPr>
        <w:tab/>
      </w:r>
      <w:r>
        <w:rPr>
          <w:b/>
          <w:smallCaps/>
          <w:noProof/>
        </w:rPr>
        <w:t>TALOUSARVIOVAIKUTUKSET</w:t>
      </w:r>
    </w:p>
    <w:p>
      <w:pPr>
        <w:ind w:left="850"/>
        <w:rPr>
          <w:noProof/>
        </w:rPr>
      </w:pPr>
      <w:r>
        <w:rPr>
          <w:noProof/>
        </w:rPr>
        <w:t>Ehdotuksella ei ole vaikutuksia maksusitoumusmäärärahoihin, koska Euroopan rakenne- ja investointirahastoista toimenpideohjelmille ohjelmakaudeksi 2014–2020 myönnettävän rahoituksen enimmäismääriin ei ehdoteta muutoksia. Olisi huomattava, että ehdotettu muutos ei edellytä muutoksia monivuotisen rahoituskehyksen maksusitoumusmäärärahojen ja maksumäärärahojen vuotuisiin enimmäismääriin, jotka on vahvistettu asetuksen (EU) N:o 1311/2013 liitteessä I.</w:t>
      </w:r>
    </w:p>
    <w:p>
      <w:pPr>
        <w:keepNext/>
        <w:tabs>
          <w:tab w:val="left" w:pos="850"/>
        </w:tabs>
        <w:spacing w:before="360"/>
        <w:ind w:left="850" w:hanging="850"/>
        <w:outlineLvl w:val="0"/>
        <w:rPr>
          <w:b/>
          <w:smallCaps/>
          <w:noProof/>
        </w:rPr>
      </w:pPr>
      <w:r>
        <w:rPr>
          <w:b/>
          <w:smallCaps/>
          <w:noProof/>
        </w:rPr>
        <w:lastRenderedPageBreak/>
        <w:t>5.</w:t>
      </w:r>
      <w:r>
        <w:rPr>
          <w:noProof/>
        </w:rPr>
        <w:tab/>
      </w:r>
      <w:r>
        <w:rPr>
          <w:b/>
          <w:smallCaps/>
          <w:noProof/>
        </w:rPr>
        <w:t>LISÄTIEDOT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Toteuttamissuunnitelmat, seuranta, arviointi ja raportointijärjestelyt</w:t>
      </w:r>
    </w:p>
    <w:p>
      <w:pPr>
        <w:ind w:left="850"/>
        <w:rPr>
          <w:noProof/>
        </w:rPr>
      </w:pPr>
      <w:r>
        <w:rPr>
          <w:noProof/>
        </w:rPr>
        <w:t>Ei koske tätä ehdotusta. Euroopan rakenne- ja investointirahastojen suoran hallinnoinnin nykyisiä täytäntöönpanojärjestelmiä voidaan käyttää tämän ehdotuksen toteuttamisen seurannassa.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Selittävät asiakirjat (direktiivien osalta)</w:t>
      </w:r>
    </w:p>
    <w:p>
      <w:pPr>
        <w:ind w:left="850"/>
        <w:rPr>
          <w:noProof/>
        </w:rPr>
      </w:pPr>
      <w:r>
        <w:rPr>
          <w:noProof/>
        </w:rPr>
        <w:t>Ei koske tätä ehdotusta.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Ehdotukseen sisältyvien säännösten yksityiskohtaiset selitykset</w:t>
      </w:r>
    </w:p>
    <w:p>
      <w:pPr>
        <w:ind w:left="850"/>
        <w:rPr>
          <w:noProof/>
        </w:rPr>
      </w:pPr>
      <w:r>
        <w:rPr>
          <w:noProof/>
        </w:rPr>
        <w:t xml:space="preserve">Yhteisiä säännöksiä koskevan asetuksen 1 artiklaa muutetaan tarkentamalla, että asetus kattaa myös talouspolitiikan eurooppalaisen ohjausjakson aikana yksilöidyille rakenneuudistuksille myönnettävän tuen. Käsitettä ’rakenneuudistus’ selkiytetään 2 artiklaan sisällytettävällä erillisellä määritelmällä. </w:t>
      </w:r>
    </w:p>
    <w:p>
      <w:pPr>
        <w:ind w:left="850"/>
        <w:rPr>
          <w:noProof/>
        </w:rPr>
      </w:pPr>
      <w:r>
        <w:rPr>
          <w:noProof/>
        </w:rPr>
        <w:t xml:space="preserve">Asetuksen 4 artiklan 7 kohtaa muutetaan sen selkiyttämiseksi, että rakenneuudistuksille myönnettävä tuki ei kuulu jaetun hallinnoinnin piiriin vaan sitä hallinnoidaan suoraan (rahoitus, joka ei perustu toimien kustannuksiin, kuten tarkistetun varainhoitoasetuksen 121 artiklan 1 kohdan e alakohdassa säädetään), eikä kansallista osarahoitusta tarvita. </w:t>
      </w:r>
    </w:p>
    <w:p>
      <w:pPr>
        <w:ind w:left="850"/>
        <w:rPr>
          <w:noProof/>
        </w:rPr>
      </w:pPr>
      <w:r>
        <w:rPr>
          <w:noProof/>
        </w:rPr>
        <w:t xml:space="preserve">Asetuksen 15 artiklaan lisätään uusi kohta, jossa todetaan, että kumppanuussopimusten on myös sisällettävä tiedot suoritusvarauksen varojen uudelleen kohdentamisesta rakenneuudistusten tukemiseen. </w:t>
      </w:r>
    </w:p>
    <w:p>
      <w:pPr>
        <w:ind w:left="850"/>
        <w:rPr>
          <w:noProof/>
        </w:rPr>
      </w:pPr>
      <w:r>
        <w:rPr>
          <w:noProof/>
        </w:rPr>
        <w:t xml:space="preserve">Asetuksen (EU) No 1303/2013 22 artiklaa ehdotetaan muutettavaksi, jotta jäsenvaltiot voivat kohdentaa suoritusvarauksen kokonaan tai osittain seuraaviin: </w:t>
      </w:r>
    </w:p>
    <w:p>
      <w:pPr>
        <w:ind w:left="1418" w:hanging="568"/>
        <w:rPr>
          <w:noProof/>
        </w:rPr>
      </w:pPr>
      <w:r>
        <w:rPr>
          <w:noProof/>
        </w:rPr>
        <w:t>a.</w:t>
      </w:r>
      <w:r>
        <w:rPr>
          <w:noProof/>
        </w:rPr>
        <w:tab/>
        <w:t>ohjelmat ja prioriteetit, joiden välitavoitteet on saavutettu voimassa olevan tuloskehyksen 2–7 kohdan mukaisesti,</w:t>
      </w:r>
    </w:p>
    <w:p>
      <w:pPr>
        <w:ind w:left="850"/>
        <w:rPr>
          <w:noProof/>
        </w:rPr>
      </w:pPr>
      <w:r>
        <w:rPr>
          <w:noProof/>
        </w:rPr>
        <w:t>b.</w:t>
      </w:r>
      <w:r>
        <w:rPr>
          <w:noProof/>
        </w:rPr>
        <w:tab/>
        <w:t xml:space="preserve">tuki rakenneuudistuksille. </w:t>
      </w:r>
    </w:p>
    <w:p>
      <w:pPr>
        <w:ind w:left="850"/>
        <w:rPr>
          <w:noProof/>
        </w:rPr>
      </w:pPr>
      <w:r>
        <w:rPr>
          <w:noProof/>
        </w:rPr>
        <w:t xml:space="preserve">Rakenneuudistustuen hakemista koskevat yksityiskohtaiset säännöt on sisällytetty 22 artiklaan uuteen 8 kohtaan. </w:t>
      </w:r>
    </w:p>
    <w:p>
      <w:pPr>
        <w:ind w:left="850"/>
        <w:rPr>
          <w:noProof/>
        </w:rPr>
      </w:pPr>
      <w:r>
        <w:rPr>
          <w:noProof/>
        </w:rPr>
        <w:t xml:space="preserve">Tämän asetuksen 23 a artiklassa ehdotetaan rakenneuudistusten tuelle uutta rahoitusmekanismia, jossa rahoitus ei perustu toimien kustannuksiin. Se sisältää säännöt uudistussitoumusten tekemiselle ja edellytykset, jotka koskevat tuen maksamista jäsenvaltioille, kun sovitut uudistussitoumukset täyttyvät. </w:t>
      </w:r>
    </w:p>
    <w:p>
      <w:pPr>
        <w:ind w:left="850"/>
        <w:rPr>
          <w:rFonts w:eastAsia="Arial Unicode MS"/>
          <w:noProof/>
        </w:rPr>
      </w:pPr>
      <w:r>
        <w:rPr>
          <w:noProof/>
        </w:rPr>
        <w:t>Asetuksen 91 artiklan muuttamisella selvitetään, että Euroopan aluekehitysrahaston (EAKR), Euroopan sosiaalirahaston (ESR) ja koheesiorahaston varojen kokonaismääriin sisältyvä suoritusvaraus voidaan kohdentaa kokonaan tai osittain tukemaan 23 a artiklassa tarkoitettuja rakenneuudistuksia.</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2017/0336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17 päivänä joulukuuta 2013 annetun Euroopan parlamentin ja neuvoston asetuksen (EU) N:o 1303/2013 muuttamisesta jäsenvaltioissa toteutettaville rakenneuudistuksille myönnettävän tuen osalta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175 artiklan kolmannen kohdan ja 177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ovat kuulleet Euroopan talous- ja sosiaalikomiteaa</w:t>
      </w:r>
      <w:r>
        <w:rPr>
          <w:rStyle w:val="FootnoteReference"/>
          <w:noProof/>
        </w:rPr>
        <w:footnoteReference w:id="1"/>
      </w:r>
      <w:r>
        <w:rPr>
          <w:noProof/>
        </w:rPr>
        <w:t xml:space="preserve">, </w:t>
      </w:r>
    </w:p>
    <w:p>
      <w:pPr>
        <w:rPr>
          <w:noProof/>
        </w:rPr>
      </w:pPr>
      <w:r>
        <w:rPr>
          <w:noProof/>
        </w:rPr>
        <w:t>ovat kuulleet alueiden komiteaa</w:t>
      </w:r>
      <w:r>
        <w:rPr>
          <w:rStyle w:val="FootnoteReference"/>
          <w:noProof/>
        </w:rPr>
        <w:footnoteReference w:id="2"/>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color w:val="000000"/>
        </w:rPr>
      </w:pPr>
      <w:r>
        <w:rPr>
          <w:noProof/>
        </w:rPr>
        <w:t>1)</w:t>
      </w:r>
      <w:r>
        <w:rPr>
          <w:noProof/>
        </w:rPr>
        <w:tab/>
        <w:t>Koska unionin talouden ohjausjärjestelmä edistää taloudellista, sosiaalista ja alueellista yhteenkuuluvuutta, pitäisi olla mahdollista tukea jäsenvaltioiden tekemiä uudistussitoumuksia, joilla ne pyrkivät panemaan täytäntöön asiaankuuluvia neuvoston suosituksia tai maksimoimaan koheesiopolitiikan varojen vaikutukset kasvuun ja kilpailukykyyn suoran hallinnoinnin puitteissa toteutettuna erityisenä tukimuotona.</w:t>
      </w:r>
      <w:r>
        <w:rPr>
          <w:noProof/>
          <w:color w:val="000000"/>
        </w:rPr>
        <w:t xml:space="preserve"> </w:t>
      </w:r>
    </w:p>
    <w:p>
      <w:pPr>
        <w:pStyle w:val="ManualConsidrant"/>
        <w:rPr>
          <w:noProof/>
        </w:rPr>
      </w:pPr>
      <w:r>
        <w:rPr>
          <w:noProof/>
          <w:color w:val="000000"/>
        </w:rPr>
        <w:t>2)</w:t>
      </w:r>
      <w:r>
        <w:rPr>
          <w:noProof/>
        </w:rPr>
        <w:tab/>
        <w:t>Jotta voidaan edistää jäsenvaltioiden talouden ohjausprosessin yhteydessä toteuttamia uudistuksia, on tarpeen antaa mahdollisuus kohdentaa asetuksen (EU) 1303/2013</w:t>
      </w:r>
      <w:r>
        <w:rPr>
          <w:rStyle w:val="FootnoteReference"/>
          <w:noProof/>
        </w:rPr>
        <w:footnoteReference w:id="3"/>
      </w:r>
      <w:r>
        <w:rPr>
          <w:noProof/>
        </w:rPr>
        <w:t xml:space="preserve"> 20 artiklan mukaisesti muodostetun suoritusvarauksen varat kokonaan tai osittain jäsenvaltioiden tekemien uudistussitoumusten tukemiseen.</w:t>
      </w:r>
    </w:p>
    <w:p>
      <w:pPr>
        <w:spacing w:after="240"/>
        <w:ind w:left="709" w:hanging="709"/>
        <w:rPr>
          <w:rFonts w:eastAsia="Calibri"/>
          <w:b/>
          <w:noProof/>
          <w:sz w:val="22"/>
        </w:rPr>
      </w:pPr>
      <w:r>
        <w:rPr>
          <w:noProof/>
        </w:rPr>
        <w:t>3)</w:t>
      </w:r>
      <w:r>
        <w:rPr>
          <w:noProof/>
        </w:rPr>
        <w:tab/>
        <w:t xml:space="preserve">Varojen uudelleen kohdentaminen suoritusvarauksesta edellyttää, että talouspolitiikan eurooppalaisen ohjausjakson yhteydessä yksilöityjen uudistusten toteuttamiseen liittyvät sitoumukset on täytetty. Etusijalle olisi asetettava sellaisten rakenneuudistusten toteuttaminen, joiden odotetaan eniten lisäävän jäsenvaltioiden talouksien sopeutumiskykyä ja tuottavan muihin jäsenvaltioihin kohdistuvia myönteisiä heijastusvaikutuksia. Tällaisia ovat muun muassa hyödyke- ja </w:t>
      </w:r>
      <w:r>
        <w:rPr>
          <w:noProof/>
        </w:rPr>
        <w:lastRenderedPageBreak/>
        <w:t>työmarkkinauudistukset, verouudistukset, pääomamarkkinoiden kehittäminen, liiketoimintaympäristöä parantavat uudistukset sekä investoinnit inhimilliseen pääomaan ja julkishallinnon uudistukset.</w:t>
      </w:r>
      <w:r>
        <w:rPr>
          <w:noProof/>
          <w:sz w:val="22"/>
        </w:rPr>
        <w:t xml:space="preserve"> </w:t>
      </w:r>
    </w:p>
    <w:p>
      <w:pPr>
        <w:pStyle w:val="ManualConsidrant"/>
        <w:rPr>
          <w:noProof/>
        </w:rPr>
      </w:pPr>
      <w:r>
        <w:rPr>
          <w:noProof/>
        </w:rPr>
        <w:t>4)</w:t>
      </w:r>
      <w:r>
        <w:rPr>
          <w:noProof/>
        </w:rPr>
        <w:tab/>
        <w:t xml:space="preserve">Jäsenvaltioiden on aiheellista ehdottaa yksityiskohtaisia toimenpiteitä sellaisten rakenneuudistusten tekemiseksi, joihin pitäisi sisältyä väli- ja kokonaistavoitteita sekä enintään kolmen vuoden pituinen aikataulu. </w:t>
      </w:r>
    </w:p>
    <w:p>
      <w:pPr>
        <w:pStyle w:val="ManualConsidrant"/>
        <w:rPr>
          <w:noProof/>
        </w:rPr>
      </w:pPr>
      <w:r>
        <w:rPr>
          <w:noProof/>
        </w:rPr>
        <w:t>5)</w:t>
      </w:r>
      <w:r>
        <w:rPr>
          <w:noProof/>
        </w:rPr>
        <w:tab/>
        <w:t xml:space="preserve">Tuki uudistussitoumuksille olisi myönnettävä suoran hallinnoinnin puitteissa [tarkistetun varainhoitoasetuksen] 121 artiklan 1 kohdan e alakohdan mukaisena rahoituksena, joka ei perustu toimien kustannuksiin. Rakenneuudistusten toteuttamiselle kohdennetun määrän olisi oltava oikeassa suhteessa uudistuksen luonteeseen ja merkitykseen ja täydennettävä jo olemassa olevaa unionin tukea kansallisille uudistuksille. </w:t>
      </w:r>
    </w:p>
    <w:p>
      <w:pPr>
        <w:pStyle w:val="ManualConsidrant"/>
        <w:rPr>
          <w:noProof/>
        </w:rPr>
      </w:pPr>
      <w:r>
        <w:rPr>
          <w:noProof/>
        </w:rPr>
        <w:t>6)</w:t>
      </w:r>
      <w:r>
        <w:rPr>
          <w:noProof/>
        </w:rPr>
        <w:tab/>
        <w:t xml:space="preserve">Olisi määritettävä menettely tällaisten sitoumusten vahvistamiselle, sitoumusten sisältö ja tällaiseen tuen erityismuotoon sovellettavat säännökset. </w:t>
      </w:r>
    </w:p>
    <w:p>
      <w:pPr>
        <w:pStyle w:val="ManualConsidrant"/>
        <w:rPr>
          <w:noProof/>
        </w:rPr>
      </w:pPr>
      <w:r>
        <w:rPr>
          <w:noProof/>
        </w:rPr>
        <w:t>7)</w:t>
      </w:r>
      <w:r>
        <w:rPr>
          <w:noProof/>
        </w:rPr>
        <w:tab/>
        <w:t xml:space="preserve">Tässä asetuksessa säädettyjen toimenpiteiden ripeän soveltamisen varmistamiseksi tämän asetuksen olisi tultava voimaan sitä päivää seuraavana päivänä, jona se julkaistaan </w:t>
      </w:r>
      <w:r>
        <w:rPr>
          <w:i/>
          <w:noProof/>
        </w:rPr>
        <w:t>Euroopan unionin virallisessa lehdessä</w:t>
      </w:r>
      <w:r>
        <w:rPr>
          <w:noProof/>
        </w:rPr>
        <w:t>.</w:t>
      </w:r>
    </w:p>
    <w:p>
      <w:pPr>
        <w:pStyle w:val="ManualConsidrant"/>
        <w:rPr>
          <w:noProof/>
        </w:rPr>
      </w:pPr>
      <w:r>
        <w:rPr>
          <w:noProof/>
        </w:rPr>
        <w:t>8)</w:t>
      </w:r>
      <w:r>
        <w:rPr>
          <w:noProof/>
        </w:rPr>
        <w:tab/>
        <w:t>Sen vuoksi asetusta (EU) N:o 1303/2013 olisi muutettava,</w:t>
      </w:r>
    </w:p>
    <w:p>
      <w:pPr>
        <w:pStyle w:val="ManualConsidrant"/>
        <w:rPr>
          <w:noProof/>
        </w:rPr>
      </w:pPr>
    </w:p>
    <w:p>
      <w:pPr>
        <w:rPr>
          <w:noProof/>
        </w:rPr>
      </w:pPr>
    </w:p>
    <w:p>
      <w:pPr>
        <w:pStyle w:val="Formuledadoption"/>
        <w:rPr>
          <w:noProof/>
        </w:rPr>
      </w:pPr>
      <w:r>
        <w:rPr>
          <w:noProof/>
        </w:rPr>
        <w:t>OVAT HYVÄKSYNEET TÄMÄN ASETUKSEN:</w:t>
      </w:r>
    </w:p>
    <w:p>
      <w:pPr>
        <w:keepNext/>
        <w:spacing w:before="360"/>
        <w:jc w:val="center"/>
        <w:rPr>
          <w:i/>
          <w:noProof/>
        </w:rPr>
      </w:pPr>
      <w:r>
        <w:rPr>
          <w:i/>
          <w:noProof/>
        </w:rPr>
        <w:t>1 artikla</w:t>
      </w:r>
    </w:p>
    <w:p>
      <w:pPr>
        <w:spacing w:before="0" w:after="200" w:line="276" w:lineRule="auto"/>
        <w:rPr>
          <w:noProof/>
        </w:rPr>
      </w:pPr>
      <w:r>
        <w:rPr>
          <w:noProof/>
        </w:rPr>
        <w:t>Muutetaan asetus (EU) N:o 1303/2013 seuraavasti:</w:t>
      </w:r>
    </w:p>
    <w:p>
      <w:pPr>
        <w:ind w:left="850" w:hanging="850"/>
        <w:rPr>
          <w:noProof/>
        </w:rPr>
      </w:pPr>
      <w:r>
        <w:rPr>
          <w:noProof/>
        </w:rPr>
        <w:t>1.</w:t>
      </w:r>
      <w:r>
        <w:rPr>
          <w:noProof/>
        </w:rPr>
        <w:tab/>
        <w:t>Korvataan 1 artiklan ensimmäinen kohta seuraavasti:</w:t>
      </w:r>
    </w:p>
    <w:p>
      <w:pPr>
        <w:spacing w:after="240"/>
        <w:ind w:left="851"/>
        <w:rPr>
          <w:noProof/>
        </w:rPr>
      </w:pPr>
      <w:r>
        <w:rPr>
          <w:noProof/>
        </w:rPr>
        <w:t xml:space="preserve">”Tässä asetuksessa annetaan yhteiset säännöt, jotka koskevat Euroopan aluekehitysrahastoa (EAKR), Euroopan sosiaalirahastoa (ESR), koheesiorahastoa, Euroopan maaseudun kehittämisen maatalousrahastoa, jäljempänä ’maaseuturahasto’, sekä Euroopan meri- ja kalatalousrahastoa, jotka toimivat yhteisen kehyksen puitteissa, jäljempänä ’Euroopan rakenne- ja investointirahastot’ tai ’ERI-rahastot’. Lisäksi siinä annetaan säännökset, jotka ovat tarpeen ERI-rahastojen vaikuttavuuden turvaamiseksi ja niiden keskinäiseksi koordinoimiseksi sekä näiden rahastojen ja muiden unionin välineiden koordinoimiseksi, </w:t>
      </w:r>
      <w:r>
        <w:rPr>
          <w:b/>
          <w:noProof/>
        </w:rPr>
        <w:t>sekä säännöt, jotka koskevat suoritusvarauksen varojen käyttöä talouspolitiikan eurooppalaisen ohjausjakson yhteydessä yksilöityjen rakenneuudistusten tukemiseksi</w:t>
      </w:r>
      <w:r>
        <w:rPr>
          <w:noProof/>
        </w:rPr>
        <w:t xml:space="preserve">. Euroopan rakenne- ja investointirahastoihin sovellettavat yhteiset säännöt on esitetty toisessa osassa. </w:t>
      </w:r>
      <w:r>
        <w:rPr>
          <w:b/>
          <w:noProof/>
        </w:rPr>
        <w:t>Säännöt, joita sovelletaan suoritusvarauksen varojen osittaiseen tai täysimääräiseen käyttöön rakenneuudistusten tukemiseksi, vahvistetaan 23 a artiklassa. ”</w:t>
      </w:r>
    </w:p>
    <w:p>
      <w:pPr>
        <w:tabs>
          <w:tab w:val="left" w:pos="851"/>
        </w:tabs>
        <w:spacing w:before="60" w:after="60"/>
        <w:rPr>
          <w:noProof/>
        </w:rPr>
      </w:pPr>
      <w:r>
        <w:rPr>
          <w:noProof/>
        </w:rPr>
        <w:t>2.</w:t>
      </w:r>
      <w:r>
        <w:rPr>
          <w:noProof/>
        </w:rPr>
        <w:tab/>
        <w:t>Lisätään 2 artiklaan 40 kohta:</w:t>
      </w:r>
    </w:p>
    <w:p>
      <w:pPr>
        <w:tabs>
          <w:tab w:val="left" w:pos="851"/>
        </w:tabs>
        <w:spacing w:before="60" w:after="240"/>
        <w:ind w:left="851"/>
        <w:rPr>
          <w:b/>
          <w:noProof/>
        </w:rPr>
      </w:pPr>
      <w:r>
        <w:rPr>
          <w:b/>
          <w:noProof/>
        </w:rPr>
        <w:t xml:space="preserve">’rakenneuudistuksilla’ uudistuksia, jotka on yksilöity talouspolitiikan eurooppalaisen ohjausjakson yhteydessä julkisyhteisöjen rahoitusaseman valvonnan sekä talouspolitiikan valvonnan ja yhteensovittamisen tehostamisesta </w:t>
      </w:r>
      <w:r>
        <w:rPr>
          <w:b/>
          <w:noProof/>
        </w:rPr>
        <w:lastRenderedPageBreak/>
        <w:t>7 päivänä heinäkuuta 1997 annetun neuvoston asetuksen (EY) N:o 1466/97 2-a artiklan mukaisesti.”</w:t>
      </w:r>
    </w:p>
    <w:p>
      <w:pPr>
        <w:tabs>
          <w:tab w:val="left" w:pos="851"/>
        </w:tabs>
        <w:spacing w:before="60" w:after="60"/>
        <w:rPr>
          <w:noProof/>
        </w:rPr>
      </w:pPr>
      <w:r>
        <w:rPr>
          <w:noProof/>
        </w:rPr>
        <w:t>3.</w:t>
      </w:r>
      <w:r>
        <w:rPr>
          <w:noProof/>
        </w:rPr>
        <w:tab/>
        <w:t xml:space="preserve">Korvataan 4 artiklan 7 kohta seuraavasti: </w:t>
      </w:r>
    </w:p>
    <w:p>
      <w:pPr>
        <w:tabs>
          <w:tab w:val="left" w:pos="851"/>
        </w:tabs>
        <w:spacing w:before="60" w:after="240"/>
        <w:ind w:left="851" w:hanging="851"/>
        <w:rPr>
          <w:noProof/>
        </w:rPr>
      </w:pPr>
      <w:r>
        <w:rPr>
          <w:noProof/>
        </w:rPr>
        <w:tab/>
        <w:t xml:space="preserve">”7. Euroopan rakenne- ja investointirahastoille kohdennettu unionin talousarvion osa toteutetaan jäsenvaltioiden ja komission yhteistyössä toteutettavan hallinnon puitteissa varainhoitoasetuksen 62 artiklan mukaisesti, lukuun ottamatta tämän asetuksen 92 artiklan 6 kohdassa tarkoitettua koheesiorahastosta Verkkojen Eurooppa -välineelle siirrettyä määrää ja EAKR-asetuksen 8 artiklan mukaisia komission aloitteesta toteutettavia innovatiivisia toimenpiteitä sekä komission aloitteesta annettavaa teknistä tukea, tukea Euroopan meri- ja kalastusrahastoa koskevan asetuksen mukaiseen suoraan hallintoon </w:t>
      </w:r>
      <w:r>
        <w:rPr>
          <w:b/>
          <w:noProof/>
        </w:rPr>
        <w:t>ja suoritusvarauksen varojen käyttöä näitä rahastoja varten rakenneuudistusten tukemiseksi 23 a artiklan mukaisesti</w:t>
      </w:r>
      <w:r>
        <w:rPr>
          <w:noProof/>
        </w:rPr>
        <w:t>.”</w:t>
      </w:r>
    </w:p>
    <w:p>
      <w:pPr>
        <w:tabs>
          <w:tab w:val="left" w:pos="851"/>
        </w:tabs>
        <w:spacing w:before="60" w:after="60"/>
        <w:rPr>
          <w:noProof/>
          <w:szCs w:val="24"/>
        </w:rPr>
      </w:pPr>
      <w:r>
        <w:rPr>
          <w:noProof/>
        </w:rPr>
        <w:t>4.</w:t>
      </w:r>
      <w:r>
        <w:rPr>
          <w:noProof/>
        </w:rPr>
        <w:tab/>
        <w:t xml:space="preserve">Lisätään 15 artiklan 1 kohdan a alakohtaan viii alakohta seuraavasti: </w:t>
      </w:r>
    </w:p>
    <w:p>
      <w:pPr>
        <w:tabs>
          <w:tab w:val="left" w:pos="851"/>
        </w:tabs>
        <w:spacing w:before="60" w:after="240"/>
        <w:ind w:left="851" w:hanging="851"/>
        <w:rPr>
          <w:noProof/>
          <w:szCs w:val="24"/>
        </w:rPr>
      </w:pPr>
      <w:r>
        <w:rPr>
          <w:noProof/>
        </w:rPr>
        <w:tab/>
      </w:r>
      <w:r>
        <w:rPr>
          <w:b/>
          <w:noProof/>
        </w:rPr>
        <w:t xml:space="preserve">”viii) tiedot 22 artiklan 1 a kohdan b alakohdan mukaisesti käytettyjen </w:t>
      </w:r>
      <w:r>
        <w:rPr>
          <w:b/>
          <w:noProof/>
          <w:color w:val="444444"/>
        </w:rPr>
        <w:t xml:space="preserve">suoritusvarauksen </w:t>
      </w:r>
      <w:r>
        <w:rPr>
          <w:b/>
          <w:noProof/>
        </w:rPr>
        <w:t>varojen uudelleen kohdentamisesta;</w:t>
      </w:r>
      <w:r>
        <w:rPr>
          <w:noProof/>
        </w:rPr>
        <w:t xml:space="preserve">” </w:t>
      </w:r>
    </w:p>
    <w:p>
      <w:pPr>
        <w:tabs>
          <w:tab w:val="left" w:pos="851"/>
        </w:tabs>
        <w:spacing w:before="60" w:after="60"/>
        <w:rPr>
          <w:noProof/>
          <w:szCs w:val="24"/>
        </w:rPr>
      </w:pPr>
      <w:r>
        <w:rPr>
          <w:noProof/>
        </w:rPr>
        <w:t>5.</w:t>
      </w:r>
      <w:r>
        <w:rPr>
          <w:noProof/>
        </w:rPr>
        <w:tab/>
        <w:t xml:space="preserve">Korvataan 20 artiklan ensimmäinen kohta seuraavasti: </w:t>
      </w:r>
    </w:p>
    <w:p>
      <w:pPr>
        <w:tabs>
          <w:tab w:val="left" w:pos="851"/>
        </w:tabs>
        <w:spacing w:before="60" w:after="240"/>
        <w:ind w:left="851" w:hanging="851"/>
        <w:rPr>
          <w:rFonts w:eastAsia="Arial Unicode MS"/>
          <w:noProof/>
          <w:szCs w:val="24"/>
        </w:rPr>
      </w:pPr>
      <w:r>
        <w:rPr>
          <w:noProof/>
        </w:rPr>
        <w:tab/>
        <w:t xml:space="preserve">”Suoritusvaraus on 6 prosenttia EAKR:lle, ESR:lle ja koheesiorahastolle tämän asetuksen 89 artiklan 2 kohdan a alakohdassa tarkoitetun Investoinnit kasvuun ja työpaikkoihin -tavoitteen mukaisesti kohdennetuista sekä maaseuturahastolle ja Euroopan meri- ja kalatalousrahastosta annettavan asetuksen mukaisen yhteistyössä toteutettavan hallinnon piirissä rahoitetuille toimenpiteille kohdennetuista varoista, ja tämä suoritusvaraus vahvistetaan kumppanuussopimuksessa ja ohjelmissa ja kohdennetaan joko yksittäisiin prioriteetteihin tai EAKR:n, ESR:n ja koheesiorahaston osalta rakenneuudistusten tukemiseen tämän asetuksen 22 artiklan mukaisesti.” </w:t>
      </w:r>
    </w:p>
    <w:p>
      <w:pPr>
        <w:tabs>
          <w:tab w:val="left" w:pos="851"/>
        </w:tabs>
        <w:spacing w:before="60" w:after="60"/>
        <w:rPr>
          <w:noProof/>
        </w:rPr>
      </w:pPr>
      <w:r>
        <w:rPr>
          <w:noProof/>
        </w:rPr>
        <w:t>6.</w:t>
      </w:r>
      <w:r>
        <w:rPr>
          <w:noProof/>
        </w:rPr>
        <w:tab/>
        <w:t>Lisätään 22 artiklaan 1 a kohta seuraavasti:</w:t>
      </w:r>
    </w:p>
    <w:p>
      <w:pPr>
        <w:spacing w:before="60" w:after="60"/>
        <w:ind w:left="851"/>
        <w:rPr>
          <w:rFonts w:eastAsia="Calibri"/>
          <w:b/>
          <w:noProof/>
          <w:szCs w:val="24"/>
        </w:rPr>
      </w:pPr>
      <w:r>
        <w:rPr>
          <w:b/>
          <w:noProof/>
        </w:rPr>
        <w:t xml:space="preserve">”1 a. Jäsenvaltio voi päättää, että suoritusvarauksen varat käytetään osittain tai kokonaan </w:t>
      </w:r>
    </w:p>
    <w:p>
      <w:pPr>
        <w:pStyle w:val="Point1letter"/>
        <w:numPr>
          <w:ilvl w:val="3"/>
          <w:numId w:val="10"/>
        </w:numPr>
        <w:rPr>
          <w:b/>
          <w:noProof/>
        </w:rPr>
      </w:pPr>
      <w:r>
        <w:rPr>
          <w:b/>
          <w:noProof/>
        </w:rPr>
        <w:t>ohjelmiin ja prioriteetteihin, joiden välitavoitteet on saavutettu 2–7 kohdan mukaisesti, tai</w:t>
      </w:r>
    </w:p>
    <w:p>
      <w:pPr>
        <w:pStyle w:val="Point1letter"/>
        <w:numPr>
          <w:ilvl w:val="3"/>
          <w:numId w:val="10"/>
        </w:numPr>
        <w:rPr>
          <w:b/>
          <w:noProof/>
        </w:rPr>
      </w:pPr>
      <w:r>
        <w:rPr>
          <w:b/>
          <w:noProof/>
        </w:rPr>
        <w:t>tukemaan rakenneuudistuksia 8 kohdan ja 23 a artiklan mukaisesti toteutettujen uudistussitoumusten pohjalta.”</w:t>
      </w:r>
    </w:p>
    <w:p>
      <w:pPr>
        <w:tabs>
          <w:tab w:val="left" w:pos="851"/>
        </w:tabs>
        <w:spacing w:before="60" w:after="60"/>
        <w:rPr>
          <w:rFonts w:eastAsia="Calibri"/>
          <w:noProof/>
          <w:szCs w:val="24"/>
        </w:rPr>
      </w:pPr>
      <w:r>
        <w:rPr>
          <w:noProof/>
        </w:rPr>
        <w:tab/>
        <w:t>Lisätään 22 artiklaan 8 kohta seuraavasti:</w:t>
      </w:r>
    </w:p>
    <w:p>
      <w:pPr>
        <w:tabs>
          <w:tab w:val="left" w:pos="851"/>
        </w:tabs>
        <w:spacing w:before="60" w:after="240"/>
        <w:ind w:left="851"/>
        <w:rPr>
          <w:rFonts w:eastAsia="Calibri"/>
          <w:b/>
          <w:noProof/>
          <w:szCs w:val="24"/>
        </w:rPr>
      </w:pPr>
      <w:r>
        <w:rPr>
          <w:b/>
          <w:noProof/>
        </w:rPr>
        <w:t>”8. Jäsenvaltion päätökseen käyttää suoritusvaraus osittain tai kokonaan rakenneuudistusten tukemiseen 1 a kohdan nojalla on liitettävä ehdotus uudistussitoumusten toteuttamisesta 23 a artiklan mukaisesti ja ehdotus suoritusvarauksen uudelleen kohdentamisesta kokonaan tai osittain, kun jäsenvaltio esittää muuttamispyynnön 16 artiklan 4 kohdan ja 30 artiklan 3 kohdan mukaisesti.”</w:t>
      </w:r>
    </w:p>
    <w:p>
      <w:pPr>
        <w:tabs>
          <w:tab w:val="left" w:pos="851"/>
        </w:tabs>
        <w:spacing w:before="60"/>
        <w:rPr>
          <w:noProof/>
        </w:rPr>
      </w:pPr>
      <w:r>
        <w:rPr>
          <w:noProof/>
          <w:color w:val="000000"/>
        </w:rPr>
        <w:t xml:space="preserve">7. </w:t>
      </w:r>
      <w:r>
        <w:rPr>
          <w:noProof/>
        </w:rPr>
        <w:tab/>
        <w:t>Lisätään uusi 23 a artikla seuraavasti:</w:t>
      </w:r>
    </w:p>
    <w:p>
      <w:pPr>
        <w:tabs>
          <w:tab w:val="left" w:pos="851"/>
        </w:tabs>
        <w:spacing w:before="60"/>
        <w:ind w:firstLine="851"/>
        <w:jc w:val="center"/>
        <w:rPr>
          <w:noProof/>
        </w:rPr>
      </w:pPr>
      <w:r>
        <w:rPr>
          <w:b/>
          <w:noProof/>
        </w:rPr>
        <w:t>”Talouspoliitiikan eurooppalaisen ohjausjakson yhteydessä tehtyihin uudistussitoumuksiin perustuva tuki rakenneuudistuksille”</w:t>
      </w:r>
    </w:p>
    <w:p>
      <w:pPr>
        <w:spacing w:before="60"/>
        <w:ind w:left="851"/>
        <w:rPr>
          <w:b/>
          <w:noProof/>
        </w:rPr>
      </w:pPr>
      <w:r>
        <w:rPr>
          <w:b/>
          <w:noProof/>
        </w:rPr>
        <w:lastRenderedPageBreak/>
        <w:t xml:space="preserve">1. Jäsenvaltion, joka päättää kohdentaa suoritusvarauksen varat kokonaan tai osittain 22 artiklan 1 a kohdan b alakohdan mukaisesti, on ehdotettava komissiolle yksityiskohtaisia toimenpiteitä, joilla rakenneuudistukset voidaan toteuttaa unionin lainsäädännön mukaisesti. Tähän ehdotukseen on liitettävä uudistussitoumukset, joihin on sisällyttävä uudistustoimien toteuttamista koskevat väli- ja kokonaistavoitteet sekä enintään kolmen vuoden pituinen aikataulu. </w:t>
      </w:r>
    </w:p>
    <w:p>
      <w:pPr>
        <w:spacing w:before="60"/>
        <w:ind w:left="851"/>
        <w:rPr>
          <w:b/>
          <w:noProof/>
        </w:rPr>
      </w:pPr>
      <w:r>
        <w:rPr>
          <w:b/>
          <w:noProof/>
        </w:rPr>
        <w:t xml:space="preserve">2. Komissio arvioi ehdotuksen. Se voi esittää huomautuksia tai pyytää lisätietoja. Asianomaisen jäsenvaltion on toimitettava pyydetyt lisätiedot ja pyydettäessä tarkistettava uudistussitoumuksia. </w:t>
      </w:r>
    </w:p>
    <w:p>
      <w:pPr>
        <w:spacing w:before="60"/>
        <w:ind w:left="851"/>
        <w:rPr>
          <w:b/>
          <w:noProof/>
        </w:rPr>
      </w:pPr>
      <w:r>
        <w:rPr>
          <w:b/>
          <w:noProof/>
        </w:rPr>
        <w:t xml:space="preserve">3. Komissio tekee asiasta päätöksen täytäntöönpanosäädöksellä, jossa esitetään uudistussitoumukset, jotka jäsenvaltion on toteutettava, ja niiden tukemiseen suoritusvarauksesta osoitettava määrä. Tämän määrän on oltava oikeassa suhteessa uudistuksen luonteeseen ja merkitykseen ja täydennettävä muita unionin varoista tuettuja toimia. </w:t>
      </w:r>
    </w:p>
    <w:p>
      <w:pPr>
        <w:spacing w:before="60"/>
        <w:ind w:left="851"/>
        <w:rPr>
          <w:b/>
          <w:noProof/>
        </w:rPr>
      </w:pPr>
      <w:r>
        <w:rPr>
          <w:b/>
          <w:noProof/>
        </w:rPr>
        <w:t>4. Tämän artiklan mukainen tuki jäsenvaltioiden uudistusohjelmille on myönnettävä varainhoitoasetuksen 121 artiklan 1 kohdan e alakohdassa tarkoitettuna rahoituksena, joka ei perustu toimien kustannuksiin, sitä on hallinnoitava kyseisessä asetuksessa vahvistettujen suoran hallinnoinnin sääntöjen mukaisesti, eikä se edellytä kansallista osarahoitusta. Tämän asetuksen II osaston I lukua ja toisen osan III–IX osastoa ei sovelleta.</w:t>
      </w:r>
    </w:p>
    <w:p>
      <w:pPr>
        <w:spacing w:before="60"/>
        <w:ind w:left="851"/>
        <w:rPr>
          <w:b/>
          <w:noProof/>
        </w:rPr>
      </w:pPr>
      <w:r>
        <w:rPr>
          <w:b/>
          <w:noProof/>
        </w:rPr>
        <w:t xml:space="preserve">5. Tämän päätöksen 3 kohdassa mainitussa päätöksessä säädetään, että tuki maksetaan täysimääräisesti, kun jäsenvaltio on pannut uudistussitoumuksen kokonaisuudessaan täytäntöön. </w:t>
      </w:r>
    </w:p>
    <w:p>
      <w:pPr>
        <w:spacing w:before="60" w:after="240"/>
        <w:ind w:left="851"/>
        <w:rPr>
          <w:noProof/>
        </w:rPr>
      </w:pPr>
      <w:r>
        <w:rPr>
          <w:b/>
          <w:noProof/>
        </w:rPr>
        <w:t xml:space="preserve">6. Jäsenvaltion on raportoitava talouspolitiikan eurooppalaisen ohjausjakson mekanismien puitteissa säännöllisesti edistymisestään uudistussitoumuksen toteuttamisessa. Raportointiin sovellettavista yksityiskohtaisista säännöistä ja aikataulusta säädetään 4 kohdassa tarkoitetussa päätöksessä.” </w:t>
      </w:r>
    </w:p>
    <w:p>
      <w:pPr>
        <w:tabs>
          <w:tab w:val="left" w:pos="851"/>
        </w:tabs>
        <w:autoSpaceDE w:val="0"/>
        <w:autoSpaceDN w:val="0"/>
        <w:adjustRightInd w:val="0"/>
        <w:spacing w:before="60" w:after="60"/>
        <w:rPr>
          <w:noProof/>
          <w:color w:val="000000"/>
          <w:szCs w:val="24"/>
        </w:rPr>
      </w:pPr>
      <w:r>
        <w:rPr>
          <w:noProof/>
          <w:color w:val="000000"/>
        </w:rPr>
        <w:t>8.</w:t>
      </w:r>
      <w:r>
        <w:rPr>
          <w:noProof/>
        </w:rPr>
        <w:tab/>
        <w:t>Lisätään 91 artiklaan kohta seuraavasti:</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Tämän asetuksen 91 ja 92 artiklassa vahvistettuihin määriin sisältyvä suoritusvaraus voidaan jäsenvaltion 22 artiklan 8 kohdan mukaisesti esittämästä pyynnöstä kohdentaa kokonaan tai osittain tukemaan 23 a artiklassa tarkoitettuja rakenneuudistuksia.”</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rPr>
          <w:i/>
          <w:noProof/>
        </w:rPr>
      </w:pPr>
      <w:r>
        <w:rPr>
          <w:i/>
          <w:noProof/>
        </w:rPr>
        <w:t>2 artikla</w:t>
      </w:r>
    </w:p>
    <w:p>
      <w:pPr>
        <w:rPr>
          <w:noProof/>
        </w:rPr>
      </w:pPr>
      <w:r>
        <w:rPr>
          <w:noProof/>
        </w:rPr>
        <w:t xml:space="preserve">Tämä asetus tulee voimaan sitä päivää seuraavana päivänä, jona se julkaistaan </w:t>
      </w:r>
      <w:r>
        <w:rPr>
          <w:i/>
          <w:noProof/>
        </w:rPr>
        <w:t>Euroopan unionin virallisessa lehdessä</w:t>
      </w:r>
      <w:r>
        <w:rPr>
          <w:noProof/>
        </w:rPr>
        <w:t>.</w:t>
      </w:r>
    </w:p>
    <w:p>
      <w:pPr>
        <w:spacing w:before="480"/>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jc w:val="both"/>
        <w:rPr>
          <w:b/>
          <w:noProof/>
          <w:u w:val="single"/>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EUVL C, s..</w:t>
      </w:r>
    </w:p>
  </w:footnote>
  <w:footnote w:id="2">
    <w:p>
      <w:pPr>
        <w:pStyle w:val="FootnoteText"/>
        <w:rPr>
          <w:lang w:val="pt-PT"/>
        </w:rPr>
      </w:pPr>
      <w:r>
        <w:rPr>
          <w:rStyle w:val="FootnoteReference"/>
        </w:rPr>
        <w:footnoteRef/>
      </w:r>
      <w:r>
        <w:rPr>
          <w:lang w:val="pt-PT"/>
        </w:rPr>
        <w:tab/>
        <w:t>EUVL C, s..</w:t>
      </w:r>
    </w:p>
  </w:footnote>
  <w:footnote w:id="3">
    <w:p>
      <w:pPr>
        <w:pStyle w:val="FootnoteText"/>
        <w:rPr>
          <w:lang w:val="pl-PL"/>
        </w:rPr>
      </w:pPr>
      <w:r>
        <w:rPr>
          <w:rStyle w:val="FootnoteReference"/>
        </w:rPr>
        <w:footnoteRef/>
      </w:r>
      <w:r>
        <w:tab/>
        <w:t>EUVL L 347, 20.12.2013, s.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CEC76D-7581-4458-9D83-0E8BACD187CB"/>
    <w:docVar w:name="LW_COVERPAGE_TYPE" w:val="1"/>
    <w:docVar w:name="LW_CROSSREFERENCE" w:val="&lt;UNUSED&gt;"/>
    <w:docVar w:name="LW_DocType" w:val="COM"/>
    <w:docVar w:name="LW_EMISSION" w:val="6.12.2017"/>
    <w:docVar w:name="LW_EMISSION_ISODATE" w:val="2017-12-06"/>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17 päivänä joulukuuta 2013 annetun Euroopan parlamentin ja neuvoston asetuksen (EU) N:o 1303/2013 muuttamisesta jäsenvaltioissa toteutettaville rakenneuudistuksille myönnettävän tuen osal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B9E9-6C18-4988-901E-8AD45B59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2070</Words>
  <Characters>18182</Characters>
  <Application>Microsoft Office Word</Application>
  <DocSecurity>0</DocSecurity>
  <Lines>330</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2017-12-06T15:37:00Z</dcterms:created>
  <dcterms:modified xsi:type="dcterms:W3CDTF">2017-12-06T16:01:00Z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