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D28AFF0-0349-49BC-A37E-E88945EC2C37" style="width:451.25pt;height:352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Dôvody a ciele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Cieľom návrhu je zaviesť niektoré cielené zmeny do rozhodnutia Rady č. 1313/2013/EÚ (ďalej len „rozhodnutie“) o mechanizme Únie v oblasti civilnej ochrany (ďalej len „mechanizmus Únie“), na základe ktorého Európska únia podporuje, koordinuje a dopĺňa opatrenia členských štátov v oblasti civilnej ochrany, pokiaľ ide o prevenciu, pripravenosť a reakciu na prírodné katastrofy a katastrofy spôsobené ľudskou činnosťou v rámci Únie aj mimo nej. Návrh vychádza zo zásad solidarity a spoločnej zodpovednosti a jeho všeobecným cieľom je zabezpečiť, aby Únia poskytovala lepšiu krízovú a núdzovú podporu občanom v rámci Únie aj mimo nej. V návrhu sa uznáva, že úsilie zamerané na prevenciu katastrof má rozhodujúci význam pre obmedzenie potreby krízovej a núdzovej podpory.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Podľa nedávno vykonaného priebežného hodnotenia mechanizmu Únie v oblasti civilnej ochrany (UCPM)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uvedeného v článku 34 rozhodnutia č. 1313/2013/EÚ a ďalších posúdení, napríklad preskúmania mechanizmu UPCM zo strany Európskeho dvora audítorov</w:t>
      </w:r>
      <w:r>
        <w:rPr>
          <w:rStyle w:val="FootnoteReference"/>
          <w:noProof/>
        </w:rPr>
        <w:footnoteReference w:id="3"/>
      </w:r>
      <w:r>
        <w:rPr>
          <w:noProof/>
        </w:rPr>
        <w:t>, sa mechanizmus Únie ukázal byť účinným nástrojom na mobilizáciu a koordináciu pomoci poskytovanej zúčastnenými štátmi v reakcii na krízové situácie v rámci Únie aj mimo nej, čo predstavuje hmatateľný dôkaz európskej solidarity. Niektoré závery vyvodené z týchto dokumentov a dodatočné dôkazy však viedli k odhaleniu určitých oblastí, v ktorých je legislatívna zmena opodstatnená. V tejto súvislosti bolo kľúčové zhodnotiť operačné skúsenosti, ktoré predstavujú hlavný faktor vedúci k tejto iniciatíve, keďže poukázali na obmedzenia súčasného rámca.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Od roku 2013 Únia čelila mnohým katastrofám s tragickými stratami na životoch a ďalšími ničivými následkami pre občanov, podniky, spoločenstvá a životné prostredie. Konkrétnejšie, reakcie na niekoľko nedávnych katastrof vrátane humanitárneho vplyvu utečeneckej a migračnej krízy, nedostatok dostupných prostriedkov počas období lesných požiarov v rokoch 2016 a 2017, pričom posledné z nich bolo mimoriadne dlhé a intenzívne a malo za následok viac než 100 úmrtí, ako aj závažný vplyv série hurikánov v Karibiku a prudkých búrok a záplav v EÚ predstavovali pre mechanizmus UCPM skutočný záťažový test. Bolo to evidentné najmä počas núdzových situácií veľkého rozsahu postihujúcich niekoľko členských štátov súčasne. Za takýchto okolností bola dobrovoľná povaha príspevkov členských štátov k reakcii na katastrofy príliš často nedostatočná a existujúce nedostatky v niektorých kritických kapacitách v oblasti reakcie, ktoré sa uvádzajú v správe o nedostatkoch v oblasti kapacity zverejnenej začiatkom roka 2017</w:t>
      </w:r>
      <w:r>
        <w:rPr>
          <w:rStyle w:val="FootnoteReference"/>
          <w:noProof/>
        </w:rPr>
        <w:footnoteReference w:id="4"/>
      </w:r>
      <w:r>
        <w:rPr>
          <w:noProof/>
        </w:rPr>
        <w:t>, sa stali príliš zrejmými. V tomto kontexte je najvýraznejším príkladom neschopnosť kolektívnej kapacity EÚ reagovať na všetkých 17 žiadostí o pomoc pri lesných požiaroch, z ktorých bola pomoc poskytnutá len v 10 prípadoch, a v niektorých prípadoch ju obmedzili oneskorenia, ktoré zhoršili včasnosť reakcie.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Vzhľadom na uvedené existujú pádne dôvody, aby sa uskutočnila cielená revízia súčasnej právnej úpravy mechanizmu UCPM, ktorou by sa riešili hlavné výzvy, ktorým mechanizmus Únie v súčasnosti čelí. Konkrétne to znamená, že zmeny obsiahnuté v tomto návrhu sú zamerané na dosiahnutie týchto cieľov: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a) posilnenie účinnosti preventívnych opatrení ako súčasti cyklu riadenia rizika katastrof, ako aj posilnenie prepojení s inými kľúčovými politikami EÚ, ktoré sa uplatňujú v oblasti prevencie katastrof a reakcie na ne;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b) posilnenie kolektívnej schopnosti Únie a členských štátov reagovať na katastrofy a riešenie opakujúcich sa a vznikajúcich nedostatkov v oblasti kapacity, najmä vytvorením vyhradenej rezervy kapacít v oblasti reakcie na úrovni Únie, pričom rozhodnutia o nasadení bude prijímať Komisia, ktorá si ponechá velenie a riadenie (táto rezerva bude známa ako „rescEU“). RescEU bude disponovať vybranými núdzovými kapacitami pre reakciu na lesné požiare, záplavy, zemetrasenia a mimoriadne situácie v oblasti zdravia. V nadväznosti na diskusiu s členskými štátmi by sa mala naplánovať aj poľná nemocnica, ktorú možno rýchlo nasadiť v rámci Únie aj mimo nej ako súčasť európskeho lekárskeho zboru pre prípady epidémií, ako sú napríklad ebola a zika. Okrem toho bola Európa zasiahnutá početnými teroristickými útokmi. Sprístupnenie takýchto kapacít na úrovni EÚ prispeje aj k vytvoreniu úspor z rozsahu a zníženiu nákladov na obstarávanie rovnakých kapacít jednotlivo;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c) zabezpečenie pružnosti a účinnosti mechanizmu Únie, pokiaľ ide o jeho administratívne postupy na podporu núdzových operácií.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Vzhľadom na trendy katastrof vrátane extrémneho počasia a v kontexte obáv o vnútornú bezpečnosť sa potreba posilniť európsku civilnú ochranu všeobecne uznáva. Tento návrh vychádza z ďalšej nedávnej analýzy a dôsledných úvah o zistených nedostatkoch, na ktorých sa spoločne podieľali zodpovedné orgány civilnej ochrany.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Súlad s existujúcimi ustanoveniami politík v tejto oblasti politiky</w:t>
      </w:r>
    </w:p>
    <w:p>
      <w:pPr>
        <w:rPr>
          <w:noProof/>
        </w:rPr>
      </w:pPr>
      <w:r>
        <w:rPr>
          <w:noProof/>
        </w:rPr>
        <w:t>Tento návrh prispieva k jednej z desiatich politických priorít stanovených Komisiou na obdobie rokov 2015 – 2019, konkrétne dosiahnutie „priestoru spravodlivosti a základných práv založeného na vzájomnej dôvere“. Vzájomná dôvera je zakotvená v zásade solidarity, ktorá je základom rozhodnutia č. 1313/2013/EÚ a týmto návrhom bude posilnená spolu so zásadou spoločnej zodpovednosti.</w:t>
      </w:r>
    </w:p>
    <w:p>
      <w:pPr>
        <w:rPr>
          <w:noProof/>
        </w:rPr>
      </w:pPr>
      <w:r>
        <w:rPr>
          <w:noProof/>
        </w:rPr>
        <w:t>Navrhované zmeny sú plne v súlade so širším cieľom vytvoriť „Európu, ktorá chráni“, ktorý usmerňoval úsilie Komisie počas posledných rokov a bude ho naďalej usmerňovať aj v blízkej budúcnosti. Tento návrh vychádza z pozitívnych výsledkov, ktoré existujúci rámec doteraz priniesol, a jeho úmyslom je napraviť nedostatky rámca prostredníctvom posilnených ustanovení s cieľom naďalej podporovať, koordinovať a dopĺňať opatrenia členských štátov v tejto oblasti.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Súlad s ostatnými politikami Únie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Opatrenia plánované v rámci revidovaného mechanizmu UCPM sú zosúladené s celkovým cieľom Únie zabezpečiť, aby všetky príslušné politiky a nástroje EÚ prispievali k posilňovaniu kapacít Únie v oblasti riadenia rizika katastrof, od prevencie katastrof až po pripravenosť a reakciu na ne a obnovu po katastrofách. Súčasne odzrkadľujú cieľ podporovať solidaritu medzi členskými štátmi stanovený v článku 3 ods. 3 Zmluvy o Európskej únii.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Osobitná pozornosť sa venuje najmä zabezpečeniu úzkej koordinácie a súladu s opatreniami vykonávanými v rámci iných politík EÚ, napríklad politiky v oblasti adaptácie na zmenu klímy, a nástrojov pôsobiacich v oblasti prevencie katastrof a znižovania rizika katastrof, napríklad kohéznej politiky, politiky rozvoja vidieka, politiky v oblasti zdravia a migračnej a bezpečnostnej politiky. Cieľom návrhu je takisto vytvoriť silnejšie synergie s politikou humanitárnej pomoci, a to najmä pri reakcii na núdzové situácie mimo Únie.</w:t>
      </w:r>
    </w:p>
    <w:p>
      <w:pP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Ciele tohto návrhu nie je v súčasnosti možné dosiahnuť žiadnym legislatívnym aktom v rámci iných politík Únie. Preto by nemalo dôjsť k prekrývaniu opatrení v tejto oblasti.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Právnym základom tohto návrhu je článok 196 Zmluvy o fungovaní Európskej únie.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Subsidiarita (v prípade inej ako výlučnej právomoci)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Ciele návrhu nie je možné uspokojivo dosiahnuť na úrovni členských štátov. Mechanizmus Únie v oblasti civilnej ochrany bol zriadený preto, lebo rozsiahle katastrofy môžu presiahnuť kapacity v oblasti reakcie ktoréhokoľvek členského štátu konajúceho samostatne. Základom je poskytovanie dobre koordinovanej a rýchlej vzájomnej pomoci medzi členskými štátmi.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Okrem zmien na zaručenie súdržnosti a zjednodušenia sa v tomto návrhu predpokladajú ďalšie možnosti na posilnenie kolektívnej schopnosti pripraviť sa a reagovať na katastrofy. Je to dôležité najmä pri riešení katastrofy alebo viacerých katastrof s ďalekosiahlym vplyvom, ktorý presahuje kapacity kritického počtu členských štátov súčasne a ktorý môže ochromiť vzájomnú pomoc medzi nimi. Platí to aj pre kapacity, ktoré by boli potrebné v prípade scenára rozsiahlej katastrofy s nízkou pravdepodobnosťou, ale so závažným vplyvom. V takýchto prípadoch je jasné, že členské štáty nemôžu zabezpečiť dostatočnú reakciu samostatne a je potrebná pomoc EÚ na podporu a doplnenie opatrení členského štátu v súlade s článkom 196 Zmluvy o fungovaní Európskej únie.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Pri zohľadnení prínosov v podobe zníženia strát na ľudských životoch, environmentálnych, hospodárskych a materiálnych škôd prináša návrh jasnú pridanú hodnotu EÚ.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Primeranosť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Návrh neprekračuje rámec toho, čo je potrebné na dosiahnutie cieľov. Zaoberá sa nedostatkami, ktoré boli zistené počas priebežného hodnotenia a v ďalších nedávnych dokumentoch, v ktorých sa posudzovala výkonnosť mechanizmu UCPM (osobitná správa Európskeho dvora audítorov o mechanizme UCPM</w:t>
      </w:r>
      <w:r>
        <w:rPr>
          <w:rStyle w:val="FootnoteReference"/>
          <w:noProof/>
        </w:rPr>
        <w:footnoteReference w:id="5"/>
      </w:r>
      <w:r>
        <w:rPr>
          <w:noProof/>
        </w:rPr>
        <w:t>, už spomínaná správa Komisie o pokroku dosiahnutom v rámci Európskej kapacity pre reakcie na núdzové situácie a o pretrvávajúcich nedostatkoch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 prehľad rizík v EÚ</w:t>
      </w:r>
      <w:r>
        <w:rPr>
          <w:rStyle w:val="FootnoteReference"/>
          <w:noProof/>
        </w:rPr>
        <w:footnoteReference w:id="7"/>
      </w:r>
      <w:r>
        <w:rPr>
          <w:noProof/>
        </w:rPr>
        <w:t>) a navrhuje riešenia v súlade s mandátom udeleným Radou a Európskym parlamentom.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Administratívna záťaž Únie a členských štátov je obmedzená a neprekračuje rámec toho, čo je nevyhnutné na dosiahnutie cieľov tohto návrhu. Okrem toho zefektívnenie určitých mier spolufinancovania EÚ a zrušenie spolufinancovania v určitých oblastiach pomôže znížiť administratívnu záťaž.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rozhodnutia, ktorým sa mení rozhodnutie Európskeho parlamentu a Rady č. 1313/2013/EÚ o mechanizme Únie v oblasti civilnej ochrany.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HODNOTENÍ </w:t>
      </w:r>
      <w:r>
        <w:rPr>
          <w:i/>
          <w:noProof/>
        </w:rPr>
        <w:t>EX POST</w:t>
      </w:r>
      <w:r>
        <w:rPr>
          <w:noProof/>
        </w:rPr>
        <w:t>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spacing w:after="100" w:afterAutospacing="1"/>
        <w:rPr>
          <w:noProof/>
          <w:spacing w:val="-2"/>
        </w:rPr>
      </w:pPr>
      <w:r>
        <w:rPr>
          <w:noProof/>
          <w:spacing w:val="-2"/>
        </w:rPr>
        <w:t>Nedostatky, na riešenie ktorých je zameraný tento návrh, boli zistené z operačných skúseností ako aj z výsledkov rozsiahlej konzultácie so zainteresovanými stranami, ktorá sa nedávno uskutočnila v rámci priebežného hodnotenia mechanizmu UCPM</w:t>
      </w:r>
      <w:r>
        <w:rPr>
          <w:rStyle w:val="FootnoteReference"/>
          <w:noProof/>
          <w:spacing w:val="-2"/>
        </w:rPr>
        <w:footnoteReference w:id="8"/>
      </w:r>
      <w:r>
        <w:rPr>
          <w:noProof/>
          <w:spacing w:val="-2"/>
        </w:rPr>
        <w:t>. Všeobecným cieľom konzultácie bolo poskytnúť všetkým zainteresovaným stranám príležitosť vyjadriť svoj názor na výkonnosť mechanizmu UCPM počas prvej polovice jeho vykonávania. Konkrétne ciele boli: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zhromaždiť stanoviská a názory európskych občanov v súvislosti s výsledkami, ktoré doteraz dosiahol mechanizmus UCPM;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určiť význam rôznych priorít na riadenie rizika katastrof, ako je vnímané v celej EÚ;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získať cielenú spätnú väzbu a technickú pomoc od hlavných zainteresovaných strán mechanizmu UCPM;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zhromaždiť dôkazy na podporu priebežného hodnotenia mechanizmu UCPM pre každé z hlavných kritérií hodnotenia.</w:t>
      </w:r>
    </w:p>
    <w:p>
      <w:pPr>
        <w:rPr>
          <w:rFonts w:eastAsia="Arial Unicode MS"/>
          <w:bCs/>
          <w:noProof/>
        </w:rPr>
      </w:pPr>
      <w:r>
        <w:rPr>
          <w:noProof/>
        </w:rPr>
        <w:t>Do konzultačných činností boli zapojené štyri hlavné skupiny zainteresovaných strán: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subjekty vykonávajúce mechanizmus UCPM: orgány členských štátov v oblasti civilnej ochrany, ktoré prispievajú k európskej kapacite pre reakcie na núdzové situácie modulmi a/alebo odborníkmi, iné orgány členských štátov v oblasti civilnej ochrany, orgány zúčastnených štátov v oblasti civilnej ochrany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Style w:val="Tiret0"/>
        <w:rPr>
          <w:noProof/>
        </w:rPr>
      </w:pPr>
      <w:r>
        <w:rPr>
          <w:noProof/>
        </w:rPr>
        <w:t>subjekty ovplyvnené mechanizmom UCPM: hostiteľské krajiny, ktoré získali podporu z mechanizmu UCPM (EÚ, prístupové krajiny, krajiny európskeho susedstva a iné tretie krajiny), Európsky parlament, Výbor regiónov, miestne orgány,</w:t>
      </w:r>
    </w:p>
    <w:p>
      <w:pPr>
        <w:pStyle w:val="Tiret0"/>
        <w:rPr>
          <w:noProof/>
        </w:rPr>
      </w:pPr>
      <w:r>
        <w:rPr>
          <w:noProof/>
        </w:rPr>
        <w:t>subjekty, ktoré vyjadrili záujem o mechanizmus UCPM: iné orgány členských štátov, iné orgány zúčastnených štátov, agentúry OSN, Svetová banka, mimovládne organizácie, súkromný sektor, nadácie atď.,</w:t>
      </w:r>
    </w:p>
    <w:p>
      <w:pPr>
        <w:pStyle w:val="Tiret0"/>
        <w:rPr>
          <w:noProof/>
        </w:rPr>
      </w:pPr>
      <w:r>
        <w:rPr>
          <w:noProof/>
        </w:rPr>
        <w:t>subjekty s odbornými znalosťami týkajúcimi sa mechanizmu UCPM (napr. riadenie rizika katastrof): univerzity/centrá excelentnosti a odborné skupiny (think tanky) predovšetkým zo zúčastnených štátov.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Získavanie a využívanie odborných znalostí</w:t>
      </w:r>
    </w:p>
    <w:p>
      <w:pPr>
        <w:spacing w:after="240"/>
        <w:rPr>
          <w:rFonts w:eastAsia="Arial Unicode MS"/>
          <w:bCs/>
          <w:noProof/>
        </w:rPr>
      </w:pPr>
      <w:r>
        <w:rPr>
          <w:noProof/>
        </w:rPr>
        <w:t>Priebežné hodnotenie, o ktoré sa opiera tento návrh, vykonal externý hodnotiteľ v období od septembra 2016 do júna 2017. Bolo založené na vstupoch získaných počas diskusií so zúčastnenými štátmi (zasadnutia Výboru pre civilnú ochranu, pracovnej skupiny Rady pre civilnú ochranu a generálnych riaditeľov) a zohľadňovalo informácie získané z otvorenej verejnej konzultácie, osobitnej správy Európskeho dvora audítorov o mechanizme UCPM a správy Komisie o pokroku dosiahnutom v rámci európskej kapacity pre reakcie na núdzové situácie a o pretrvávajúcich nedostatkoch.</w:t>
      </w:r>
    </w:p>
    <w:p>
      <w:pPr>
        <w:spacing w:before="60" w:after="60"/>
        <w:rPr>
          <w:noProof/>
        </w:rPr>
      </w:pPr>
      <w:r>
        <w:rPr>
          <w:noProof/>
        </w:rPr>
        <w:t>Hodnotenie pozostávalo z troch fáz: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</w:r>
      <w:r>
        <w:rPr>
          <w:i/>
          <w:noProof/>
        </w:rPr>
        <w:t>úvodnej fázy</w:t>
      </w:r>
      <w:r>
        <w:rPr>
          <w:noProof/>
        </w:rPr>
        <w:t>, ktorá zahŕňala administratívnu kontrolu činností mechanizmu UCPM a rozhovory s referentmi zamerané na vymedzenie rozsahu;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</w:r>
      <w:r>
        <w:rPr>
          <w:i/>
          <w:noProof/>
        </w:rPr>
        <w:t>výskumu</w:t>
      </w:r>
      <w:r>
        <w:rPr>
          <w:noProof/>
        </w:rPr>
        <w:t>, ktorý zahŕňal cielenú konzultáciu s hlavnými zainteresovanými stranami v rámci mechanizmu UCPM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prostredníctvom online prieskumov, osobných a telefonických rozhovorov a tri prípadové štúdie (lesné požiare na Cypre, modulové cvičenie v Estónsku, migračná kríza);</w:t>
      </w:r>
    </w:p>
    <w:p>
      <w:pPr>
        <w:pStyle w:val="Point1"/>
        <w:rPr>
          <w:noProof/>
        </w:rPr>
      </w:pPr>
      <w:r>
        <w:rPr>
          <w:noProof/>
        </w:rPr>
        <w:t>iii)</w:t>
      </w:r>
      <w:r>
        <w:rPr>
          <w:noProof/>
        </w:rPr>
        <w:tab/>
      </w:r>
      <w:r>
        <w:rPr>
          <w:i/>
          <w:noProof/>
        </w:rPr>
        <w:t>analýzy a syntézy</w:t>
      </w:r>
      <w:r>
        <w:rPr>
          <w:noProof/>
        </w:rPr>
        <w:t>, ktorá zahŕňala trianguláciu údajov, vypracovanie záverov a odporúčaní a prípravu návrhu.</w:t>
      </w:r>
    </w:p>
    <w:p>
      <w:pPr>
        <w:spacing w:before="60" w:after="60"/>
        <w:rPr>
          <w:rFonts w:eastAsia="Arial Unicode MS"/>
          <w:bCs/>
          <w:noProof/>
        </w:rPr>
      </w:pPr>
      <w:r>
        <w:rPr>
          <w:noProof/>
        </w:rPr>
        <w:t>Uvedená otvorená verejná konzultácia prebiehala online počas troch mesiacov (november 2016 – február 2017) a v rámci nej približne 130 respondentov z celej Európy poskytlo spätnú väzbu týkajúcu sa mechanizmu UCPM. Správa o výsledkoch otvorenej verejnej konzultácie bola zverejnená na konci marca 2017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Posúdenie vplyvu</w:t>
      </w:r>
    </w:p>
    <w:p>
      <w:pPr>
        <w:pStyle w:val="Text1"/>
        <w:ind w:left="0"/>
        <w:rPr>
          <w:noProof/>
        </w:rPr>
      </w:pPr>
      <w:r>
        <w:rPr>
          <w:noProof/>
        </w:rPr>
        <w:t>Posúdenie vplyvu na doplnenie tohto návrhu sa neuskutočnilo vzhľadom na to, že vykonanie navrhovaných zmien je mimoriadne naliehavé z dôvodu nedostatkov kritických kapacít na európskej úrovni, ktoré sa prejavili predovšetkým v období boja s lesnými požiarmi v roku 2017. Tieto nedostatky výrazne ovplyvnili reakciu EÚ na katastrofy a ich následkom bol vysoký počet obetí, závažný hospodársky vplyv a environmentálne škody.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Regulačná vhodnosť a zjednodušenie</w:t>
      </w:r>
    </w:p>
    <w:p>
      <w:pPr>
        <w:spacing w:before="0" w:after="240"/>
        <w:rPr>
          <w:noProof/>
        </w:rPr>
      </w:pPr>
      <w:r>
        <w:rPr>
          <w:noProof/>
        </w:rPr>
        <w:t>Navrhovaná revízia je z hľadiska rozsahu a charakteru obmedzená, vytvára rovnováhu medzi záujmami členských štátov a je primeraná operačným požiadavkám.</w:t>
      </w:r>
    </w:p>
    <w:p>
      <w:pPr>
        <w:spacing w:before="0" w:after="240"/>
        <w:rPr>
          <w:noProof/>
        </w:rPr>
      </w:pPr>
      <w:r>
        <w:rPr>
          <w:noProof/>
        </w:rPr>
        <w:t>Keďže ide o revíziu existujúceho právneho predpisu, Komisia hľadala príležitosti na zjednodušenie a zníženie záťaže. Aj keď sa identifikovalo niekoľko zjednodušujúcich opatrení, ako je vysvetlené nižšie, nebolo ich možné kvantifikovať vzhľadom na obmedzenú dostupnosť údajov v krátkom časovom rámci.</w:t>
      </w:r>
    </w:p>
    <w:p>
      <w:pPr>
        <w:spacing w:before="0" w:after="240"/>
        <w:rPr>
          <w:noProof/>
        </w:rPr>
      </w:pPr>
      <w:r>
        <w:rPr>
          <w:noProof/>
        </w:rPr>
        <w:t>Tento návrh odstraňuje byrokraciu zavedením osobitného odkazu na použitie jednotkových súm, jednorazových platieb a paušálnych sadzieb v súvislosti so spolufinancovaním nákladov na dopravu. Okrem toho zjednodušuje existujúce administratívne postupy racionalizáciou pravidiel spolufinancovania.</w:t>
      </w:r>
    </w:p>
    <w:p>
      <w:pPr>
        <w:spacing w:before="0" w:after="240"/>
        <w:rPr>
          <w:noProof/>
        </w:rPr>
      </w:pPr>
      <w:r>
        <w:rPr>
          <w:noProof/>
        </w:rPr>
        <w:t>Tento návrh vo všeobecnosti predstavuje úsilie aktualizovať operatívne postupy, aby boli vhodné na daný účel, pružné, zrozumiteľné a jednoducho uplatniteľné, čím v prípade potreby zabezpečí členským štátom prístup k podpore z mechanizmu Únie. Nedávne katastrofy napríklad ukázali, že Únia nie je dostatočne vybavená pre prípad núdzových situácií s ďalekosiahlym vplyvom postihujúcim niekoľko členských štátov súčasne (napr. lesné požiare, udalosti spojené s extrémnym počasím, rozsiahle záplavy, zemetrasenia, epidémie – ako je ebola –, teroristické útoky). V takýchto prípadoch členské štáty nie sú vždy schopné poskytnúť pomoc.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Ako sa uvádza v článku 19 rozhodnutia č. 1313/2013/EÚ, finančné krytie na vykonávanie mechanizmu Únie počas obdobia viacročného finančného rámca na roky 2014 – 2020 je 368,4 milióna EUR. Táto suma pozostáva z príspevku vo výške 223,8 milióna EUR z okruhu 3 „Bezpečnosť a občianstvo“ a 144,6 milióna EUR z okruhu 4 „Globálna Európa“. Okrem toho administratívne nálady a náklady na ľudské zdroje sú zahrnuté v okruhu 5 v približnej celkovej výške 52,5 milióna EUR.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 to, aby bolo možné dosiahnuť ciele stanovené v oddiele 1, konkrétne:</w:t>
      </w:r>
    </w:p>
    <w:p>
      <w:pPr>
        <w:pStyle w:val="Tiret0"/>
        <w:rPr>
          <w:noProof/>
        </w:rPr>
      </w:pPr>
      <w:r>
        <w:rPr>
          <w:noProof/>
        </w:rPr>
        <w:t>posilnenie kolektívnej kapacity členských štátov a Únie reagovať na katastrofy vytvorením vyhradenej rezervy kapacít v oblasti reakcie, pričom velenie a riadenie vykonáva Komisia (rescEU),</w:t>
      </w:r>
    </w:p>
    <w:p>
      <w:pPr>
        <w:pStyle w:val="Tiret0"/>
        <w:rPr>
          <w:noProof/>
        </w:rPr>
      </w:pPr>
      <w:r>
        <w:rPr>
          <w:noProof/>
        </w:rPr>
        <w:t>vyššia miera spolufinancovania kapacít (75 %), ktoré budú k dispozícii v rámci európskeho zoskupenia. To zahŕňa náklady na adaptáciu, opravu, dopravné a operačné náklady,</w:t>
      </w:r>
    </w:p>
    <w:p>
      <w:pPr>
        <w:pStyle w:val="Tiret0"/>
        <w:rPr>
          <w:noProof/>
        </w:rPr>
      </w:pPr>
      <w:r>
        <w:rPr>
          <w:noProof/>
        </w:rPr>
        <w:t>posilnenie zamerania na prevenciu a posilnenie súdržnosti s inými kľúčovými politikami EÚ a</w:t>
      </w:r>
    </w:p>
    <w:p>
      <w:pPr>
        <w:pStyle w:val="Tiret0"/>
        <w:rPr>
          <w:noProof/>
        </w:rPr>
      </w:pPr>
      <w:r>
        <w:rPr>
          <w:noProof/>
        </w:rPr>
        <w:t>posilnenie spolupráce so susednými krajinami,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sa v tomto návrhu predpokladá celkové zvýšenie finančného krytia v rámci mechanizmu UCPM na roky 2018 – 2020 o dodatočných 280 miliónov EUR.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vykonávania a spôsob monitorovania, hodnotenia a podávania správ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cs="EUAlbertina"/>
          <w:noProof/>
          <w:sz w:val="19"/>
          <w:szCs w:val="19"/>
        </w:rPr>
      </w:pPr>
      <w:r>
        <w:rPr>
          <w:noProof/>
        </w:rPr>
        <w:t xml:space="preserve">Uplatňuje sa článok 34 ods. 2 rozhodnutia č. 1313/2013/EÚ o mechanizme Únie v oblasti civilnej ochrany. Uvádza sa v ňom, že opatrenia, na ktoré sa poskytuje finančná pomoc, sa pravidelne monitorujú s cieľom sledovať ich vykonávanie. Ďalej sa v ňom uvádzajú aj všeobecnejšie požiadavky na Komisiu, aby vyhodnotila uplatňovanie rozhodnutia a predložila správu o priebežnom hodnotení a správu o hodnotení </w:t>
      </w:r>
      <w:r>
        <w:rPr>
          <w:i/>
          <w:noProof/>
        </w:rPr>
        <w:t>ex post</w:t>
      </w:r>
      <w:r>
        <w:rPr>
          <w:noProof/>
        </w:rPr>
        <w:t>, ako aj oznámenie o vykonávaní rozhodnutia. Tieto hodnotenia by mali byť založené na ukazovateľoch stanovených v článku 3 uvedeného rozhodnutia.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vysvetlenie konkrétnych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Týmto návrhom sa mení obmedzený počet článkov rozhodnutia č. 1313/2013/EÚ s cieľom dosiahnuť stanovené ciele.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Prvý cieľ, t. j. posilnenie kolektívnej kapacity reagovať na katastrofy a podpora členských štátov pri riešení katastrof, ktoré v posledných rokoch čoraz častejšie postihujú sociálnu štruktúru Európy (letecké protipožiarne kapacity, vysokokapacitné odčerpávanie, pátracia a záchranná činnosť v mestskom prostredí, poľné nemocnice a pohotovostné lekárske tímy), sa dosiahne týmto spôsobom:</w:t>
      </w:r>
    </w:p>
    <w:p>
      <w:pPr>
        <w:pStyle w:val="Tiret0"/>
        <w:rPr>
          <w:noProof/>
        </w:rPr>
      </w:pPr>
      <w:r>
        <w:rPr>
          <w:noProof/>
        </w:rPr>
        <w:t>Vytvorením vyhradenej rezervy prostriedkov: rescEU. Tento návrh výslovne umožňuje Komisii získať vlastné operačné kapacity a pripraviť opatrenia na zabezpečenie rýchleho prístupu k týmto kapacitám s cieľom vytvoriť vyhradenú rezervu prostriedkov, ktoré pomôžu odstrániť existujúce nedostatky na vnútroštátnej úrovni. Kapacity prenajaté alebo získané na lízing prostredníctvom dojednaní EÚ alebo nadobudnuté s plným financovaním EÚ sa stanú súčasťou rescEU. Všetky náklady na tieto kapacity budú plne kryté financovaním EÚ, ktorá si zachová operačné velenie a kontrolu nad týmito prostriedkami a po spustení mechanizmu bude rozhodovať o ich využití. Dodatočné kapacity sa identifikujú na základe konzultácie so skupinou odborníkov rescEU.</w:t>
      </w:r>
    </w:p>
    <w:p>
      <w:pPr>
        <w:pStyle w:val="Tiret0"/>
        <w:rPr>
          <w:noProof/>
        </w:rPr>
      </w:pPr>
      <w:r>
        <w:rPr>
          <w:noProof/>
        </w:rPr>
        <w:t>Posilnením európskej kapacity pre reakcie na núdzové situácie, pričom členské štáty môžu vopred poskytnúť vnútroštátne kapacity v oblasti reakcie [napr. zisťovanie prítomnosti chemických, biologických, rádiologických a jadrových látok a odber vzoriek (CBRN), čistenie vody, pozemné hasenie lesných požiarov, záchrana pred povodňami s využitím člnov a ďalšie kapacity, napr. mobilné laboratóriá], ktorá bude naďalej hlavným prvkom mechanizmu UCPM a bude teraz známa ako „európske zoskupenie v oblasti civilnej ochrany“. Tento návrh reviduje systém stimulov na poskytovanie prostriedkov pre európske zoskupenie v oblasti civilnej ochrany zvýšením mier spolufinancovania, ako aj druhov oprávnených nákladov. Podľa nového návrhu prostriedky poskytnuté európskemu zoskupeniu v oblasti civilnej ochrany budú využívať 75 % pokrytie všetkých nákladov vynaložených počas operácií v rámci mechanizmu UCPM v Únii vrátane nákladov na adaptáciu, opravu a dopravu a operačných nákladov.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Kapacity, ktoré budú využívať akýkoľvek druh spolufinancovania EÚ, bude potrebné zahrnúť do európskeho zoskupenia v oblasti civilnej ochrany. S cieľom zjednodušiť systém a zabezpečiť lepšiu predvídateľnosť dostupnosti prostriedkov sa už viac nebude poskytovať finančná pomoc na prostriedky mimo európskeho zoskupenia v oblasti civilnej ochrany. Zahrnuli sa aj posilnené stimuly na zoskupovanie kapacít (napr. Komisia pokryje náklady na dopravu budúcej zoskupenej pomoci z jedného členského štátu do druhého a náklady na tranzit a skladovanie zoskupenej pomoci v tretích krajinách).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Pokiaľ ide o druhý cieľ, prepojenie medzi prevenciou, pripravenosťou a reakciou bolo posilnené prepojením posudzovania rizika s plánovaním riadenia rizika a požiadavkou, aby členské štáty predložili Komisii svoje plány riadenia rizík najneskôr do 31. januára 2019. S cieľom zabezpečiť, aby všetky členské štáty mali zavedené účinné preventívne opatrenia a aby sa systém rescEU nevyužíval ako náhrada za vnútroštátne kapacity, Komisia bude môcť požadovať od jedného alebo viacerých členských štátov vypracovanie osobitných plánov prevencie a pripravenosti. Plány prevencie musia okrem krátkodobých preventívnych opatrení zahŕňať aj dlhodobé úsilie v oblasti prevencie a mať na zreteli celkové prispôsobovanie sa čoraz väčším vplyvom zmeny klímy. Okrem toho by budúce plánovanie scenárov malo byť založené na posúdení rizika a nasadení kapacít, čím sa vytvorí silnejšie skutočné prepojenie medzi prevenciou, pripravenosťou a reakciou.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Posilní sa aj súdržnosť s ostatnými nástrojmi Únie v oblasti prevencie a riadenia rizika katastrof vytvorením prepojenia medzi týmto mechanizmom a politikou súdržnosti, politikou rozvoja vidieka a politikou v oblasti zdravia a výskumu. Pokrok, ktorý členské štáty dosiahnu v oblasti prevencie a pripravenosti, bude základom rozhodnutí o financovaní v tejto oblasti. Okrem toho, pokiaľ ide o súdržnosť s inými politikami EÚ, ktoré sú zapojené do reakcie na katastrofy, zlepší sa aj komplementárnosť a/alebo synchronizácia finančnej pomoci dostupnej v rámci mechanizmu Únie a iných nástrojov Únie (ako je nariadenie o humanitárnej pomoci). V tomto kontexte sa odchýlkou od článku 129 ods. 1 nariadenia (EÚ, Euratom) č. 966/2012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zabezpečí lepšie využívanie existujúcich možností financovania a zlepší sa účinnosť operácií reakcie členských štátov. Viditeľnosť EÚ sa posilní aj prostredníctvom vyhradeného článku.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 súvislosti s druhým cieľom a s úmyslom presadiť väčšiu súdržnosť politiky tento návrh zahŕňa aj ustanovenia, ktoré majú zabezpečiť, aby čerpanie prostriedkov EÚ prostredníctvom mechanizmu Únie sprevádzala primeraná viditeľnosť Únie. V podobnej súvislosti tento návrh vytvára aj priestor pre rozvoj vyhradenej sieťovej štruktúry, vedomostnej siete Únie v oblasti civilnej ochrany, ktorá posilní zložku odbornej prípravy mechanizmu UCPM v úzkej spolupráci s existujúcimi príslušnými vnútroštátnymi štruktúrami v tejto oblasti.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Nakoniec, pokiaľ ide o tretí cieľ, v návrhu sa vyjadruje úsilie zjednodušiť administratívne postupy s cieľom obmedziť oneskorenia pri poskytovaní pomoci. Súčasný systém sa zjednoduší zavedením len jednej kategórie prostriedkov v oblasti reakcie, ktorých použitie si vyžaduje spolufinancovanie členskými štátmi a z rozpočtu EÚ, t. j. európskeho zoskupenia v oblasti civilnej ochrany. V súvislosti so spolufinancovaním nákladov na dopravu sa zavádza osobitný odkaz na použitie jednotkových súm, jednorazových platieb a paušálnych sadzieb s cieľom zlepšiť konzistentnosť a efektívnosť. Okrem toho boli zahrnuté osobitné ustanovenia, ktorými sa aktivovanie mechanizmu Únie obmedzuje na obdobie 90 dní (ak nie je odôvodnené inak), s cieľom objasniť rozsah pôsobnosti a prispieť k stimulácii využitia prostriedkov vo fáze okamžitej reakcie.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2017/0309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EURÓPSKEHO PARLAMENTU A RADY,</w:t>
      </w:r>
    </w:p>
    <w:p>
      <w:pPr>
        <w:pStyle w:val="Titreobjet"/>
        <w:rPr>
          <w:noProof/>
        </w:rPr>
      </w:pPr>
      <w:r>
        <w:rPr>
          <w:noProof/>
        </w:rPr>
        <w:t>ktorým sa mení rozhodnutie č. 1313/2013/EÚ o mechanizme Únie v oblasti civilnej ochrany</w:t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 196,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Výboru regiónov,</w:t>
      </w:r>
    </w:p>
    <w:p>
      <w:pPr>
        <w:rPr>
          <w:noProof/>
        </w:rPr>
      </w:pPr>
      <w:r>
        <w:rPr>
          <w:noProof/>
        </w:rPr>
        <w:t>konajúc v súlade s 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Mechanizmom Únie v oblasti civilnej ochrany (ďalej len „mechanizmus Únie“) upraveným rozhodnutím Európskeho parlamentu a Rady č. 1313/2013/EÚ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sa posilňuje spolupráca medzi Úniou a členskými štátmi a uľahčuje koordinácia v oblasti civilnej ochrany v záujme zlepšenia reakcie Únie na prírodné katastrofy a katastrofy spôsobené ľudskou činnosťou.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Zatiaľ čo mechanizmus Únie uznáva primárnu zodpovednosť členských štátov za predchádzanie prírodným katastrofám a katastrofám spôsobeným ľudskou činnosťou a za prípravu a reakciu na ne, zároveň podporuje solidaritu medzi členskými štátmi v súlade s článkom 3 ods. 3 Zmluvy o Európskej únii.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K prírodným katastrofám a katastrofám spôsobeným ľudskou činnosťou môže dôjsť kedykoľvek a kdekoľvek vo svete, často bez varovania. Či už sú katastrofy prírodné alebo spôsobené ľudskou činnosťou, sú čoraz častejšie, extrémnejšie a komplexnejšie, pričom ich zhoršuje vplyv zmeny klímy a postihujú územia bez ohľadu na štátne hranice. Dôsledky, ktoré z katastrof vyplývajú pre ľudí, životné prostredie a hospodárstvo, môžu byť obrovské.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Nedávne skúsenosti ukázali, že spoliehanie sa na dobrovoľné ponuky vzájomnej pomoci –koordinovanej a uľahčovanej mechanizmom Únie – nie vždy zabezpečuje, aby boli k dispozícii dostatočné kapacity na uspokojivé riešenie základných potrieb osôb postihnutých katastrofami, ani náležitú ochranu životného prostredia a majetku. Platí to najmä vtedy, keď sú členské štáty súčasne postihnuté opakujúcimi sa katastrofami a kolektívna kapacita nie je dostatočná.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Prevencia má kľúčový význam pre ochranu pred katastrofami a vyžaduje si ďalšie opatrenia. Na tento účel by členské štáty mali pravidelne sprístupňovať svoje posúdenia rizík, ako aj zhrnutia svojho plánovania riadenia rizík v prípade katastrof, aby sa zabezpečil integrovaný prístup k zvládaniu katastrof, v ktorom sa spájajú opatrenia týkajúce sa prevencie rizík, pripravenosti a reakcie na ne. Okrem toho by Komisia mala mať možnosť požadovať od členských štátov, aby poskytli osobitné plány prevencie a pripravenosti v súvislosti s konkrétnymi katastrofami, najmä s cieľom maximalizovať celkovú podporu Únie, pokiaľ ide o riadenie rizika katastrof. Mala by sa znížiť administratívna záťaž a mali by sa posilniť politiky prevencie, a to aj zabezpečením potrebných prepojení s ostatnými kľúčovými politikami a nástrojmi Únie, najmä so štrukturálnymi a investičnými fondmi, ako sa uvádza v odôvodnení 2 nariadenia (EÚ) č. 1303/2013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Existuje potreba posilniť kolektívnu schopnosť pripraviť sa a reagovať na katastrofy, a to najmä vzájomnou podporou v Európe. Okrem posilnenia možností, ktoré už poskytuje európska kapacita pre reakcie na núdzové situácie (ďalej len „EERC“ alebo „dobrovoľné zoskupenie“), odteraz nazývaná „európske zoskupenie v oblasti civilnej ochrany“, by Komisia mala vytvoriť aj rescEU. Súčasťou rescEU by mali byť aj kapacity pre reakcie na núdzové situácie určené na boj proti prírodným požiarom, rozsiahlym záplavám a zemetraseniam, ako aj poľné nemocnice a lekárske tímy v súlade s normami Svetovej zdravotníckej organizácie, ktoré by mohli byť rýchlo nasadené.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Únia by mala byť schopná podporovať členské štáty, ak dostupné kapacity nie sú dostatočné na umožnenie účinnej reakcie na katastrofy, a to prispievaním k financovaniu lízingu alebo prenájmu, ktorými sa zabezpečí rýchly prístup k takýmto kapacitám, alebo financovaním ich nadobudnutia. To by podstatným spôsobom zvýšilo účinnosť mechanizmu Únie tým, že by sa zabezpečila dostupnosť kapacít v prípadoch, v ktorých by inak nebolo možné zabezpečiť účinnú reakciu na katastrofy, najmä pokiaľ ide o katastrofy so širokým spektrom dosahov na značný počet členských štátov. Obstarávanie kapacít Úniou by malo viesť k úsporám z rozsahu a lepšej koordinácii pri reakcii na katastrofy.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Posilnenie európskeho zoskupenia v oblasti civilnej ochrany si vyžaduje väčšie financovanie Únie, pokiaľ ide o adaptáciu a opravu kapacít, ako aj operačné náklady.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Aby sa zlepšila efektívnosť a účinnosť odbornej prípravy a posilnila sa spolupráca medzi vnútroštátnymi orgánmi a útvarmi v oblasti civilnej ochrany, je potrebné vytvoriť vedomostnú sieť Únie v oblasti civilnej ochrany, ktorá bude založená na existujúcich štruktúrach.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Aby sa dosiahlo fungovanie kapacity rescEU, mali by sa dať k dispozícii dodatočné finančné prostriedky na financovanie opatrení v rámci mechanizmu Únie.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Treba zjednodušiť postupy mechanizmu Únie, aby sa zabezpečil čo najrýchlejší prístup členských štátov k pomoci a ku kapacitám, ktoré sú potrebné na reakciu na prírodné katastrofy alebo katastrofy spôsobené ľudskou činnosťou.</w:t>
      </w:r>
    </w:p>
    <w:p>
      <w:pPr>
        <w:pStyle w:val="ManualConsidrant"/>
        <w:rPr>
          <w:bCs/>
          <w:noProof/>
        </w:rPr>
      </w:pPr>
      <w:r>
        <w:t>(12)</w:t>
      </w:r>
      <w:r>
        <w:tab/>
      </w:r>
      <w:r>
        <w:rPr>
          <w:noProof/>
        </w:rPr>
        <w:t>S cieľom maximalizovať využitie existujúcich nástrojov financovania a podpory členských štátov pri poskytovaní pomoci, najmä v reakcii na katastrofy mimo Únie, by sa mala stanoviť odchýlka od článku 129 ods. 1 nariadenia Európskeho parlamentu a Rady (EÚ, Euratom) č. 966/2012</w:t>
      </w:r>
      <w:r>
        <w:rPr>
          <w:rStyle w:val="FootnoteReference"/>
          <w:noProof/>
        </w:rPr>
        <w:footnoteReference w:id="15"/>
      </w:r>
      <w:r>
        <w:rPr>
          <w:noProof/>
        </w:rPr>
        <w:t>, ak sa poskytuje financovanie podľa článkov 21, 22 a 23 rozhodnutia č. 1313/2013/EÚ.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Je dôležité zabezpečiť, aby členské štáty prijali všetky potrebné opatrenia na účinné zabraňovanie prírodným katastrofám a katastrofám spôsobeným ľudskou činnosťou a na zmierňovanie ich účinkov. Ustanovenia by mali posilniť väzby medzi opatreniami týkajúcimi sa prevencie, pripravenosti a reakcie v rámci mechanizmu Únie. Mala by sa zabezpečiť aj súdržnosť s inými relevantnými právnymi predpismi Únie v oblasti prevencie a riadenia rizika katastrof vrátane cezhraničných preventívnych opatrení a reakcie na hrozby, ako sú závažné cezhraničné ohrozenia zdravia</w:t>
      </w:r>
      <w:r>
        <w:rPr>
          <w:rStyle w:val="FootnoteReference"/>
          <w:noProof/>
        </w:rPr>
        <w:footnoteReference w:id="16"/>
      </w:r>
      <w:r>
        <w:rPr>
          <w:noProof/>
        </w:rPr>
        <w:t>. Podobne by sa mal zabezpečiť súlad s medzinárodnými záväzkami, ako je napríklad sendaiský rámec pre znižovanie rizika katastrof na roky 2015 – 2030, Parížska dohoda a program trvalo udržateľného rozvoja do roku 2030.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Malo by sa zmeniť delegovanie právomoci udelenej Komisii rozhodnutím č. 1313/2013/EÚ s cieľom umožniť účinnú kapacitu núdzovej podpory pre Európsku úniu (rescEU). Právomoc prijímať akty v súlade s článkom 290 Zmluvy o fungovaní Európskej únie by sa mala delegovať na Komisiu s cieľom vymedziť dodatočné druhy kapacít v oblasti reakcie na základe zistených rizík a so zohľadnením prístupu zameraného na viacnásobné nebezpečenstvo.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Keďže ciele tohto rozhodnutia nie je možné uspokojivo dosiahnuť na úrovni členských štátov, ale z dôvodov jeho rozsahu alebo dôsledkov ich možno lepšie dosiahnuť na úrovni Únie, môže Únia prijať opatrenia v súlade so zásadou subsidiarity podľa článku 5 Zmluvy o Európskej únii. V súlade so zásadou proporcionality podľa uvedeného článku toto rozhodnutie neprekračuje rámec nevyhnutný na dosiahnutie uvedených cieľov.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Rozhodnutie č. 1313/2013/EÚ by sa preto malo zodpovedajúcim spôsobom zmeniť,</w:t>
      </w:r>
    </w:p>
    <w:p>
      <w:pPr>
        <w:pStyle w:val="Formuledadoption"/>
        <w:rPr>
          <w:noProof/>
        </w:rPr>
      </w:pPr>
      <w:r>
        <w:rPr>
          <w:noProof/>
        </w:rPr>
        <w:t>PRIJALI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Rozhodnutie č. 1313/2013/EÚ sa týmto mení takto: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Článok 3 sa mení takto:</w:t>
      </w:r>
    </w:p>
    <w:p>
      <w:pPr>
        <w:pStyle w:val="Point0"/>
        <w:ind w:firstLine="0"/>
        <w:rPr>
          <w:noProof/>
        </w:rPr>
      </w:pPr>
      <w:r>
        <w:rPr>
          <w:noProof/>
        </w:rPr>
        <w:t>a) V odseku 1 sa dopĺňa toto písmeno e):</w:t>
      </w:r>
    </w:p>
    <w:p>
      <w:pPr>
        <w:pStyle w:val="Point0"/>
        <w:ind w:firstLine="0"/>
        <w:rPr>
          <w:noProof/>
        </w:rPr>
      </w:pPr>
      <w:r>
        <w:rPr>
          <w:noProof/>
        </w:rPr>
        <w:t>„e)</w:t>
      </w:r>
      <w:r>
        <w:rPr>
          <w:noProof/>
        </w:rPr>
        <w:tab/>
        <w:t>zvýšiť dostupnosť a využívanie vedeckých poznatkov o katastrofách.“;</w:t>
      </w:r>
    </w:p>
    <w:p>
      <w:pPr>
        <w:pStyle w:val="Point0"/>
        <w:ind w:firstLine="0"/>
        <w:rPr>
          <w:noProof/>
        </w:rPr>
      </w:pPr>
      <w:r>
        <w:rPr>
          <w:noProof/>
        </w:rPr>
        <w:t>b) V odseku 2 sa písmeno a) nahrádza takto:</w:t>
      </w:r>
    </w:p>
    <w:p>
      <w:pPr>
        <w:pStyle w:val="Point1"/>
        <w:rPr>
          <w:noProof/>
        </w:rPr>
      </w:pPr>
      <w:r>
        <w:rPr>
          <w:noProof/>
        </w:rPr>
        <w:t>„a)</w:t>
      </w:r>
      <w:r>
        <w:rPr>
          <w:noProof/>
        </w:rPr>
        <w:tab/>
        <w:t>pokrok vo vykonávaní rámca prevencie katastrof: meraný počtom členských štátov, ktoré sprístupnili Komisii svoje posúdenia rizík, posúdenie svojej spôsobilosti na riadenie rizík a zhrnutie svojho plánovania riadenia rizík v prípade katastrof, ako sa uvádza v článku 6;“.</w:t>
      </w:r>
    </w:p>
    <w:p>
      <w:pPr>
        <w:pStyle w:val="Point0"/>
        <w:keepNext/>
        <w:keepLines/>
        <w:rPr>
          <w:noProof/>
        </w:rPr>
      </w:pPr>
      <w:r>
        <w:rPr>
          <w:noProof/>
        </w:rPr>
        <w:t>2.</w:t>
      </w:r>
      <w:r>
        <w:rPr>
          <w:noProof/>
        </w:rPr>
        <w:tab/>
        <w:t>V článku 4 sa dopĺňa tento bod 12:</w:t>
      </w:r>
    </w:p>
    <w:p>
      <w:pPr>
        <w:pStyle w:val="Point1"/>
        <w:keepNext/>
        <w:keepLines/>
        <w:ind w:firstLine="0"/>
        <w:rPr>
          <w:noProof/>
        </w:rPr>
      </w:pPr>
      <w:r>
        <w:rPr>
          <w:noProof/>
        </w:rPr>
        <w:t>„12. „zúčastnený štát“ je tretia krajina, ktorá sa zúčastňuje na mechanizme Únie v súlade s článkom 28 ods. 1.“</w:t>
      </w:r>
    </w:p>
    <w:p>
      <w:pPr>
        <w:pStyle w:val="Point0"/>
        <w:keepNext/>
        <w:keepLines/>
        <w:rPr>
          <w:noProof/>
        </w:rPr>
      </w:pPr>
      <w:r>
        <w:rPr>
          <w:noProof/>
        </w:rPr>
        <w:t>3.</w:t>
      </w:r>
      <w:r>
        <w:rPr>
          <w:noProof/>
        </w:rPr>
        <w:tab/>
        <w:t>V článku 5 ods. 1 sa písmeno a) nahrádza takto:</w:t>
      </w:r>
    </w:p>
    <w:p>
      <w:pPr>
        <w:pStyle w:val="Point0"/>
        <w:ind w:left="1570"/>
        <w:rPr>
          <w:noProof/>
        </w:rPr>
      </w:pPr>
      <w:r>
        <w:rPr>
          <w:noProof/>
        </w:rPr>
        <w:t>„a)</w:t>
      </w:r>
      <w:r>
        <w:rPr>
          <w:noProof/>
        </w:rPr>
        <w:tab/>
        <w:t>prijíma opatrenia na zlepšenie vedomostnej základne o rizikách katastrof a napomáha spoločné využívanie vedomostí, výsledkov vedeckého výskumu, najlepších postupov a informácií, a to aj medzi členskými štátmi, ktoré čelia spoločným rizikám;“.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Článok 6 sa mení takto:</w:t>
      </w:r>
    </w:p>
    <w:p>
      <w:pPr>
        <w:pStyle w:val="Point0"/>
        <w:ind w:firstLine="0"/>
        <w:rPr>
          <w:noProof/>
        </w:rPr>
      </w:pPr>
      <w:r>
        <w:rPr>
          <w:noProof/>
        </w:rPr>
        <w:t>a)</w:t>
      </w:r>
      <w:r>
        <w:rPr>
          <w:noProof/>
        </w:rPr>
        <w:tab/>
        <w:t>Písmená a) a b) sa nahrádzajú takto:</w:t>
      </w:r>
    </w:p>
    <w:p>
      <w:pPr>
        <w:pStyle w:val="Point1"/>
        <w:rPr>
          <w:noProof/>
        </w:rPr>
      </w:pPr>
      <w:r>
        <w:rPr>
          <w:noProof/>
        </w:rPr>
        <w:t>„a)</w:t>
      </w:r>
      <w:r>
        <w:rPr>
          <w:noProof/>
        </w:rPr>
        <w:tab/>
        <w:t>vypracúvajú posúdenia rizík na vnútroštátnej úrovni alebo vhodnej úrovni, ktorá je nižšia ako vnútroštátna úroveň, a sprístupňujú ich Komisii, a to do 22. decembra 2018 a potom každé tri roky;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rozvíjajú a skvalitňujú svoje plánovanie riadenia rizík v prípade katastrof na vnútroštátnej úrovni alebo vhodnej úrovni, ktorá je nižšia ako vnútroštátna úroveň, a to na základe posúdenia rizík uvedených v písmene a) a s prihliadnutím na posúdenie svojej spôsobilosti na riadenie rizík uvedenej v písmene c) a na prehľad rizík uvedený v článku 5 ods. 1 písmene c).“;</w:t>
      </w:r>
    </w:p>
    <w:p>
      <w:pPr>
        <w:pStyle w:val="Point1"/>
        <w:ind w:left="130" w:firstLine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>Dopĺňa sa tento druhý pododsek:</w:t>
      </w:r>
    </w:p>
    <w:p>
      <w:pPr>
        <w:pStyle w:val="Point1"/>
        <w:ind w:firstLine="0"/>
        <w:rPr>
          <w:noProof/>
        </w:rPr>
      </w:pPr>
      <w:r>
        <w:rPr>
          <w:noProof/>
        </w:rPr>
        <w:t xml:space="preserve">„Komisii sa poskytuje zhrnutie relevantných prvkov plánovania riadenia rizík vrátane informácií o vybraných opatreniach v oblasti prevencie a pripravenosti, a to do 31. januára 2019 a potom každé tri roky. Okrem toho Komisia môže od členských štátov požadovať, aby poskytli osobitné plány prevencie a pripravenosti, ktoré budú zahŕňať krátkodobé aj dlhodobé úsilie. Únia náležite prihliada na pokrok dosiahnutý členskými štátmi v oblasti prevencie katastrof a pripravenosti na ne ako súčasť akéhokoľvek budúceho mechanizmu </w:t>
      </w:r>
      <w:r>
        <w:rPr>
          <w:i/>
          <w:noProof/>
        </w:rPr>
        <w:t>ex ante</w:t>
      </w:r>
      <w:r>
        <w:rPr>
          <w:noProof/>
        </w:rPr>
        <w:t xml:space="preserve"> kondicionality v rámci európskych štrukturálnych a investičných fondov;“;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Dopĺňa sa toto písmeno e):</w:t>
      </w:r>
    </w:p>
    <w:p>
      <w:pPr>
        <w:pStyle w:val="Point1"/>
        <w:rPr>
          <w:noProof/>
        </w:rPr>
      </w:pPr>
      <w:r>
        <w:rPr>
          <w:noProof/>
        </w:rPr>
        <w:t>„e)</w:t>
      </w:r>
      <w:r>
        <w:rPr>
          <w:noProof/>
        </w:rPr>
        <w:tab/>
        <w:t>Komisia môže takisto vytvoriť osobitné konzultačné mechanizmy na podporu plánovania a koordinácie vhodnej prevencie a pripravenosti medzi členskými štátmi vystavenými podobným typom katastrof.“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V článku 10 sa odsek 1 nahrádza takto:</w:t>
      </w:r>
    </w:p>
    <w:p>
      <w:pPr>
        <w:pStyle w:val="Point1"/>
        <w:rPr>
          <w:noProof/>
        </w:rPr>
      </w:pPr>
      <w:r>
        <w:rPr>
          <w:noProof/>
        </w:rPr>
        <w:t>„1.</w:t>
      </w:r>
      <w:r>
        <w:rPr>
          <w:noProof/>
        </w:rPr>
        <w:tab/>
        <w:t>Komisia a členské štáty spolupracujú na zlepšení plánovania operácií reakcie na katastrofy v rámci mechanizmu Únie, a to aj prostredníctvom zostavovania scenárov pre reakcie na katastrofy na základe posúdení rizík uvedených v článku 6 písm. a) a prehľadu rizík uvedeného v článku 5 ods. 1 písm. c), mapovania prostriedkov a vytvárania plánov na nasadzovanie kapacít v oblasti reakcie.“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Článok 11 sa mení takto:</w:t>
      </w:r>
    </w:p>
    <w:p>
      <w:pPr>
        <w:pStyle w:val="Point0"/>
        <w:ind w:firstLine="0"/>
        <w:rPr>
          <w:noProof/>
        </w:rPr>
      </w:pPr>
      <w:r>
        <w:rPr>
          <w:noProof/>
        </w:rPr>
        <w:t>a)</w:t>
      </w:r>
      <w:r>
        <w:rPr>
          <w:noProof/>
        </w:rPr>
        <w:tab/>
        <w:t>Názov sa nahrádza takto: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„Európske zoskupenie v oblasti civilnej ochrany“</w:t>
      </w:r>
    </w:p>
    <w:p>
      <w:pPr>
        <w:pStyle w:val="Point0"/>
        <w:ind w:firstLine="0"/>
        <w:rPr>
          <w:b/>
          <w:noProof/>
        </w:rPr>
      </w:pPr>
      <w:r>
        <w:rPr>
          <w:noProof/>
        </w:rPr>
        <w:t>b) Odseky 1 a 2 sa nahrádzajú takto:</w:t>
      </w:r>
    </w:p>
    <w:p>
      <w:pPr>
        <w:pStyle w:val="Point1"/>
        <w:rPr>
          <w:noProof/>
        </w:rPr>
      </w:pPr>
      <w:r>
        <w:rPr>
          <w:noProof/>
        </w:rPr>
        <w:t>„1.</w:t>
      </w:r>
      <w:r>
        <w:rPr>
          <w:noProof/>
        </w:rPr>
        <w:tab/>
        <w:t>Vytvorí sa európske zoskupenie v oblasti civilnej ochrany. Bude pozostávať zo zoskupenia kapacít v oblasti reakcie vopred poskytnutých členských štátmi vrátane modulov, iných kapacít v oblasti reakcie a odborníkov.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Komisia na základe zistených rizík vymedzí druhy a počet kľúčových kapacít v oblasti reakcie potrebných pre európske zoskupenie v oblasti civilnej ochrany (ďalej len „ciele kapacity“). Komisia monitoruje pokrok dosahovaný pri plnení cieľov kapacity a pretrvávajúce nedostatky a vyzýva členské štáty na riešenie takýchto nedostatkov. Komisia môže členským štátom poskytovať podporu v súlade s článkom 20, článkom 21 ods. 1 bodom i) a článkom 21 ods. 2.“;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Odseky 7 a 8 sa nahrádzajú takto:</w:t>
      </w:r>
    </w:p>
    <w:p>
      <w:pPr>
        <w:pStyle w:val="Point1"/>
        <w:rPr>
          <w:noProof/>
        </w:rPr>
      </w:pPr>
      <w:r>
        <w:rPr>
          <w:noProof/>
        </w:rPr>
        <w:t>„7.</w:t>
      </w:r>
      <w:r>
        <w:rPr>
          <w:noProof/>
        </w:rPr>
        <w:tab/>
        <w:t>Kapacity v oblasti reakcie, ktoré členské štáty sprístupnia pre európske zoskupenie v oblasti civilnej ochrany, sú k dispozícii pre operácie reakcie v rámci mechanizmu Únie, a to na žiadosť o pomoc prostredníctvom ERCC, s výnimkou prípadov, keď členské štáty čelia výnimočnej situácii, ktorá podstatným spôsobom ovplyvňuje plnenie vnútroštátnych úloh.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V prípade nasadenia v rámci takejto reakcie zostávajú uvedené kapacity pod velením a kontrolou členských štátov, ktoré ich sprístupňujú, a možno ich stiahnuť, ak členské štáty čelia výnimočnej situácii, ktorá podstatným spôsobom ovplyvňuje plnenie vnútroštátnych úloh a bráni im v tom, aby tieto kapacity v oblasti reakcie ponechali k dispozícii. V takých prípadoch sa konzultuje s Komisiou.</w:t>
      </w:r>
    </w:p>
    <w:p>
      <w:pPr>
        <w:pStyle w:val="Point1"/>
        <w:ind w:firstLine="0"/>
        <w:rPr>
          <w:noProof/>
        </w:rPr>
      </w:pPr>
      <w:r>
        <w:rPr>
          <w:noProof/>
        </w:rPr>
        <w:t>Koordináciu jednotlivých kapacít v oblasti reakcie v prípade potreby uľahčuje Komisia prostredníctvom ERCC v súlade s článkami 15 a 16.“;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Dopĺňa sa tento odsek 10:</w:t>
      </w:r>
    </w:p>
    <w:p>
      <w:pPr>
        <w:pStyle w:val="Point1"/>
        <w:rPr>
          <w:noProof/>
        </w:rPr>
      </w:pPr>
      <w:r>
        <w:rPr>
          <w:noProof/>
        </w:rPr>
        <w:t>„10.</w:t>
      </w:r>
      <w:r>
        <w:rPr>
          <w:noProof/>
        </w:rPr>
        <w:tab/>
        <w:t>Odkazy na Európsku kapacitu pre reakcie na núdzové situácie, EERC a dobrovoľné zoskupenie sa považujú za odkazy na európske zoskupenie v oblasti civilnej ochrany.“</w:t>
      </w:r>
    </w:p>
    <w:p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Článok 12 sa nahrádza takto: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„rescEU“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Vytvorí sa rescEU s cieľom poskytovať pomoc v prípadoch, keď existujúce kapacity neumožňujú účinne reagovať na katastrofy.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RescEU pozostáva z týchto kapacít:</w:t>
      </w:r>
    </w:p>
    <w:p>
      <w:pPr>
        <w:pStyle w:val="Text1"/>
        <w:ind w:left="2160"/>
        <w:rPr>
          <w:noProof/>
        </w:rPr>
      </w:pPr>
      <w:r>
        <w:rPr>
          <w:noProof/>
        </w:rPr>
        <w:t>a)</w:t>
      </w:r>
      <w:r>
        <w:rPr>
          <w:noProof/>
        </w:rPr>
        <w:tab/>
        <w:t>letecké hasenie lesných požiarov;</w:t>
      </w:r>
    </w:p>
    <w:p>
      <w:pPr>
        <w:pStyle w:val="Text1"/>
        <w:ind w:left="2160"/>
        <w:rPr>
          <w:noProof/>
        </w:rPr>
      </w:pPr>
      <w:r>
        <w:rPr>
          <w:noProof/>
        </w:rPr>
        <w:t>b)</w:t>
      </w:r>
      <w:r>
        <w:rPr>
          <w:noProof/>
        </w:rPr>
        <w:tab/>
        <w:t>vysokokapacitné odčerpávanie;</w:t>
      </w:r>
    </w:p>
    <w:p>
      <w:pPr>
        <w:pStyle w:val="Text1"/>
        <w:ind w:left="2880" w:hanging="720"/>
        <w:rPr>
          <w:noProof/>
        </w:rPr>
      </w:pPr>
      <w:r>
        <w:rPr>
          <w:noProof/>
        </w:rPr>
        <w:t>c)</w:t>
      </w:r>
      <w:r>
        <w:rPr>
          <w:noProof/>
        </w:rPr>
        <w:tab/>
        <w:t>pátracie a záchranné činnosti;</w:t>
      </w:r>
    </w:p>
    <w:p>
      <w:pPr>
        <w:pStyle w:val="Text1"/>
        <w:ind w:left="2880" w:hanging="720"/>
        <w:rPr>
          <w:noProof/>
        </w:rPr>
      </w:pPr>
      <w:r>
        <w:rPr>
          <w:noProof/>
        </w:rPr>
        <w:t>d)</w:t>
      </w:r>
      <w:r>
        <w:rPr>
          <w:noProof/>
        </w:rPr>
        <w:tab/>
        <w:t>poľné nemocnice a núdzové lekárske tímy.</w:t>
      </w:r>
    </w:p>
    <w:p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Komisia môže nadobudnúť, prenajať, zabezpečiť formou lízingu a/alebo inak zmluvne zabezpečiť kapacity, ktoré sa majú nasadiť v prípadoch uvedených v odseku 1, v súlade s rozpočtovými pravidlami Únie.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Na základe zistených rizík a po zohľadnení prístupu zameraného na viacnásobné nebezpečenstvo je Komisia splnomocnená prijímať delegované akty v súlade s článkom 30 s cieľom vymedziť druhy kapacít v oblasti reakcie, ktoré sú potrebné okrem kapacít identifikovaných v odseku 2 tohto článku, a zodpovedajúcim spôsobom revidovať zloženie rescEU. Zabezpečí sa súlad s ostatnými politikami Únie.</w:t>
      </w:r>
    </w:p>
    <w:p>
      <w:pPr>
        <w:pStyle w:val="Point1"/>
        <w:ind w:left="1418" w:firstLine="0"/>
        <w:rPr>
          <w:noProof/>
        </w:rPr>
      </w:pPr>
      <w:r>
        <w:rPr>
          <w:noProof/>
        </w:rPr>
        <w:t>Ak sa to v prípade katastrofy alebo hrozby katastrofy vyžaduje z vážnych a naliehavých dôvodov, na delegované akty prijaté podľa tohto článku sa uplatňuje postup stanovený v článku 31.</w:t>
      </w:r>
    </w:p>
    <w:p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Komisia vymedzí požiadavky na kvalitu kapacít v oblasti reakcie, ktoré sú súčasťou rescEU. Tieto požiadavky na kvalitu vychádzajú z platných medzinárodných noriem v prípade, že takéto normy už existujú.</w:t>
      </w:r>
    </w:p>
    <w:p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Komisia zabezpečí dostupnosť a nasaditeľnosť kapacít uvedených v odseku 2 v rámci mechanizmu Únie.</w:t>
      </w:r>
    </w:p>
    <w:p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Kapacity rescEU sú k dispozícii pre operácie reakcie v rámci mechanizmu Únie, a to na žiadosť o pomoc prostredníctvom ERCC. Rozhodnutie o ich nasadení prijíma Komisia, ktorá si ponecháva velenie kapacít rescEU a kontrolu nad nimi.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V prípade nasadenia sa Komisia dohodne so žiadajúcim členským štátom na operačnom nasadení kapacít rescEU. Žiadajúci členský štát počas operácií uľahčuje operačnú koordináciu svojich vlastných kapacít a činností rescEU.</w:t>
      </w:r>
    </w:p>
    <w:p>
      <w:pPr>
        <w:pStyle w:val="Point1"/>
        <w:rPr>
          <w:noProof/>
        </w:rPr>
      </w:pPr>
      <w:r>
        <w:rPr>
          <w:noProof/>
        </w:rPr>
        <w:t>9.</w:t>
      </w:r>
      <w:r>
        <w:rPr>
          <w:noProof/>
        </w:rPr>
        <w:tab/>
        <w:t>Koordináciu medzi jednotlivými kapacitami v oblasti reakcie v prípade potreby uľahčuje Komisia prostredníctvom ERCC v súlade s článkami 15 a 16.</w:t>
      </w:r>
    </w:p>
    <w:p>
      <w:pPr>
        <w:pStyle w:val="Point1"/>
        <w:rPr>
          <w:noProof/>
        </w:rPr>
      </w:pPr>
      <w:r>
        <w:rPr>
          <w:noProof/>
        </w:rPr>
        <w:t>10.</w:t>
      </w:r>
      <w:r>
        <w:rPr>
          <w:noProof/>
        </w:rPr>
        <w:tab/>
        <w:t>Ak Komisia obstaráva vybavenie, ako sú zariadenia na letecké hasenie lesných požiarov, prostredníctvom nákupu, lízingu alebo prenájmu, musí sa zabezpečiť: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v prípade nadobudnutia vybavenia sa v dohode medzi Komisiou a členským štátom stanoví registrácia tohto vybavenia v uvedenom členskom štáte;</w:t>
      </w: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v prípade lízingu a prenájmu registrácia vybavenia v členskom štáte.</w:t>
      </w:r>
    </w:p>
    <w:p>
      <w:pPr>
        <w:pStyle w:val="Point1"/>
        <w:rPr>
          <w:noProof/>
        </w:rPr>
      </w:pPr>
      <w:r>
        <w:rPr>
          <w:noProof/>
        </w:rPr>
        <w:t>11.</w:t>
      </w:r>
      <w:r>
        <w:rPr>
          <w:noProof/>
        </w:rPr>
        <w:tab/>
        <w:t>Členské štáty musia byť informované o operačnom statuse kapacít rescEU prostredníctvom systému CECIS.“</w:t>
      </w:r>
    </w:p>
    <w:p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Vkladá sa tento článok 12a:</w:t>
      </w:r>
    </w:p>
    <w:p>
      <w:pPr>
        <w:pStyle w:val="Titrearticle"/>
        <w:rPr>
          <w:b/>
          <w:noProof/>
        </w:rPr>
      </w:pPr>
      <w:r>
        <w:rPr>
          <w:noProof/>
        </w:rPr>
        <w:t>„Článok 12a</w:t>
      </w:r>
      <w:r>
        <w:rPr>
          <w:noProof/>
        </w:rPr>
        <w:br/>
      </w:r>
      <w:r>
        <w:rPr>
          <w:b/>
          <w:noProof/>
        </w:rPr>
        <w:t>Informácie pre Európsky parlament a Radu</w:t>
      </w:r>
    </w:p>
    <w:p>
      <w:pPr>
        <w:rPr>
          <w:noProof/>
        </w:rPr>
      </w:pPr>
      <w:r>
        <w:rPr>
          <w:noProof/>
        </w:rPr>
        <w:t>Komisia každé dva roky informuje Európsky parlament a Radu o operáciách a dosiahnutom pokroku podľa článkov 11 a 12.“</w:t>
      </w:r>
    </w:p>
    <w:p>
      <w:pPr>
        <w:pStyle w:val="Point0"/>
        <w:rPr>
          <w:noProof/>
        </w:rPr>
      </w:pPr>
      <w:r>
        <w:rPr>
          <w:noProof/>
        </w:rPr>
        <w:t>8.</w:t>
      </w:r>
      <w:r>
        <w:rPr>
          <w:noProof/>
        </w:rPr>
        <w:tab/>
        <w:t>V článku 13 sa názov a prvá veta odseku 1 nahrádzajú takto: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„Vedomostná sieť Únie v oblasti civilnej ochrany</w:t>
      </w:r>
    </w:p>
    <w:p>
      <w:pPr>
        <w:pStyle w:val="Text1"/>
        <w:rPr>
          <w:noProof/>
        </w:rPr>
      </w:pPr>
      <w:r>
        <w:rPr>
          <w:noProof/>
        </w:rPr>
        <w:t>1. Komisia vytvorí sieť relevantných aktérov a inštitúcií v oblasti civilnej ochrany a zvládania katastrof, ktorí budú spolu s Komisiou tvoriť vedomostnú sieť Únie v oblasti civilnej ochrany.</w:t>
      </w:r>
    </w:p>
    <w:p>
      <w:pPr>
        <w:pStyle w:val="Text1"/>
        <w:rPr>
          <w:noProof/>
        </w:rPr>
      </w:pPr>
      <w:r>
        <w:rPr>
          <w:noProof/>
        </w:rPr>
        <w:t>Uvedená sieť bude plniť tieto úlohy v oblasti odbornej prípravy, cvičení, získaných skúseností a šírenia znalostí, a to v prípade potreby v úzkej koordinácii s relevantnými vedomostnými centrami:“.</w:t>
      </w:r>
    </w:p>
    <w:p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  <w:t>V článku 15 sa odsek 1 nahrádza takto:</w:t>
      </w:r>
    </w:p>
    <w:p>
      <w:pPr>
        <w:pStyle w:val="Point1"/>
        <w:rPr>
          <w:noProof/>
        </w:rPr>
      </w:pPr>
      <w:r>
        <w:rPr>
          <w:noProof/>
        </w:rPr>
        <w:t>„1.</w:t>
      </w:r>
      <w:r>
        <w:rPr>
          <w:noProof/>
        </w:rPr>
        <w:tab/>
        <w:t>Ak v rámci Únie dôjde ku katastrofe alebo bezprostredne hrozí katastrofa, postihnutý členský štát môže požiadať o pomoc prostredníctvom ERCC. Žiadosť musí byť čo najkonkrétnejšia. Platnosť žiadosti o pomoc uplynie po maximálnom období 90 dní, pokiaľ sa ERCC nepredložia nové prvky opodstatňujúce potrebu pokračovania pomoci alebo dodatočnej pomoci.“</w:t>
      </w:r>
    </w:p>
    <w:p>
      <w:pPr>
        <w:pStyle w:val="Point0"/>
        <w:rPr>
          <w:noProof/>
        </w:rPr>
      </w:pPr>
      <w:r>
        <w:rPr>
          <w:noProof/>
        </w:rPr>
        <w:t>10.</w:t>
      </w:r>
      <w:r>
        <w:rPr>
          <w:noProof/>
        </w:rPr>
        <w:tab/>
        <w:t>V článku 16 sa odsek 1 nahrádza takto:</w:t>
      </w:r>
    </w:p>
    <w:p>
      <w:pPr>
        <w:pStyle w:val="Point1"/>
        <w:rPr>
          <w:noProof/>
        </w:rPr>
      </w:pPr>
      <w:r>
        <w:rPr>
          <w:noProof/>
        </w:rPr>
        <w:t>„1.</w:t>
      </w:r>
      <w:r>
        <w:rPr>
          <w:noProof/>
        </w:rPr>
        <w:tab/>
        <w:t>Ak mimo Únie dôjde ku katastrofe alebo bezprostredne hrozí katastrofa, postihnutá krajina môže požiadať o pomoc prostredníctvom ERCC. O pomoc je možné požiadať aj prostredníctvom Organizácie Spojených národov alebo jej agentúr, či relevantnej medzinárodnej organizácie. Platnosť žiadosti o pomoc uplynie po maximálnom období 90 dní, pokiaľ sa ERCC nepredložia nové prvky opodstatňujúce potrebu pokračovania pomoci alebo dodatočnej pomoci.“</w:t>
      </w:r>
    </w:p>
    <w:p>
      <w:pPr>
        <w:pStyle w:val="Point0"/>
        <w:rPr>
          <w:noProof/>
        </w:rPr>
      </w:pPr>
      <w:r>
        <w:rPr>
          <w:noProof/>
        </w:rPr>
        <w:t>11.</w:t>
      </w:r>
      <w:r>
        <w:rPr>
          <w:noProof/>
        </w:rPr>
        <w:tab/>
        <w:t>V článku 19 sa odsek 1 nahrádza takto:</w:t>
      </w:r>
    </w:p>
    <w:p>
      <w:pPr>
        <w:pStyle w:val="Point1"/>
        <w:rPr>
          <w:noProof/>
          <w:szCs w:val="24"/>
        </w:rPr>
      </w:pPr>
      <w:r>
        <w:rPr>
          <w:noProof/>
        </w:rPr>
        <w:t>„1.</w:t>
      </w:r>
      <w:r>
        <w:rPr>
          <w:noProof/>
        </w:rPr>
        <w:tab/>
        <w:t>Finančné krytie na vykonávanie mechanizmu Únie na roky 2014 až 2020 je stanovené na 631 566 000 EUR v bežných cenách.</w:t>
      </w:r>
    </w:p>
    <w:p>
      <w:pPr>
        <w:pStyle w:val="Text2"/>
        <w:rPr>
          <w:noProof/>
        </w:rPr>
      </w:pPr>
      <w:r>
        <w:rPr>
          <w:noProof/>
        </w:rPr>
        <w:t>Suma 480 630 000 EUR v bežných cenách bude pochádzať z okruhu 3 „Bezpečnosť a občianstvo“ viacročného finančného rámca a suma 150 936 000 EUR v bežných cenách z okruhu 4 „Globálna Európa“.“</w:t>
      </w:r>
    </w:p>
    <w:p>
      <w:pPr>
        <w:pStyle w:val="Point0"/>
        <w:rPr>
          <w:noProof/>
        </w:rPr>
      </w:pPr>
      <w:r>
        <w:rPr>
          <w:noProof/>
        </w:rPr>
        <w:t>12.</w:t>
      </w:r>
      <w:r>
        <w:rPr>
          <w:noProof/>
        </w:rPr>
        <w:tab/>
        <w:t>Vkladá sa tento článok 20a:</w:t>
      </w:r>
    </w:p>
    <w:p>
      <w:pPr>
        <w:pStyle w:val="Titrearticle"/>
        <w:rPr>
          <w:b/>
          <w:bCs/>
          <w:i w:val="0"/>
          <w:noProof/>
        </w:rPr>
      </w:pPr>
      <w:r>
        <w:rPr>
          <w:noProof/>
        </w:rPr>
        <w:t>„Článok 20a</w:t>
      </w:r>
      <w:r>
        <w:rPr>
          <w:noProof/>
        </w:rPr>
        <w:br/>
      </w:r>
      <w:r>
        <w:rPr>
          <w:b/>
          <w:i w:val="0"/>
          <w:noProof/>
        </w:rPr>
        <w:t>Viditeľnosť</w:t>
      </w:r>
    </w:p>
    <w:p>
      <w:pPr>
        <w:rPr>
          <w:noProof/>
        </w:rPr>
      </w:pPr>
      <w:r>
        <w:rPr>
          <w:noProof/>
        </w:rPr>
        <w:t>Každá pomoc alebo každé financovanie poskytované podľa tohto rozhodnutia vhodne zviditeľňuje Úniu, čo zahŕňa aj výrazné zobrazenie emblému Únie, pokiaľ ide o kapacity uvedené v článku 11, článku 12 a článku 21 ods. 2 písm. c).“</w:t>
      </w:r>
    </w:p>
    <w:p>
      <w:pPr>
        <w:pStyle w:val="Point0"/>
        <w:rPr>
          <w:noProof/>
        </w:rPr>
      </w:pPr>
      <w:r>
        <w:rPr>
          <w:noProof/>
        </w:rPr>
        <w:t>13.</w:t>
      </w:r>
      <w:r>
        <w:rPr>
          <w:noProof/>
        </w:rPr>
        <w:tab/>
        <w:t>Článok 21 sa mení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 odseku 1 sa písmeno j) nahrádza takto:</w:t>
      </w:r>
    </w:p>
    <w:p>
      <w:pPr>
        <w:pStyle w:val="Point1"/>
        <w:rPr>
          <w:noProof/>
        </w:rPr>
      </w:pPr>
      <w:r>
        <w:rPr>
          <w:noProof/>
        </w:rPr>
        <w:t>„j)</w:t>
      </w:r>
      <w:r>
        <w:rPr>
          <w:noProof/>
        </w:rPr>
        <w:tab/>
        <w:t>vytvorenie, riadenie a udržiavanie rescEU v súlade s článkom 12;“;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Odsek 2 sa mení takto:</w:t>
      </w:r>
    </w:p>
    <w:p>
      <w:pPr>
        <w:pStyle w:val="Point1"/>
        <w:ind w:left="1984"/>
        <w:rPr>
          <w:noProof/>
        </w:rPr>
      </w:pPr>
      <w:r>
        <w:rPr>
          <w:noProof/>
        </w:rPr>
        <w:t>i) Písmeno c) sa nahrádza takto:</w:t>
      </w:r>
    </w:p>
    <w:p>
      <w:pPr>
        <w:pStyle w:val="Point1"/>
        <w:rPr>
          <w:noProof/>
        </w:rPr>
      </w:pPr>
      <w:r>
        <w:rPr>
          <w:noProof/>
        </w:rPr>
        <w:t>„c)</w:t>
      </w:r>
      <w:r>
        <w:rPr>
          <w:noProof/>
        </w:rPr>
        <w:tab/>
        <w:t>náklady potrebné na to, aby sa kapacity v oblasti reakcie zmodernizovali alebo opravili a dosiahli tak stav pohotovosti a dostupnosti, v ktorom by ich bolo možné nasadiť ako súčasť európskeho zoskupenia v oblasti civilnej ochrany v súlade s požiadavkami na kvalitu európskeho zoskupenia v oblasti civilnej ochrany a v relevantných prípadoch aj v súlade s odporúčaniami vypracovanými v rámci procesu certifikácie („náklady na adaptáciu“). Uvedené náklady môžu zahŕňať náklady súvisiace s operabilitou, interoperabilitou modulov a ďalších kapacít v oblasti reakcie, autonómnosťou, sebestačnosťou, prepraviteľnosťou, balením a iné potrebné náklady, za predpokladu, že tieto náklady konkrétne súvisia so zapojením kapacít do európskeho zoskupenia v oblasti civilnej ochrany.</w:t>
      </w:r>
    </w:p>
    <w:p>
      <w:pPr>
        <w:pStyle w:val="Point1"/>
        <w:ind w:firstLine="0"/>
        <w:rPr>
          <w:noProof/>
        </w:rPr>
      </w:pPr>
      <w:r>
        <w:rPr>
          <w:noProof/>
        </w:rPr>
        <w:t>Náklady na adaptáciu môžu zahŕňať:</w:t>
      </w:r>
    </w:p>
    <w:p>
      <w:pPr>
        <w:pStyle w:val="Point1"/>
        <w:ind w:firstLine="0"/>
        <w:rPr>
          <w:noProof/>
        </w:rPr>
      </w:pPr>
      <w:r>
        <w:rPr>
          <w:noProof/>
        </w:rPr>
        <w:t>i) 75 % oprávnených nákladov v prípade modernizácie, za predpokladu, že táto suma nepresiahne 50 % priemerných nákladov na rozvoj kapacity;</w:t>
      </w:r>
    </w:p>
    <w:p>
      <w:pPr>
        <w:pStyle w:val="Point1"/>
        <w:ind w:firstLine="0"/>
        <w:rPr>
          <w:noProof/>
        </w:rPr>
      </w:pPr>
      <w:r>
        <w:rPr>
          <w:noProof/>
        </w:rPr>
        <w:t>ii) 75 % oprávnených nákladov v prípade opravy.</w:t>
      </w:r>
    </w:p>
    <w:p>
      <w:pPr>
        <w:pStyle w:val="Point1"/>
        <w:ind w:firstLine="0"/>
        <w:rPr>
          <w:noProof/>
        </w:rPr>
      </w:pPr>
      <w:r>
        <w:rPr>
          <w:noProof/>
        </w:rPr>
        <w:t>Kapacity v oblasti reakcie financované v rámci bodov i) a ii) by sa mali sprístupniť ako súčasť európskeho zoskupenia v oblasti civilnej ochrany na minimálne obdobie 5 rokov, pokiaľ ide o bod i), a 10 rokov, pokiaľ ide o bod ii), s výnimkou prípadov, keď je životnosť týchto kapacít kratšia.</w:t>
      </w:r>
    </w:p>
    <w:p>
      <w:pPr>
        <w:pStyle w:val="Point1"/>
        <w:ind w:firstLine="0"/>
        <w:rPr>
          <w:noProof/>
        </w:rPr>
      </w:pPr>
      <w:r>
        <w:rPr>
          <w:noProof/>
        </w:rPr>
        <w:t>Náklady na adaptáciu môžu pozostávať z jednotkových nákladov alebo jednorazových platieb určených podľa druhu kapacity.“;</w:t>
      </w:r>
    </w:p>
    <w:p>
      <w:pPr>
        <w:pStyle w:val="Point1"/>
        <w:rPr>
          <w:noProof/>
        </w:rPr>
      </w:pPr>
      <w:r>
        <w:rPr>
          <w:noProof/>
        </w:rPr>
        <w:tab/>
        <w:t>ii) Písmeno d) sa vypúšťa;</w:t>
      </w:r>
    </w:p>
    <w:p>
      <w:pPr>
        <w:pStyle w:val="Point1"/>
        <w:rPr>
          <w:noProof/>
        </w:rPr>
      </w:pPr>
      <w:r>
        <w:rPr>
          <w:noProof/>
        </w:rPr>
        <w:t>c) Dopĺňajú sa tieto odseky:</w:t>
      </w:r>
    </w:p>
    <w:p>
      <w:pPr>
        <w:pStyle w:val="Point1"/>
        <w:rPr>
          <w:noProof/>
        </w:rPr>
      </w:pPr>
      <w:r>
        <w:rPr>
          <w:noProof/>
        </w:rPr>
        <w:t>„3.</w:t>
      </w:r>
      <w:r>
        <w:rPr>
          <w:noProof/>
        </w:rPr>
        <w:tab/>
        <w:t>Finančná pomoc na opatrenie uvedené v odseku 1 písm. j) pokrýva všetky náklady potrebné na zabezpečenie dostupnosti a nasaditeľnosti kapacít rescEU v rámci mechanizmu Únie, ak sa nasadzujú v prípade katastrofy alebo hrozby katastrofy v Únii alebo zúčastnenom štáte.</w:t>
      </w:r>
    </w:p>
    <w:p>
      <w:pPr>
        <w:pStyle w:val="Text2"/>
        <w:rPr>
          <w:noProof/>
        </w:rPr>
      </w:pPr>
      <w:r>
        <w:rPr>
          <w:noProof/>
        </w:rPr>
        <w:t>Náklady uvedené v prvom pododseku podľa potreby zahŕňajú: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náklady súvisiace s nadobúdaním, prenajímaním alebo lízingom kapacity rescEU;</w:t>
      </w: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náklady súvisiace s prevádzkou kapacity rescEU vrátane dopravy;</w:t>
      </w:r>
    </w:p>
    <w:p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náklady súvisiace s obstarávaním služieb verejnoprávnych alebo súkromnoprávnych subjektov potrebných na prevádzku kapacít rescEU.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Náklady uvedené v odseku 3 písm. a) môžu v závislosti od konkrétneho prípadu pozostávať z jednotkových nákladov, jednorazových platieb alebo paušálnych sadzieb určených podľa kategórie alebo druhu kapacity.“</w:t>
      </w:r>
    </w:p>
    <w:p>
      <w:pPr>
        <w:pStyle w:val="Point0"/>
        <w:rPr>
          <w:noProof/>
        </w:rPr>
      </w:pPr>
      <w:r>
        <w:rPr>
          <w:noProof/>
        </w:rPr>
        <w:t>14.</w:t>
      </w:r>
      <w:r>
        <w:rPr>
          <w:noProof/>
        </w:rPr>
        <w:tab/>
        <w:t>Článok 23 sa mení takto:</w:t>
      </w:r>
    </w:p>
    <w:p>
      <w:pPr>
        <w:pStyle w:val="Point1"/>
        <w:ind w:left="130" w:firstLine="720"/>
        <w:rPr>
          <w:noProof/>
        </w:rPr>
      </w:pPr>
      <w:r>
        <w:rPr>
          <w:noProof/>
        </w:rPr>
        <w:t>a) Názov sa nahrádza takto:</w:t>
      </w:r>
    </w:p>
    <w:p>
      <w:pPr>
        <w:pStyle w:val="Point1"/>
        <w:ind w:left="130" w:firstLine="720"/>
        <w:jc w:val="center"/>
        <w:rPr>
          <w:b/>
          <w:noProof/>
        </w:rPr>
      </w:pPr>
      <w:r>
        <w:rPr>
          <w:b/>
          <w:noProof/>
        </w:rPr>
        <w:t>„Oprávnené opatrenia spojené s vybavením a operáciami“</w:t>
      </w:r>
    </w:p>
    <w:p>
      <w:pPr>
        <w:pStyle w:val="Point1"/>
        <w:ind w:left="130" w:firstLine="720"/>
        <w:rPr>
          <w:noProof/>
        </w:rPr>
      </w:pPr>
      <w:r>
        <w:rPr>
          <w:noProof/>
        </w:rPr>
        <w:t>b) Odseky 2, 3 a 4 sa nahrádzajú takto:</w:t>
      </w:r>
    </w:p>
    <w:p>
      <w:pPr>
        <w:pStyle w:val="Point1"/>
        <w:rPr>
          <w:noProof/>
        </w:rPr>
      </w:pPr>
      <w:r>
        <w:rPr>
          <w:noProof/>
        </w:rPr>
        <w:t xml:space="preserve">„2. </w:t>
      </w:r>
      <w:r>
        <w:rPr>
          <w:noProof/>
        </w:rPr>
        <w:tab/>
        <w:t>Suma finančnej pomoci Únie na prostriedky poskytnuté do európskeho zoskupenia v oblasti civilnej ochrany je v prípade katastrofy alebo hrozby katastrofy v Únii alebo zúčastnenom členskom štáte limitovaná na maximálne 75 % nákladov na prevádzku kapacít vrátane dopravy.</w:t>
      </w:r>
    </w:p>
    <w:p>
      <w:pPr>
        <w:pStyle w:val="Point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Finančná pomoc Únie na dopravu môže pokrývať maximálne 75 % celkových oprávnených nákladov súvisiacich s dopravou kapacít vopred poskytnutých do európskeho zoskupenia v oblasti civilnej ochrany, ak sa nasadzujú v prípade katastrofy alebo hrozby katastrofy mimo Únie, ako sa uvádza v článku 16.</w:t>
      </w:r>
    </w:p>
    <w:p>
      <w:pPr>
        <w:pStyle w:val="Point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Finančná podpora Únie na dopravné zdroje súvisiace s kapacitami vopred poskytnutými do európskeho zoskupenia v oblasti civilnej ochrany v súlade s článkom 11 môže okrem toho pokrývať najviac 100 % celkových oprávnených nákladov podľa písmen a), b), c) a d), ak je potrebné operačne zefektívniť zoskupenie pomoci členských štátov a náklady sa týkajú jednej z nasledujúcich oblastí: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krátkodobý prenájom skladovacej kapacity na dočasné uskladnenie pomoci od členských štátov v záujme uľahčenia jej koordinovanej dopravy;</w:t>
      </w:r>
    </w:p>
    <w:p>
      <w:pPr>
        <w:pStyle w:val="Point2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doprava z členského štátu ponúkajúceho pomoc do členského štátu, ktorý uľahčuje jej koordinovanú dopravu;</w:t>
      </w:r>
    </w:p>
    <w:p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prebalenie pomoci členských štátov s cieľom maximálne využiť dostupné dopravné kapacity alebo splniť osobitné operačné požiadavky; alebo</w:t>
      </w:r>
    </w:p>
    <w:p>
      <w:pPr>
        <w:pStyle w:val="Point2"/>
        <w:rPr>
          <w:noProof/>
        </w:rPr>
      </w:pPr>
      <w:r>
        <w:rPr>
          <w:noProof/>
        </w:rPr>
        <w:t>e)</w:t>
      </w:r>
      <w:r>
        <w:rPr>
          <w:noProof/>
        </w:rPr>
        <w:tab/>
        <w:t>miestna doprava, tranzit a skladovanie zoskupenej pomoci s cieľom zabezpečiť jej koordinované poskytnutie na mieste konečného určenia v krajine, ktorá o pomoc požiadala.“;</w:t>
      </w:r>
    </w:p>
    <w:p>
      <w:pPr>
        <w:pStyle w:val="Point1"/>
        <w:rPr>
          <w:noProof/>
        </w:rPr>
      </w:pPr>
      <w:r>
        <w:rPr>
          <w:noProof/>
        </w:rPr>
        <w:t>e) Dopĺňa sa tento odsek:</w:t>
      </w:r>
    </w:p>
    <w:p>
      <w:pPr>
        <w:spacing w:after="240"/>
        <w:ind w:left="1440" w:hanging="590"/>
        <w:rPr>
          <w:noProof/>
        </w:rPr>
      </w:pPr>
      <w:r>
        <w:rPr>
          <w:noProof/>
        </w:rPr>
        <w:t>„8.</w:t>
      </w:r>
      <w:r>
        <w:rPr>
          <w:noProof/>
        </w:rPr>
        <w:tab/>
        <w:t>Náklady na dopravu môžu pozostávať z jednotkových nákladov, jednorazových platieb alebo paušálnych sadzieb určených podľa kategórie nákladov.“</w:t>
      </w:r>
    </w:p>
    <w:p>
      <w:pPr>
        <w:pStyle w:val="Point0"/>
        <w:rPr>
          <w:noProof/>
        </w:rPr>
      </w:pPr>
      <w:r>
        <w:rPr>
          <w:noProof/>
        </w:rPr>
        <w:t xml:space="preserve">15. </w:t>
      </w:r>
      <w:r>
        <w:rPr>
          <w:noProof/>
        </w:rPr>
        <w:tab/>
        <w:t>V článku 26 sa odseky 1 a 2 nahrádzajú takto: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„1.</w:t>
      </w:r>
      <w:r>
        <w:rPr>
          <w:noProof/>
        </w:rPr>
        <w:tab/>
        <w:t>Na opatrenia, v súvislosti s ktorými sa prijíma finančná pomoc podľa tohto rozhodnutia, sa neprijíma pomoc z ostatných finančných nástrojov Únie. Odchylne od predchádzajúcej vety finančná pomoc poskytnutá podľa článkov 21, 22 a 23 tohto rozhodnutia nebráni financovaniu z iných nástrojov Únie v súlade s podmienkami stanovenými v rámci nich.</w:t>
      </w:r>
    </w:p>
    <w:p>
      <w:pPr>
        <w:pStyle w:val="Text1"/>
        <w:ind w:left="1435"/>
        <w:rPr>
          <w:noProof/>
        </w:rPr>
      </w:pPr>
      <w:r>
        <w:rPr>
          <w:noProof/>
        </w:rPr>
        <w:t>Komisia zabezpečí, aby žiadatelia o finančnú pomoc podľa tohto rozhodnutia a príjemcovia takejto pomoci jej poskytovali informácie o finančnej pomoci prijímanej z iných zdrojov vrátane všeobecného rozpočtu Únie a o podaných žiadostiach o takúto pomoc.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Treba sa usilovať o synergiu a komplementárnosť s inými nástrojmi Únie, ako sú nástroje na podporu súdržnosti, rozvoja vidieka, výskumu, zdravia, ako aj migračnej a bezpečnostnej politiky. Komisia v prípade reakcie na humanitárne krízy v tretích krajinách zabezpečí komplementárnosť a súdržnosť opatrení financovaných podľa tohto rozhodnutia a opatrení financovaných podľa nariadenia (ES) č. 1257/96.“</w:t>
      </w:r>
    </w:p>
    <w:p>
      <w:pPr>
        <w:pStyle w:val="Point0"/>
        <w:rPr>
          <w:noProof/>
        </w:rPr>
      </w:pPr>
      <w:r>
        <w:rPr>
          <w:noProof/>
        </w:rPr>
        <w:t>16.</w:t>
      </w:r>
      <w:r>
        <w:rPr>
          <w:noProof/>
        </w:rPr>
        <w:tab/>
        <w:t>V článku 28 sa odsek 3 nahrádza takto:</w:t>
      </w:r>
    </w:p>
    <w:p>
      <w:pPr>
        <w:spacing w:after="240"/>
        <w:ind w:left="720"/>
        <w:rPr>
          <w:noProof/>
          <w:szCs w:val="24"/>
        </w:rPr>
      </w:pPr>
      <w:r>
        <w:rPr>
          <w:noProof/>
        </w:rPr>
        <w:t xml:space="preserve">„3. </w:t>
      </w:r>
      <w:r>
        <w:rPr>
          <w:noProof/>
        </w:rPr>
        <w:tab/>
        <w:t>Medzinárodné organizácie, regionálne organizácie alebo krajiny, ktoré sú súčasťou európskej susedskej politiky, môžu spolupracovať na činnostiach v rámci mechanizmu Únie, ak to umožňujú relevantné bilaterálne alebo multilaterálne dohody.“</w:t>
      </w:r>
    </w:p>
    <w:p>
      <w:pPr>
        <w:pStyle w:val="Point0"/>
        <w:rPr>
          <w:noProof/>
        </w:rPr>
      </w:pPr>
      <w:r>
        <w:rPr>
          <w:noProof/>
        </w:rPr>
        <w:t>17.</w:t>
      </w:r>
      <w:r>
        <w:rPr>
          <w:noProof/>
        </w:rPr>
        <w:tab/>
        <w:t>V článku 32 ods. 1 sa písmená g) a h) nahrádzajú takto:</w:t>
      </w:r>
    </w:p>
    <w:p>
      <w:pPr>
        <w:spacing w:after="240"/>
        <w:ind w:left="1440" w:hanging="720"/>
        <w:rPr>
          <w:noProof/>
        </w:rPr>
      </w:pPr>
      <w:r>
        <w:rPr>
          <w:noProof/>
        </w:rPr>
        <w:t>„g)</w:t>
      </w:r>
      <w:r>
        <w:rPr>
          <w:noProof/>
        </w:rPr>
        <w:tab/>
        <w:t>vytvorenia, riadenia a udržiavania rescEU, ako sa stanovuje v článku 12, vrátane kritérií pre rozhodnutia o nasadení a operačné postupy;</w:t>
      </w:r>
    </w:p>
    <w:p>
      <w:pPr>
        <w:spacing w:after="240"/>
        <w:ind w:left="1440" w:hanging="720"/>
        <w:rPr>
          <w:noProof/>
        </w:rPr>
      </w:pPr>
      <w:r>
        <w:rPr>
          <w:noProof/>
        </w:rPr>
        <w:t>h)</w:t>
      </w:r>
      <w:r>
        <w:rPr>
          <w:noProof/>
        </w:rPr>
        <w:tab/>
        <w:t>vytvorenia a organizácie vedomostnej siete Únie v oblasti civilnej ochrany, ako sa stanovuje v článku 13;“.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keepNext/>
        <w:keepLines/>
        <w:rPr>
          <w:noProof/>
        </w:rPr>
      </w:pPr>
      <w:r>
        <w:rPr>
          <w:noProof/>
        </w:rPr>
        <w:t>Toto rozhodnutie je určené členským štátom.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t>LEGISLATÍVNY FINANČNÝ VÝKAZ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RÁMEC NÁVRHU/INICIATÍVY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>Názov návrhu/iniciatívy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Príslušné oblasti politiky v rámci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>Druh návrhu/iniciatívy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>Ciele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>Dôvody návrhu/iniciatívy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>Trvanie a finančný vplyv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>Plánovaný spôsob hospodárenia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OPATRENIA V OBLASTI RIADENIA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>Opatrenia týkajúce sa monitorovania a predkladania správ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>Systémy riadenia a kontroly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>Opatrenia na predchádzanie podvodom a nezrovnalostiam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ODHADOVANÝ FINANČNÝ VPLYV NÁVRHU/INICIATÍVY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>Príslušné okruhy viacročného finančného rámca a rozpočtové riadky výdavkov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Odhadovaný vplyv na výdavky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>Zhrnutie odhadovaného vplyvu na výdavky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>Odhadovaný vplyv na operačné rozpočtové prostriedky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Odhadovaný vplyv na administratívne rozpočtové prostriedky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Súlad s platným viacročným finančným rámcom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>Príspevky od tretích strán</w:t>
      </w:r>
    </w:p>
    <w:p>
      <w:pPr>
        <w:pStyle w:val="ManualHeading3"/>
        <w:rPr>
          <w:b/>
          <w:i w:val="0"/>
          <w:smallCaps/>
          <w:noProof/>
        </w:rPr>
      </w:pPr>
      <w:r>
        <w:rPr>
          <w:noProof/>
        </w:rPr>
        <w:tab/>
      </w:r>
      <w:r>
        <w:rPr>
          <w:i w:val="0"/>
          <w:noProof/>
        </w:rPr>
        <w:t>3.3.</w:t>
      </w:r>
      <w:r>
        <w:rPr>
          <w:noProof/>
        </w:rPr>
        <w:tab/>
      </w:r>
      <w:r>
        <w:rPr>
          <w:i w:val="0"/>
          <w:noProof/>
        </w:rPr>
        <w:t>Odhadovaný vplyv na príjmy</w:t>
      </w:r>
    </w:p>
    <w:p>
      <w:pPr>
        <w:keepNext/>
        <w:tabs>
          <w:tab w:val="left" w:pos="850"/>
        </w:tabs>
        <w:jc w:val="left"/>
        <w:outlineLvl w:val="1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noProof/>
        </w:rPr>
      </w:pPr>
      <w:r>
        <w:rPr>
          <w:b/>
          <w:noProof/>
          <w:u w:val="single"/>
        </w:rPr>
        <w:t>LEGISLATÍVNY FINANČNÝ VÝKAZ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RÁMEC NÁVRHU/INICIATÍVY</w:t>
      </w:r>
    </w:p>
    <w:p>
      <w:pPr>
        <w:pStyle w:val="ManualNumPar2"/>
        <w:rPr>
          <w:noProof/>
        </w:rPr>
      </w:pPr>
      <w:r>
        <w:t>1.1.</w:t>
      </w:r>
      <w:r>
        <w:tab/>
      </w:r>
      <w:r>
        <w:rPr>
          <w:noProof/>
        </w:rPr>
        <w:t>Názov návrhu/iniciatívy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  <w:sz w:val="23"/>
        </w:rPr>
        <w:t>Návrh na revíziu rozhodnutia Európskeho parlamentu a Rady č. 1313/2013/EÚ o mechanizme Únie v oblasti civilnej ochrany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</w:p>
    <w:p>
      <w:pPr>
        <w:pStyle w:val="ManualNumPar2"/>
        <w:rPr>
          <w:i/>
          <w:noProof/>
        </w:rPr>
      </w:pPr>
      <w:r>
        <w:t>1.2.</w:t>
      </w:r>
      <w:r>
        <w:tab/>
      </w:r>
      <w:r>
        <w:rPr>
          <w:noProof/>
        </w:rPr>
        <w:t>Príslušné oblasti politiky v rámci ABM/ABB</w:t>
      </w:r>
      <w:r>
        <w:rPr>
          <w:rStyle w:val="FootnoteReference"/>
          <w:noProof/>
        </w:rPr>
        <w:footnoteReference w:id="17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color w:val="0000FF"/>
        </w:rPr>
      </w:pPr>
      <w:r>
        <w:rPr>
          <w:noProof/>
        </w:rPr>
        <w:t>23 01 – ADMINISTRATÍVNE VÝDAVKY V OBLASTI POLITIKY HUMANITÁRNEJ POMOCI A CIVILNEJ OCHRANY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23 03 – MECHANIZMUS ÚNIE V OBLASTI CIVILNEJ OCHRANY</w:t>
      </w:r>
    </w:p>
    <w:p>
      <w:pPr>
        <w:pStyle w:val="ManualNumPar2"/>
        <w:rPr>
          <w:noProof/>
        </w:rPr>
      </w:pPr>
      <w:r>
        <w:t>1.3.</w:t>
      </w:r>
      <w:r>
        <w:tab/>
      </w:r>
      <w:r>
        <w:rPr>
          <w:noProof/>
        </w:rPr>
        <w:t>Druh návrhu/iniciatívy</w:t>
      </w:r>
    </w:p>
    <w:p>
      <w:pPr>
        <w:ind w:left="850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Návrh/iniciatíva sa týka </w:t>
      </w:r>
      <w:r>
        <w:rPr>
          <w:b/>
          <w:noProof/>
        </w:rPr>
        <w:t>novej akcie</w:t>
      </w:r>
    </w:p>
    <w:p>
      <w:pPr>
        <w:ind w:left="850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Návrh/iniciatíva sa týka </w:t>
      </w:r>
      <w:r>
        <w:rPr>
          <w:b/>
          <w:noProof/>
        </w:rPr>
        <w:t>novej akcie, ktorá nadväzuje na pilotný projekt/prípravnú akciu</w:t>
      </w:r>
      <w:r>
        <w:rPr>
          <w:rStyle w:val="FootnoteReference"/>
          <w:noProof/>
        </w:rPr>
        <w:footnoteReference w:id="18"/>
      </w:r>
    </w:p>
    <w:p>
      <w:pPr>
        <w:ind w:left="850"/>
        <w:rPr>
          <w:noProof/>
          <w:sz w:val="22"/>
        </w:rPr>
      </w:pPr>
      <w:r>
        <w:rPr>
          <w:noProof/>
          <w:sz w:val="22"/>
        </w:rPr>
        <w:t xml:space="preserve">X </w:t>
      </w:r>
      <w:r>
        <w:rPr>
          <w:noProof/>
        </w:rPr>
        <w:t xml:space="preserve">Návrh/iniciatíva sa týka </w:t>
      </w:r>
      <w:r>
        <w:rPr>
          <w:b/>
          <w:noProof/>
        </w:rPr>
        <w:t>predĺženia trvania existujúcej akcie</w:t>
      </w:r>
    </w:p>
    <w:p>
      <w:pPr>
        <w:ind w:left="850"/>
        <w:rPr>
          <w:noProof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Návrh/iniciatíva sa týka </w:t>
      </w:r>
      <w:r>
        <w:rPr>
          <w:b/>
          <w:noProof/>
        </w:rPr>
        <w:t>akcie presmerovanej na novú akciu</w:t>
      </w:r>
    </w:p>
    <w:p>
      <w:pPr>
        <w:pStyle w:val="ManualNumPar2"/>
        <w:rPr>
          <w:noProof/>
        </w:rPr>
      </w:pPr>
      <w:r>
        <w:t>1.4.</w:t>
      </w:r>
      <w:r>
        <w:tab/>
      </w:r>
      <w:r>
        <w:rPr>
          <w:noProof/>
        </w:rPr>
        <w:t>Ciele</w:t>
      </w:r>
    </w:p>
    <w:p>
      <w:pPr>
        <w:pStyle w:val="ManualNumPar3"/>
        <w:rPr>
          <w:noProof/>
        </w:rPr>
      </w:pPr>
      <w:r>
        <w:t>1.4.1.</w:t>
      </w:r>
      <w:r>
        <w:tab/>
      </w:r>
      <w:r>
        <w:rPr>
          <w:noProof/>
        </w:rPr>
        <w:t>Viacročné strategické ciele Komisie, ktoré sú predmetom návrhu/iniciatívy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Celkovým cieľom tohto rozhodnutia je posilniť spoluprácu medzi Úniou a členskými štátmi a uľahčiť koordináciu v oblasti civilnej ochrany pri prevencii prírodných katastrof a katastrof spôsobených ľudskou činnosťou a príprave a reakcii na ne.</w:t>
      </w:r>
    </w:p>
    <w:p>
      <w:pPr>
        <w:pStyle w:val="ManualNumPar3"/>
        <w:rPr>
          <w:noProof/>
        </w:rPr>
      </w:pPr>
      <w:r>
        <w:t>1.4.2.</w:t>
      </w:r>
      <w:r>
        <w:tab/>
      </w:r>
      <w:r>
        <w:rPr>
          <w:noProof/>
        </w:rPr>
        <w:t>Osobitné ciele a príslušné činnosti v rámci ABM/ABB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Osobitný cieľ č. 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Dosiahnuť vysokú úroveň ochrany pred katastrofami zabránením ich potenciálnym účinkom, ich zmiernením, posilňovaním kultúry prevencie a zlepšovaním spolupráce medzi útvarmi civilnej ochrany a ostatnými príslušnými útvarmi;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Osobitný cieľ č. 2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Zvýšiť úroveň pripravenosti reagovať na katastrofy na úrovni členského štátu a Únie;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Osobitný cieľ č. 3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Uľahčiť rýchlu a efektívnu reakciu v prípade katastrof alebo hrozby katastrof;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Osobitný cieľ č. 4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Zvýšiť povedomie a pripravenosť verejnosti na katastrofy.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u w:val="single"/>
        </w:rPr>
      </w:pPr>
      <w:r>
        <w:rPr>
          <w:noProof/>
          <w:u w:val="single"/>
        </w:rPr>
        <w:t>Príslušné činnosti v rámci ABM/ABB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23 01 – ADMINISTRATÍVNE VÝDAVKY V OBLASTI POLITIKY HUMANITÁRNEJ POMOCI A CIVILNEJ OCHRANY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23 03 – MECHANIZMUS ÚNIE V OBLASTI CIVILNEJ OCHRANY</w:t>
      </w:r>
    </w:p>
    <w:p>
      <w:pPr>
        <w:pStyle w:val="ManualNumPar3"/>
        <w:rPr>
          <w:noProof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Očakávané výsledky a vplyv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Uveďte, aké účinky by mal mať návrh/iniciatíva na príjemcov/cieľové skupiny.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Návrh: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umožní Únii podporovať, koordinovať a dopĺňať akcie členských štátov v oblasti civilnej ochrany prostredníctvom mechanizmu Únie v oblasti civilnej ochrany (ďalej len „mechanizmus UCPM“ alebo „mechanizmus“) v priebehu viacročného finančného rámca na roky 2014 – 2020, najmä vrátane: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a) opatrení na zabránenie následkom katastrofy alebo na ich zmiernenie a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b) akcií určených na zlepšenie stavu pripravenosti EÚ reagovať na katastrofy vrátane akcií na zvýšenie povedomia občanov EÚ;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c) akcií v oblasti zásahov pomoci pri katastrofách v rámci mechanizmu.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Ukázalo sa, že súčasný mechanizmus je dobrým nástrojom na mobilizáciu a koordináciu pomoci poskytovanej zúčastnenými štátmi v súvislosti s reakciou na katastrofy v rámci Únie aj mimo nej. Návrh vychádza z týchto silných stránok a posilnia sa ním niektoré ustanovenia súčasného rámca na podporu kolektívnej kapacity členských štátov reagovať na katastrofy vytvorením silnejšej európskej kapacity v oblasti civilnej ochrany, ktorá by mala byť známa ako rescEU. Táto nová rezervná kapacita, ako aj vyššia miera spolufinancovania európskeho zoskupenia v oblasti civilnej ochrany (predtým známeho ako európska kapacita pre reakcie na núdzové situácie, EERC) bude riešiť štrukturálne a vznikajúce nedostatky v rámci kritických kapacít v oblasti reakcie. Táto iniciatíva pomôže aj posilniť vnútornú súdržnosť mechanizmu, ako aj zvýšiť efektívnosť prostredníctvom administratívneho zjednodušenia a zefektívnenia postupov.</w:t>
      </w:r>
    </w:p>
    <w:p>
      <w:pPr>
        <w:pStyle w:val="ManualNumPar3"/>
        <w:rPr>
          <w:noProof/>
        </w:rPr>
      </w:pPr>
      <w:r>
        <w:t>1.4.4.</w:t>
      </w:r>
      <w:r>
        <w:tab/>
      </w:r>
      <w:r>
        <w:rPr>
          <w:noProof/>
        </w:rPr>
        <w:t>Ukazovatele výsledkov a vplyvu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Uveďte ukazovatele, pomocou ktorých je možné sledovať uskutočňovanie návrhu/iniciatívy.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</w:rPr>
      </w:pPr>
      <w:r>
        <w:rPr>
          <w:noProof/>
          <w:u w:val="single"/>
        </w:rPr>
        <w:t>Osobitný cieľ:</w:t>
      </w:r>
      <w:r>
        <w:rPr>
          <w:noProof/>
        </w:rPr>
        <w:t xml:space="preserve"> </w:t>
      </w:r>
      <w:r>
        <w:rPr>
          <w:noProof/>
          <w:u w:val="single"/>
        </w:rPr>
        <w:t>dosiahnuť vysokú úroveň ochrany pred katastrofami zabránením ich následkom alebo ich zmiernením a podporovaním kultúry prevencie: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1.</w:t>
      </w:r>
      <w:r>
        <w:rPr>
          <w:noProof/>
        </w:rPr>
        <w:tab/>
      </w:r>
      <w:r>
        <w:rPr>
          <w:noProof/>
          <w:color w:val="000000"/>
          <w:sz w:val="23"/>
        </w:rPr>
        <w:t>počet členských štátov, ktoré predložili vnútroštátne posúdenia rizika a posúdenie schopnosti riadenia rizika katastrof;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2.</w:t>
      </w:r>
      <w:r>
        <w:rPr>
          <w:noProof/>
        </w:rPr>
        <w:tab/>
      </w:r>
      <w:r>
        <w:rPr>
          <w:noProof/>
          <w:color w:val="000000"/>
          <w:sz w:val="23"/>
        </w:rPr>
        <w:t>počet členských štátov, ktoré predložili súhrn svojho plánovania zvládania katastrof;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color w:val="000000"/>
          <w:sz w:val="23"/>
          <w:szCs w:val="23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color w:val="000000"/>
          <w:sz w:val="23"/>
          <w:szCs w:val="23"/>
          <w:u w:val="single"/>
        </w:rPr>
      </w:pPr>
      <w:r>
        <w:rPr>
          <w:noProof/>
          <w:u w:val="single"/>
        </w:rPr>
        <w:t>Osobitný cieľ:</w:t>
      </w:r>
      <w:r>
        <w:rPr>
          <w:noProof/>
          <w:color w:val="000000"/>
        </w:rPr>
        <w:t xml:space="preserve"> </w:t>
      </w:r>
      <w:r>
        <w:rPr>
          <w:noProof/>
          <w:color w:val="000000"/>
          <w:u w:val="single"/>
        </w:rPr>
        <w:t>zlepšiť stav pripravenosti Únie reagovať na katastrofy: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1.</w:t>
      </w:r>
      <w:r>
        <w:rPr>
          <w:noProof/>
        </w:rPr>
        <w:tab/>
      </w:r>
      <w:r>
        <w:rPr>
          <w:noProof/>
          <w:color w:val="000000"/>
          <w:sz w:val="23"/>
        </w:rPr>
        <w:t>počet vyškolených odborníkov v rámci mechanizmu UCPM, ktorí sú nasadzovaní do misie v rámci reakcie mechanizmu UCPM;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2.</w:t>
      </w:r>
      <w:r>
        <w:rPr>
          <w:noProof/>
        </w:rPr>
        <w:tab/>
      </w:r>
      <w:r>
        <w:rPr>
          <w:noProof/>
          <w:color w:val="000000"/>
          <w:sz w:val="23"/>
        </w:rPr>
        <w:t>počet výmen odborníkov v rámci EÚ a so susednými štátmi;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3.</w:t>
      </w:r>
      <w:r>
        <w:rPr>
          <w:noProof/>
        </w:rPr>
        <w:tab/>
      </w:r>
      <w:r>
        <w:rPr>
          <w:noProof/>
          <w:color w:val="000000"/>
          <w:sz w:val="23"/>
        </w:rPr>
        <w:t>počet a druh nadobudnutých prostriedkov, ktoré budú súčasťou rescEU;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4.</w:t>
      </w:r>
      <w:r>
        <w:rPr>
          <w:noProof/>
        </w:rPr>
        <w:tab/>
      </w:r>
      <w:r>
        <w:rPr>
          <w:noProof/>
          <w:color w:val="000000"/>
          <w:sz w:val="23"/>
        </w:rPr>
        <w:t>počet a druh prostriedkov certifikovaných na zahrnutie do európskeho zoskupenia v oblasti civilnej ochrany;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5.</w:t>
      </w:r>
      <w:r>
        <w:rPr>
          <w:noProof/>
        </w:rPr>
        <w:tab/>
      </w:r>
      <w:r>
        <w:rPr>
          <w:noProof/>
          <w:color w:val="000000"/>
          <w:sz w:val="23"/>
        </w:rPr>
        <w:t>počet členských štátov, ktoré poskytli prostriedky európskemu zoskupeniu v oblasti civilnej ochrany;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</w:rPr>
        <w:t>6.</w:t>
      </w:r>
      <w:r>
        <w:rPr>
          <w:noProof/>
        </w:rPr>
        <w:tab/>
      </w:r>
      <w:r>
        <w:rPr>
          <w:noProof/>
          <w:color w:val="000000"/>
          <w:sz w:val="23"/>
        </w:rPr>
        <w:t>počet misií rescEU v porovnaní s celkovým počtom misií v oblasti reakcie v rámci zoskupenia európskej civilnej ochrany.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color w:val="000000"/>
          <w:sz w:val="23"/>
          <w:szCs w:val="23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color w:val="000000"/>
          <w:szCs w:val="23"/>
        </w:rPr>
      </w:pPr>
      <w:r>
        <w:rPr>
          <w:noProof/>
          <w:u w:val="single"/>
        </w:rPr>
        <w:t>Osobitný cieľ:</w:t>
      </w:r>
      <w:r>
        <w:rPr>
          <w:noProof/>
          <w:color w:val="000000"/>
        </w:rPr>
        <w:t xml:space="preserve"> </w:t>
      </w:r>
      <w:r>
        <w:rPr>
          <w:noProof/>
          <w:color w:val="000000"/>
          <w:u w:val="single"/>
        </w:rPr>
        <w:t>uľahčiť rýchle a efektívne zásahy reakcie na núdzové situácie v prípade závažných katastrof alebo ich bezprostrednej hrozby: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1.</w:t>
      </w:r>
      <w:r>
        <w:rPr>
          <w:noProof/>
        </w:rPr>
        <w:tab/>
      </w:r>
      <w:r>
        <w:rPr>
          <w:noProof/>
          <w:sz w:val="22"/>
        </w:rPr>
        <w:t>rýchlosť operácií: čas, ktorý uplynie od žiadosti o pomoc po nasadenie pomoci na mieste a úplnú operatívnosť posudzovacích/koordinačných tímov;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2.</w:t>
      </w:r>
      <w:r>
        <w:rPr>
          <w:noProof/>
        </w:rPr>
        <w:tab/>
      </w:r>
      <w:r>
        <w:rPr>
          <w:noProof/>
          <w:sz w:val="22"/>
        </w:rPr>
        <w:t>pomer medzi prostriedkami poskytnutými z rescEU a prostriedkami poskytnutými z európskeho zoskupenia v oblasti civilnej ochrany;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3.</w:t>
      </w:r>
      <w:r>
        <w:rPr>
          <w:noProof/>
        </w:rPr>
        <w:tab/>
      </w:r>
      <w:r>
        <w:rPr>
          <w:noProof/>
          <w:sz w:val="22"/>
        </w:rPr>
        <w:t>počet dopravných grantov a služieb;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4.</w:t>
      </w:r>
      <w:r>
        <w:rPr>
          <w:noProof/>
        </w:rPr>
        <w:tab/>
      </w:r>
      <w:r>
        <w:rPr>
          <w:noProof/>
          <w:sz w:val="22"/>
        </w:rPr>
        <w:t>výška financovania operácií rescEU v rámci Európy a mimo nej z rozpočtu EÚ (operačné náklady a náklady na dopravu pri mimoriadnych okolnostiach);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</w:rPr>
        <w:tab/>
      </w:r>
      <w:r>
        <w:rPr>
          <w:noProof/>
          <w:sz w:val="22"/>
        </w:rPr>
        <w:t>výška spolufinancovania operácií európskeho zoskupenia v oblasti civilnej ochrany v rámci Európy a mimo nej z rozpočtu EÚ (dopravné operácie);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6.</w:t>
      </w:r>
      <w:r>
        <w:rPr>
          <w:noProof/>
        </w:rPr>
        <w:tab/>
      </w:r>
      <w:r>
        <w:rPr>
          <w:noProof/>
          <w:sz w:val="22"/>
        </w:rPr>
        <w:t>celková výška spolufinancovania z rozpočtu EÚ poskytnutá členským štátom;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sz w:val="22"/>
        </w:rPr>
        <w:t>7.</w:t>
      </w:r>
      <w:r>
        <w:rPr>
          <w:noProof/>
        </w:rPr>
        <w:tab/>
      </w:r>
      <w:r>
        <w:rPr>
          <w:noProof/>
          <w:sz w:val="22"/>
        </w:rPr>
        <w:t>počet prípadov, kedy bolo využité zoskupovanie v porovnaní s celkovým počtom misií v rámci mechanizmu UCPM.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color w:val="000000"/>
          <w:szCs w:val="23"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color w:val="000000"/>
          <w:szCs w:val="23"/>
          <w:u w:val="single"/>
        </w:rPr>
      </w:pPr>
      <w:r>
        <w:rPr>
          <w:noProof/>
          <w:color w:val="000000"/>
          <w:u w:val="single"/>
        </w:rPr>
        <w:t>Osobitný cieľ 4: „Zvýšiť povedomie a pripravenosť verejnosti na katastrofy"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color w:val="000000"/>
          <w:szCs w:val="23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>počet účastníkov/návštevníkov webových stránok verejno-súkromných partnerstiev financovaných z mechanizmu UCPM zameraných na zvyšovanie informovanosti o rizikách;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1" w:hanging="720"/>
        <w:rPr>
          <w:noProof/>
          <w:sz w:val="22"/>
        </w:rPr>
      </w:pPr>
      <w:r>
        <w:rPr>
          <w:noProof/>
          <w:color w:val="000000"/>
        </w:rPr>
        <w:t>2.</w:t>
      </w:r>
      <w:r>
        <w:rPr>
          <w:noProof/>
        </w:rPr>
        <w:tab/>
      </w:r>
      <w:r>
        <w:rPr>
          <w:noProof/>
          <w:color w:val="000000"/>
        </w:rPr>
        <w:t>povedomie občanov EÚ o mechanizme UCPM (prieskum občanov EÚ).</w:t>
      </w:r>
    </w:p>
    <w:p>
      <w:pPr>
        <w:pStyle w:val="ManualNumPar2"/>
        <w:rPr>
          <w:noProof/>
        </w:rPr>
      </w:pPr>
      <w:r>
        <w:t>1.5.</w:t>
      </w:r>
      <w:r>
        <w:tab/>
      </w:r>
      <w:r>
        <w:rPr>
          <w:noProof/>
        </w:rPr>
        <w:t>Dôvody návrhu/iniciatívy</w:t>
      </w:r>
    </w:p>
    <w:p>
      <w:pPr>
        <w:pStyle w:val="ManualNumPar3"/>
        <w:rPr>
          <w:noProof/>
        </w:rPr>
      </w:pPr>
      <w:r>
        <w:t>1.5.1.</w:t>
      </w:r>
      <w:r>
        <w:tab/>
      </w:r>
      <w:r>
        <w:rPr>
          <w:noProof/>
        </w:rPr>
        <w:t>Potreby, ktoré sa majú uspokojiť v krátkodobom alebo dlhodobom horizonte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pacing w:val="-2"/>
          <w:sz w:val="22"/>
        </w:rPr>
      </w:pPr>
      <w:r>
        <w:rPr>
          <w:noProof/>
          <w:spacing w:val="-2"/>
          <w:sz w:val="22"/>
        </w:rPr>
        <w:t>Európska civilná ochrana sa v posledných rokoch rýchlo rozvíja. Od vytvorenia prvého mechanizmu v roku 2001 (mechanizmus Spoločenstva v oblasti civilnej ochrany) až do súčasného stavu boli posilnené právne základy civilnej ochrany na úrovni EÚ (osobitný odkaz v zmluve od nadobudnutia platnosti Lisabonskej zmluvy v roku 2009) a operačná kapacita (vytvorenie EERC/EMC, Koordinačného centra pre reakcie na núdzové situácie – ERCC atď.). Súčasný mechanizmus UCPM poskytol podporu v núdzových situáciách viac ako 80-krát, a to v Európe aj mimo nej, prispel k rozvoju a šíreniu know-how a odborných znalostí v oblasti zvládania katastrof a rozvinul kultúru prevencie medzi zúčastnenými štátmi.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V nedávno vykonaných priebežných hodnoteniach a ďalších kľúčových správach a dokumentoch sa však identifikovali viaceré oblasti na zlepšenie. V tejto súvislosti sa návrh zameriava na zmenu súčasných právnych predpisov, ktorej účelom je dosiahnuť tieto ciele: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a) posilnenie kolektívnej schopnosti Únie a členských štátov reagovať na katastrofy a riešenie opakujúcich sa a vznikajúcich nedostatkov v oblasti kapacity, najmä vytvorením vyhradenej rezervy kapacít v oblasti reakcie, ktorá by mala byť známa ako rescEU;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b) posilnenie zamerania na preventívne opatrenia ako súčasť cyklu riadenia rizika katastrof, ako aj posilnenie súdržnosti s inými kľúčovými politikami EÚ, ktoré sa uplatňujú v oblasti prevencie katastrof a reakcie na ne;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c) zabezpečenie pružnosti a účinnosti mechanizmu Únie, pokiaľ ide o jeho administratívne postupy na podporu núdzových operácií.</w:t>
      </w:r>
    </w:p>
    <w:p>
      <w:pPr>
        <w:pStyle w:val="ManualNumPar3"/>
        <w:rPr>
          <w:noProof/>
        </w:rPr>
      </w:pPr>
      <w:r>
        <w:t>1.5.2.</w:t>
      </w:r>
      <w:r>
        <w:tab/>
      </w:r>
      <w:r>
        <w:rPr>
          <w:noProof/>
        </w:rPr>
        <w:t>Pridaná hodnota zapojenia Európskej únie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Pridaná hodnota zapojenia EÚ má tieto formy: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znižovanie strát na ľudských životoch a environmentálnych, hospodárskych a materiálnych škôd,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lepšia koordinácia činností v oblasti civilnej ochrany, pretože všetky ponuky pomoci sa pred ich prijatím orgánmi postihnutého štátu oznamujú prostredníctvom Koordinačného centra pre reakcie na núdzové situácie (ERCC),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nákladová účinnosť, pretože pomoc, ktorú prijíma postihnutý štát, môže byť združená s pomocou ostatných krajín prostredníctvom dopravného postupu,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zlepšená efektívnosť prostredníctvom zvýšenej úrovne pripravenosti a súdržnejšej politiky riadenia rizík katastrof,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súdržná a účinná reakcia prostredníctvom vytvorenia kapacity rescEU, ktorá bude pripravená pomôcť všade v EÚ a v zúčastnených krajinách, kde je to potrebné,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lepšia viditeľnosť reakcie EÚ na katastrofy,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lepšie využitie obmedzených zdrojov spoločným využívaním prostriedkov financovaných EÚ,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noProof/>
          <w:sz w:val="22"/>
        </w:rPr>
      </w:pPr>
      <w:r>
        <w:rPr>
          <w:noProof/>
          <w:sz w:val="22"/>
        </w:rPr>
        <w:t>– posilnenie regionálnej spolupráce a výmeny poznatkov prostredníctvom rozvoja siete centier civilnej ochrany v EÚ.</w:t>
      </w:r>
    </w:p>
    <w:p>
      <w:pPr>
        <w:pStyle w:val="ManualNumPar3"/>
        <w:rPr>
          <w:noProof/>
        </w:rPr>
      </w:pPr>
      <w:r>
        <w:t>1.5.3.</w:t>
      </w:r>
      <w:r>
        <w:tab/>
      </w:r>
      <w:r>
        <w:rPr>
          <w:noProof/>
          <w:color w:val="0000FF"/>
        </w:rPr>
        <w:t xml:space="preserve"> </w:t>
      </w:r>
      <w:r>
        <w:rPr>
          <w:noProof/>
        </w:rPr>
        <w:t>Poznatky získané z podobných skúseností v minulosti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Tieto návrhy vychádzajú: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z priebežného hodnotenia mechanizmu UCPM (2014 – 2016) vykonaného externým konzultantom z augusta 2017,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pacing w:val="-4"/>
          <w:sz w:val="22"/>
        </w:rPr>
      </w:pPr>
      <w:r>
        <w:rPr>
          <w:noProof/>
          <w:spacing w:val="-4"/>
          <w:sz w:val="22"/>
        </w:rPr>
        <w:t>– z osobitnej správy č. 33 Európskeho dvora audítorov „Mechanizmus Únie v oblasti civilnej ochrany: koordinácia reakcií na katastrofy mimo EÚ bola vo všeobecnosti účinná“ z roku 2016,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z pracovného dokumentu útvarov Komisie „Prehľad rizík prírodných katastrof a katastrof spôsobených ľudskou činnosťou, ktorým môže čeliť Európska únia“, SWD(2017)176 final, 23. 5. 2017,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zo správy Komisie Európskemu parlamentu a Rade o pokroku dosiahnutom v rámci európskej kapacity pre reakcie na núdzové situácie a o pretrvávajúcich nedostatkoch, COM (2017) 78 final, 17. 2. 2017,</w:t>
      </w:r>
      <w:r>
        <w:rPr>
          <w:noProof/>
          <w:sz w:val="22"/>
        </w:rPr>
        <w:br/>
        <w:t>– zo skúseností získaných v núdzových situáciách, ktoré riešil mechanizmus od jeho vytvorenia v roku 2001,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zo skúseností získaných z projektov financovaných v rámci výziev na predkladanie návrhov od roku 2013 v oblasti pripravenosti a prevencie,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zo skúseností získaných z pilotného projektu financovaného v rámci výzvy na predkladanie návrhov v roku 2008 „Výzva na predkladanie návrhov na pilotný projekt s cieľom zvýšiť spoluprácu medzi členskými štátmi v oblasti boja proti lesným požiarom“.</w:t>
      </w:r>
    </w:p>
    <w:p>
      <w:pPr>
        <w:pStyle w:val="ManualNumPar3"/>
        <w:rPr>
          <w:noProof/>
        </w:rPr>
      </w:pPr>
      <w:r>
        <w:t>1.5.4.</w:t>
      </w:r>
      <w:r>
        <w:tab/>
      </w:r>
      <w:r>
        <w:rPr>
          <w:noProof/>
        </w:rPr>
        <w:t>Zlučiteľnosť a možná synergia s inými vhodnými nástrojmi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Súlad s: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nariadením Rady (ES) č. 1257/96 z 20. júna 1996 o humanitárnej pomoci,</w:t>
      </w: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nariadením Európskeho parlamentu a Rady (ES) č. 1406/2002 z 27. júna 2002, ktorým sa ustanovuje Európska námorná bezpečnostná agentúra,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nariadením Rady (ES) č. 2012/2002 z 11. novembra 2002, ktorým sa zriaďuje fond solidarity Európskej únie,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nariadením Európskeho parlamentu a Rady (ES) č. 1717/2006 z 15. novembra 2006, ktorým sa ustanovuje nástroj stability,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rozhodnutím Európskeho parlamentu a Rady č. 1313/2013/EÚ zo 17. decembra 2013 o mechanizme Únie v oblasti civilnej ochrany,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nariadením Európskeho parlamentu a Rady (EÚ) č. 375/2014 z 3. apríla 2014, ktorým sa zakladá Európsky dobrovoľnícky zbor pre humanitárnu pomoc („iniciatíva Dobrovoľníci pomoci EÚ“),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nariadením Rady (EÚ) 2016/369 z 15. marca 2016 o poskytovaní núdzovej podpory v rámci Únie.</w:t>
      </w:r>
    </w:p>
    <w:p>
      <w:pPr>
        <w:pStyle w:val="ManualNumPar2"/>
        <w:rPr>
          <w:noProof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>Trvanie a finančný vplyv</w:t>
      </w:r>
    </w:p>
    <w:p>
      <w:pPr>
        <w:ind w:left="1134" w:hanging="284"/>
        <w:rPr>
          <w:b/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 </w:t>
      </w:r>
      <w:r>
        <w:rPr>
          <w:b/>
          <w:noProof/>
        </w:rPr>
        <w:t>obmedzeným trvaním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</w:t>
      </w:r>
      <w:r>
        <w:rPr>
          <w:noProof/>
        </w:rPr>
        <w:tab/>
        <w:t>Návrh/iniciatíva je v platnosti od [DD/MM]RRRR do [DD/MM]RRRR.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>Finančný vplyv trvá od [DD/ MM]RRRR do [DD/MM]RRRR.</w:t>
      </w:r>
    </w:p>
    <w:p>
      <w:pPr>
        <w:ind w:left="850"/>
        <w:rPr>
          <w:noProof/>
        </w:rPr>
      </w:pPr>
      <w:r>
        <w:rPr>
          <w:noProof/>
        </w:rPr>
        <w:t>X Návrh/iniciatíva s </w:t>
      </w:r>
      <w:r>
        <w:rPr>
          <w:b/>
          <w:noProof/>
        </w:rPr>
        <w:t>neobmedzeným trvaním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 Počiatočná fáza vykonávania bude trvať od 1. 1. 2018 do 21. 12. 2020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a potom bude vykonávanie pokračovať v plnom rozsahu.</w:t>
      </w:r>
    </w:p>
    <w:p>
      <w:pPr>
        <w:pStyle w:val="ManualNumPar2"/>
        <w:rPr>
          <w:noProof/>
          <w:vertAlign w:val="superscript"/>
        </w:rPr>
      </w:pPr>
      <w:r>
        <w:t>1.7.</w:t>
      </w:r>
      <w:r>
        <w:tab/>
      </w:r>
      <w:r>
        <w:rPr>
          <w:noProof/>
        </w:rPr>
        <w:t>Plánovaný spôsob hospodárenia</w:t>
      </w:r>
      <w:r>
        <w:rPr>
          <w:rStyle w:val="FootnoteReference"/>
          <w:noProof/>
        </w:rPr>
        <w:footnoteReference w:id="19"/>
      </w:r>
    </w:p>
    <w:p>
      <w:pPr>
        <w:ind w:left="850"/>
        <w:rPr>
          <w:noProof/>
        </w:rPr>
      </w:pPr>
      <w:r>
        <w:rPr>
          <w:noProof/>
        </w:rPr>
        <w:t xml:space="preserve">X </w:t>
      </w:r>
      <w:r>
        <w:rPr>
          <w:b/>
          <w:noProof/>
        </w:rPr>
        <w:t>Priame hospodárenie</w:t>
      </w:r>
      <w:r>
        <w:rPr>
          <w:noProof/>
        </w:rPr>
        <w:t xml:space="preserve"> na úrovni Komisie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noProof/>
        </w:rPr>
        <w:t>X prostredníctvom jej útvarov vrátane zamestnancov v delegáciách Únie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prostredníctvom výkonných agentúr</w:t>
      </w:r>
    </w:p>
    <w:p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Zdieľané hospodárenie</w:t>
      </w:r>
      <w:r>
        <w:rPr>
          <w:noProof/>
        </w:rPr>
        <w:t xml:space="preserve"> s členskými štátmi</w:t>
      </w:r>
    </w:p>
    <w:p>
      <w:pPr>
        <w:ind w:left="850"/>
        <w:rPr>
          <w:noProof/>
        </w:rPr>
      </w:pPr>
      <w:r>
        <w:rPr>
          <w:noProof/>
        </w:rPr>
        <w:t xml:space="preserve">X </w:t>
      </w:r>
      <w:r>
        <w:rPr>
          <w:b/>
          <w:noProof/>
        </w:rPr>
        <w:t>Nepriame hospodárenie</w:t>
      </w:r>
      <w:r>
        <w:rPr>
          <w:noProof/>
        </w:rPr>
        <w:t xml:space="preserve"> s delegovaním úloh súvisiacich s plnením rozpočtu na: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tretie krajiny alebo subjekty, ktoré tieto krajiny určili,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 medzinárodné organizácie a ich agentúry (uveďte),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Európsku investičnú banku (EIB) a Európsky investičný fond,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subjekty podľa článkov 208 a 209 nariadenia o rozpočtových pravidlách,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verejnoprávne subjekty,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súkromnoprávne subjekty poverené vykonávaním verejnej služby, pokiaľ tieto subjekty poskytujú dostatočné finančné záruky,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súkromnoprávne subjekty spravované právom členského štátu, ktoré sú poverené vykonávaním verejno-súkromného partnerstva a ktoré poskytujú dostatočné finančné záruky,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osoby poverené vykonávaním osobitných činností v oblasti SZBP podľa hlavy V Zmluvy o Európskej únii a určené v príslušnom základnom akte.</w:t>
      </w:r>
    </w:p>
    <w:p>
      <w:pPr>
        <w:tabs>
          <w:tab w:val="num" w:pos="1134"/>
        </w:tabs>
        <w:ind w:left="1134" w:hanging="283"/>
        <w:rPr>
          <w:rFonts w:eastAsia="Times New Roman"/>
          <w:i/>
          <w:noProof/>
          <w:sz w:val="18"/>
          <w:u w:val="single"/>
        </w:rPr>
      </w:pPr>
      <w:r>
        <w:rPr>
          <w:i/>
          <w:noProof/>
          <w:sz w:val="18"/>
        </w:rPr>
        <w:t>V prípade viacerých spôsobov hospodárenia uveďte v oddiele „Poznámky“ presnejšie vysvetlenie.</w:t>
      </w:r>
    </w:p>
    <w:p>
      <w:pPr>
        <w:rPr>
          <w:noProof/>
        </w:rPr>
      </w:pPr>
      <w:r>
        <w:rPr>
          <w:noProof/>
        </w:rPr>
        <w:t>Poznámky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0000FF"/>
        </w:rPr>
        <w:t>[…]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0000FF"/>
        </w:rPr>
        <w:t>[…]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OPATRENIA V OBLASTI RIADENIA</w:t>
      </w:r>
    </w:p>
    <w:p>
      <w:pPr>
        <w:pStyle w:val="ManualNumPar2"/>
        <w:rPr>
          <w:noProof/>
        </w:rPr>
      </w:pPr>
      <w:r>
        <w:t>2.1.</w:t>
      </w:r>
      <w:r>
        <w:tab/>
      </w:r>
      <w:r>
        <w:rPr>
          <w:noProof/>
        </w:rPr>
        <w:t>Opatrenia týkajúce sa monitorovania a predkladania správ</w:t>
      </w:r>
    </w:p>
    <w:p>
      <w:pPr>
        <w:ind w:left="850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Uveďte časový interval a podmienky, ktoré sa vzťahujú na tieto opatrenia.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Akcie a opatrenia, na ktoré sa poskytuje finančná pomoc podľa týchto rozhodnutí, sa pravidelne monitorujú.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Komisia vypracuje a predloží Európskemu parlamentu a Rade: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správu o priebežnom hodnotení najneskôr do 30. júna 2017 (už dokončená),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oznámenie o pokračujúcom vykonávaní tohto rozhodnutia najneskôr do 31. decembra 2018,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  <w:sz w:val="22"/>
        </w:rPr>
        <w:t xml:space="preserve">– správu o hodnotení </w:t>
      </w:r>
      <w:r>
        <w:rPr>
          <w:i/>
          <w:noProof/>
          <w:sz w:val="22"/>
        </w:rPr>
        <w:t>ex post</w:t>
      </w:r>
      <w:r>
        <w:rPr>
          <w:noProof/>
          <w:sz w:val="22"/>
        </w:rPr>
        <w:t xml:space="preserve"> najneskôr do 31. decembra 2021.</w:t>
      </w:r>
    </w:p>
    <w:p>
      <w:pPr>
        <w:pStyle w:val="ManualNumPar2"/>
        <w:rPr>
          <w:noProof/>
        </w:rPr>
      </w:pPr>
      <w:r>
        <w:t>2.2.</w:t>
      </w:r>
      <w:r>
        <w:tab/>
      </w:r>
      <w:r>
        <w:rPr>
          <w:noProof/>
        </w:rPr>
        <w:t>Systémy riadenia a kontroly</w:t>
      </w:r>
    </w:p>
    <w:p>
      <w:pPr>
        <w:pStyle w:val="ManualNumPar3"/>
        <w:rPr>
          <w:noProof/>
        </w:rPr>
      </w:pPr>
      <w:r>
        <w:t>2.2.1.</w:t>
      </w:r>
      <w:r>
        <w:tab/>
      </w:r>
      <w:r>
        <w:rPr>
          <w:noProof/>
        </w:rPr>
        <w:t>Zistené riziká.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V prípade, že sa neposkytne dostatočný počet pracovných miest, nedostatočné personálne obsadenie môže vzhľadom na širšiu úlohu Koordinačného centra pre reakcie na núdzové situácie viesť k riziku neschopnosti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jc w:val="left"/>
        <w:rPr>
          <w:noProof/>
          <w:sz w:val="22"/>
        </w:rPr>
      </w:pPr>
      <w:r>
        <w:rPr>
          <w:noProof/>
          <w:sz w:val="22"/>
        </w:rPr>
        <w:t>– reagovať na všetky výzvy vyplývajúce zo zvýšenia počtu operácií v oblasti civilnej ochrany a na všetky politické požiadavky podľa integrovaných dojednaní o politickej reakcii na krízu (IPCR) a doložky o solidarite,</w:t>
      </w:r>
      <w:r>
        <w:rPr>
          <w:noProof/>
          <w:sz w:val="22"/>
        </w:rPr>
        <w:br/>
        <w:t>– vyvíjať/pridávať činnosti,</w:t>
      </w:r>
      <w:r>
        <w:rPr>
          <w:noProof/>
          <w:sz w:val="22"/>
        </w:rPr>
        <w:br/>
        <w:t>– využívať/vyvíjať nové technologické systémy zabezpečujúce neprerušenú dostupnosť,</w:t>
      </w:r>
      <w:r>
        <w:rPr>
          <w:noProof/>
          <w:sz w:val="22"/>
        </w:rPr>
        <w:br/>
        <w:t>– primerane reagovať na bezprostredne hroziace núdzové situácie v oblasti civilnej ochrany,</w:t>
      </w:r>
      <w:r>
        <w:rPr>
          <w:noProof/>
          <w:sz w:val="22"/>
        </w:rPr>
        <w:br/>
        <w:t>– primerane vykonávať systém vnútornej kontroly, ako je popísaný v bode 2.2.2.</w:t>
      </w:r>
    </w:p>
    <w:p>
      <w:pPr>
        <w:pStyle w:val="ManualNumPar3"/>
        <w:rPr>
          <w:noProof/>
        </w:rPr>
      </w:pPr>
      <w:r>
        <w:t>2.2.2.</w:t>
      </w:r>
      <w:r>
        <w:tab/>
      </w:r>
      <w:r>
        <w:rPr>
          <w:noProof/>
        </w:rPr>
        <w:t>Údaje o zavedenom systéme vnútornej kontroly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Predpokladá sa použitie existujúceho systému vnútornej kontroly GR ECHO, ktorý zaručuje, že finančné prostriedky dostupné v rámci nového nástroja sa využijú náležite a v súlade s príslušnými právnymi predpismi.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Súčasný systém je zostavený takto: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1. tím vnútornej kontroly v rámci GR ECHO zameraný na dodržiavanie platných administratívnych postupov a právnych predpisov v oblasti civilnej ochrany. Na tento účel sa používa rámec vnútornej kontroly Komisie;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2. pravidelný audit grantov a zmlúv uzavretých v rámci nástroja, ktorý budú vykonávať externí audítori GR ECHO, plne zahrnutý do ročného plánu auditov GR ECHO;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3. hodnotenie činností externými partnermi.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Audit činností môže vykonávať aj úrad OLAF (v prípadoch podvodov) a Dvor audítorov.</w:t>
      </w:r>
    </w:p>
    <w:p>
      <w:pPr>
        <w:pStyle w:val="ManualNumPar3"/>
        <w:rPr>
          <w:noProof/>
        </w:rPr>
      </w:pPr>
      <w:r>
        <w:t>2.2.3.</w:t>
      </w:r>
      <w:r>
        <w:tab/>
      </w:r>
      <w:r>
        <w:rPr>
          <w:noProof/>
        </w:rPr>
        <w:t>Odhad nákladov a prínosov kontrol a posúdenie očakávanej úrovne rizika chyby.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</w:rPr>
      </w:pPr>
      <w:r>
        <w:rPr>
          <w:noProof/>
        </w:rPr>
        <w:t>Odhadované náklady kontrolnej stratégie GR ECHO predstavujú 1,9 % rozpočtu na rok 2016. Tento ukazovateľ pozostáva hlavne z týchto zložiek: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</w:rPr>
      </w:pPr>
      <w:r>
        <w:rPr>
          <w:noProof/>
        </w:rPr>
        <w:t>– celkové náklady na zamestnancov vynaložené na odborníkov v oblasti z GR ECHO a náklady finančných a prevádzkových útvarov vynásobené odhadovaným podielom času venovaného zabezpečovaniu kvality, kontrole a monitorovaniu (50 %),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– celkové zdroje v rámci oddelenia externého auditu GR ECHO vyčlenené na audity a overovanie.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Keďže tieto kontroly so sebou prinášajú len veľmi obmedzené náklady, ktoré majú kvantifikovateľné (opravy a spätné získanie vyplatených čiastok) a nekvantifikovateľné (odrádzajúci účinok kontrol a ich význam pre zabezpečovanie kvality) prínosy, môže Komisia vyvodiť záver, že kvantifikovateľné a nekvantifikovateľné prínosy kontrol značne prevažujú nad ich obmedzenými nákladmi.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noProof/>
          <w:sz w:val="22"/>
        </w:rPr>
      </w:pPr>
      <w:r>
        <w:rPr>
          <w:noProof/>
          <w:sz w:val="22"/>
        </w:rPr>
        <w:t>Svedčí o tom viacročná zvyšková chybovosť vo výške 1,02 %, ktorú Komisia vykázala v roku 2016 za oddelenie pre humanitárnu pomoc a civilnú ochranu.</w:t>
      </w:r>
    </w:p>
    <w:p>
      <w:pPr>
        <w:keepNext/>
        <w:ind w:left="850"/>
        <w:outlineLvl w:val="1"/>
        <w:rPr>
          <w:b/>
          <w:noProof/>
        </w:rPr>
      </w:pPr>
    </w:p>
    <w:p>
      <w:pPr>
        <w:pStyle w:val="ManualNumPar2"/>
        <w:rPr>
          <w:noProof/>
        </w:rPr>
      </w:pPr>
      <w:r>
        <w:t>2.3.</w:t>
      </w:r>
      <w:r>
        <w:tab/>
      </w:r>
      <w:r>
        <w:rPr>
          <w:noProof/>
        </w:rPr>
        <w:t>Opatrenia na predchádzanie podvodom a nezrovnalostiam</w:t>
      </w:r>
    </w:p>
    <w:p>
      <w:pPr>
        <w:ind w:left="850"/>
        <w:rPr>
          <w:i/>
          <w:noProof/>
          <w:sz w:val="20"/>
        </w:rPr>
      </w:pPr>
      <w:r>
        <w:rPr>
          <w:i/>
          <w:noProof/>
          <w:sz w:val="20"/>
        </w:rPr>
        <w:t>Uveďte existujúce a plánované preventívne a ochranné opatrenia.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Stratégia boja proti podvodom GR ECHO v súlade so stratégiou Komisie zameranou na boj proti podvodom (CAFS) sa používa s cieľom zabezpečiť, okrem iného, aby: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– vnútorné kontroly GR ECHO súvisiace s bojom proti podvodom boli v úplnom súlade s CAFS,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 xml:space="preserve">– prístup GR ECHO k riadeniu rizika podvodov bol orientovaný na identifikáciu rizikových oblastí podvodov a primerané </w:t>
      </w:r>
      <w:r>
        <w:rPr>
          <w:noProof/>
        </w:rPr>
        <w:tab/>
      </w:r>
      <w:r>
        <w:rPr>
          <w:noProof/>
          <w:sz w:val="22"/>
        </w:rPr>
        <w:t>reakcie.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Systémy používané na čerpanie finančných prostriedkov EÚ v tretích krajinách umožňujú získať príslušné údaje s cieľom využiť ich pri riadení rizík podvodov (napr. odhaľovanie dvojitého financovania).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  <w:sz w:val="22"/>
        </w:rPr>
      </w:pPr>
      <w:r>
        <w:rPr>
          <w:noProof/>
          <w:sz w:val="22"/>
        </w:rPr>
        <w:t>V prípade potreby sa môže vytvoriť sieť skupín a primerané IT nástroje určené na analýzu prípadov podvodu týkajúcich sa daného sektora.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ODHADOVANÝ FINANČNÝ VPLYV NÁVRHU/INICIATÍVY</w:t>
      </w:r>
    </w:p>
    <w:p>
      <w:pPr>
        <w:pStyle w:val="ManualNumPar2"/>
        <w:rPr>
          <w:noProof/>
        </w:rPr>
      </w:pPr>
      <w:r>
        <w:t>3.1.</w:t>
      </w:r>
      <w:r>
        <w:tab/>
      </w:r>
      <w:r>
        <w:rPr>
          <w:noProof/>
        </w:rPr>
        <w:t>Príslušné okruhy viacročného finančného rámca a rozpočtové riadky výdavkov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noProof/>
        </w:rPr>
        <w:t>Existujúce rozpočtové riadky</w:t>
      </w:r>
    </w:p>
    <w:p>
      <w:pPr>
        <w:ind w:left="850"/>
        <w:rPr>
          <w:noProof/>
        </w:rPr>
      </w:pPr>
      <w:r>
        <w:rPr>
          <w:noProof/>
          <w:u w:val="single"/>
        </w:rPr>
        <w:t>V poradí</w:t>
      </w:r>
      <w:r>
        <w:rPr>
          <w:noProof/>
        </w:rPr>
        <w:t>, v akom za sebou nasledujú okruhy viacročného finančného rámcu a rozpočtové riadky.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Okruh viacročného finančného rámca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Rozpočtový riadok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Druh </w:t>
            </w:r>
            <w:r>
              <w:rPr>
                <w:noProof/>
                <w:sz w:val="18"/>
              </w:rPr>
              <w:br/>
              <w:t>výdavkov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Príspevky </w:t>
            </w:r>
          </w:p>
        </w:tc>
      </w:tr>
      <w:tr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Číslo a názov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DRP/NRP</w:t>
            </w:r>
            <w:r>
              <w:rPr>
                <w:rStyle w:val="FootnoteReference"/>
                <w:noProof/>
              </w:rPr>
              <w:footnoteReference w:id="20"/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krajín EZVO</w:t>
            </w:r>
            <w:r>
              <w:rPr>
                <w:rStyle w:val="FootnoteReference"/>
                <w:noProof/>
              </w:rPr>
              <w:footnoteReference w:id="2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kandidátskych krajín</w:t>
            </w:r>
            <w:r>
              <w:rPr>
                <w:rStyle w:val="FootnoteReference"/>
                <w:noProof/>
              </w:rPr>
              <w:footnoteReference w:id="2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tretích krajín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v zmysle článku 21 ods. 2 písm. b) nariadenia o rozpočtových pravidlách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 03 01 01 – Predchádzanie katastrofám a</w:t>
            </w:r>
          </w:p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pripravenosť v rámci Únie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 03 01 01 – Predchádzanie katastrofám a</w:t>
            </w:r>
          </w:p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pripravenosť v tretích krajinách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 03 02 01 – Rýchle a efektívne zásahy v rámci reakcie na núdzové situácie v prípade závažných katastrof v rámci Únie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 03 02 02 – Rýchle a efektívne zásahy v rámci reakcie na núdzové situácie v prípade závažných katastrof v tretích krajinách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ÁNO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 01 04 – Podporné výdavky na operácie a programy v oblasti politiky humanitárnej pomoci a civilnej ochrany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NumPar2"/>
        <w:rPr>
          <w:noProof/>
        </w:rPr>
      </w:pPr>
      <w:r>
        <w:t>3.2.</w:t>
      </w:r>
      <w:r>
        <w:tab/>
      </w:r>
      <w:r>
        <w:rPr>
          <w:noProof/>
        </w:rPr>
        <w:t>Odhadovaný vplyv na výdavky</w:t>
      </w:r>
    </w:p>
    <w:p>
      <w:pPr>
        <w:pStyle w:val="ManualNumPar3"/>
        <w:rPr>
          <w:noProof/>
        </w:rPr>
      </w:pPr>
      <w:r>
        <w:t>3.2.1.</w:t>
      </w:r>
      <w:r>
        <w:tab/>
      </w:r>
      <w:r>
        <w:rPr>
          <w:noProof/>
        </w:rPr>
        <w:t>Zhrnutie odhadovaného vplyvu na výdavky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Okruh viacročného finančného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rámca: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Číslo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</w:rPr>
              <w:t>Okruh 3 Bezpečnosť a občianstvo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3"/>
        <w:gridCol w:w="1417"/>
        <w:gridCol w:w="851"/>
        <w:gridCol w:w="1134"/>
        <w:gridCol w:w="1134"/>
        <w:gridCol w:w="1134"/>
        <w:gridCol w:w="1777"/>
      </w:tblGrid>
      <w:tr>
        <w:trPr>
          <w:jc w:val="center"/>
        </w:trPr>
        <w:tc>
          <w:tcPr>
            <w:tcW w:w="5543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GR pre civilnú ochranu a operácie humanitárnej pomoci EÚ (ECHO)</w:t>
            </w:r>
          </w:p>
        </w:tc>
        <w:tc>
          <w:tcPr>
            <w:tcW w:w="1417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trHeight w:val="213"/>
          <w:jc w:val="center"/>
        </w:trPr>
        <w:tc>
          <w:tcPr>
            <w:tcW w:w="7811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Operačné rozpočtové prostriedky</w:t>
            </w: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  <w:jc w:val="center"/>
        </w:trPr>
        <w:tc>
          <w:tcPr>
            <w:tcW w:w="5543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23 03 01 01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14,000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105,900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109,279</w:t>
            </w:r>
          </w:p>
        </w:tc>
        <w:tc>
          <w:tcPr>
            <w:tcW w:w="1777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229,179</w:t>
            </w:r>
          </w:p>
        </w:tc>
      </w:tr>
      <w:tr>
        <w:trPr>
          <w:jc w:val="center"/>
        </w:trPr>
        <w:tc>
          <w:tcPr>
            <w:tcW w:w="5543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46,560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104,395</w:t>
            </w:r>
          </w:p>
        </w:tc>
        <w:tc>
          <w:tcPr>
            <w:tcW w:w="1777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157,955</w:t>
            </w:r>
          </w:p>
        </w:tc>
      </w:tr>
      <w:tr>
        <w:trPr>
          <w:jc w:val="center"/>
        </w:trPr>
        <w:tc>
          <w:tcPr>
            <w:tcW w:w="5543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23 03 02 01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5,157</w:t>
            </w: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9,300</w:t>
            </w: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13,218</w:t>
            </w:r>
          </w:p>
        </w:tc>
        <w:tc>
          <w:tcPr>
            <w:tcW w:w="1777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27,675</w:t>
            </w:r>
          </w:p>
        </w:tc>
      </w:tr>
      <w:tr>
        <w:trPr>
          <w:jc w:val="center"/>
        </w:trPr>
        <w:tc>
          <w:tcPr>
            <w:tcW w:w="5543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4,000</w:t>
            </w: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10,000</w:t>
            </w: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11,000</w:t>
            </w:r>
          </w:p>
        </w:tc>
        <w:tc>
          <w:tcPr>
            <w:tcW w:w="1777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25,000</w:t>
            </w:r>
          </w:p>
        </w:tc>
      </w:tr>
      <w:tr>
        <w:trPr>
          <w:trHeight w:val="231"/>
          <w:jc w:val="center"/>
        </w:trPr>
        <w:tc>
          <w:tcPr>
            <w:tcW w:w="7811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Administratívne rozpočtové prostriedky financované z balíka prostriedkov určených na realizáciu osobitných programov</w:t>
            </w:r>
            <w:r>
              <w:rPr>
                <w:rStyle w:val="FootnoteReference"/>
                <w:noProof/>
              </w:rPr>
              <w:footnoteReference w:id="23"/>
            </w:r>
          </w:p>
          <w:p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  <w:jc w:val="center"/>
        </w:trPr>
        <w:tc>
          <w:tcPr>
            <w:tcW w:w="5543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Číslo rozpočtového riadka</w:t>
            </w: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jc w:val="center"/>
        </w:trPr>
        <w:tc>
          <w:tcPr>
            <w:tcW w:w="5543" w:type="dxa"/>
            <w:vMerge w:val="restart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Rozpočtové prostriedky pre GR ECHO</w:t>
            </w:r>
            <w:r>
              <w:rPr>
                <w:b/>
                <w:noProof/>
                <w:sz w:val="22"/>
              </w:rPr>
              <w:br/>
              <w:t>SPOLU</w:t>
            </w: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1 + 1a + 3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19,157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115,200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122,497</w:t>
            </w:r>
          </w:p>
        </w:tc>
        <w:tc>
          <w:tcPr>
            <w:tcW w:w="1777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256,854</w:t>
            </w:r>
          </w:p>
        </w:tc>
      </w:tr>
      <w:tr>
        <w:trPr>
          <w:jc w:val="center"/>
        </w:trPr>
        <w:tc>
          <w:tcPr>
            <w:tcW w:w="554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2 + 2a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+ 3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11,000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56,560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115,395</w:t>
            </w:r>
          </w:p>
        </w:tc>
        <w:tc>
          <w:tcPr>
            <w:tcW w:w="1777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182,955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134"/>
        <w:gridCol w:w="1134"/>
        <w:gridCol w:w="1134"/>
        <w:gridCol w:w="1701"/>
      </w:tblGrid>
      <w:tr>
        <w:trPr>
          <w:trHeight w:val="277"/>
        </w:trPr>
        <w:tc>
          <w:tcPr>
            <w:tcW w:w="5529" w:type="dxa"/>
            <w:vMerge w:val="restart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Operačné rozpočtové prostriedky SPOLU</w:t>
            </w:r>
          </w:p>
        </w:tc>
        <w:tc>
          <w:tcPr>
            <w:tcW w:w="1417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19,157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115,200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122,497</w:t>
            </w:r>
          </w:p>
        </w:tc>
        <w:tc>
          <w:tcPr>
            <w:tcW w:w="1701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256,854</w:t>
            </w:r>
          </w:p>
        </w:tc>
      </w:tr>
      <w:tr>
        <w:tc>
          <w:tcPr>
            <w:tcW w:w="5529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11,000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56,560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115,395</w:t>
            </w:r>
          </w:p>
        </w:tc>
        <w:tc>
          <w:tcPr>
            <w:tcW w:w="1701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182,955</w:t>
            </w:r>
          </w:p>
        </w:tc>
      </w:tr>
      <w:tr>
        <w:trPr>
          <w:trHeight w:val="533"/>
        </w:trPr>
        <w:tc>
          <w:tcPr>
            <w:tcW w:w="6946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Administratívne rozpočtové prostriedky financované z balíka prostriedkov určených na realizáciu osobitných programov SPOLU</w:t>
            </w:r>
          </w:p>
        </w:tc>
        <w:tc>
          <w:tcPr>
            <w:tcW w:w="85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c>
          <w:tcPr>
            <w:tcW w:w="5529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OKRUHU 3</w:t>
            </w:r>
            <w:r>
              <w:rPr>
                <w:noProof/>
                <w:sz w:val="22"/>
              </w:rPr>
              <w:br/>
              <w:t>viacročného finančného rámca SPOLU</w:t>
            </w: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4 + 6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19,157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115,200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122,497</w:t>
            </w:r>
          </w:p>
        </w:tc>
        <w:tc>
          <w:tcPr>
            <w:tcW w:w="1701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256,854</w:t>
            </w:r>
          </w:p>
        </w:tc>
      </w:tr>
      <w:tr>
        <w:tc>
          <w:tcPr>
            <w:tcW w:w="5529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5 + 6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11,000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56,560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115,395</w:t>
            </w:r>
          </w:p>
        </w:tc>
        <w:tc>
          <w:tcPr>
            <w:tcW w:w="1701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182,955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Okruh viacročného finančného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rámca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Číslo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</w:rPr>
              <w:t>Okruh 4 Globálna Európa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3"/>
        <w:gridCol w:w="1417"/>
        <w:gridCol w:w="851"/>
        <w:gridCol w:w="1134"/>
        <w:gridCol w:w="1134"/>
        <w:gridCol w:w="1134"/>
        <w:gridCol w:w="1777"/>
      </w:tblGrid>
      <w:tr>
        <w:trPr>
          <w:jc w:val="center"/>
        </w:trPr>
        <w:tc>
          <w:tcPr>
            <w:tcW w:w="5543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GR pre civilnú ochranu a operácie humanitárnej pomoci EÚ (ECHO)</w:t>
            </w:r>
          </w:p>
        </w:tc>
        <w:tc>
          <w:tcPr>
            <w:tcW w:w="1417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trHeight w:val="213"/>
          <w:jc w:val="center"/>
        </w:trPr>
        <w:tc>
          <w:tcPr>
            <w:tcW w:w="7811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Operačné rozpočtové prostriedky</w:t>
            </w: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  <w:jc w:val="center"/>
        </w:trPr>
        <w:tc>
          <w:tcPr>
            <w:tcW w:w="5543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23 03 01 02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</w:tr>
      <w:tr>
        <w:trPr>
          <w:jc w:val="center"/>
        </w:trPr>
        <w:tc>
          <w:tcPr>
            <w:tcW w:w="5543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</w:t>
            </w:r>
          </w:p>
        </w:tc>
      </w:tr>
      <w:tr>
        <w:trPr>
          <w:jc w:val="center"/>
        </w:trPr>
        <w:tc>
          <w:tcPr>
            <w:tcW w:w="5543" w:type="dxa"/>
            <w:vMerge w:val="restart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23 03 02 02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2,284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6,284</w:t>
            </w:r>
          </w:p>
        </w:tc>
      </w:tr>
      <w:tr>
        <w:trPr>
          <w:jc w:val="center"/>
        </w:trPr>
        <w:tc>
          <w:tcPr>
            <w:tcW w:w="5543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2,014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4,614</w:t>
            </w:r>
          </w:p>
        </w:tc>
      </w:tr>
      <w:tr>
        <w:trPr>
          <w:trHeight w:val="231"/>
          <w:jc w:val="center"/>
        </w:trPr>
        <w:tc>
          <w:tcPr>
            <w:tcW w:w="7811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Administratívne rozpočtové prostriedky financované z balíka prostriedkov určených na realizáciu osobitných programov</w:t>
            </w:r>
            <w:r>
              <w:rPr>
                <w:rStyle w:val="FootnoteReference"/>
                <w:noProof/>
              </w:rPr>
              <w:footnoteReference w:id="24"/>
            </w:r>
          </w:p>
          <w:p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  <w:jc w:val="center"/>
        </w:trPr>
        <w:tc>
          <w:tcPr>
            <w:tcW w:w="5543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Číslo rozpočtového riadka</w:t>
            </w: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jc w:val="center"/>
        </w:trPr>
        <w:tc>
          <w:tcPr>
            <w:tcW w:w="5543" w:type="dxa"/>
            <w:vMerge w:val="restart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Rozpočtové prostriedky pre GR ECHO</w:t>
            </w:r>
            <w:r>
              <w:rPr>
                <w:b/>
                <w:noProof/>
                <w:sz w:val="22"/>
              </w:rPr>
              <w:br/>
              <w:t>SPOLU</w:t>
            </w: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1 + 1a + 3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2,284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6,284</w:t>
            </w:r>
          </w:p>
        </w:tc>
      </w:tr>
      <w:tr>
        <w:trPr>
          <w:jc w:val="center"/>
        </w:trPr>
        <w:tc>
          <w:tcPr>
            <w:tcW w:w="554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2 + 2a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+ 3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2,014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4,614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134"/>
        <w:gridCol w:w="1134"/>
        <w:gridCol w:w="1134"/>
        <w:gridCol w:w="1701"/>
      </w:tblGrid>
      <w:tr>
        <w:trPr>
          <w:trHeight w:val="277"/>
        </w:trPr>
        <w:tc>
          <w:tcPr>
            <w:tcW w:w="5529" w:type="dxa"/>
            <w:vMerge w:val="restart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Operačné rozpočtové prostriedky SPOLU</w:t>
            </w:r>
          </w:p>
        </w:tc>
        <w:tc>
          <w:tcPr>
            <w:tcW w:w="1417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2,284</w:t>
            </w:r>
          </w:p>
        </w:tc>
        <w:tc>
          <w:tcPr>
            <w:tcW w:w="170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6,284</w:t>
            </w:r>
          </w:p>
        </w:tc>
      </w:tr>
      <w:tr>
        <w:tc>
          <w:tcPr>
            <w:tcW w:w="5529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2,014</w:t>
            </w:r>
          </w:p>
        </w:tc>
        <w:tc>
          <w:tcPr>
            <w:tcW w:w="170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4,614</w:t>
            </w:r>
          </w:p>
        </w:tc>
      </w:tr>
      <w:tr>
        <w:trPr>
          <w:trHeight w:val="533"/>
        </w:trPr>
        <w:tc>
          <w:tcPr>
            <w:tcW w:w="6946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Administratívne rozpočtové prostriedky financované z balíka prostriedkov určených na realizáciu osobitných programov SPOLU</w:t>
            </w:r>
          </w:p>
        </w:tc>
        <w:tc>
          <w:tcPr>
            <w:tcW w:w="851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c>
          <w:tcPr>
            <w:tcW w:w="5529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OKRUHU 4</w:t>
            </w:r>
            <w:r>
              <w:rPr>
                <w:noProof/>
                <w:sz w:val="22"/>
              </w:rPr>
              <w:br/>
              <w:t>viacročného finančného rámca SPOLU</w:t>
            </w: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4 + 6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2,284</w:t>
            </w:r>
          </w:p>
        </w:tc>
        <w:tc>
          <w:tcPr>
            <w:tcW w:w="170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6,284</w:t>
            </w:r>
          </w:p>
        </w:tc>
      </w:tr>
      <w:tr>
        <w:tc>
          <w:tcPr>
            <w:tcW w:w="5529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5 + 6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2,014</w:t>
            </w:r>
          </w:p>
        </w:tc>
        <w:tc>
          <w:tcPr>
            <w:tcW w:w="170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4,614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keepNext/>
              <w:keepLines/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>Okruh viacročného finančného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rámca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keepNext/>
              <w:keepLines/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keepNext/>
              <w:keepLines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„Administratívne výdavky“</w:t>
            </w:r>
          </w:p>
        </w:tc>
      </w:tr>
    </w:tbl>
    <w:p>
      <w:pPr>
        <w:keepNext/>
        <w:keepLines/>
        <w:jc w:val="right"/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496"/>
        <w:gridCol w:w="236"/>
        <w:gridCol w:w="2032"/>
        <w:gridCol w:w="1134"/>
        <w:gridCol w:w="1134"/>
        <w:gridCol w:w="1134"/>
        <w:gridCol w:w="1984"/>
      </w:tblGrid>
      <w:tr>
        <w:tc>
          <w:tcPr>
            <w:tcW w:w="6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/>
              <w:keepLines/>
              <w:jc w:val="center"/>
              <w:rPr>
                <w:noProof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>
            <w:pPr>
              <w:keepNext/>
              <w:keepLines/>
              <w:rPr>
                <w:noProof/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nil"/>
            </w:tcBorders>
          </w:tcPr>
          <w:p>
            <w:pPr>
              <w:keepNext/>
              <w:keepLines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984" w:type="dxa"/>
            <w:vAlign w:val="center"/>
          </w:tcPr>
          <w:p>
            <w:pPr>
              <w:keepNext/>
              <w:keepLines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rPr>
          <w:gridAfter w:val="6"/>
          <w:wAfter w:w="7654" w:type="dxa"/>
        </w:trPr>
        <w:tc>
          <w:tcPr>
            <w:tcW w:w="6456" w:type="dxa"/>
            <w:gridSpan w:val="2"/>
            <w:vAlign w:val="center"/>
          </w:tcPr>
          <w:p>
            <w:pPr>
              <w:keepNext/>
              <w:keepLines/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GR pre civilnú ochranu a operácie humanitárnej pomoci EÚ (ECHO)</w:t>
            </w:r>
          </w:p>
        </w:tc>
      </w:tr>
      <w:tr>
        <w:trPr>
          <w:trHeight w:val="313"/>
        </w:trPr>
        <w:tc>
          <w:tcPr>
            <w:tcW w:w="8724" w:type="dxa"/>
            <w:gridSpan w:val="4"/>
            <w:vAlign w:val="center"/>
          </w:tcPr>
          <w:p>
            <w:pPr>
              <w:keepNext/>
              <w:keepLines/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Ľudské zdroje</w:t>
            </w:r>
          </w:p>
        </w:tc>
        <w:tc>
          <w:tcPr>
            <w:tcW w:w="113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1,682 </w:t>
            </w:r>
          </w:p>
        </w:tc>
        <w:tc>
          <w:tcPr>
            <w:tcW w:w="113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5,034 </w:t>
            </w:r>
          </w:p>
        </w:tc>
        <w:tc>
          <w:tcPr>
            <w:tcW w:w="113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9,436 </w:t>
            </w:r>
          </w:p>
        </w:tc>
        <w:tc>
          <w:tcPr>
            <w:tcW w:w="198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16,152 </w:t>
            </w:r>
          </w:p>
        </w:tc>
      </w:tr>
      <w:tr>
        <w:trPr>
          <w:trHeight w:val="351"/>
        </w:trPr>
        <w:tc>
          <w:tcPr>
            <w:tcW w:w="8724" w:type="dxa"/>
            <w:gridSpan w:val="4"/>
            <w:vAlign w:val="center"/>
          </w:tcPr>
          <w:p>
            <w:pPr>
              <w:keepNext/>
              <w:keepLines/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Ostatné administratívne výdavky</w:t>
            </w:r>
          </w:p>
        </w:tc>
        <w:tc>
          <w:tcPr>
            <w:tcW w:w="113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0,1500</w:t>
            </w:r>
          </w:p>
        </w:tc>
        <w:tc>
          <w:tcPr>
            <w:tcW w:w="113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0,230</w:t>
            </w:r>
          </w:p>
        </w:tc>
        <w:tc>
          <w:tcPr>
            <w:tcW w:w="1134" w:type="dxa"/>
            <w:vAlign w:val="bottom"/>
          </w:tcPr>
          <w:p>
            <w:pPr>
              <w:keepNext/>
              <w:keepLines/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0,330</w:t>
            </w:r>
          </w:p>
        </w:tc>
        <w:tc>
          <w:tcPr>
            <w:tcW w:w="1984" w:type="dxa"/>
            <w:vAlign w:val="center"/>
          </w:tcPr>
          <w:p>
            <w:pPr>
              <w:keepNext/>
              <w:keepLines/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0,710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t xml:space="preserve">GR ECHO </w:t>
            </w:r>
            <w:r>
              <w:rPr>
                <w:b/>
                <w:noProof/>
              </w:rPr>
              <w:t>SPOLU</w:t>
            </w:r>
          </w:p>
        </w:tc>
        <w:tc>
          <w:tcPr>
            <w:tcW w:w="4764" w:type="dxa"/>
            <w:gridSpan w:val="3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Rozpočtové prostriedky 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1,832 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5,264 </w:t>
            </w:r>
          </w:p>
        </w:tc>
        <w:tc>
          <w:tcPr>
            <w:tcW w:w="1134" w:type="dxa"/>
            <w:vAlign w:val="bottom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9,766 </w:t>
            </w:r>
          </w:p>
        </w:tc>
        <w:tc>
          <w:tcPr>
            <w:tcW w:w="1984" w:type="dxa"/>
            <w:vAlign w:val="bottom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16,862 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764"/>
        <w:gridCol w:w="1134"/>
        <w:gridCol w:w="1134"/>
        <w:gridCol w:w="1134"/>
        <w:gridCol w:w="1984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OKRUHU 5</w:t>
            </w:r>
            <w:r>
              <w:rPr>
                <w:noProof/>
                <w:sz w:val="22"/>
              </w:rPr>
              <w:br/>
              <w:t>viacročného finančného rámca SPOLU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4764" w:type="dxa"/>
            <w:vAlign w:val="center"/>
          </w:tcPr>
          <w:p>
            <w:pPr>
              <w:spacing w:before="40" w:after="4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(Záväzky spolu = Platby spolu)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1,832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5,264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9,766</w:t>
            </w:r>
          </w:p>
        </w:tc>
        <w:tc>
          <w:tcPr>
            <w:tcW w:w="198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16,862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3204"/>
        <w:gridCol w:w="1134"/>
        <w:gridCol w:w="1134"/>
        <w:gridCol w:w="1134"/>
        <w:gridCol w:w="1984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20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Rozpočtové prostriedky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OKRUHOV 1 až 5</w:t>
            </w:r>
            <w:r>
              <w:rPr>
                <w:noProof/>
                <w:sz w:val="22"/>
              </w:rPr>
              <w:br/>
              <w:t>viacročného finančného rámca SPOLU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476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Záväzky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22,989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122,464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134,547</w:t>
            </w:r>
          </w:p>
        </w:tc>
        <w:tc>
          <w:tcPr>
            <w:tcW w:w="198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280,000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76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13,632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63,624</w:t>
            </w: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127,174</w:t>
            </w:r>
          </w:p>
        </w:tc>
        <w:tc>
          <w:tcPr>
            <w:tcW w:w="198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204,430</w:t>
            </w: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NumPar3"/>
        <w:rPr>
          <w:noProof/>
        </w:rPr>
      </w:pPr>
      <w:r>
        <w:t>3.2.2.</w:t>
      </w:r>
      <w:r>
        <w:tab/>
      </w:r>
      <w:r>
        <w:rPr>
          <w:noProof/>
        </w:rPr>
        <w:t>Odhadovaný vplyv na operačné rozpočtové prostriedky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Návrh/iniciatíva si nevyžaduje použitie operačných rozpočtových prostriedkov.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Návrh/iniciatíva si vyžaduje použitie operačných rozpočtových prostriedkov, ako je uvedené v nasledujúcej tabuľke: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viazané rozpočtové prostriedky v mil. EUR (zaokrúhlené na 3 desatinné miesta)</w:t>
      </w:r>
    </w:p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925"/>
        <w:gridCol w:w="103"/>
        <w:gridCol w:w="701"/>
        <w:gridCol w:w="504"/>
        <w:gridCol w:w="720"/>
        <w:gridCol w:w="540"/>
        <w:gridCol w:w="720"/>
        <w:gridCol w:w="720"/>
        <w:gridCol w:w="720"/>
        <w:gridCol w:w="900"/>
        <w:gridCol w:w="38"/>
        <w:gridCol w:w="682"/>
        <w:gridCol w:w="10"/>
        <w:gridCol w:w="31"/>
        <w:gridCol w:w="499"/>
        <w:gridCol w:w="648"/>
        <w:gridCol w:w="539"/>
        <w:gridCol w:w="613"/>
        <w:gridCol w:w="540"/>
        <w:gridCol w:w="720"/>
        <w:gridCol w:w="878"/>
        <w:gridCol w:w="236"/>
      </w:tblGrid>
      <w:tr>
        <w:trPr>
          <w:gridAfter w:val="10"/>
          <w:wAfter w:w="4714" w:type="dxa"/>
          <w:jc w:val="center"/>
        </w:trPr>
        <w:tc>
          <w:tcPr>
            <w:tcW w:w="121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Uveďte ciele a výstupy</w:t>
            </w:r>
          </w:p>
          <w:p>
            <w:pPr>
              <w:ind w:right="-29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F2"/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2018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16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SPOLU</w:t>
            </w:r>
          </w:p>
        </w:tc>
      </w:tr>
      <w:tr>
        <w:trPr>
          <w:gridAfter w:val="9"/>
          <w:wAfter w:w="4704" w:type="dxa"/>
          <w:jc w:val="center"/>
        </w:trPr>
        <w:tc>
          <w:tcPr>
            <w:tcW w:w="1218" w:type="dxa"/>
            <w:vMerge/>
            <w:tcMar>
              <w:left w:w="28" w:type="dxa"/>
              <w:right w:w="28" w:type="dxa"/>
            </w:tcMar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83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</w:rPr>
              <w:t>VÝSTUPY</w:t>
            </w:r>
          </w:p>
        </w:tc>
      </w:tr>
      <w:tr>
        <w:trPr>
          <w:gridAfter w:val="10"/>
          <w:wAfter w:w="4714" w:type="dxa"/>
          <w:cantSplit/>
          <w:trHeight w:val="1134"/>
          <w:jc w:val="center"/>
        </w:trPr>
        <w:tc>
          <w:tcPr>
            <w:tcW w:w="1218" w:type="dxa"/>
            <w:vMerge/>
            <w:tcMar>
              <w:left w:w="28" w:type="dxa"/>
              <w:right w:w="28" w:type="dxa"/>
            </w:tcMar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right="-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Druh výstupov</w:t>
            </w:r>
            <w:r>
              <w:rPr>
                <w:rStyle w:val="FootnoteReference"/>
                <w:noProof/>
              </w:rPr>
              <w:footnoteReference w:id="25"/>
            </w:r>
          </w:p>
        </w:tc>
        <w:tc>
          <w:tcPr>
            <w:tcW w:w="8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Priemerné náklady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výstupu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výstupov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výstupov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výstupov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výstupov spolu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spolu</w:t>
            </w:r>
          </w:p>
        </w:tc>
      </w:tr>
      <w:tr>
        <w:trPr>
          <w:jc w:val="center"/>
        </w:trPr>
        <w:tc>
          <w:tcPr>
            <w:tcW w:w="294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OSOBITNÝ CIEĽ č. 1 – Prevencia</w:t>
            </w:r>
            <w:r>
              <w:rPr>
                <w:rStyle w:val="FootnoteReference"/>
                <w:noProof/>
              </w:rPr>
              <w:footnoteReference w:id="26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0"/>
          <w:wAfter w:w="4714" w:type="dxa"/>
          <w:trHeight w:hRule="exact" w:val="936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financovaných projektov prevencie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Dohody o grantoch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>
        <w:trPr>
          <w:gridAfter w:val="10"/>
          <w:wAfter w:w="4714" w:type="dxa"/>
          <w:trHeight w:hRule="exact" w:val="719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Štúdie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zmlúv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>
        <w:trPr>
          <w:gridAfter w:val="10"/>
          <w:wAfter w:w="4714" w:type="dxa"/>
          <w:trHeight w:val="1060"/>
          <w:jc w:val="center"/>
        </w:trPr>
        <w:tc>
          <w:tcPr>
            <w:tcW w:w="294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Osobitný cieľ č. 1 medzisúčet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10,5</w:t>
            </w:r>
          </w:p>
        </w:tc>
      </w:tr>
      <w:tr>
        <w:trPr>
          <w:trHeight w:val="1402"/>
          <w:jc w:val="center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94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OSOBITNÝ CIEĽ č. 2 – Pripravenosť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0"/>
          <w:wAfter w:w="4714" w:type="dxa"/>
          <w:trHeight w:hRule="exact" w:val="1450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financovaných projektov pripravenosti (vrátane školení a cvičení)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Dohody o grantoch a zmluvy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300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>
        <w:trPr>
          <w:gridAfter w:val="10"/>
          <w:wAfter w:w="4714" w:type="dxa"/>
          <w:trHeight w:hRule="exact" w:val="714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Systémy včasného varovania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admin. dojednaní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1,25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2,5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2,5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2,5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7,5</w:t>
            </w:r>
          </w:p>
        </w:tc>
      </w:tr>
      <w:tr>
        <w:trPr>
          <w:gridAfter w:val="10"/>
          <w:wAfter w:w="4714" w:type="dxa"/>
          <w:trHeight w:hRule="exact" w:val="1071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Kapacita v oblasti reakcií na núdzové situácie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dohôd o grantoch a zmlúv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>
        <w:trPr>
          <w:gridAfter w:val="10"/>
          <w:wAfter w:w="4714" w:type="dxa"/>
          <w:jc w:val="center"/>
        </w:trPr>
        <w:tc>
          <w:tcPr>
            <w:tcW w:w="2947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Osobitný cieľ č. 2 medzisúčet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14,5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115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27,5</w:t>
            </w:r>
          </w:p>
        </w:tc>
        <w:tc>
          <w:tcPr>
            <w:tcW w:w="9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346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62,5</w:t>
            </w:r>
          </w:p>
        </w:tc>
      </w:tr>
      <w:tr>
        <w:trPr>
          <w:jc w:val="center"/>
        </w:trPr>
        <w:tc>
          <w:tcPr>
            <w:tcW w:w="294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94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OSOBITNÝ CIEĽ č. 3 – Reakcia</w:t>
            </w:r>
            <w:r>
              <w:rPr>
                <w:rStyle w:val="FootnoteReference"/>
                <w:noProof/>
              </w:rPr>
              <w:footnoteReference w:id="27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0"/>
          <w:wAfter w:w="4714" w:type="dxa"/>
          <w:trHeight w:hRule="exact" w:val="628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Nasadenie odborníkov 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1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zmlúv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56"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0,005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>
        <w:trPr>
          <w:gridAfter w:val="10"/>
          <w:wAfter w:w="4714" w:type="dxa"/>
          <w:trHeight w:hRule="exact" w:val="1214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Počet operácií v rámci EÚ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Dohoda o grante/zmluva o poskytovaní služieb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240</w:t>
            </w: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>
        <w:trPr>
          <w:gridAfter w:val="10"/>
          <w:wAfter w:w="4714" w:type="dxa"/>
          <w:trHeight w:hRule="exact" w:val="1227"/>
          <w:jc w:val="center"/>
        </w:trPr>
        <w:tc>
          <w:tcPr>
            <w:tcW w:w="1218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Počet dopravných operácií mimo EÚ</w:t>
            </w:r>
          </w:p>
        </w:tc>
        <w:tc>
          <w:tcPr>
            <w:tcW w:w="1028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Dohoda o grante/zmluva o poskytovaní služieb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0,13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5,2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5,2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5,2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120</w:t>
            </w: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15,6</w:t>
            </w:r>
          </w:p>
        </w:tc>
      </w:tr>
      <w:tr>
        <w:trPr>
          <w:gridAfter w:val="10"/>
          <w:wAfter w:w="4714" w:type="dxa"/>
          <w:jc w:val="center"/>
        </w:trPr>
        <w:tc>
          <w:tcPr>
            <w:tcW w:w="2947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Osobitný cieľ č. 3 medzisúčet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14,2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14,2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14,2</w:t>
            </w:r>
          </w:p>
        </w:tc>
        <w:tc>
          <w:tcPr>
            <w:tcW w:w="9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960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42,6</w:t>
            </w:r>
          </w:p>
        </w:tc>
      </w:tr>
      <w:tr>
        <w:trPr>
          <w:gridAfter w:val="10"/>
          <w:wAfter w:w="4714" w:type="dxa"/>
          <w:jc w:val="center"/>
        </w:trPr>
        <w:tc>
          <w:tcPr>
            <w:tcW w:w="2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NÁKLADY SPOLU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449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32,2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455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38,2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462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45,2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1366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115,6</w:t>
            </w:r>
          </w:p>
        </w:tc>
      </w:tr>
      <w:tr>
        <w:trPr>
          <w:gridAfter w:val="8"/>
          <w:wAfter w:w="4673" w:type="dxa"/>
          <w:jc w:val="center"/>
        </w:trPr>
        <w:tc>
          <w:tcPr>
            <w:tcW w:w="8532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ind w:right="-29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NumPar3"/>
        <w:rPr>
          <w:noProof/>
        </w:rPr>
      </w:pPr>
      <w:r>
        <w:t>3.2.3.</w:t>
      </w:r>
      <w:r>
        <w:tab/>
      </w:r>
      <w:r>
        <w:rPr>
          <w:noProof/>
        </w:rPr>
        <w:t>Odhadovaný vplyv na administratívne rozpočtové prostriedky</w:t>
      </w:r>
    </w:p>
    <w:p>
      <w:pPr>
        <w:pStyle w:val="ManualNumPar4"/>
        <w:rPr>
          <w:noProof/>
        </w:rPr>
      </w:pPr>
      <w:r>
        <w:t>3.2.3.1.</w:t>
      </w:r>
      <w:r>
        <w:tab/>
      </w:r>
      <w:r>
        <w:rPr>
          <w:noProof/>
        </w:rPr>
        <w:t>Zhrnutie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ab/>
        <w:t>Návrh/iniciatíva si nevyžaduje použitie administratívnych rozpočtových prostriedkov.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Návrh/iniciatíva si vyžaduje použitie administratívnych rozpočtových prostriedkov, ako je uvedené v nasledujúcej tabuľke:</w:t>
      </w:r>
    </w:p>
    <w:p>
      <w:pPr>
        <w:rPr>
          <w:noProof/>
          <w:sz w:val="20"/>
        </w:rPr>
      </w:pPr>
      <w:r>
        <w:rPr>
          <w:noProof/>
          <w:sz w:val="20"/>
        </w:rPr>
        <w:t>v mil. EUR (zaokrúhlené na 3 desatinné miesta)</w:t>
      </w:r>
    </w:p>
    <w:tbl>
      <w:tblPr>
        <w:tblW w:w="630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2018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630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OKRUH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viacročného finančného rámca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Ľudské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1,682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5,034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9,436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16,152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Ostatné administratívne výdavky 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0,23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0,710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OKRUH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viacročného finančného rámca medzisúčet 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1,832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5,264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9,766</w:t>
            </w:r>
          </w:p>
        </w:tc>
        <w:tc>
          <w:tcPr>
            <w:tcW w:w="1080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16,862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630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  <w:szCs w:val="16"/>
              </w:rPr>
              <w:t>Mimo OKRUHU 5</w:t>
            </w:r>
            <w:r>
              <w:rPr>
                <w:rStyle w:val="FootnoteReference"/>
                <w:noProof/>
              </w:rPr>
              <w:footnoteReference w:id="28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viacročného finančného rámca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Ľudské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Ostatné administratívne výdavky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Mimo OKRUHU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viacročného finančného rámca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medzisúčet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63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1,832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5,264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9,766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16,862</w:t>
            </w: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Rozpočtové prostriedky potrebné na ľudské zdroje a na ostatné výdavky administratívnej povahy budú pokryté rozpočtovými prostriedkami GR, ktoré už boli pridelené na riadenie akcie a/alebo boli prerozdelené v rámci GR, a v prípade potreby budú doplnené zdrojmi, ktoré sa môžu prideliť riadiacemu GR v rámci ročného postupu prideľovania zdrojov a v závislosti od rozpočtových obmedzení.</w:t>
      </w:r>
      <w:r>
        <w:rPr>
          <w:noProof/>
          <w:sz w:val="18"/>
        </w:rPr>
        <w:tab/>
      </w:r>
    </w:p>
    <w:p>
      <w:pPr>
        <w:pStyle w:val="ManualNumPar4"/>
        <w:rPr>
          <w:noProof/>
          <w:szCs w:val="24"/>
        </w:rPr>
      </w:pPr>
      <w:r>
        <w:t>3.2.3.2.</w:t>
      </w:r>
      <w:r>
        <w:tab/>
      </w:r>
      <w:r>
        <w:rPr>
          <w:noProof/>
        </w:rPr>
        <w:t>Odhadované potreby ľudských zdrojov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Návrh/iniciatíva si nevyžaduje použitie ľudských zdrojov.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Návrh/iniciatíva si vyžaduje použitie ľudských zdrojov, ako je uvedené v nasledujúcej tabuľke: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Odhady sa vyjadrujú v jednotkách ekvivalentu plného pracovného času</w:t>
      </w:r>
    </w:p>
    <w:tbl>
      <w:tblPr>
        <w:tblW w:w="3096" w:type="pct"/>
        <w:jc w:val="center"/>
        <w:tblInd w:w="-1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1"/>
        <w:gridCol w:w="2398"/>
        <w:gridCol w:w="592"/>
        <w:gridCol w:w="24"/>
        <w:gridCol w:w="566"/>
        <w:gridCol w:w="52"/>
        <w:gridCol w:w="588"/>
        <w:gridCol w:w="25"/>
        <w:gridCol w:w="15"/>
      </w:tblGrid>
      <w:tr>
        <w:trPr>
          <w:trHeight w:val="289"/>
          <w:jc w:val="center"/>
        </w:trPr>
        <w:tc>
          <w:tcPr>
            <w:tcW w:w="3382" w:type="pct"/>
            <w:gridSpan w:val="2"/>
            <w:shd w:val="clear" w:color="auto" w:fill="auto"/>
          </w:tcPr>
          <w:p>
            <w:pPr>
              <w:spacing w:before="40" w:after="4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Rok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  <w:szCs w:val="16"/>
              </w:rPr>
              <w:t>N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 + 1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 + 2</w:t>
            </w:r>
          </w:p>
        </w:tc>
      </w:tr>
      <w:tr>
        <w:trPr>
          <w:trHeight w:val="289"/>
          <w:jc w:val="center"/>
        </w:trPr>
        <w:tc>
          <w:tcPr>
            <w:tcW w:w="3382" w:type="pct"/>
            <w:gridSpan w:val="2"/>
            <w:shd w:val="clear" w:color="auto" w:fill="auto"/>
          </w:tcPr>
          <w:p>
            <w:pPr>
              <w:spacing w:before="40" w:after="4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2020</w:t>
            </w:r>
          </w:p>
        </w:tc>
      </w:tr>
      <w:tr>
        <w:trPr>
          <w:trHeight w:val="28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i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" w:char="F09F"/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Plán pracovných miest (úradníci a dočasní zamestnanci)</w:t>
            </w:r>
          </w:p>
        </w:tc>
      </w:tr>
      <w:tr>
        <w:trPr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4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01 01 01 (ústredie a zastúpenia Komisie)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</w:t>
            </w:r>
          </w:p>
        </w:tc>
      </w:tr>
      <w:tr>
        <w:trPr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XX 01 01 02 (delegácie)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XX 01 05 01 (nepriamy výskum)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01 05 01 (priamy výskum)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lef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" w:char="F09F"/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Externí zamestnanci (ekvivalent plného pracovného času)</w:t>
            </w:r>
            <w:r>
              <w:rPr>
                <w:rStyle w:val="FootnoteReference"/>
                <w:b/>
                <w:noProof/>
                <w:sz w:val="20"/>
                <w:szCs w:val="20"/>
              </w:rPr>
              <w:footnoteReference w:id="29"/>
            </w: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01 02 01 (ZZ, DAZ, VNE z celkového balíka prostriedkov)</w:t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31</w:t>
            </w: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XX 01 02 02 (ZZ, DAZ, PED, MZ a VNE v delegáciách)</w:t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1296" w:type="pct"/>
            <w:vMerge w:val="restart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XX</w:t>
            </w:r>
            <w:r>
              <w:rPr>
                <w:noProof/>
                <w:sz w:val="20"/>
              </w:rPr>
              <w:t xml:space="preserve"> 01 04 </w:t>
            </w:r>
            <w:r>
              <w:rPr>
                <w:b/>
                <w:i/>
                <w:noProof/>
                <w:sz w:val="20"/>
              </w:rPr>
              <w:t xml:space="preserve">yy </w:t>
            </w:r>
            <w:r>
              <w:rPr>
                <w:rStyle w:val="FootnoteReference"/>
                <w:noProof/>
              </w:rPr>
              <w:footnoteReference w:id="30"/>
            </w:r>
          </w:p>
        </w:tc>
        <w:tc>
          <w:tcPr>
            <w:tcW w:w="208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‒ ústredie</w:t>
            </w:r>
            <w:r>
              <w:rPr>
                <w:rStyle w:val="FootnoteReference"/>
                <w:noProof/>
              </w:rPr>
              <w:footnoteReference w:id="31"/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– v delegáciách </w:t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XX</w:t>
            </w:r>
            <w:r>
              <w:rPr>
                <w:noProof/>
                <w:sz w:val="20"/>
                <w:szCs w:val="20"/>
              </w:rPr>
              <w:t xml:space="preserve"> 01 05 02 (ZZ, DAZ, VNE – nepriamy výskum)</w:t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338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01 05 02 (ZZ, DAZ, VNE – priamy výskum)</w:t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gridAfter w:val="1"/>
          <w:wAfter w:w="12" w:type="pct"/>
          <w:trHeight w:val="289"/>
          <w:jc w:val="center"/>
        </w:trPr>
        <w:tc>
          <w:tcPr>
            <w:tcW w:w="338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Iné rozpočtové riadky (presne uviesť)</w:t>
            </w:r>
          </w:p>
        </w:tc>
        <w:tc>
          <w:tcPr>
            <w:tcW w:w="5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gridAfter w:val="2"/>
          <w:wAfter w:w="35" w:type="pct"/>
          <w:trHeight w:val="289"/>
          <w:jc w:val="center"/>
        </w:trPr>
        <w:tc>
          <w:tcPr>
            <w:tcW w:w="338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986"/>
              <w:jc w:val="lef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  <w:tc>
          <w:tcPr>
            <w:tcW w:w="5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17</w:t>
            </w:r>
          </w:p>
        </w:tc>
        <w:tc>
          <w:tcPr>
            <w:tcW w:w="51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36</w:t>
            </w:r>
          </w:p>
        </w:tc>
        <w:tc>
          <w:tcPr>
            <w:tcW w:w="55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47</w:t>
            </w:r>
          </w:p>
        </w:tc>
      </w:tr>
    </w:tbl>
    <w:p>
      <w:pPr>
        <w:spacing w:after="60"/>
        <w:jc w:val="left"/>
        <w:rPr>
          <w:i/>
          <w:noProof/>
          <w:sz w:val="20"/>
        </w:rPr>
      </w:pPr>
      <w:r>
        <w:rPr>
          <w:i/>
          <w:noProof/>
          <w:sz w:val="22"/>
        </w:rPr>
        <w:t xml:space="preserve">* </w:t>
      </w:r>
      <w:r>
        <w:rPr>
          <w:i/>
          <w:noProof/>
          <w:sz w:val="20"/>
        </w:rPr>
        <w:t>Tieto čísla môžu byť doplnené o ďalších 15 zamestnancov na plný pracovný úväzok prostredníctvom preradenia z iných GR na základe výzvy na vyjadrenie záujmu.</w:t>
      </w:r>
    </w:p>
    <w:p>
      <w:pPr>
        <w:spacing w:after="60"/>
        <w:jc w:val="left"/>
        <w:rPr>
          <w:i/>
          <w:noProof/>
          <w:sz w:val="20"/>
        </w:rPr>
      </w:pPr>
    </w:p>
    <w:p>
      <w:pPr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</w:rPr>
        <w:t xml:space="preserve">XX </w:t>
      </w:r>
      <w:r>
        <w:rPr>
          <w:noProof/>
        </w:rPr>
        <w:t>predstavuje príslušnú oblasť politiky alebo rozpočtovú hlavu.</w:t>
      </w:r>
    </w:p>
    <w:p>
      <w:pPr>
        <w:ind w:left="850"/>
        <w:rPr>
          <w:noProof/>
          <w:sz w:val="18"/>
          <w:szCs w:val="18"/>
        </w:rPr>
      </w:pPr>
      <w:r>
        <w:rPr>
          <w:noProof/>
          <w:sz w:val="18"/>
        </w:rPr>
        <w:t>Potreby ľudských zdrojov budú pokryté úradníkmi GR, ktorí už boli pridelení na riadenie akcie a/alebo boli interne prerozdelení v rámci GR, a v prípade potreby budú doplnené zdrojmi, ktoré sa môžu prideliť riadiacemu GR v rámci ročného postupu prideľovania zdrojov v závislosti od rozpočtových obmedzení.</w:t>
      </w:r>
    </w:p>
    <w:p>
      <w:pPr>
        <w:rPr>
          <w:noProof/>
          <w:sz w:val="20"/>
        </w:rPr>
      </w:pPr>
      <w:r>
        <w:rPr>
          <w:noProof/>
          <w:sz w:val="20"/>
        </w:rPr>
        <w:t>Opis úloh, ktoré sa majú vykonať: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Úradníci a dočasní zamestnanci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Dodatoční zamestnanci na obdobie rokov 2018 – 2020 budú potrební na vykonávanie týchto úloh: a) rozvoj a riadenie novovytvorenej kapacity rescEU; b) posilnenie dobrovoľného zoskupenia; c) podpora politických útvarov vrátane prevenčných činností; d) rozvoj konceptu akadémie európskej civilnej ochrany a e) zabezpečenie riadiacich a podporných činností.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Zvýšenie počtu zamestnancov bude vo veľkej miere zamerané na rozvoj rescEU, vykonávanie úloh ako riadenie obstarávania a/alebo lízingu prostriedkov (zmluvy), riadenie prostriedkov, monitorovacie, koordinačné a komunikačné úlohy.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Externí zamestnanci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Zabezpečenie chodu centra pre núdzové reakcie 24 hodín denne 7 dní v týždni; potrebná práca v teréne; administratívna podpora.</w:t>
            </w: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NumPar3"/>
        <w:rPr>
          <w:noProof/>
        </w:rPr>
      </w:pPr>
      <w:r>
        <w:t>3.2.4.</w:t>
      </w:r>
      <w:r>
        <w:tab/>
      </w:r>
      <w:r>
        <w:rPr>
          <w:noProof/>
        </w:rPr>
        <w:t>Súlad s platným viacročným finančným rámcom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Návrh/iniciatíva je v súlade s platným viacročným finančným rámcom.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Návrh/iniciatíva si vyžaduje zmenu v plánovaní príslušného okruhu vo viacročnom finančnom rámci. Prerozdelia sa tieto sumy:</w:t>
      </w: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1261"/>
        <w:gridCol w:w="3560"/>
        <w:gridCol w:w="960"/>
        <w:gridCol w:w="960"/>
        <w:gridCol w:w="960"/>
        <w:gridCol w:w="960"/>
      </w:tblGrid>
      <w:tr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Okruh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spolu</w:t>
            </w:r>
          </w:p>
        </w:tc>
      </w:tr>
      <w:tr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Práva, rovnosť a občianstvo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</w:tr>
      <w:tr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33 02 01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Zaistenie ochrany práv a posilnenie postavenia občanov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2,89</w:t>
            </w:r>
          </w:p>
        </w:tc>
      </w:tr>
      <w:tr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33 02 02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Podpora nediskriminácie a rovnosti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2,2</w:t>
            </w:r>
          </w:p>
        </w:tc>
      </w:tr>
      <w:tr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Spravodlivosť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</w:tr>
      <w:tr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33 03 01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Podpora a presadzovanie justičnej odbornej prípravy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10,18</w:t>
            </w:r>
          </w:p>
        </w:tc>
      </w:tr>
      <w:tr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33 03 02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Uľahčenie a podpora justičnej spolupráce v občianskych a trestných veciach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9,79</w:t>
            </w:r>
          </w:p>
        </w:tc>
      </w:tr>
      <w:tr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Okruh 3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12,02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25,06</w:t>
            </w:r>
          </w:p>
        </w:tc>
      </w:tr>
      <w:tr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Okruh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spolu</w:t>
            </w:r>
          </w:p>
        </w:tc>
      </w:tr>
      <w:tr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21 02 07 03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Ľudský rozvoj (DCI)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2,00</w:t>
            </w:r>
          </w:p>
        </w:tc>
      </w:tr>
      <w:tr>
        <w:trPr>
          <w:trHeight w:val="9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22 02 03 02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Podpora pre Turecko – hospodársky, sociálny a územný rozvoj a súvisiaci pokračujúci proces zosúladenia s acquis Únie (IPA II – Turecko)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4,284</w:t>
            </w:r>
          </w:p>
        </w:tc>
      </w:tr>
      <w:tr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Okruh 4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6,284</w:t>
            </w:r>
          </w:p>
        </w:tc>
      </w:tr>
    </w:tbl>
    <w:p>
      <w:pPr>
        <w:spacing w:before="0" w:after="0"/>
        <w:ind w:left="284" w:hanging="284"/>
        <w:rPr>
          <w:rFonts w:eastAsia="Times New Roman"/>
          <w:noProof/>
        </w:rPr>
      </w:pPr>
    </w:p>
    <w:p>
      <w:pPr>
        <w:ind w:left="851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Návrh/iniciatíva si vyžaduje, aby sa použil nástroj flexibility.</w:t>
      </w: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5415"/>
        <w:gridCol w:w="2280"/>
        <w:gridCol w:w="1080"/>
        <w:gridCol w:w="120"/>
        <w:gridCol w:w="960"/>
      </w:tblGrid>
      <w:tr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2020</w:t>
            </w:r>
          </w:p>
        </w:tc>
      </w:tr>
      <w:tr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Použitie nástroja flexibility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103,18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109,457</w:t>
            </w:r>
          </w:p>
        </w:tc>
      </w:tr>
    </w:tbl>
    <w:p>
      <w:pPr>
        <w:spacing w:before="0" w:after="0"/>
        <w:ind w:left="284" w:hanging="284"/>
        <w:rPr>
          <w:rFonts w:eastAsia="Times New Roman"/>
          <w:noProof/>
        </w:rPr>
      </w:pPr>
    </w:p>
    <w:p>
      <w:pPr>
        <w:pStyle w:val="ManualNumPar3"/>
        <w:rPr>
          <w:noProof/>
        </w:rPr>
      </w:pPr>
      <w:r>
        <w:t>3.2.5.</w:t>
      </w:r>
      <w:r>
        <w:tab/>
      </w:r>
      <w:r>
        <w:rPr>
          <w:noProof/>
        </w:rPr>
        <w:t>Príspevky od tretích strán</w:t>
      </w:r>
    </w:p>
    <w:p>
      <w:pPr>
        <w:tabs>
          <w:tab w:val="num" w:pos="1134"/>
        </w:tabs>
        <w:ind w:left="1134" w:hanging="283"/>
        <w:rPr>
          <w:noProof/>
        </w:rPr>
      </w:pPr>
      <w:r>
        <w:rPr>
          <w:noProof/>
        </w:rPr>
        <w:t>Návrh/iniciatíva nezahŕňa spolufinancovanie tretími stranami.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Návrh/iniciatíva bude zahŕňať spolufinancovanie, ako je ako je odhadnuté v nasledujúcej tabuľke: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Rozpočtové prostriedky v mil. EUR (zaokrúhlené na 3 desatinné miesta)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 + 1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 + 2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 + 3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Uveďte všetky roky, počas ktorých vplyv trvá (pozri bod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Spolu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Uveďte spolufinancujúci subjekt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Prostriedky zo spolufinancovania SPOLU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spacing w:before="0" w:after="0"/>
        <w:rPr>
          <w:noProof/>
        </w:rPr>
      </w:pPr>
      <w:r>
        <w:rPr>
          <w:noProof/>
        </w:rPr>
        <w:br/>
      </w:r>
    </w:p>
    <w:p>
      <w:pPr>
        <w:pStyle w:val="ManualNumPar2"/>
        <w:rPr>
          <w:noProof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>Odhadovaný vplyv na príjmy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noProof/>
        </w:rPr>
        <w:t>X</w:t>
      </w:r>
      <w:r>
        <w:rPr>
          <w:noProof/>
        </w:rPr>
        <w:tab/>
        <w:t>Návrh/iniciatíva nemá finančný vplyv na príjmy.</w:t>
      </w:r>
    </w:p>
    <w:p>
      <w:pPr>
        <w:tabs>
          <w:tab w:val="num" w:pos="1134"/>
        </w:tabs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Návrh/iniciatíva má finančný vplyv na príjmy, ako je uvedené v nasledujúcej tabuľke:</w:t>
      </w:r>
    </w:p>
    <w:p>
      <w:pPr>
        <w:numPr>
          <w:ilvl w:val="2"/>
          <w:numId w:val="0"/>
        </w:numPr>
        <w:tabs>
          <w:tab w:val="num" w:pos="2126"/>
        </w:tabs>
        <w:ind w:left="2126" w:hanging="709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vplyv na vlastné zdroje</w:t>
      </w:r>
    </w:p>
    <w:p>
      <w:pPr>
        <w:numPr>
          <w:ilvl w:val="2"/>
          <w:numId w:val="0"/>
        </w:numPr>
        <w:tabs>
          <w:tab w:val="num" w:pos="2126"/>
        </w:tabs>
        <w:ind w:left="2126" w:hanging="709"/>
        <w:rPr>
          <w:noProof/>
        </w:rPr>
      </w:pPr>
      <w:r>
        <w:rPr>
          <w:rFonts w:eastAsia="Times New Roman"/>
          <w:noProof/>
        </w:rPr>
        <w:sym w:font="Wingdings" w:char="F0A8"/>
      </w:r>
      <w:r>
        <w:rPr>
          <w:noProof/>
        </w:rPr>
        <w:t xml:space="preserve"> vplyv na rôzne príjmy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v mil. EUR (zaokrúhlené na 3 desatinné miesta)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Rozpočtový riadok príjmov: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Rozpočtové prostriedky k dispozícii v prebiehajúcom rozpočtovom roku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Vplyv návrhu/iniciatívy</w:t>
            </w:r>
            <w:r>
              <w:rPr>
                <w:rStyle w:val="FootnoteReference"/>
                <w:noProof/>
              </w:rPr>
              <w:footnoteReference w:id="3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 + 1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 + 2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 + 3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Uveďte všetky roky, počas ktorých vplyv trvá (pozri bod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Článok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ind w:left="850"/>
        <w:rPr>
          <w:noProof/>
          <w:sz w:val="20"/>
        </w:rPr>
      </w:pPr>
      <w:r>
        <w:rPr>
          <w:noProof/>
          <w:sz w:val="20"/>
        </w:rPr>
        <w:t>V prípade rôznych pripísaných príjmov uveďte príslušné rozpočtové riadky výdavkov.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  <w:color w:val="0000FF"/>
        </w:rPr>
        <w:t>[…]</w:t>
      </w:r>
    </w:p>
    <w:p>
      <w:pPr>
        <w:ind w:left="850"/>
        <w:rPr>
          <w:noProof/>
          <w:sz w:val="20"/>
        </w:rPr>
      </w:pPr>
      <w:r>
        <w:rPr>
          <w:noProof/>
          <w:sz w:val="20"/>
        </w:rPr>
        <w:t>Uveďte spôsob výpočtu vplyvu na príjmy.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  <w:color w:val="0000FF"/>
        </w:rPr>
        <w:t>[…]</w:t>
      </w:r>
    </w:p>
    <w:p>
      <w:pPr>
        <w:rPr>
          <w:noProof/>
        </w:rPr>
      </w:pP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ICF, Priebežné hodnotenie mechanizmu Únie v oblasti civilnej ochrany, za obdobie rokov 2014 – 2016, záverečná správa, august 2017 (ďalej len „priebežné hodnotenie“). Záverečná správa o priebežnom hodnotení je k dispozícii na adrese: https://publications.europa.eu/sk/publication-detail/-/publication/eb41bfee-78c3-11e7-b2f2-01aa75ed71a1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Európsky dvor audítorov, osobitná správa (2016), Mechanizmus Únie v oblasti civilnej ochrany: koordinácia reakcií na katastrofy mimo EÚ bola vo všeobecnosti účinná. K dispozícii na adrese: http://www.eca.europa.eu/Lists/ECADocuments/SR16_33/SR_DISASTER_RESPONSE_EN.pdf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Správa Komisie Európskemu parlamentu a Rade o pokroku dosiahnutom v rámci Európskej kapacity pre reakcie na núdzové situácie a o pretrvávajúcich nedostatkoch, 17. 2. 2017.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Pozri poznámku pod čiarou č. 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Pozri poznámku pod čiarou č. 3.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Pracovný dokument útvarov Komisie, Prehľad rizík prírodných katastrof a katastrof spôsobených ľudskou činnosťou, ktorým môže čeliť Európska únia, 23. 5. 2017, SWD(2017)176 final.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Správa Komisie Európskemu parlamentu a Rade o priebežnom hodnotení mechanizmu Únie v oblasti civilnej ochrany za obdobie rokov 2014 – 2016, 30. 8. 2017, COM(2017) 460 final.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Bývalá Juhoslovanská republika Macedónsko, Island, Čierna Hora, Nórsko, Srbsko a Turecko,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Medzi zúčastnené strany, ktoré poskytli odpovede, patria: orgány civilnej ochrany z 26 zúčastnených štátov (online prieskumy); orgány civilnej ochrany zo 17 zúčastnených štátov (rozhovory); národní koordinátori odborného vzdelávania z 21 zúčastnených štátov (online prieskumy); 137 odborníkov, ktorí sa zúčastnili programu výmeny odborníkov a 23 vedúcich projektov financovaných prostredníctvom mechanizmu UCPM z 13 zúčastnených štátov (online prieskumy); 14 medzinárodných partnerov vrátane agentúr OSN, OECD, Svetovej banky, Červeného kríža atď. (rozhovory); 15 generálnych riaditeľstiev a útvarov EÚ (rozhovory).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 xml:space="preserve">Správa je k dispozícii na adrese: </w:t>
      </w:r>
      <w:hyperlink r:id="rId1">
        <w:r>
          <w:rPr>
            <w:rStyle w:val="Hyperlink"/>
          </w:rPr>
          <w:t>http://ec.europa.eu/echo/EUCPM-consult_en</w:t>
        </w:r>
      </w:hyperlink>
      <w:r>
        <w:t>.</w:t>
      </w:r>
    </w:p>
  </w:footnote>
  <w:footnote w:id="12">
    <w:p>
      <w:pPr>
        <w:autoSpaceDE w:val="0"/>
        <w:autoSpaceDN w:val="0"/>
        <w:adjustRightInd w:val="0"/>
        <w:spacing w:before="0" w:after="0"/>
        <w:ind w:left="720" w:hanging="720"/>
        <w:rPr>
          <w:sz w:val="20"/>
          <w:szCs w:val="16"/>
        </w:rPr>
      </w:pPr>
      <w:r>
        <w:rPr>
          <w:rStyle w:val="FootnoteReference"/>
        </w:rPr>
        <w:footnoteRef/>
      </w:r>
      <w:r>
        <w:rPr>
          <w:sz w:val="20"/>
        </w:rPr>
        <w:tab/>
        <w:t>Nariadenie Európskeho parlamentu a Rady (EÚ, Euratom) č. 966/2012 z 25. októbra 2012 o rozpočtových pravidlách, ktoré sa vzťahujú na všeobecný rozpočet Únie, a zrušení nariadenia Rady (ES, Euratom) č. 1605/2002 (Ú. v. EÚ L 298, 26.10.2012, s. 1).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Rozhodnutie Európskeho parlamentu a Rady č. 1313/2013/EÚ zo 17. decembra 2013 o mechanizme Únie v oblasti civilnej ochrany (Ú. v. EÚ L 347, 20.12.2013, s. 924).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pacing w:val="-2"/>
        </w:rPr>
        <w:t>Nariadenie Európskeho parlamentu a Rady (EÚ) č. 1303/2013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 (Ú. v. EÚ L 347, 20.12.2013, s. 320).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(EÚ, Euratom) č. 966/2012 z 25. októbra 2012 o rozpočtových pravidlách, ktoré sa vzťahujú na všeobecný rozpočet Únie, a zrušení nariadenia Rady (ES, Euratom) č. 1605/2002 (Ú. v. EÚ L 298, 26.10.2012, s. 1).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Rozhodnutie Európskeho parlamentu a Rady č. 1082/2013/EÚ z 22. októbra 2013 o závažných cezhraničných ohrozeniach zdravia, ktorým sa zrušuje rozhodnutie č. 2119/98/ES (Ú. v. EÚ L 293, 5.11.2013, s. 1).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riadenie podľa činností; ABB: zostavovanie rozpočtu podľa činností.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Podľa článku 54 ods. 2 písm. a) alebo b) nariadenia o rozpočtových pravidlách.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Vysvetlenie spôsobov hospodárenia a odkazy na nariadenie o rozpočtových pravidlách sú k dispozícii na webovom sídle BudgWeb: </w:t>
      </w:r>
      <w:hyperlink r:id="rId2">
        <w:r>
          <w:rPr>
            <w:rStyle w:val="Hyperlink"/>
          </w:rPr>
          <w:t>http://www.cc.cec/budg/man/budgmanag/budgmanag_en.html</w:t>
        </w:r>
      </w:hyperlink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DRP = diferencované rozpočtové prostriedky/NRP = nediferencované rozpočtové prostriedky.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EZVO: Európske združenie voľného obchodu. 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Kandidátske krajiny a prípadne potenciálne kandidátske krajiny západného Balkánu.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a/alebo administratívna pomoc a výdavky určené na financovanie realizácie programov a/alebo akcií Európskej únie (pôvodné rozpočtové riadky „BA“), nepriamy výskum, priamy výskum.</w:t>
      </w:r>
    </w:p>
  </w:footnote>
  <w:footnote w:id="2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a/alebo administratívna pomoc a výdavky určené na financovanie realizácie programov a/alebo akcií Európskej únie (pôvodné rozpočtové riadky „BA“), nepriamy výskum, priamy výskum.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Výstupy znamenajú dodané produkty a služby (napr.: počet financovaných výmen študentov, vybudované cesty v km atď.).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Ako je uvedené v bode 1.4.2. „Osobitné ciele...“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Ako je uvedené v bode 1.4.2. „Osobitné ciele...“</w:t>
      </w:r>
    </w:p>
  </w:footnote>
  <w:footnote w:id="2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a/alebo administratívna pomoc a výdavky určené na financovanie realizácie programov a/alebo akcií Európskej únie (pôvodné rozpočtové riadky „BA“), nepriamy výskum, priamy výskum.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 xml:space="preserve">ZZ = zmluvný zamestnanec; DAZ = dočasný agentúrny zamestnanec; PED = pomocný expert v delegácii; MZ = miestny zamestnanec; VNE = vyslaný národný expert. 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>Čiastkový strop pre externých zamestnancov financovaných z operačných rozpočtových prostriedkov (pôvodné rozpočtové riadky „BA“).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Najmä pre štrukturálne fondy, Európsky poľnohospodársky fond pre rozvoj vidieka (EPFRV) a Európsky fond pre rybné hospodárstvo (EFRH).</w:t>
      </w:r>
    </w:p>
  </w:footnote>
  <w:footnote w:id="3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Pokiaľ ide o tradičné vlastné zdroje (clá, odvody z produkcie cukru), uvedené sumy musia predstavovať čisté sumy, t. j. hrubé sumy po odpočítaní 25 % na náklady na výber.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E962E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96F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E201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F7699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52258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47A05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B068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E8EEE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2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8"/>
  </w:num>
  <w:num w:numId="12">
    <w:abstractNumId w:val="17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23"/>
  </w:num>
  <w:num w:numId="18">
    <w:abstractNumId w:val="12"/>
  </w:num>
  <w:num w:numId="19">
    <w:abstractNumId w:val="14"/>
  </w:num>
  <w:num w:numId="20">
    <w:abstractNumId w:val="10"/>
  </w:num>
  <w:num w:numId="21">
    <w:abstractNumId w:val="22"/>
  </w:num>
  <w:num w:numId="22">
    <w:abstractNumId w:val="9"/>
  </w:num>
  <w:num w:numId="23">
    <w:abstractNumId w:val="15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21"/>
  </w:num>
  <w:num w:numId="30">
    <w:abstractNumId w:val="13"/>
  </w:num>
  <w:num w:numId="31">
    <w:abstractNumId w:val="23"/>
  </w:num>
  <w:num w:numId="32">
    <w:abstractNumId w:val="12"/>
  </w:num>
  <w:num w:numId="33">
    <w:abstractNumId w:val="14"/>
  </w:num>
  <w:num w:numId="34">
    <w:abstractNumId w:val="10"/>
  </w:num>
  <w:num w:numId="35">
    <w:abstractNumId w:val="22"/>
  </w:num>
  <w:num w:numId="36">
    <w:abstractNumId w:val="9"/>
  </w:num>
  <w:num w:numId="37">
    <w:abstractNumId w:val="15"/>
  </w:num>
  <w:num w:numId="38">
    <w:abstractNumId w:val="19"/>
  </w:num>
  <w:num w:numId="39">
    <w:abstractNumId w:val="20"/>
  </w:num>
  <w:num w:numId="40">
    <w:abstractNumId w:val="11"/>
  </w:num>
  <w:num w:numId="41">
    <w:abstractNumId w:val="18"/>
  </w:num>
  <w:num w:numId="4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11 09:33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7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D28AFF0-0349-49BC-A37E-E88945EC2C37"/>
    <w:docVar w:name="LW_COVERPAGE_TYPE" w:val="1"/>
    <w:docVar w:name="LW_CROSSREFERENCE" w:val="&lt;UNUSED&gt;"/>
    <w:docVar w:name="LW_DocType" w:val="COM"/>
    <w:docVar w:name="LW_EMISSION" w:val="23. 11. 2017"/>
    <w:docVar w:name="LW_EMISSION_ISODATE" w:val="2017-11-23"/>
    <w:docVar w:name="LW_EMISSION_LOCATION" w:val="BRX"/>
    <w:docVar w:name="LW_EMISSION_PREFIX" w:val="V Bruseli"/>
    <w:docVar w:name="LW_EMISSION_SUFFIX" w:val="&lt;EMPTY&gt;"/>
    <w:docVar w:name="LW_ID_DOCMODEL" w:val="SJ-025"/>
    <w:docVar w:name="LW_ID_DOCSIGNATURE" w:val="SJ-025"/>
    <w:docVar w:name="LW_ID_DOCSTRUCTURE" w:val="COM/PL/ORG"/>
    <w:docVar w:name="LW_ID_DOCTYPE" w:val="SJ-025"/>
    <w:docVar w:name="LW_ID_EXP.MOTIFS.NEW" w:val="EM_PL_"/>
    <w:docVar w:name="LW_ID_STATUT" w:val="SJ-025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09"/>
    <w:docVar w:name="LW_REF.II.NEW.CP_YEAR" w:val="2017"/>
    <w:docVar w:name="LW_REF.INST.NEW" w:val="COM"/>
    <w:docVar w:name="LW_REF.INST.NEW_ADOPTED" w:val="final"/>
    <w:docVar w:name="LW_REF.INST.NEW_TEXT" w:val="(2017) 7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orým sa mení rozhodnutie \u269?. 1313/2013/EÚ o mechanizme Únie v oblasti civilnej ochrany"/>
    <w:docVar w:name="LW_TYPE.DOC.CP" w:val="ROZHODNUTI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240"/>
      <w:ind w:left="720"/>
      <w:contextualSpacing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istBullet1">
    <w:name w:val="List Bullet 1"/>
    <w:basedOn w:val="Normal"/>
    <w:pPr>
      <w:numPr>
        <w:numId w:val="1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PageNumber">
    <w:name w:val="page number"/>
    <w:rPr>
      <w:rFonts w:cs="Times New Roman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240"/>
      <w:ind w:left="720"/>
      <w:contextualSpacing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istBullet1">
    <w:name w:val="List Bullet 1"/>
    <w:basedOn w:val="Normal"/>
    <w:pPr>
      <w:numPr>
        <w:numId w:val="1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PageNumber">
    <w:name w:val="page number"/>
    <w:rPr>
      <w:rFonts w:cs="Times New Roman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.cec/budg/man/budgmanag/budgmanag_en.html" TargetMode="External"/><Relationship Id="rId1" Type="http://schemas.openxmlformats.org/officeDocument/2006/relationships/hyperlink" Target="http://ec.europa.eu/echo/EUCPM-consult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E5A1-BAB4-4C77-8D1E-A6931C82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37</Pages>
  <Words>10587</Words>
  <Characters>63630</Characters>
  <Application>Microsoft Office Word</Application>
  <DocSecurity>0</DocSecurity>
  <Lines>2052</Lines>
  <Paragraphs>1159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2017-11-18T13:25:00Z</cp:lastPrinted>
  <dcterms:created xsi:type="dcterms:W3CDTF">2017-12-08T17:15:00Z</dcterms:created>
  <dcterms:modified xsi:type="dcterms:W3CDTF">2017-12-11T08:33:00Z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SJ-025</vt:lpwstr>
  </property>
  <property fmtid="{D5CDD505-2E9C-101B-9397-08002B2CF9AE}" pid="10" name="DQCStatus">
    <vt:lpwstr>Green (DQC version 03)</vt:lpwstr>
  </property>
</Properties>
</file>