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279" w:rsidRPr="00ED4C98" w:rsidRDefault="00F7223E" w:rsidP="00F7223E">
      <w:pPr>
        <w:pStyle w:val="Pagedecouverture"/>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6FDA4F47-6686-4AC6-8A13-7CFEB0537801" style="width:450.4pt;height:487.25pt">
            <v:imagedata r:id="rId9" o:title=""/>
          </v:shape>
        </w:pict>
      </w:r>
    </w:p>
    <w:p w:rsidR="000D0279" w:rsidRPr="00ED4C98" w:rsidRDefault="000D0279" w:rsidP="000D0279">
      <w:pPr>
        <w:sectPr w:rsidR="000D0279" w:rsidRPr="00ED4C98" w:rsidSect="00F7223E">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rsidR="00142914" w:rsidRPr="00ED4C98" w:rsidRDefault="00142914" w:rsidP="00142914">
      <w:pPr>
        <w:pStyle w:val="Exposdesmotifstitre"/>
        <w:rPr>
          <w:noProof/>
        </w:rPr>
      </w:pPr>
      <w:r w:rsidRPr="00ED4C98">
        <w:lastRenderedPageBreak/>
        <w:t>PASKAIDROJUMA RAKSTS</w:t>
      </w:r>
    </w:p>
    <w:p w:rsidR="00142914" w:rsidRPr="00ED4C98" w:rsidRDefault="00142914" w:rsidP="00142914">
      <w:pPr>
        <w:pStyle w:val="ManualHeading1"/>
        <w:rPr>
          <w:noProof/>
        </w:rPr>
      </w:pPr>
      <w:r w:rsidRPr="00ED4C98">
        <w:t>1.</w:t>
      </w:r>
      <w:r w:rsidRPr="00ED4C98">
        <w:tab/>
        <w:t>PRIEKŠLIKUMA KONTEKSTS</w:t>
      </w:r>
    </w:p>
    <w:p w:rsidR="00142914" w:rsidRPr="00ED4C98" w:rsidRDefault="00142914" w:rsidP="00142914">
      <w:pPr>
        <w:pStyle w:val="ManualHeading2"/>
        <w:rPr>
          <w:rFonts w:eastAsia="Arial Unicode MS"/>
          <w:noProof/>
        </w:rPr>
      </w:pPr>
      <w:r w:rsidRPr="00ED4C98">
        <w:rPr>
          <w:noProof/>
          <w:color w:val="000000"/>
          <w:u w:color="000000"/>
          <w:bdr w:val="nil"/>
        </w:rPr>
        <w:t>•</w:t>
      </w:r>
      <w:r w:rsidRPr="00ED4C98">
        <w:tab/>
        <w:t>Priekšlikuma pamatojums un mērķi</w:t>
      </w:r>
    </w:p>
    <w:p w:rsidR="00142914" w:rsidRPr="00ED4C98" w:rsidRDefault="00142914" w:rsidP="00142914">
      <w:pPr>
        <w:pBdr>
          <w:top w:val="nil"/>
          <w:left w:val="nil"/>
          <w:bottom w:val="nil"/>
          <w:right w:val="nil"/>
          <w:between w:val="nil"/>
          <w:bar w:val="nil"/>
        </w:pBdr>
        <w:spacing w:before="0" w:after="240"/>
        <w:ind w:left="851"/>
        <w:rPr>
          <w:rFonts w:eastAsia="Arial Unicode MS"/>
          <w:noProof/>
        </w:rPr>
      </w:pPr>
      <w:r w:rsidRPr="00ED4C98">
        <w:t>Integrētākas ekonomiskās un monetārās savienības vienmērīgai darbībai ir svarīga piemērota valstu politika. Tā kā daudzas ļoti svarīgas politikas jomas paliek galvenokārt dalībvalstu kompetencē, valstu veikto reformu koordinācija un secība ir būtiska, lai pēc iespējas palielinātu šo reformu efektivitāti ne tikai konkrētās valsts, bet arī ES līmenī.</w:t>
      </w:r>
    </w:p>
    <w:p w:rsidR="00142914" w:rsidRPr="00ED4C98" w:rsidRDefault="00142914" w:rsidP="00142914">
      <w:pPr>
        <w:pBdr>
          <w:top w:val="nil"/>
          <w:left w:val="nil"/>
          <w:bottom w:val="nil"/>
          <w:right w:val="nil"/>
          <w:between w:val="nil"/>
          <w:bar w:val="nil"/>
        </w:pBdr>
        <w:spacing w:before="0" w:after="240"/>
        <w:ind w:left="851"/>
      </w:pPr>
      <w:r w:rsidRPr="00ED4C98">
        <w:t>Daudzgadu finanšu shēmā laikposmam pēc 2020. gada Komisija plāno ierosināt jaunu reformu īstenošanas instrumentu dalībvalstīm, kuras apņemas veikt ES līmenī apspriestas un tā sauktajās “reformu saistībās” pieņemtas reformas. Tam būtu sava budžeta dotācija, kas ir atsevišķa no Eiropas strukturālajiem un investīciju fondiem un pastāv papildus tiem</w:t>
      </w:r>
      <w:bookmarkStart w:id="0" w:name="_GoBack"/>
      <w:bookmarkEnd w:id="0"/>
      <w:r w:rsidRPr="00ED4C98">
        <w:t xml:space="preserve">, kā arī savs noteikumu un nosacījumu kopums.  </w:t>
      </w:r>
    </w:p>
    <w:p w:rsidR="00142914" w:rsidRPr="00ED4C98" w:rsidRDefault="00142914" w:rsidP="00142914">
      <w:pPr>
        <w:pBdr>
          <w:top w:val="nil"/>
          <w:left w:val="nil"/>
          <w:bottom w:val="nil"/>
          <w:right w:val="nil"/>
          <w:between w:val="nil"/>
          <w:bar w:val="nil"/>
        </w:pBdr>
        <w:spacing w:before="0" w:after="240"/>
        <w:ind w:left="851"/>
        <w:rPr>
          <w:rFonts w:eastAsia="SimSun"/>
          <w:color w:val="000000"/>
          <w:szCs w:val="24"/>
        </w:rPr>
      </w:pPr>
      <w:r w:rsidRPr="00ED4C98">
        <w:t xml:space="preserve">Eiropas pusgadam būtu arī turpmāk jāpaliek galvenajam mehānismam attiecībā uz soļiem ceļā uz lielāku šo politikas jomu konverģenci un efektīvāku koordināciju. </w:t>
      </w:r>
      <w:r w:rsidRPr="00ED4C98">
        <w:rPr>
          <w:color w:val="000000"/>
        </w:rPr>
        <w:t xml:space="preserve">Šis jaunais instruments būtu jāizveido ar mērķi atbalstīt dalībvalstis, tām īstenojot Eiropas pusgada procesā identificētas strukturālās reformas, un būtu jānodrošina dalībvalstu atbildība par šīm reformām.  </w:t>
      </w:r>
    </w:p>
    <w:p w:rsidR="00142914" w:rsidRPr="00ED4C98" w:rsidRDefault="00142914" w:rsidP="00142914">
      <w:pPr>
        <w:pBdr>
          <w:top w:val="nil"/>
          <w:left w:val="nil"/>
          <w:bottom w:val="nil"/>
          <w:right w:val="nil"/>
          <w:between w:val="nil"/>
          <w:bar w:val="nil"/>
        </w:pBdr>
        <w:spacing w:before="0" w:after="240"/>
        <w:ind w:left="851"/>
      </w:pPr>
      <w:r w:rsidRPr="00ED4C98">
        <w:t xml:space="preserve">Šis jaunais reformu īstenošanas instruments atbalstītu plašu reformu loku. Uzsvars būtu liekams uz tām reformām, kas var visvairāk sekmēt valstu tautsaimniecību noturību un nodrošināt plašāku pozitīvu ietekmi uz citām dalībvalstīm. Tas ietver reformas produktu un darba tirgos, nodokļu reformas, kapitāla tirgu attīstību, reformas ar mērķi uzlabot darījumdarbības vidi, kā arī ieguldījumus cilvēkkapitālā un valsts pārvaldes reformas. </w:t>
      </w:r>
    </w:p>
    <w:p w:rsidR="00142914" w:rsidRPr="00ED4C98" w:rsidRDefault="00142914" w:rsidP="00142914">
      <w:pPr>
        <w:pBdr>
          <w:top w:val="nil"/>
          <w:left w:val="nil"/>
          <w:bottom w:val="nil"/>
          <w:right w:val="nil"/>
          <w:between w:val="nil"/>
          <w:bar w:val="nil"/>
        </w:pBdr>
        <w:spacing w:before="0" w:after="240"/>
        <w:ind w:left="851"/>
      </w:pPr>
      <w:r w:rsidRPr="00ED4C98">
        <w:t>Komisija plāno pārbaudīt šā reformu īstenošanas instrumenta galvenos elementus izmēģinājuma posmā no 2018. līdz 2020. gadam, sniedzot dalībvalstīm iespēju izmantot visu vai daļu no izpildes rezerves pašreizējos Eiropas strukturālajos un investīciju (ESI) fondos, lai atbalstītu reformas nevis konkrētus projektus. Šajā nolūkā Komisija ierosina attiecīgi grozīt Regulu (ES) Nr. 1303/2013 (Kopīgo noteikumu regulu).</w:t>
      </w:r>
    </w:p>
    <w:p w:rsidR="00142914" w:rsidRPr="00ED4C98" w:rsidRDefault="00142914" w:rsidP="00142914">
      <w:pPr>
        <w:pBdr>
          <w:top w:val="nil"/>
          <w:left w:val="nil"/>
          <w:bottom w:val="nil"/>
          <w:right w:val="nil"/>
          <w:between w:val="nil"/>
          <w:bar w:val="nil"/>
        </w:pBdr>
        <w:spacing w:before="0" w:after="240"/>
        <w:ind w:left="851"/>
      </w:pPr>
      <w:r w:rsidRPr="00ED4C98">
        <w:t xml:space="preserve">Jāatgādina, ka saikne starp Eiropas pusgada prioritātēm un Savienības budžetu 2014. līdz 2020. gada plānošanas periodā jau pastāv, jo īpaši, ieviešot </w:t>
      </w:r>
      <w:r w:rsidRPr="00ED4C98">
        <w:rPr>
          <w:i/>
        </w:rPr>
        <w:t>ex-ante</w:t>
      </w:r>
      <w:r w:rsidRPr="00ED4C98">
        <w:t xml:space="preserve"> un makroekonomiskus nosacījumus attiecībā uz Eiropas strukturālajiem un investīciju fondiem. </w:t>
      </w:r>
    </w:p>
    <w:p w:rsidR="00142914" w:rsidRPr="00ED4C98" w:rsidRDefault="00142914" w:rsidP="00142914">
      <w:pPr>
        <w:pBdr>
          <w:top w:val="nil"/>
          <w:left w:val="nil"/>
          <w:bottom w:val="nil"/>
          <w:right w:val="nil"/>
          <w:between w:val="nil"/>
          <w:bar w:val="nil"/>
        </w:pBdr>
        <w:spacing w:before="0" w:after="240"/>
        <w:ind w:left="851"/>
      </w:pPr>
      <w:r w:rsidRPr="00ED4C98">
        <w:t xml:space="preserve">Saskaņā ar šodienas priekšlikumu šī saikne tiek vēl vairāk nostiprināta, ļaujot dalībvalstīm izmantot visu vai daļu no izpildes rezerves, kas izveidota ar Kopīgo noteikumu regulas 20.–22. pantu, lai ar kohēzijas politikas palīdzību atbalstītu strukturālās reformas. </w:t>
      </w:r>
    </w:p>
    <w:p w:rsidR="00142914" w:rsidRPr="00ED4C98" w:rsidRDefault="00142914" w:rsidP="00142914">
      <w:pPr>
        <w:pBdr>
          <w:top w:val="nil"/>
          <w:left w:val="nil"/>
          <w:bottom w:val="nil"/>
          <w:right w:val="nil"/>
          <w:between w:val="nil"/>
          <w:bar w:val="nil"/>
        </w:pBdr>
        <w:spacing w:before="0" w:after="240"/>
        <w:ind w:left="851"/>
      </w:pPr>
      <w:r w:rsidRPr="00ED4C98">
        <w:t xml:space="preserve">Reformas, kurām sniedzams atbalsts, tiktu noteiktas daudzgadu reformu saistību paketēs, kas tiek iesniegtas un uzraudzītas ar valsts reformu programmu starpniecību. Reformu saistības noteiktu pašas dalībvalstis, ietverot reformu pasākumu kopumu ar skaidri noteiktiem starpposma mērķiem un galamērķiem. </w:t>
      </w:r>
    </w:p>
    <w:p w:rsidR="00142914" w:rsidRPr="00ED4C98" w:rsidRDefault="00142914" w:rsidP="00142914">
      <w:pPr>
        <w:spacing w:before="60"/>
        <w:ind w:left="851"/>
      </w:pPr>
      <w:r w:rsidRPr="00ED4C98">
        <w:lastRenderedPageBreak/>
        <w:t xml:space="preserve">Pēc tam Komisija ar īstenošanas aktu pieņemtu lēmumu, kurā izklāstītas šīs reformu saistības un to atbalstam no izpildes rezerves piešķirtā summa. Šī summa būtu samērīga ar reformu raksturu un nozīmi. Uzraudzība un ziņošana par dažādo starpposma mērķu īstenošanu būtu daļa no Eiropas pusgada procesa. Informācijas avots par paveikto būtu valstu reformu programmas, un tajās būtu jāsniedz informācija par reformu pabeigšanai spertajiem soļiem. </w:t>
      </w:r>
    </w:p>
    <w:p w:rsidR="00142914" w:rsidRPr="00ED4C98" w:rsidRDefault="00142914" w:rsidP="00142914">
      <w:pPr>
        <w:pBdr>
          <w:top w:val="nil"/>
          <w:left w:val="nil"/>
          <w:bottom w:val="nil"/>
          <w:right w:val="nil"/>
          <w:between w:val="nil"/>
          <w:bar w:val="nil"/>
        </w:pBdr>
        <w:spacing w:before="0" w:after="240"/>
        <w:ind w:left="851"/>
        <w:rPr>
          <w:noProof/>
        </w:rPr>
      </w:pPr>
      <w:r w:rsidRPr="00ED4C98">
        <w:t xml:space="preserve">Ikgadējos ziņojumos par valstīm, kurus Eiropas pusgada procesā izstrādā Komisijas dienesti, tiktu sniegts atjaunināts novērtējums par reformu gaitu, un pamatojoties uz to Komisija lemtu par atbalsta piešķiršanu saskaņā ar šo instrumentu. Atbalsts tiktu pilnībā izmaksāts tad, kad dalībvalsts būtu pilnā apjomā īstenojusi reformu saistības. </w:t>
      </w:r>
    </w:p>
    <w:p w:rsidR="00142914" w:rsidRPr="00ED4C98" w:rsidRDefault="00142914" w:rsidP="00142914">
      <w:pPr>
        <w:pStyle w:val="ManualHeading2"/>
        <w:rPr>
          <w:rFonts w:eastAsia="Arial Unicode MS"/>
          <w:noProof/>
          <w:color w:val="000000"/>
          <w:u w:color="000000"/>
          <w:bdr w:val="nil"/>
        </w:rPr>
      </w:pPr>
      <w:r w:rsidRPr="00ED4C98">
        <w:rPr>
          <w:noProof/>
          <w:color w:val="000000"/>
          <w:u w:color="000000"/>
          <w:bdr w:val="nil"/>
        </w:rPr>
        <w:t>•</w:t>
      </w:r>
      <w:r w:rsidRPr="00ED4C98">
        <w:tab/>
        <w:t>Saskanība ar spēkā esošajiem noteikumiem konkrētajā politikas jomā</w:t>
      </w:r>
    </w:p>
    <w:p w:rsidR="00142914" w:rsidRPr="00ED4C98" w:rsidRDefault="00142914" w:rsidP="00142914">
      <w:pPr>
        <w:pBdr>
          <w:top w:val="nil"/>
          <w:left w:val="nil"/>
          <w:bottom w:val="nil"/>
          <w:right w:val="nil"/>
          <w:between w:val="nil"/>
          <w:bar w:val="nil"/>
        </w:pBdr>
        <w:spacing w:before="0" w:after="240"/>
        <w:ind w:left="851"/>
        <w:rPr>
          <w:noProof/>
        </w:rPr>
      </w:pPr>
      <w:r w:rsidRPr="00ED4C98">
        <w:t xml:space="preserve">Priekšlikums ir saskaņā ar vispārējo tiesisko regulējumu, kas noteikts Eiropas strukturālajiem un investīciju fondiem, un tas attiecas tikai uz mērķorientētu grozījumu Kopīgo noteikumu regulā. </w:t>
      </w:r>
    </w:p>
    <w:p w:rsidR="00142914" w:rsidRPr="00ED4C98" w:rsidRDefault="00142914" w:rsidP="00142914">
      <w:pPr>
        <w:pStyle w:val="ManualHeading2"/>
        <w:rPr>
          <w:rFonts w:eastAsia="Arial Unicode MS"/>
          <w:noProof/>
        </w:rPr>
      </w:pPr>
      <w:r w:rsidRPr="00ED4C98">
        <w:rPr>
          <w:noProof/>
          <w:color w:val="000000"/>
          <w:u w:color="000000"/>
          <w:bdr w:val="nil"/>
        </w:rPr>
        <w:t>•</w:t>
      </w:r>
      <w:r w:rsidRPr="00ED4C98">
        <w:tab/>
        <w:t>Saskanība ar citām Savienības politikas jomām</w:t>
      </w:r>
    </w:p>
    <w:p w:rsidR="00142914" w:rsidRPr="00ED4C98" w:rsidRDefault="00142914" w:rsidP="00142914">
      <w:pPr>
        <w:pBdr>
          <w:top w:val="nil"/>
          <w:left w:val="nil"/>
          <w:bottom w:val="nil"/>
          <w:right w:val="nil"/>
          <w:between w:val="nil"/>
          <w:bar w:val="nil"/>
        </w:pBdr>
        <w:spacing w:before="0" w:after="240"/>
        <w:ind w:left="851"/>
        <w:rPr>
          <w:noProof/>
        </w:rPr>
      </w:pPr>
      <w:r w:rsidRPr="00ED4C98">
        <w:t>Priekšlikums attiecas tikai uz mērķorientētu grozījumu Kopīgo noteikumu regulā un ir saskaņā ar citām Savienības politikas jomām. Jaunais strukturālais atbalsta instruments papildinātu brīvprātīgo tehnisko atbalstu, ko nodrošina Strukturālo reformu atbalsta programma (SRAP). Reformu saistības varētu ietvert arī jomas, kurās tehniskais atbalsts no SRAP tiktu pieprasīts Komisijai. Šāda tehniskā atbalsta pieprasīšana paliktu brīvprātīga.</w:t>
      </w:r>
    </w:p>
    <w:p w:rsidR="00142914" w:rsidRPr="00ED4C98" w:rsidRDefault="00142914" w:rsidP="00142914">
      <w:pPr>
        <w:keepNext/>
        <w:tabs>
          <w:tab w:val="left" w:pos="850"/>
        </w:tabs>
        <w:spacing w:before="360"/>
        <w:ind w:left="850" w:hanging="850"/>
        <w:outlineLvl w:val="0"/>
        <w:rPr>
          <w:b/>
          <w:smallCaps/>
          <w:noProof/>
        </w:rPr>
      </w:pPr>
      <w:r w:rsidRPr="00ED4C98">
        <w:rPr>
          <w:b/>
          <w:smallCaps/>
          <w:noProof/>
        </w:rPr>
        <w:t>2.</w:t>
      </w:r>
      <w:r w:rsidRPr="00ED4C98">
        <w:tab/>
      </w:r>
      <w:r w:rsidRPr="00ED4C98">
        <w:rPr>
          <w:b/>
          <w:smallCaps/>
          <w:noProof/>
        </w:rPr>
        <w:t>JURIDISKAIS PAMATS, SUBSIDIARITĀTE UN PROPORCIONALITĀTE</w:t>
      </w:r>
    </w:p>
    <w:p w:rsidR="00142914" w:rsidRPr="00ED4C98" w:rsidRDefault="00142914" w:rsidP="00142914">
      <w:pPr>
        <w:keepNext/>
        <w:tabs>
          <w:tab w:val="left" w:pos="850"/>
        </w:tabs>
        <w:ind w:left="850" w:hanging="850"/>
        <w:outlineLvl w:val="1"/>
        <w:rPr>
          <w:rFonts w:eastAsia="Arial Unicode MS"/>
          <w:b/>
          <w:noProof/>
          <w:u w:color="000000"/>
          <w:bdr w:val="nil"/>
        </w:rPr>
      </w:pPr>
      <w:r w:rsidRPr="00ED4C98">
        <w:tab/>
      </w:r>
      <w:r w:rsidRPr="00ED4C98">
        <w:rPr>
          <w:b/>
          <w:noProof/>
          <w:u w:color="000000"/>
          <w:bdr w:val="nil"/>
        </w:rPr>
        <w:t>Juridiskais pamats</w:t>
      </w:r>
    </w:p>
    <w:p w:rsidR="00142914" w:rsidRPr="00ED4C98" w:rsidRDefault="00142914" w:rsidP="00142914">
      <w:pPr>
        <w:ind w:left="851"/>
        <w:rPr>
          <w:noProof/>
        </w:rPr>
      </w:pPr>
      <w:r w:rsidRPr="00ED4C98">
        <w:t>Kopīgo noteikumu regulā ir izstrādāti kopīgie noteikumi, ko piemēro Eiropas strukturālajiem un investīciju fondiem. Pamatojoties uz dalītas pārvaldības principu, ko īsteno Eiropas Komisija un dalībvalstis, šajā regulā ir ietverti noteikumi, kuri reglamentē plānošanas procesu, kā arī programmu administrēšanu (arī finanšu pārvaldību), uzraudzību, finanšu kontroli un projektu izvērtēšanu.</w:t>
      </w:r>
    </w:p>
    <w:p w:rsidR="00142914" w:rsidRPr="00ED4C98" w:rsidRDefault="00142914" w:rsidP="00142914">
      <w:pPr>
        <w:ind w:left="851"/>
        <w:rPr>
          <w:noProof/>
        </w:rPr>
      </w:pPr>
      <w:r w:rsidRPr="00ED4C98">
        <w:t xml:space="preserve">Priekšlikums dod iespēju dalībvalstīm strukturālo reformu atbalstam piešķirt izpildes rezervi, kas minēta 20.–22. pantā, pamatojoties uz reformu saistībām, kā arī nosaka reformu saistību īstenošanas mehānismus.  </w:t>
      </w:r>
    </w:p>
    <w:p w:rsidR="00142914" w:rsidRPr="00ED4C98" w:rsidRDefault="00142914" w:rsidP="00142914">
      <w:pPr>
        <w:keepNext/>
        <w:tabs>
          <w:tab w:val="left" w:pos="850"/>
        </w:tabs>
        <w:ind w:left="850" w:hanging="850"/>
        <w:outlineLvl w:val="1"/>
        <w:rPr>
          <w:rFonts w:eastAsia="Arial Unicode MS"/>
          <w:b/>
          <w:noProof/>
          <w:u w:color="000000"/>
          <w:bdr w:val="nil"/>
        </w:rPr>
      </w:pPr>
      <w:r w:rsidRPr="00ED4C98">
        <w:tab/>
      </w:r>
      <w:r w:rsidRPr="00ED4C98">
        <w:rPr>
          <w:b/>
          <w:noProof/>
          <w:u w:color="000000"/>
          <w:bdr w:val="nil"/>
        </w:rPr>
        <w:t xml:space="preserve">Subsidiaritāte (neekskluzīvas kompetences gadījumā) </w:t>
      </w:r>
    </w:p>
    <w:p w:rsidR="00142914" w:rsidRPr="00ED4C98" w:rsidRDefault="00142914" w:rsidP="00142914">
      <w:pPr>
        <w:ind w:left="850"/>
        <w:rPr>
          <w:noProof/>
        </w:rPr>
      </w:pPr>
      <w:r w:rsidRPr="00ED4C98">
        <w:t xml:space="preserve">Priekšlikums atbilst subsidiaritātes principam, ciktāl tas nodrošina nepārtrauktu palielinātu atbalstu kohēzijas politikas ietvaros konkrētām dalībvalstīm, kuras izvēlas izmantot izpildes rezervi strukturālo reformu atbalstam. Šis mehānisms ir jāizveido Eiropas līmenī. </w:t>
      </w:r>
    </w:p>
    <w:p w:rsidR="00142914" w:rsidRPr="00ED4C98" w:rsidRDefault="00142914" w:rsidP="00142914">
      <w:pPr>
        <w:keepNext/>
        <w:tabs>
          <w:tab w:val="left" w:pos="850"/>
        </w:tabs>
        <w:ind w:left="850" w:hanging="850"/>
        <w:outlineLvl w:val="1"/>
        <w:rPr>
          <w:rFonts w:eastAsia="Arial Unicode MS"/>
          <w:b/>
          <w:noProof/>
          <w:u w:color="000000"/>
          <w:bdr w:val="nil"/>
        </w:rPr>
      </w:pPr>
      <w:r w:rsidRPr="00ED4C98">
        <w:tab/>
      </w:r>
      <w:r w:rsidRPr="00ED4C98">
        <w:rPr>
          <w:b/>
          <w:noProof/>
          <w:u w:color="000000"/>
          <w:bdr w:val="nil"/>
        </w:rPr>
        <w:t>Proporcionalitāte</w:t>
      </w:r>
    </w:p>
    <w:p w:rsidR="00142914" w:rsidRPr="00ED4C98" w:rsidRDefault="00142914" w:rsidP="00142914">
      <w:pPr>
        <w:ind w:left="850"/>
        <w:rPr>
          <w:noProof/>
        </w:rPr>
      </w:pPr>
      <w:r w:rsidRPr="00ED4C98">
        <w:t>Priekšlikums paredz ierobežotas un mērķorientētas izmaiņas, nepārsniedzot to, kas nepieciešams, lai sasniegtu mērķi nodrošināt atbalstu reformām dalībvalstīs.</w:t>
      </w:r>
    </w:p>
    <w:p w:rsidR="00142914" w:rsidRPr="00ED4C98" w:rsidRDefault="00142914" w:rsidP="00142914">
      <w:pPr>
        <w:keepNext/>
        <w:tabs>
          <w:tab w:val="left" w:pos="850"/>
        </w:tabs>
        <w:ind w:left="850" w:hanging="850"/>
        <w:outlineLvl w:val="1"/>
        <w:rPr>
          <w:rFonts w:eastAsia="Arial Unicode MS"/>
          <w:b/>
          <w:noProof/>
          <w:u w:color="000000"/>
          <w:bdr w:val="nil"/>
        </w:rPr>
      </w:pPr>
      <w:r w:rsidRPr="00ED4C98">
        <w:tab/>
      </w:r>
      <w:r w:rsidRPr="00ED4C98">
        <w:rPr>
          <w:b/>
          <w:noProof/>
          <w:u w:color="000000"/>
          <w:bdr w:val="nil"/>
        </w:rPr>
        <w:t>Juridiskā instrumenta izvēle</w:t>
      </w:r>
    </w:p>
    <w:p w:rsidR="00142914" w:rsidRPr="00ED4C98" w:rsidRDefault="00142914" w:rsidP="00142914">
      <w:pPr>
        <w:ind w:left="850"/>
        <w:rPr>
          <w:noProof/>
        </w:rPr>
      </w:pPr>
      <w:r w:rsidRPr="00ED4C98">
        <w:t>Ierosinātais juridiskais instruments: spēkā esošās regulas grozījums.</w:t>
      </w:r>
    </w:p>
    <w:p w:rsidR="00142914" w:rsidRPr="00ED4C98" w:rsidRDefault="00142914" w:rsidP="00142914">
      <w:pPr>
        <w:ind w:left="850"/>
        <w:rPr>
          <w:noProof/>
        </w:rPr>
      </w:pPr>
      <w:r w:rsidRPr="00ED4C98">
        <w:lastRenderedPageBreak/>
        <w:t>Komisija ir izskatījusi manevra iespējas, ko nodrošina tiesiskais regulējums, un, ņemot vērā pieredzi, uzskata par nepieciešamu ierosināt grozījumus Regulā (ES) Nr. 1303/2013.</w:t>
      </w:r>
    </w:p>
    <w:p w:rsidR="00142914" w:rsidRPr="00ED4C98" w:rsidRDefault="00142914" w:rsidP="00142914">
      <w:pPr>
        <w:keepNext/>
        <w:tabs>
          <w:tab w:val="left" w:pos="850"/>
        </w:tabs>
        <w:spacing w:before="360"/>
        <w:ind w:left="850" w:hanging="850"/>
        <w:outlineLvl w:val="0"/>
        <w:rPr>
          <w:b/>
          <w:smallCaps/>
          <w:noProof/>
        </w:rPr>
      </w:pPr>
      <w:r w:rsidRPr="00ED4C98">
        <w:rPr>
          <w:b/>
          <w:smallCaps/>
          <w:noProof/>
        </w:rPr>
        <w:t>3.</w:t>
      </w:r>
      <w:r w:rsidRPr="00ED4C98">
        <w:tab/>
      </w:r>
      <w:r w:rsidRPr="00ED4C98">
        <w:rPr>
          <w:b/>
          <w:i/>
          <w:smallCaps/>
          <w:noProof/>
        </w:rPr>
        <w:t>EX-POST</w:t>
      </w:r>
      <w:r w:rsidRPr="00ED4C98">
        <w:rPr>
          <w:b/>
          <w:smallCaps/>
          <w:noProof/>
        </w:rPr>
        <w:t xml:space="preserve"> IZVĒRTĒJUMU, APSPRIEŠANĀS AR IEINTERESĒTAJĀM PERSONĀM UN IETEKMES NOVĒRTĒJUMU REZULTĀTI</w:t>
      </w:r>
    </w:p>
    <w:p w:rsidR="00142914" w:rsidRPr="00ED4C98" w:rsidRDefault="00142914" w:rsidP="00142914">
      <w:pPr>
        <w:keepNext/>
        <w:tabs>
          <w:tab w:val="left" w:pos="850"/>
        </w:tabs>
        <w:ind w:left="850" w:hanging="850"/>
        <w:outlineLvl w:val="1"/>
        <w:rPr>
          <w:rFonts w:eastAsia="Arial Unicode MS"/>
          <w:b/>
          <w:noProof/>
          <w:u w:color="000000"/>
          <w:bdr w:val="nil"/>
        </w:rPr>
      </w:pPr>
      <w:r w:rsidRPr="00ED4C98">
        <w:tab/>
      </w:r>
      <w:r w:rsidRPr="00ED4C98">
        <w:rPr>
          <w:b/>
          <w:i/>
          <w:noProof/>
          <w:u w:color="000000"/>
          <w:bdr w:val="nil"/>
        </w:rPr>
        <w:t>Ex post</w:t>
      </w:r>
      <w:r w:rsidRPr="00ED4C98">
        <w:rPr>
          <w:b/>
          <w:noProof/>
          <w:u w:color="000000"/>
          <w:bdr w:val="nil"/>
        </w:rPr>
        <w:t xml:space="preserve"> izvērtējumi / spēkā esošo tiesību aktu atbilstības pārbaude</w:t>
      </w:r>
    </w:p>
    <w:p w:rsidR="00142914" w:rsidRPr="00ED4C98" w:rsidRDefault="00142914" w:rsidP="00142914">
      <w:pPr>
        <w:ind w:left="850"/>
        <w:rPr>
          <w:noProof/>
        </w:rPr>
      </w:pPr>
      <w:r w:rsidRPr="00ED4C98">
        <w:rPr>
          <w:i/>
        </w:rPr>
        <w:t>Ex-post</w:t>
      </w:r>
      <w:r w:rsidRPr="00ED4C98">
        <w:t xml:space="preserve"> izvērtējums vai spēkā esošo tiesību aktu atbilstības pārbaude netika veikta.</w:t>
      </w:r>
    </w:p>
    <w:p w:rsidR="00142914" w:rsidRPr="00ED4C98" w:rsidRDefault="00142914" w:rsidP="00142914">
      <w:pPr>
        <w:keepNext/>
        <w:tabs>
          <w:tab w:val="left" w:pos="850"/>
        </w:tabs>
        <w:ind w:left="850" w:hanging="850"/>
        <w:outlineLvl w:val="1"/>
        <w:rPr>
          <w:rFonts w:eastAsia="Arial Unicode MS"/>
          <w:b/>
          <w:noProof/>
          <w:u w:color="000000"/>
          <w:bdr w:val="nil"/>
        </w:rPr>
      </w:pPr>
      <w:r w:rsidRPr="00ED4C98">
        <w:tab/>
      </w:r>
      <w:r w:rsidRPr="00ED4C98">
        <w:rPr>
          <w:b/>
          <w:noProof/>
          <w:u w:color="000000"/>
          <w:bdr w:val="nil"/>
        </w:rPr>
        <w:t>Apspriešanās ar ieinteresētajām personām</w:t>
      </w:r>
    </w:p>
    <w:p w:rsidR="00142914" w:rsidRPr="00ED4C98" w:rsidRDefault="00142914" w:rsidP="00142914">
      <w:pPr>
        <w:ind w:left="850"/>
        <w:rPr>
          <w:noProof/>
        </w:rPr>
      </w:pPr>
      <w:r w:rsidRPr="00ED4C98">
        <w:t>Apspriešanās ar ārējām ieinteresētajām personām nenotika.</w:t>
      </w:r>
    </w:p>
    <w:p w:rsidR="00142914" w:rsidRPr="00ED4C98" w:rsidRDefault="00142914" w:rsidP="00142914">
      <w:pPr>
        <w:keepNext/>
        <w:tabs>
          <w:tab w:val="left" w:pos="850"/>
        </w:tabs>
        <w:ind w:left="850" w:hanging="850"/>
        <w:outlineLvl w:val="1"/>
        <w:rPr>
          <w:rFonts w:eastAsia="Arial Unicode MS"/>
          <w:b/>
          <w:noProof/>
          <w:u w:color="000000"/>
          <w:bdr w:val="nil"/>
        </w:rPr>
      </w:pPr>
      <w:r w:rsidRPr="00ED4C98">
        <w:tab/>
      </w:r>
      <w:r w:rsidRPr="00ED4C98">
        <w:rPr>
          <w:b/>
          <w:noProof/>
          <w:u w:color="000000"/>
          <w:bdr w:val="nil"/>
        </w:rPr>
        <w:t>Ekspertu atzinumu pieprasīšana un izmantošana</w:t>
      </w:r>
    </w:p>
    <w:p w:rsidR="00142914" w:rsidRPr="00ED4C98" w:rsidRDefault="00142914" w:rsidP="00142914">
      <w:pPr>
        <w:ind w:left="850"/>
        <w:rPr>
          <w:noProof/>
        </w:rPr>
      </w:pPr>
      <w:r w:rsidRPr="00ED4C98">
        <w:t>Ārēju ekspertu atzinums nav bijis vajadzīgs.</w:t>
      </w:r>
    </w:p>
    <w:p w:rsidR="00142914" w:rsidRPr="00ED4C98" w:rsidRDefault="00142914" w:rsidP="00142914">
      <w:pPr>
        <w:keepNext/>
        <w:tabs>
          <w:tab w:val="left" w:pos="850"/>
        </w:tabs>
        <w:ind w:left="850" w:hanging="850"/>
        <w:outlineLvl w:val="1"/>
        <w:rPr>
          <w:rFonts w:eastAsia="Arial Unicode MS"/>
          <w:b/>
          <w:noProof/>
          <w:u w:color="000000"/>
          <w:bdr w:val="nil"/>
        </w:rPr>
      </w:pPr>
      <w:r w:rsidRPr="00ED4C98">
        <w:tab/>
      </w:r>
      <w:r w:rsidRPr="00ED4C98">
        <w:rPr>
          <w:b/>
          <w:noProof/>
          <w:u w:color="000000"/>
          <w:bdr w:val="nil"/>
        </w:rPr>
        <w:t>Ietekmes novērtējums</w:t>
      </w:r>
    </w:p>
    <w:p w:rsidR="00142914" w:rsidRPr="00ED4C98" w:rsidRDefault="00142914" w:rsidP="00142914">
      <w:pPr>
        <w:keepNext/>
        <w:tabs>
          <w:tab w:val="left" w:pos="850"/>
        </w:tabs>
        <w:ind w:left="850" w:hanging="850"/>
        <w:outlineLvl w:val="1"/>
        <w:rPr>
          <w:rFonts w:eastAsia="Arial Unicode MS"/>
          <w:noProof/>
          <w:u w:color="000000"/>
          <w:bdr w:val="nil"/>
        </w:rPr>
      </w:pPr>
      <w:r w:rsidRPr="00ED4C98">
        <w:tab/>
        <w:t>Neattiecas.</w:t>
      </w:r>
    </w:p>
    <w:p w:rsidR="00142914" w:rsidRPr="00ED4C98" w:rsidRDefault="00142914" w:rsidP="00142914">
      <w:pPr>
        <w:keepNext/>
        <w:tabs>
          <w:tab w:val="left" w:pos="850"/>
        </w:tabs>
        <w:ind w:left="850" w:hanging="850"/>
        <w:outlineLvl w:val="1"/>
        <w:rPr>
          <w:rFonts w:eastAsia="Arial Unicode MS"/>
          <w:b/>
          <w:noProof/>
          <w:u w:color="000000"/>
          <w:bdr w:val="nil"/>
        </w:rPr>
      </w:pPr>
      <w:r w:rsidRPr="00ED4C98">
        <w:tab/>
      </w:r>
      <w:r w:rsidRPr="00ED4C98">
        <w:rPr>
          <w:b/>
          <w:noProof/>
          <w:u w:color="000000"/>
          <w:bdr w:val="nil"/>
        </w:rPr>
        <w:t>Normatīvā atbilstība un vienkāršošana</w:t>
      </w:r>
    </w:p>
    <w:p w:rsidR="00142914" w:rsidRPr="00ED4C98" w:rsidRDefault="00142914" w:rsidP="00142914">
      <w:pPr>
        <w:ind w:left="850"/>
        <w:rPr>
          <w:noProof/>
        </w:rPr>
      </w:pPr>
      <w:r w:rsidRPr="00ED4C98">
        <w:t>Šī nav Normatīvās atbilstības un izpildes programmas (</w:t>
      </w:r>
      <w:r w:rsidRPr="00ED4C98">
        <w:rPr>
          <w:i/>
        </w:rPr>
        <w:t>REFIT</w:t>
      </w:r>
      <w:r w:rsidRPr="00ED4C98">
        <w:t>) iniciatīva.</w:t>
      </w:r>
    </w:p>
    <w:p w:rsidR="00142914" w:rsidRPr="00ED4C98" w:rsidRDefault="00142914" w:rsidP="00142914">
      <w:pPr>
        <w:keepNext/>
        <w:tabs>
          <w:tab w:val="left" w:pos="850"/>
        </w:tabs>
        <w:ind w:left="850" w:hanging="850"/>
        <w:outlineLvl w:val="1"/>
        <w:rPr>
          <w:rFonts w:eastAsia="Arial Unicode MS"/>
          <w:b/>
          <w:noProof/>
          <w:u w:color="000000"/>
          <w:bdr w:val="nil"/>
        </w:rPr>
      </w:pPr>
      <w:r w:rsidRPr="00ED4C98">
        <w:tab/>
      </w:r>
      <w:r w:rsidRPr="00ED4C98">
        <w:rPr>
          <w:b/>
          <w:noProof/>
          <w:u w:color="000000"/>
          <w:bdr w:val="nil"/>
        </w:rPr>
        <w:t>Pamattiesības</w:t>
      </w:r>
    </w:p>
    <w:p w:rsidR="00142914" w:rsidRPr="00ED4C98" w:rsidRDefault="00142914" w:rsidP="00142914">
      <w:pPr>
        <w:ind w:left="850"/>
        <w:rPr>
          <w:noProof/>
        </w:rPr>
      </w:pPr>
      <w:r w:rsidRPr="00ED4C98">
        <w:t>Šis priekšlikums neietekmē pamattiesību aizsardzību.</w:t>
      </w:r>
    </w:p>
    <w:p w:rsidR="00142914" w:rsidRPr="00ED4C98" w:rsidRDefault="00142914" w:rsidP="00142914">
      <w:pPr>
        <w:keepNext/>
        <w:tabs>
          <w:tab w:val="left" w:pos="850"/>
        </w:tabs>
        <w:spacing w:before="360"/>
        <w:ind w:left="850" w:hanging="850"/>
        <w:outlineLvl w:val="0"/>
        <w:rPr>
          <w:b/>
          <w:smallCaps/>
          <w:noProof/>
        </w:rPr>
      </w:pPr>
      <w:r w:rsidRPr="00ED4C98">
        <w:rPr>
          <w:b/>
          <w:smallCaps/>
          <w:noProof/>
        </w:rPr>
        <w:t>4.</w:t>
      </w:r>
      <w:r w:rsidRPr="00ED4C98">
        <w:tab/>
      </w:r>
      <w:r w:rsidRPr="00ED4C98">
        <w:rPr>
          <w:b/>
          <w:smallCaps/>
          <w:noProof/>
        </w:rPr>
        <w:t>IETEKME UZ BUDŽETU</w:t>
      </w:r>
    </w:p>
    <w:p w:rsidR="00142914" w:rsidRPr="00ED4C98" w:rsidRDefault="00142914" w:rsidP="00142914">
      <w:pPr>
        <w:ind w:left="850"/>
        <w:rPr>
          <w:noProof/>
        </w:rPr>
      </w:pPr>
      <w:r w:rsidRPr="00ED4C98">
        <w:t>Saistību apropriācijas netiek ietekmētas, jo nav ierosināti grozījumi attiecībā uz Eiropas strukturālo un investīciju fondu finansējuma maksimālo summu, kas paredzēta darbības programmām plānošanas periodā no 2014. līdz 2020. gadam. Jāatzīmē, ka ierosinātais grozījums nekādi nemaina daudzgadu finanšu shēmas gada maksimālos apjomus, kas saistībām un maksājumiem noteikti Regulas (ES) Nr. 1311/2013 I pielikumā.</w:t>
      </w:r>
    </w:p>
    <w:p w:rsidR="00142914" w:rsidRPr="00ED4C98" w:rsidRDefault="00142914" w:rsidP="00142914">
      <w:pPr>
        <w:keepNext/>
        <w:tabs>
          <w:tab w:val="left" w:pos="850"/>
        </w:tabs>
        <w:spacing w:before="360"/>
        <w:ind w:left="850" w:hanging="850"/>
        <w:outlineLvl w:val="0"/>
        <w:rPr>
          <w:b/>
          <w:smallCaps/>
          <w:noProof/>
        </w:rPr>
      </w:pPr>
      <w:r w:rsidRPr="00ED4C98">
        <w:rPr>
          <w:b/>
          <w:smallCaps/>
          <w:noProof/>
        </w:rPr>
        <w:t>5.</w:t>
      </w:r>
      <w:r w:rsidRPr="00ED4C98">
        <w:tab/>
      </w:r>
      <w:r w:rsidRPr="00ED4C98">
        <w:rPr>
          <w:b/>
          <w:smallCaps/>
          <w:noProof/>
        </w:rPr>
        <w:t>CITI ELEMENTI</w:t>
      </w:r>
    </w:p>
    <w:p w:rsidR="00142914" w:rsidRPr="00ED4C98" w:rsidRDefault="00142914" w:rsidP="00142914">
      <w:pPr>
        <w:keepNext/>
        <w:tabs>
          <w:tab w:val="left" w:pos="850"/>
        </w:tabs>
        <w:ind w:left="850" w:hanging="850"/>
        <w:outlineLvl w:val="1"/>
        <w:rPr>
          <w:rFonts w:eastAsia="Arial Unicode MS"/>
          <w:b/>
          <w:noProof/>
          <w:u w:color="000000"/>
          <w:bdr w:val="nil"/>
        </w:rPr>
      </w:pPr>
      <w:r w:rsidRPr="00ED4C98">
        <w:tab/>
      </w:r>
      <w:r w:rsidRPr="00ED4C98">
        <w:rPr>
          <w:b/>
          <w:noProof/>
          <w:u w:color="000000"/>
          <w:bdr w:val="nil"/>
        </w:rPr>
        <w:t>Īstenošanas plāni un uzraudzīšanas, izvērtēšanas un ziņošanas kārtība</w:t>
      </w:r>
    </w:p>
    <w:p w:rsidR="00142914" w:rsidRPr="00ED4C98" w:rsidRDefault="00142914" w:rsidP="00142914">
      <w:pPr>
        <w:ind w:left="850"/>
        <w:rPr>
          <w:noProof/>
        </w:rPr>
      </w:pPr>
      <w:r w:rsidRPr="00ED4C98">
        <w:t>Neattiecas. Šā priekšlikuma īstenošanas uzraudzībai var izmantot esošās Eiropas strukturālo un investīciju fondu tiešās pārvaldības sistēmas.</w:t>
      </w:r>
    </w:p>
    <w:p w:rsidR="00142914" w:rsidRPr="00ED4C98" w:rsidRDefault="00142914" w:rsidP="00142914">
      <w:pPr>
        <w:keepNext/>
        <w:tabs>
          <w:tab w:val="left" w:pos="850"/>
        </w:tabs>
        <w:ind w:left="850" w:hanging="850"/>
        <w:outlineLvl w:val="1"/>
        <w:rPr>
          <w:rFonts w:eastAsia="Arial Unicode MS"/>
          <w:b/>
          <w:noProof/>
          <w:u w:color="000000"/>
          <w:bdr w:val="nil"/>
        </w:rPr>
      </w:pPr>
      <w:r w:rsidRPr="00ED4C98">
        <w:tab/>
      </w:r>
      <w:r w:rsidRPr="00ED4C98">
        <w:rPr>
          <w:b/>
          <w:noProof/>
          <w:u w:color="000000"/>
          <w:bdr w:val="nil"/>
        </w:rPr>
        <w:t>Paskaidrojošie dokumenti (attiecībā uz direktīvām)</w:t>
      </w:r>
    </w:p>
    <w:p w:rsidR="00142914" w:rsidRPr="00ED4C98" w:rsidRDefault="00142914" w:rsidP="00142914">
      <w:pPr>
        <w:ind w:left="850"/>
        <w:rPr>
          <w:noProof/>
        </w:rPr>
      </w:pPr>
      <w:r w:rsidRPr="00ED4C98">
        <w:t>Neattiecas.</w:t>
      </w:r>
    </w:p>
    <w:p w:rsidR="00142914" w:rsidRPr="00ED4C98" w:rsidRDefault="00142914" w:rsidP="00142914">
      <w:pPr>
        <w:keepNext/>
        <w:tabs>
          <w:tab w:val="left" w:pos="850"/>
        </w:tabs>
        <w:ind w:left="850" w:hanging="850"/>
        <w:outlineLvl w:val="1"/>
        <w:rPr>
          <w:rFonts w:eastAsia="Arial Unicode MS"/>
          <w:b/>
          <w:noProof/>
          <w:u w:color="000000"/>
          <w:bdr w:val="nil"/>
        </w:rPr>
      </w:pPr>
      <w:r w:rsidRPr="00ED4C98">
        <w:tab/>
      </w:r>
      <w:r w:rsidRPr="00ED4C98">
        <w:rPr>
          <w:b/>
          <w:noProof/>
          <w:u w:color="000000"/>
          <w:bdr w:val="nil"/>
        </w:rPr>
        <w:t>Konkrēto ierosināto noteikumu detalizēts skaidrojums</w:t>
      </w:r>
    </w:p>
    <w:p w:rsidR="00142914" w:rsidRPr="00ED4C98" w:rsidRDefault="00142914" w:rsidP="00142914">
      <w:pPr>
        <w:ind w:left="850"/>
        <w:rPr>
          <w:noProof/>
        </w:rPr>
      </w:pPr>
      <w:r w:rsidRPr="00ED4C98">
        <w:t>Tiks grozīts 1. pants, lai paskaidrotu, ka Kopīgo noteikumu regula attiecas arī uz atbalstu strukturālajām reformām, kas identificētas Eiropas pusgada procesā. Jēdziens “strukturāla reforma” tiek paskaidrots atsevišķā definīcijā, kas iekļauta 2. pantā.</w:t>
      </w:r>
    </w:p>
    <w:p w:rsidR="00142914" w:rsidRPr="00ED4C98" w:rsidRDefault="00142914" w:rsidP="00142914">
      <w:pPr>
        <w:ind w:left="850"/>
        <w:rPr>
          <w:noProof/>
        </w:rPr>
      </w:pPr>
      <w:r w:rsidRPr="00ED4C98">
        <w:t xml:space="preserve">Tiek grozīts 4. panta 7. punkts, lai precizētu, ka atbalsts strukturālajām reformām neietilpst dalītā pārvaldībā, bet tiešā pārvaldībā (finansējums, kas nav saistīts ar </w:t>
      </w:r>
      <w:r w:rsidRPr="00ED4C98">
        <w:lastRenderedPageBreak/>
        <w:t xml:space="preserve">izmaksām, kā izklāstīts pārskatītās Finanšu regulas 121. panta 1. punkta e) apakšpunktā), un valsts līdzfinansējums nav nepieciešams. </w:t>
      </w:r>
    </w:p>
    <w:p w:rsidR="00142914" w:rsidRPr="00ED4C98" w:rsidRDefault="00142914" w:rsidP="00142914">
      <w:pPr>
        <w:ind w:left="850"/>
        <w:rPr>
          <w:noProof/>
        </w:rPr>
      </w:pPr>
      <w:r w:rsidRPr="00ED4C98">
        <w:t xml:space="preserve">Regulas 15. pantam pievieno jaunu punktu, lai paskaidrotu, ka informācija par izpildes rezerves pārdali strukturālo reformu atbalstam ir jāietver arī partnerattiecību nolīgumos. </w:t>
      </w:r>
    </w:p>
    <w:p w:rsidR="00142914" w:rsidRPr="00ED4C98" w:rsidRDefault="00142914" w:rsidP="00142914">
      <w:pPr>
        <w:ind w:left="850"/>
        <w:rPr>
          <w:noProof/>
        </w:rPr>
      </w:pPr>
      <w:r w:rsidRPr="00ED4C98">
        <w:t xml:space="preserve">Tiek ierosināts grozīt Regulas (ES) Nr. 1303/2013 22. pantu, lai ļautu dalībvalstīm pilnībā vai daļēji piešķirt izpildes rezervi kādam no šiem mērķiem: </w:t>
      </w:r>
    </w:p>
    <w:p w:rsidR="00142914" w:rsidRPr="00ED4C98" w:rsidRDefault="00142914" w:rsidP="00142914">
      <w:pPr>
        <w:ind w:left="1418" w:hanging="568"/>
        <w:rPr>
          <w:noProof/>
        </w:rPr>
      </w:pPr>
      <w:r w:rsidRPr="00ED4C98">
        <w:t>a.</w:t>
      </w:r>
      <w:r w:rsidRPr="00ED4C98">
        <w:tab/>
        <w:t>programmām un prioritātēm, kurās pašreizējā darbības rezultātu satvarā ir sasniegti starpposma mērķi saskaņā ar 2.–7. punktu,</w:t>
      </w:r>
    </w:p>
    <w:p w:rsidR="00142914" w:rsidRPr="00ED4C98" w:rsidRDefault="00142914" w:rsidP="00142914">
      <w:pPr>
        <w:ind w:left="850"/>
        <w:rPr>
          <w:noProof/>
        </w:rPr>
      </w:pPr>
      <w:r w:rsidRPr="00ED4C98">
        <w:t>b.</w:t>
      </w:r>
      <w:r w:rsidRPr="00ED4C98">
        <w:tab/>
        <w:t xml:space="preserve">strukturālo reformu atbalstam. </w:t>
      </w:r>
    </w:p>
    <w:p w:rsidR="00142914" w:rsidRPr="00ED4C98" w:rsidRDefault="00142914" w:rsidP="00142914">
      <w:pPr>
        <w:ind w:left="850"/>
        <w:rPr>
          <w:noProof/>
        </w:rPr>
      </w:pPr>
      <w:r w:rsidRPr="00ED4C98">
        <w:t xml:space="preserve">Kārtība, kādā pieprasa strukturālo reformu atbalstu, ir izklāstīta jaunā 22. panta 8. punktā. </w:t>
      </w:r>
    </w:p>
    <w:p w:rsidR="00142914" w:rsidRPr="00ED4C98" w:rsidRDefault="00142914" w:rsidP="00142914">
      <w:pPr>
        <w:ind w:left="850"/>
        <w:rPr>
          <w:noProof/>
        </w:rPr>
      </w:pPr>
      <w:r w:rsidRPr="00ED4C98">
        <w:t xml:space="preserve">Jauns finansēšanas mehānisms strukturālo reformu atbalstam tāda finansējuma veidā, kas nav piesaistīts izmaksām, tiek ierosināts regulas 23.a pantā. Tas ietver noteikumus par reformu saistību izstrādi un nosacījumus atbalsta izmaksai dalībvalstīm, kad saskaņotās reformu saistības ir izpildītas. </w:t>
      </w:r>
    </w:p>
    <w:p w:rsidR="00142914" w:rsidRPr="00ED4C98" w:rsidRDefault="00142914" w:rsidP="00142914">
      <w:pPr>
        <w:ind w:left="850"/>
        <w:rPr>
          <w:rFonts w:eastAsia="Arial Unicode MS"/>
          <w:noProof/>
        </w:rPr>
      </w:pPr>
      <w:r w:rsidRPr="00ED4C98">
        <w:t>Grozījumā, kas izdarīts 91. pantā, paskaidrots, ka strukturālo reformu atbalstam, kā minēts 23.a pantā, var piešķirt visu vai daļu no izpildes rezerves, kura iekļauta Eiropas Reģionālās attīstības fonda (ERAF), Eiropas Sociālā fonda (ESF) un Kohēzijas fonda kopējās summās.</w:t>
      </w:r>
    </w:p>
    <w:p w:rsidR="00142914" w:rsidRPr="00ED4C98" w:rsidRDefault="00142914" w:rsidP="00142914">
      <w:pPr>
        <w:pStyle w:val="ManualHeading1"/>
        <w:rPr>
          <w:rFonts w:eastAsia="Arial Unicode MS"/>
          <w:noProof/>
        </w:rPr>
      </w:pPr>
    </w:p>
    <w:p w:rsidR="00142914" w:rsidRPr="00ED4C98" w:rsidRDefault="00142914" w:rsidP="00142914">
      <w:pPr>
        <w:ind w:left="850"/>
        <w:rPr>
          <w:rFonts w:eastAsia="Arial Unicode MS"/>
          <w:noProof/>
        </w:rPr>
      </w:pPr>
    </w:p>
    <w:p w:rsidR="00142914" w:rsidRPr="00ED4C98" w:rsidRDefault="00142914" w:rsidP="00142914">
      <w:pPr>
        <w:pBdr>
          <w:top w:val="nil"/>
          <w:left w:val="nil"/>
          <w:bottom w:val="nil"/>
          <w:right w:val="nil"/>
          <w:between w:val="nil"/>
          <w:bar w:val="nil"/>
        </w:pBdr>
        <w:spacing w:before="0" w:after="240"/>
        <w:rPr>
          <w:noProof/>
        </w:rPr>
        <w:sectPr w:rsidR="00142914" w:rsidRPr="00ED4C98" w:rsidSect="00F7223E">
          <w:footerReference w:type="default" r:id="rId16"/>
          <w:footerReference w:type="first" r:id="rId17"/>
          <w:pgSz w:w="11907" w:h="16839"/>
          <w:pgMar w:top="1134" w:right="1417" w:bottom="1134" w:left="1417" w:header="709" w:footer="709" w:gutter="0"/>
          <w:cols w:space="708"/>
          <w:docGrid w:linePitch="360"/>
        </w:sectPr>
      </w:pPr>
    </w:p>
    <w:p w:rsidR="00142914" w:rsidRPr="00ED4C98" w:rsidRDefault="00F7223E" w:rsidP="00F7223E">
      <w:pPr>
        <w:pStyle w:val="Rfrenceinterinstitutionnelle"/>
        <w:rPr>
          <w:noProof/>
        </w:rPr>
      </w:pPr>
      <w:r w:rsidRPr="00F7223E">
        <w:lastRenderedPageBreak/>
        <w:t>2017/0336 (COD)</w:t>
      </w:r>
    </w:p>
    <w:p w:rsidR="00142914" w:rsidRPr="00ED4C98" w:rsidRDefault="00F7223E" w:rsidP="00F7223E">
      <w:pPr>
        <w:pStyle w:val="Statut"/>
        <w:rPr>
          <w:noProof/>
        </w:rPr>
      </w:pPr>
      <w:r w:rsidRPr="00F7223E">
        <w:t>Priekšlikums</w:t>
      </w:r>
    </w:p>
    <w:p w:rsidR="00142914" w:rsidRPr="00ED4C98" w:rsidRDefault="00F7223E" w:rsidP="00F7223E">
      <w:pPr>
        <w:pStyle w:val="Typedudocument"/>
        <w:rPr>
          <w:noProof/>
        </w:rPr>
      </w:pPr>
      <w:r w:rsidRPr="00F7223E">
        <w:t>EIROPAS PARLAMENTA UN PADOMES REGULA,</w:t>
      </w:r>
    </w:p>
    <w:p w:rsidR="00142914" w:rsidRPr="00ED4C98" w:rsidRDefault="00F7223E" w:rsidP="00F7223E">
      <w:pPr>
        <w:pStyle w:val="Titreobjet"/>
        <w:rPr>
          <w:noProof/>
        </w:rPr>
      </w:pPr>
      <w:r w:rsidRPr="00F7223E">
        <w:t>ar kuru attiecībā uz atbalstu strukturālām reformām dalībvalstīs groza Eiropas Parlamenta un Padomes 2013. gada 17. decembra Regulu (ES) Nr. 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w:t>
      </w:r>
    </w:p>
    <w:p w:rsidR="00142914" w:rsidRPr="00ED4C98" w:rsidRDefault="00142914" w:rsidP="00142914">
      <w:pPr>
        <w:pStyle w:val="Institutionquiagit"/>
        <w:rPr>
          <w:noProof/>
        </w:rPr>
      </w:pPr>
      <w:r w:rsidRPr="00ED4C98">
        <w:t>EIROPAS PARLAMENTS UN EIROPAS SAVIENĪBAS PADOME,</w:t>
      </w:r>
    </w:p>
    <w:p w:rsidR="00142914" w:rsidRPr="00ED4C98" w:rsidRDefault="00142914" w:rsidP="00142914">
      <w:pPr>
        <w:rPr>
          <w:noProof/>
        </w:rPr>
      </w:pPr>
      <w:r w:rsidRPr="00ED4C98">
        <w:t>ņemot vērā Līgumu par Eiropas Savienības darbību un jo īpaši tā 175. panta trešo daļu un 177. pantu,</w:t>
      </w:r>
    </w:p>
    <w:p w:rsidR="00142914" w:rsidRPr="00ED4C98" w:rsidRDefault="00142914" w:rsidP="00142914">
      <w:pPr>
        <w:rPr>
          <w:noProof/>
        </w:rPr>
      </w:pPr>
      <w:r w:rsidRPr="00ED4C98">
        <w:t>ņemot vērā Eiropas Komisijas priekšlikumu,</w:t>
      </w:r>
    </w:p>
    <w:p w:rsidR="00142914" w:rsidRPr="00ED4C98" w:rsidRDefault="00142914" w:rsidP="00142914">
      <w:pPr>
        <w:rPr>
          <w:noProof/>
        </w:rPr>
      </w:pPr>
      <w:r w:rsidRPr="00ED4C98">
        <w:t>pēc leģislatīvā akta projekta nosūtīšanas valstu parlamentiem,</w:t>
      </w:r>
    </w:p>
    <w:p w:rsidR="00142914" w:rsidRPr="00ED4C98" w:rsidRDefault="00142914" w:rsidP="00142914">
      <w:pPr>
        <w:rPr>
          <w:noProof/>
        </w:rPr>
      </w:pPr>
      <w:r w:rsidRPr="00ED4C98">
        <w:t>pēc apspriešanās ar Eiropas Ekonomikas un sociālo lietu komiteju</w:t>
      </w:r>
      <w:r w:rsidRPr="00ED4C98">
        <w:rPr>
          <w:rStyle w:val="FootnoteReference"/>
          <w:noProof/>
        </w:rPr>
        <w:footnoteReference w:id="1"/>
      </w:r>
      <w:r w:rsidRPr="00ED4C98">
        <w:t xml:space="preserve">, </w:t>
      </w:r>
    </w:p>
    <w:p w:rsidR="00142914" w:rsidRPr="00ED4C98" w:rsidRDefault="00142914" w:rsidP="00142914">
      <w:pPr>
        <w:rPr>
          <w:noProof/>
        </w:rPr>
      </w:pPr>
      <w:r w:rsidRPr="00ED4C98">
        <w:t>pēc apspriešanās ar Reģionu komiteju</w:t>
      </w:r>
      <w:r w:rsidRPr="00ED4C98">
        <w:rPr>
          <w:rStyle w:val="FootnoteReference"/>
          <w:noProof/>
        </w:rPr>
        <w:footnoteReference w:id="2"/>
      </w:r>
      <w:r w:rsidRPr="00ED4C98">
        <w:t xml:space="preserve">, </w:t>
      </w:r>
    </w:p>
    <w:p w:rsidR="00142914" w:rsidRPr="00ED4C98" w:rsidRDefault="00142914" w:rsidP="00142914">
      <w:pPr>
        <w:rPr>
          <w:noProof/>
        </w:rPr>
      </w:pPr>
      <w:r w:rsidRPr="00ED4C98">
        <w:t>saskaņā ar parasto likumdošanas procedūru,</w:t>
      </w:r>
    </w:p>
    <w:p w:rsidR="00142914" w:rsidRPr="00ED4C98" w:rsidRDefault="00142914" w:rsidP="00142914">
      <w:pPr>
        <w:rPr>
          <w:noProof/>
        </w:rPr>
      </w:pPr>
      <w:r w:rsidRPr="00ED4C98">
        <w:t>tā kā:</w:t>
      </w:r>
    </w:p>
    <w:p w:rsidR="00142914" w:rsidRPr="00ED4C98" w:rsidRDefault="00142914" w:rsidP="00142914">
      <w:pPr>
        <w:pStyle w:val="ManualConsidrant"/>
        <w:rPr>
          <w:color w:val="000000"/>
        </w:rPr>
      </w:pPr>
      <w:r w:rsidRPr="00ED4C98">
        <w:t>(1)</w:t>
      </w:r>
      <w:r w:rsidRPr="00ED4C98">
        <w:tab/>
        <w:t>Tā kā Savienības ekonomikas pārvaldība veicina ekonomisko, sociālo un teritoriālo kohēziju, būtu jāpastāv iespējai atbalstīt reformu saistības, kuras dalībvalstis uzņēmušās, lai īstenotu attiecīgus Padomes ieteikumus vai lai maksimāli palielinātu pieejamo kohēzijas politikas fondu ietekmi uz izaugsmi un konkurētspēju, ar īpašu atbalstu, kas tiek īstenots tiešā pārvaldībā.</w:t>
      </w:r>
      <w:r w:rsidRPr="00ED4C98">
        <w:rPr>
          <w:color w:val="000000"/>
        </w:rPr>
        <w:t xml:space="preserve"> </w:t>
      </w:r>
    </w:p>
    <w:p w:rsidR="00142914" w:rsidRPr="00ED4C98" w:rsidRDefault="00142914" w:rsidP="00142914">
      <w:pPr>
        <w:pStyle w:val="ManualConsidrant"/>
        <w:rPr>
          <w:noProof/>
        </w:rPr>
      </w:pPr>
      <w:r w:rsidRPr="00ED4C98">
        <w:rPr>
          <w:color w:val="000000"/>
        </w:rPr>
        <w:t>(2)</w:t>
      </w:r>
      <w:r w:rsidRPr="00ED4C98">
        <w:tab/>
        <w:t>Lai ekonomikas pārvaldības procesā sekmētu dalībvalstu veiktas reformas, ir nepieciešams atvērt iespēju daļēji vai pilnībā piešķirt izpildes rezervi, kas izveidota ar Regulas (ES) Nr. 1303/2013</w:t>
      </w:r>
      <w:r w:rsidRPr="00ED4C98">
        <w:rPr>
          <w:rStyle w:val="FootnoteReference"/>
          <w:noProof/>
        </w:rPr>
        <w:footnoteReference w:id="3"/>
      </w:r>
      <w:r w:rsidRPr="00ED4C98">
        <w:t xml:space="preserve"> 20. pantu, lai atbalstītu reformu saistības, kuras dalībvalstis uzņēmušās.</w:t>
      </w:r>
    </w:p>
    <w:p w:rsidR="00142914" w:rsidRPr="00ED4C98" w:rsidRDefault="00142914" w:rsidP="00142914">
      <w:pPr>
        <w:spacing w:after="240"/>
        <w:ind w:left="709" w:hanging="709"/>
        <w:rPr>
          <w:rFonts w:eastAsia="Calibri"/>
          <w:b/>
          <w:sz w:val="22"/>
        </w:rPr>
      </w:pPr>
      <w:r w:rsidRPr="00ED4C98">
        <w:t>(3)</w:t>
      </w:r>
      <w:r w:rsidRPr="00ED4C98">
        <w:tab/>
        <w:t>Pārdalei no izpildes rezerves būtu jāpiemēro nosacījums, ka ir izpildītas saistības attiecībā uz Eiropas pusgada procesā identificētu reformu īstenošanu. Prioritāte būtu piešķirama to strukturālo reformu īstenošanai, par kurām sagaidāms, ka tās visvairāk sekmēs valstu tautsaimniecību noturību un nodrošinās plašāku pozitīvu ietekmi uz citām dalībvalstīm. Tas ietver reformas produktu un darba tirgos, nodokļu reformas, kapitāla tirgu attīstību, reformas ar mērķi uzlabot darījumdarbības vidi, kā arī ieguldījumus cilvēkkapitālā un valsts pārvaldes reformas.</w:t>
      </w:r>
      <w:r w:rsidRPr="00ED4C98">
        <w:rPr>
          <w:sz w:val="22"/>
        </w:rPr>
        <w:t xml:space="preserve"> </w:t>
      </w:r>
    </w:p>
    <w:p w:rsidR="00142914" w:rsidRPr="00ED4C98" w:rsidRDefault="00142914" w:rsidP="00142914">
      <w:pPr>
        <w:pStyle w:val="ManualConsidrant"/>
        <w:rPr>
          <w:noProof/>
        </w:rPr>
      </w:pPr>
      <w:r w:rsidRPr="00ED4C98">
        <w:lastRenderedPageBreak/>
        <w:t>(4)</w:t>
      </w:r>
      <w:r w:rsidRPr="00ED4C98">
        <w:tab/>
        <w:t xml:space="preserve">Ir lietderīgi paredzēt, ka dalībvalstis ierosina detalizētu pasākumu kopumu strukturālo reformu īstenošanai, ietverot starpposma mērķus un galamērķus, kā arī grafiku, kas nepārsniedz trīs gadus. </w:t>
      </w:r>
    </w:p>
    <w:p w:rsidR="00142914" w:rsidRPr="00ED4C98" w:rsidRDefault="00142914" w:rsidP="00142914">
      <w:pPr>
        <w:pStyle w:val="ManualConsidrant"/>
        <w:rPr>
          <w:noProof/>
        </w:rPr>
      </w:pPr>
      <w:r w:rsidRPr="00ED4C98">
        <w:t>(5)</w:t>
      </w:r>
      <w:r w:rsidRPr="00ED4C98">
        <w:tab/>
        <w:t xml:space="preserve">Atbalstam reformu saistībām būtu jāizpaužas kā finansējumam, kas nav saistīts ar izmaksām, kā minēts Regulas (ES) … [pārskatītās Finanšu regulas] 121. panta 1. punkta e) apakšpunktā, un ir tiešā pārvaldībā. Summai, ko piešķir strukturālo reformu īstenošanai, būtu jābūt samērīgai ar reformu raksturu un nozīmi un jāpapildina esošais Savienības atbalsts valstu reformām.  </w:t>
      </w:r>
    </w:p>
    <w:p w:rsidR="00142914" w:rsidRPr="00ED4C98" w:rsidRDefault="00142914" w:rsidP="00142914">
      <w:pPr>
        <w:pStyle w:val="ManualConsidrant"/>
        <w:rPr>
          <w:noProof/>
        </w:rPr>
      </w:pPr>
      <w:r w:rsidRPr="00ED4C98">
        <w:t>(6)</w:t>
      </w:r>
      <w:r w:rsidRPr="00ED4C98">
        <w:tab/>
        <w:t xml:space="preserve">Būtu jādefinē procedūra šādu saistību izstrādei, to saturs un noteikumi, kas piemērojami šim konkrētajam atbalsta veidam.   </w:t>
      </w:r>
    </w:p>
    <w:p w:rsidR="00142914" w:rsidRPr="00ED4C98" w:rsidRDefault="00142914" w:rsidP="00142914">
      <w:pPr>
        <w:pStyle w:val="ManualConsidrant"/>
        <w:rPr>
          <w:noProof/>
        </w:rPr>
      </w:pPr>
      <w:r w:rsidRPr="00ED4C98">
        <w:t>(7)</w:t>
      </w:r>
      <w:r w:rsidRPr="00ED4C98">
        <w:tab/>
        <w:t xml:space="preserve">Lai būtu iespējams nekavējoties piemērot šajā regulā paredzētos pasākumus, šai regulai būtu jāstājas spēkā nākamajā dienā pēc tās publicēšanas </w:t>
      </w:r>
      <w:r w:rsidRPr="00ED4C98">
        <w:rPr>
          <w:i/>
        </w:rPr>
        <w:t>Eiropas Savienības Oficiālajā Vēstnesī</w:t>
      </w:r>
      <w:r w:rsidRPr="00ED4C98">
        <w:t>.</w:t>
      </w:r>
    </w:p>
    <w:p w:rsidR="00142914" w:rsidRPr="00ED4C98" w:rsidRDefault="00142914" w:rsidP="00142914">
      <w:pPr>
        <w:pStyle w:val="ManualConsidrant"/>
        <w:rPr>
          <w:noProof/>
        </w:rPr>
      </w:pPr>
      <w:r w:rsidRPr="00ED4C98">
        <w:t>(8)</w:t>
      </w:r>
      <w:r w:rsidRPr="00ED4C98">
        <w:tab/>
        <w:t>Tāpēc būtu attiecīgi jāgroza Regula (ES) Nr. 1303/2013,</w:t>
      </w:r>
    </w:p>
    <w:p w:rsidR="00142914" w:rsidRPr="00ED4C98" w:rsidRDefault="00142914" w:rsidP="00142914">
      <w:pPr>
        <w:pStyle w:val="ManualConsidrant"/>
        <w:rPr>
          <w:noProof/>
        </w:rPr>
      </w:pPr>
    </w:p>
    <w:p w:rsidR="00142914" w:rsidRPr="00ED4C98" w:rsidRDefault="00142914" w:rsidP="00142914">
      <w:pPr>
        <w:rPr>
          <w:noProof/>
        </w:rPr>
      </w:pPr>
    </w:p>
    <w:p w:rsidR="00142914" w:rsidRPr="00ED4C98" w:rsidRDefault="00142914" w:rsidP="00142914">
      <w:pPr>
        <w:pStyle w:val="Formuledadoption"/>
        <w:rPr>
          <w:noProof/>
        </w:rPr>
      </w:pPr>
      <w:r w:rsidRPr="00ED4C98">
        <w:t>IR PIEŅĒMUŠI ŠO REGULU.</w:t>
      </w:r>
    </w:p>
    <w:p w:rsidR="00142914" w:rsidRPr="00ED4C98" w:rsidRDefault="00142914" w:rsidP="00142914">
      <w:pPr>
        <w:keepNext/>
        <w:spacing w:before="360"/>
        <w:jc w:val="center"/>
        <w:rPr>
          <w:i/>
          <w:noProof/>
        </w:rPr>
      </w:pPr>
      <w:r w:rsidRPr="00ED4C98">
        <w:rPr>
          <w:i/>
          <w:noProof/>
        </w:rPr>
        <w:t>1. pants</w:t>
      </w:r>
    </w:p>
    <w:p w:rsidR="00142914" w:rsidRPr="00ED4C98" w:rsidRDefault="00142914" w:rsidP="00142914">
      <w:pPr>
        <w:spacing w:before="0" w:after="200" w:line="276" w:lineRule="auto"/>
        <w:rPr>
          <w:noProof/>
        </w:rPr>
      </w:pPr>
      <w:r w:rsidRPr="00ED4C98">
        <w:t>Regulu (ES) Nr. 1303/2013 groza šādi:</w:t>
      </w:r>
    </w:p>
    <w:p w:rsidR="00142914" w:rsidRPr="00ED4C98" w:rsidRDefault="00142914" w:rsidP="00142914">
      <w:pPr>
        <w:ind w:left="850" w:hanging="850"/>
        <w:rPr>
          <w:noProof/>
        </w:rPr>
      </w:pPr>
      <w:r w:rsidRPr="00ED4C98">
        <w:t>1.</w:t>
      </w:r>
      <w:r w:rsidRPr="00ED4C98">
        <w:tab/>
        <w:t>tās 1. panta pirmo daļu aizstāj ar šādu:</w:t>
      </w:r>
    </w:p>
    <w:p w:rsidR="00142914" w:rsidRPr="00ED4C98" w:rsidRDefault="00142914" w:rsidP="00142914">
      <w:pPr>
        <w:spacing w:after="240"/>
        <w:ind w:left="851"/>
      </w:pPr>
      <w:r w:rsidRPr="00ED4C98">
        <w:t>“Šajā regulā ir izklāstīti kopīgi noteikumi, kas piemērojami Eiropas Reģionālās attīstības fondam (ERAF), Eiropas Sociālajam fondam (ESF), Kohēzijas fondam, Eiropas Lauksaimniecības fondam lauku attīstībai (ELFLA) un Eiropas Jūrlietu un zivsaimniecības fondam (EJZF), kuri darbojas saskaņā ar vienotu satvaru (“Eiropas strukturālie un investīciju fondi” jeb “ESI fondi”). Tajā arī paredzēti noteikumi, kas vajadzīgi, lai nodrošinātu Eiropas strukturālo un investīciju fondu efektivitāti, to savstarpējo koordināciju un koordināciju ar citiem Savienības instrumentiem</w:t>
      </w:r>
      <w:r w:rsidRPr="00ED4C98">
        <w:rPr>
          <w:b/>
        </w:rPr>
        <w:t>, kā arī noteikumi izpildes rezerves izmantošanai, lai atbalstītu strukturālās reformas, kuras identificētas Eiropas pusgada procesā.</w:t>
      </w:r>
      <w:r w:rsidRPr="00ED4C98">
        <w:t xml:space="preserve"> Kopīgie noteikumi, kas piemērojami Eiropas strukturālajiem un investīciju fondiem, ir izklāstīti otrajā daļā. </w:t>
      </w:r>
      <w:r w:rsidRPr="00ED4C98">
        <w:rPr>
          <w:b/>
          <w:noProof/>
        </w:rPr>
        <w:t>Noteikumi, kas attiecas uz izpildes rezerves daļēju vai pilnīgu izmantošanu strukturālo reformu atbalstam, ir izstrādāti 23.a pantā.”</w:t>
      </w:r>
      <w:r w:rsidRPr="00ED4C98">
        <w:rPr>
          <w:noProof/>
        </w:rPr>
        <w:t>;</w:t>
      </w:r>
    </w:p>
    <w:p w:rsidR="00142914" w:rsidRPr="00ED4C98" w:rsidRDefault="00142914" w:rsidP="00142914">
      <w:pPr>
        <w:tabs>
          <w:tab w:val="left" w:pos="851"/>
        </w:tabs>
        <w:spacing w:before="60" w:after="60"/>
        <w:rPr>
          <w:noProof/>
        </w:rPr>
      </w:pPr>
      <w:r w:rsidRPr="00ED4C98">
        <w:t>2.</w:t>
      </w:r>
      <w:r w:rsidRPr="00ED4C98">
        <w:tab/>
        <w:t>tās 2. pantā pievieno šādu 40) punktu:</w:t>
      </w:r>
    </w:p>
    <w:p w:rsidR="00142914" w:rsidRPr="00ED4C98" w:rsidRDefault="00142914" w:rsidP="00142914">
      <w:pPr>
        <w:tabs>
          <w:tab w:val="left" w:pos="851"/>
        </w:tabs>
        <w:spacing w:before="60" w:after="240"/>
        <w:ind w:left="851"/>
        <w:rPr>
          <w:b/>
          <w:noProof/>
        </w:rPr>
      </w:pPr>
      <w:r w:rsidRPr="00ED4C98">
        <w:rPr>
          <w:b/>
          <w:noProof/>
        </w:rPr>
        <w:t>““strukturālās reformas” ir reformas, kas identificētas Eiropas pusgada procesā saskaņā ar 2.a pantu Padomes 1997. gada 7. jūlija Regulā (EK) Nr. 1466/97 par budžeta stāvokļa uzraudzības un ekonomikas politikas uzraudzības un koordinācijas stiprināšanu.”</w:t>
      </w:r>
      <w:r w:rsidRPr="00ED4C98">
        <w:rPr>
          <w:noProof/>
        </w:rPr>
        <w:t>;</w:t>
      </w:r>
    </w:p>
    <w:p w:rsidR="00142914" w:rsidRPr="00ED4C98" w:rsidRDefault="00142914" w:rsidP="00142914">
      <w:pPr>
        <w:tabs>
          <w:tab w:val="left" w:pos="851"/>
        </w:tabs>
        <w:spacing w:before="60" w:after="60"/>
        <w:rPr>
          <w:noProof/>
        </w:rPr>
      </w:pPr>
      <w:r w:rsidRPr="00ED4C98">
        <w:t>3.</w:t>
      </w:r>
      <w:r w:rsidRPr="00ED4C98">
        <w:tab/>
        <w:t xml:space="preserve">tās 4. panta 7. punktu aizstāj ar šādu: </w:t>
      </w:r>
    </w:p>
    <w:p w:rsidR="00142914" w:rsidRPr="00ED4C98" w:rsidRDefault="00142914" w:rsidP="00142914">
      <w:pPr>
        <w:tabs>
          <w:tab w:val="left" w:pos="851"/>
        </w:tabs>
        <w:spacing w:before="60" w:after="240"/>
        <w:ind w:left="851" w:hanging="851"/>
        <w:rPr>
          <w:noProof/>
        </w:rPr>
      </w:pPr>
      <w:r w:rsidRPr="00ED4C98">
        <w:tab/>
        <w:t xml:space="preserve">“7. Savienības budžeta daļu, kura piešķirta Eiropas strukturālajiem un investīciju fondiem, izpilda pēc dalītas pārvaldības principa starp dalībvalstīm un Komisiju saskaņā ar Finanšu regulas 62. pantu, izņemot Kohēzijas fonda atbalsta summu, kas pārvietota uz EISI, kurš minēts šīs regulas 92. panta 6. punktā, inovatīvas darbības </w:t>
      </w:r>
      <w:r w:rsidRPr="00ED4C98">
        <w:lastRenderedPageBreak/>
        <w:t xml:space="preserve">pēc Komisijas iniciatīvas saskaņā ar ERAF regulas 8. pantu, tehnisko palīdzību pēc Komisijas iniciatīvas, atbalstu tiešajai pārvaldībai saskaņā ar EJZF regulu </w:t>
      </w:r>
      <w:r w:rsidRPr="00ED4C98">
        <w:rPr>
          <w:b/>
        </w:rPr>
        <w:t>un izpildes rezerves izmantošanu strukturālo reformu atbalstam no fondiem saskaņā ar 23.a pantu.”</w:t>
      </w:r>
      <w:r w:rsidRPr="00ED4C98">
        <w:t>;</w:t>
      </w:r>
    </w:p>
    <w:p w:rsidR="00142914" w:rsidRPr="00ED4C98" w:rsidRDefault="00142914" w:rsidP="00142914">
      <w:pPr>
        <w:tabs>
          <w:tab w:val="left" w:pos="851"/>
        </w:tabs>
        <w:spacing w:before="60" w:after="60"/>
        <w:rPr>
          <w:noProof/>
          <w:szCs w:val="24"/>
        </w:rPr>
      </w:pPr>
      <w:r w:rsidRPr="00ED4C98">
        <w:t>4.</w:t>
      </w:r>
      <w:r w:rsidRPr="00ED4C98">
        <w:tab/>
        <w:t xml:space="preserve">tās 15. panta 1. punkta a) apakšpunktā pievieno šādu viii) punktu: </w:t>
      </w:r>
    </w:p>
    <w:p w:rsidR="00142914" w:rsidRPr="00ED4C98" w:rsidRDefault="00142914" w:rsidP="00142914">
      <w:pPr>
        <w:tabs>
          <w:tab w:val="left" w:pos="851"/>
        </w:tabs>
        <w:spacing w:before="60" w:after="240"/>
        <w:ind w:left="851" w:hanging="851"/>
        <w:rPr>
          <w:noProof/>
          <w:szCs w:val="24"/>
        </w:rPr>
      </w:pPr>
      <w:r w:rsidRPr="00ED4C98">
        <w:tab/>
      </w:r>
      <w:r w:rsidRPr="00ED4C98">
        <w:rPr>
          <w:b/>
        </w:rPr>
        <w:t>“viii) informāciju par izpildes rezerves pārdali saskaņā ar 22. panta 1.a punkta b) apakšpunktu;”</w:t>
      </w:r>
      <w:r w:rsidRPr="00ED4C98">
        <w:t xml:space="preserve">; </w:t>
      </w:r>
    </w:p>
    <w:p w:rsidR="00142914" w:rsidRPr="00ED4C98" w:rsidRDefault="00142914" w:rsidP="00142914">
      <w:pPr>
        <w:tabs>
          <w:tab w:val="left" w:pos="851"/>
        </w:tabs>
        <w:spacing w:before="60" w:after="60"/>
        <w:rPr>
          <w:noProof/>
          <w:szCs w:val="24"/>
        </w:rPr>
      </w:pPr>
      <w:r w:rsidRPr="00ED4C98">
        <w:t>5.</w:t>
      </w:r>
      <w:r w:rsidRPr="00ED4C98">
        <w:tab/>
        <w:t xml:space="preserve">tās 20. panta pirmo daļu aizstāj ar šādu: </w:t>
      </w:r>
    </w:p>
    <w:p w:rsidR="00142914" w:rsidRPr="00ED4C98" w:rsidRDefault="00142914" w:rsidP="00142914">
      <w:pPr>
        <w:tabs>
          <w:tab w:val="left" w:pos="851"/>
        </w:tabs>
        <w:spacing w:before="60" w:after="240"/>
        <w:ind w:left="851" w:hanging="851"/>
        <w:rPr>
          <w:rFonts w:eastAsia="Arial Unicode MS"/>
          <w:szCs w:val="24"/>
        </w:rPr>
      </w:pPr>
      <w:r w:rsidRPr="00ED4C98">
        <w:tab/>
        <w:t xml:space="preserve">“Izpildes rezervi veido 6 % no resursiem, kas atvēlēti ERAF, ESF un Kohēzijas fondam saistībā ar mērķi “Investīcijas izaugsmei un nodarbinātībai”, kurš minēts šīs regulas 89. panta 2. punkta a) apakšpunktā, kā arī ELFLA un pasākumiem, ko finansē dalītā pārvaldībā saskaņā ar EJZF regulu, un to nosaka partnerības nolīgumā un programmās un </w:t>
      </w:r>
      <w:r w:rsidRPr="00ED4C98">
        <w:rPr>
          <w:b/>
        </w:rPr>
        <w:t xml:space="preserve">vai nu </w:t>
      </w:r>
      <w:r w:rsidRPr="00ED4C98">
        <w:t>piešķir īpašām prioritātēm</w:t>
      </w:r>
      <w:r w:rsidRPr="00ED4C98">
        <w:rPr>
          <w:b/>
        </w:rPr>
        <w:t>, vai – saistībā ar ERAF, ESF un Kohēzijas fondu – strukturālo reformu atbalstam</w:t>
      </w:r>
      <w:r w:rsidRPr="00ED4C98">
        <w:t xml:space="preserve"> saskaņā ar šīs regulas 22. pantu.”; </w:t>
      </w:r>
    </w:p>
    <w:p w:rsidR="00142914" w:rsidRPr="00ED4C98" w:rsidRDefault="00142914" w:rsidP="00142914">
      <w:pPr>
        <w:tabs>
          <w:tab w:val="left" w:pos="851"/>
        </w:tabs>
        <w:spacing w:before="60" w:after="60"/>
        <w:rPr>
          <w:noProof/>
        </w:rPr>
      </w:pPr>
      <w:r w:rsidRPr="00ED4C98">
        <w:t>6.</w:t>
      </w:r>
      <w:r w:rsidRPr="00ED4C98">
        <w:tab/>
        <w:t>tās 22. pantā pievieno šādu 1.a punktu:</w:t>
      </w:r>
    </w:p>
    <w:p w:rsidR="00142914" w:rsidRPr="00ED4C98" w:rsidRDefault="00142914" w:rsidP="00142914">
      <w:pPr>
        <w:spacing w:before="60" w:after="60"/>
        <w:ind w:left="851"/>
        <w:rPr>
          <w:rFonts w:eastAsia="Calibri"/>
          <w:b/>
          <w:szCs w:val="24"/>
        </w:rPr>
      </w:pPr>
      <w:r w:rsidRPr="00ED4C98">
        <w:rPr>
          <w:b/>
        </w:rPr>
        <w:t xml:space="preserve">“1.a Dalībvalsts var lemt daļēji vai pilnībā izmantot izpildes rezervi: </w:t>
      </w:r>
    </w:p>
    <w:p w:rsidR="00142914" w:rsidRPr="00ED4C98" w:rsidRDefault="00142914" w:rsidP="00142914">
      <w:pPr>
        <w:pStyle w:val="Point1letter"/>
        <w:numPr>
          <w:ilvl w:val="3"/>
          <w:numId w:val="10"/>
        </w:numPr>
        <w:rPr>
          <w:b/>
        </w:rPr>
      </w:pPr>
      <w:r w:rsidRPr="00ED4C98">
        <w:rPr>
          <w:b/>
        </w:rPr>
        <w:t>programmām un prioritātēm, kurās ir sasniegti starpposma mērķi saskaņā ar 2.–7. punktu, vai</w:t>
      </w:r>
    </w:p>
    <w:p w:rsidR="00142914" w:rsidRPr="00ED4C98" w:rsidRDefault="00142914" w:rsidP="00142914">
      <w:pPr>
        <w:pStyle w:val="Point1letter"/>
        <w:numPr>
          <w:ilvl w:val="3"/>
          <w:numId w:val="10"/>
        </w:numPr>
        <w:rPr>
          <w:b/>
        </w:rPr>
      </w:pPr>
      <w:r w:rsidRPr="00ED4C98">
        <w:rPr>
          <w:b/>
        </w:rPr>
        <w:t>strukturālo reformu atbalstam, pamatojoties uz reformu saistībām, kuras īstenotas saskaņā ar 8. punktu un 23.a pantu.”</w:t>
      </w:r>
      <w:r w:rsidRPr="00ED4C98">
        <w:t>;</w:t>
      </w:r>
    </w:p>
    <w:p w:rsidR="00142914" w:rsidRPr="00ED4C98" w:rsidRDefault="00142914" w:rsidP="00142914">
      <w:pPr>
        <w:tabs>
          <w:tab w:val="left" w:pos="851"/>
        </w:tabs>
        <w:spacing w:before="60" w:after="60"/>
        <w:rPr>
          <w:rFonts w:eastAsia="Calibri"/>
          <w:szCs w:val="24"/>
        </w:rPr>
      </w:pPr>
      <w:r w:rsidRPr="00ED4C98">
        <w:tab/>
        <w:t>tās 22. pantā pievieno šādu 8. punktu:</w:t>
      </w:r>
    </w:p>
    <w:p w:rsidR="00142914" w:rsidRPr="00ED4C98" w:rsidRDefault="00142914" w:rsidP="00142914">
      <w:pPr>
        <w:tabs>
          <w:tab w:val="left" w:pos="851"/>
        </w:tabs>
        <w:spacing w:before="60" w:after="240"/>
        <w:ind w:left="851"/>
        <w:rPr>
          <w:rFonts w:eastAsia="Calibri"/>
          <w:b/>
          <w:szCs w:val="24"/>
        </w:rPr>
      </w:pPr>
      <w:r w:rsidRPr="00ED4C98">
        <w:rPr>
          <w:b/>
        </w:rPr>
        <w:t>“8. Dalībvalsts lēmumam pilnībā vai daļēji izmantot izpildes rezervi strukturālo reformu atbalstam saskaņā ar 1.a punktu pievieno priekšlikumu uzņemties reformu saistības saskaņā ar 23.a pantu, kā arī priekšlikumu pārdalīt visu vai daļu no izpildes rezerves, iesniedzot grozījumu saskaņā ar 16. panta 4. punktu un 30. panta 3. punktu.”</w:t>
      </w:r>
      <w:r w:rsidRPr="00ED4C98">
        <w:t>;</w:t>
      </w:r>
    </w:p>
    <w:p w:rsidR="00142914" w:rsidRPr="00ED4C98" w:rsidRDefault="00142914" w:rsidP="00142914">
      <w:pPr>
        <w:tabs>
          <w:tab w:val="left" w:pos="851"/>
        </w:tabs>
        <w:spacing w:before="60"/>
        <w:rPr>
          <w:noProof/>
        </w:rPr>
      </w:pPr>
      <w:r w:rsidRPr="00ED4C98">
        <w:rPr>
          <w:color w:val="000000"/>
        </w:rPr>
        <w:t xml:space="preserve">7. </w:t>
      </w:r>
      <w:r w:rsidRPr="00ED4C98">
        <w:tab/>
        <w:t>tajā iekļauj jaunu 23.a pantu:</w:t>
      </w:r>
    </w:p>
    <w:p w:rsidR="00142914" w:rsidRPr="00ED4C98" w:rsidRDefault="00142914" w:rsidP="00142914">
      <w:pPr>
        <w:tabs>
          <w:tab w:val="left" w:pos="851"/>
        </w:tabs>
        <w:spacing w:before="60"/>
        <w:ind w:firstLine="851"/>
        <w:jc w:val="center"/>
        <w:rPr>
          <w:noProof/>
        </w:rPr>
      </w:pPr>
      <w:r w:rsidRPr="00ED4C98">
        <w:rPr>
          <w:b/>
        </w:rPr>
        <w:t>“</w:t>
      </w:r>
      <w:r w:rsidRPr="00ED4C98">
        <w:rPr>
          <w:b/>
          <w:noProof/>
        </w:rPr>
        <w:t>Atbalsts strukturālajām reformām, pamatojoties uz Eiropas pusgada procesa reformu saistībām</w:t>
      </w:r>
      <w:r w:rsidRPr="00ED4C98">
        <w:rPr>
          <w:b/>
        </w:rPr>
        <w:t>”</w:t>
      </w:r>
    </w:p>
    <w:p w:rsidR="00142914" w:rsidRPr="00ED4C98" w:rsidRDefault="00142914" w:rsidP="00142914">
      <w:pPr>
        <w:spacing w:before="60"/>
        <w:ind w:left="851"/>
        <w:rPr>
          <w:b/>
          <w:noProof/>
        </w:rPr>
      </w:pPr>
      <w:r w:rsidRPr="00ED4C98">
        <w:rPr>
          <w:b/>
          <w:noProof/>
        </w:rPr>
        <w:t xml:space="preserve">1. Dalībvalsts, kas izvēlas izpildes rezerves daļēju vai pilnīgu piešķiršanu saskaņā ar 22. panta 1.a punkta b) apakšpunktu, iesniedz Komisijai priekšlikumu ar sīki izstrādātu pasākumu kopumu, kas piemērots, lai īstenotu strukturālās reformas saskaņā ar Savienības tiesību aktiem. Minētais priekšlikums ietver reformu saistības, kas satur starpposma mērķus un galamērķus, īstenojot reformu pasākumus, kā arī grafiku, kurš nepārsniedz trīs gadus. </w:t>
      </w:r>
    </w:p>
    <w:p w:rsidR="00142914" w:rsidRPr="00ED4C98" w:rsidRDefault="00142914" w:rsidP="00142914">
      <w:pPr>
        <w:spacing w:before="60"/>
        <w:ind w:left="851"/>
        <w:rPr>
          <w:b/>
          <w:noProof/>
        </w:rPr>
      </w:pPr>
      <w:r w:rsidRPr="00ED4C98">
        <w:rPr>
          <w:b/>
          <w:noProof/>
        </w:rPr>
        <w:t xml:space="preserve">2. Komisija izvērtē šo priekšlikumu. Tā var paust apsvērumus vai pieprasīt papildu informāciju. Attiecīgā dalībvalsts sniedz prasīto papildu informāciju un, ja tas tiek lūgts, pārskata reformu saistības. </w:t>
      </w:r>
    </w:p>
    <w:p w:rsidR="00142914" w:rsidRPr="00ED4C98" w:rsidRDefault="00142914" w:rsidP="00142914">
      <w:pPr>
        <w:spacing w:before="60"/>
        <w:ind w:left="851"/>
        <w:rPr>
          <w:b/>
          <w:noProof/>
        </w:rPr>
      </w:pPr>
      <w:r w:rsidRPr="00ED4C98">
        <w:rPr>
          <w:b/>
          <w:noProof/>
        </w:rPr>
        <w:t xml:space="preserve">3. Komisija ar īstenošanas aktu pieņem lēmumu, kurā izklāstītas dalībvalstij īstenojamās reformu saistības un to atbalstam no izpildes rezerves piešķirtā </w:t>
      </w:r>
      <w:r w:rsidRPr="00ED4C98">
        <w:rPr>
          <w:b/>
          <w:noProof/>
        </w:rPr>
        <w:lastRenderedPageBreak/>
        <w:t xml:space="preserve">summa. Šī summa ir samērīga ar reformu raksturu un nozīmi un papildina citus pasākumus vai darbības, ko atbalsta no Savienības fondiem. </w:t>
      </w:r>
    </w:p>
    <w:p w:rsidR="00142914" w:rsidRPr="00ED4C98" w:rsidRDefault="00142914" w:rsidP="00142914">
      <w:pPr>
        <w:spacing w:before="60"/>
        <w:ind w:left="851"/>
        <w:rPr>
          <w:b/>
          <w:noProof/>
        </w:rPr>
      </w:pPr>
      <w:r w:rsidRPr="00ED4C98">
        <w:rPr>
          <w:b/>
          <w:noProof/>
        </w:rPr>
        <w:t>4. Atbalsts dalībvalstu strukturālajām reformām saskaņā ar šo pantu ir finansējums, kas nav saistīts ar izmaksām, kā minēts Finanšu regulas 121. panta 1. punkta e) apakšpunktā, to pārvalda saskaņā ar minētajā regulā izklāstītajiem noteikumiem attiecībā uz tiešo pārvaldību un tam nav nepieciešams valsts līdzfinansējums. Nepiemēro šīs regulas otrās daļas II sadaļas I nodaļu un III–IX sadaļu.</w:t>
      </w:r>
    </w:p>
    <w:p w:rsidR="00142914" w:rsidRPr="00ED4C98" w:rsidRDefault="00142914" w:rsidP="00142914">
      <w:pPr>
        <w:spacing w:before="60"/>
        <w:ind w:left="851"/>
        <w:rPr>
          <w:b/>
          <w:noProof/>
        </w:rPr>
      </w:pPr>
      <w:r w:rsidRPr="00ED4C98">
        <w:rPr>
          <w:b/>
          <w:noProof/>
        </w:rPr>
        <w:t xml:space="preserve">5. Lēmumā, kas minēts 3. punktā, nosaka, ka atbalstu izmaksā pilnībā, līdzko dalībvalsts ir pilnā apjomā īstenojusi reformu saistības. </w:t>
      </w:r>
    </w:p>
    <w:p w:rsidR="00142914" w:rsidRPr="00ED4C98" w:rsidRDefault="00142914" w:rsidP="00142914">
      <w:pPr>
        <w:spacing w:before="60" w:after="240"/>
        <w:ind w:left="851"/>
        <w:rPr>
          <w:noProof/>
        </w:rPr>
      </w:pPr>
      <w:r w:rsidRPr="00ED4C98">
        <w:rPr>
          <w:b/>
          <w:noProof/>
        </w:rPr>
        <w:t>6. Dalībvalsts atbilstīgi Eiropas pusgada mehānismiem regulāri ziņo par reformu saistību īstenošanas gaitu. Ziņošanas kārtību un grafiku nosaka 4. punktā minētajā lēmumā.”</w:t>
      </w:r>
      <w:r w:rsidRPr="00ED4C98">
        <w:rPr>
          <w:noProof/>
        </w:rPr>
        <w:t>;</w:t>
      </w:r>
      <w:r w:rsidRPr="00ED4C98">
        <w:rPr>
          <w:b/>
          <w:noProof/>
        </w:rPr>
        <w:t xml:space="preserve"> </w:t>
      </w:r>
    </w:p>
    <w:p w:rsidR="00142914" w:rsidRPr="00ED4C98" w:rsidRDefault="00142914" w:rsidP="00142914">
      <w:pPr>
        <w:tabs>
          <w:tab w:val="left" w:pos="851"/>
        </w:tabs>
        <w:autoSpaceDE w:val="0"/>
        <w:autoSpaceDN w:val="0"/>
        <w:adjustRightInd w:val="0"/>
        <w:spacing w:before="60" w:after="60"/>
        <w:rPr>
          <w:color w:val="000000"/>
          <w:szCs w:val="24"/>
        </w:rPr>
      </w:pPr>
      <w:r w:rsidRPr="00ED4C98">
        <w:rPr>
          <w:color w:val="000000"/>
        </w:rPr>
        <w:t>8.</w:t>
      </w:r>
      <w:r w:rsidRPr="00ED4C98">
        <w:tab/>
        <w:t>tās 91. pantā pievieno šādu punktu:</w:t>
      </w:r>
      <w:r w:rsidRPr="00ED4C98">
        <w:rPr>
          <w:color w:val="000000"/>
        </w:rPr>
        <w:t xml:space="preserve"> </w:t>
      </w:r>
    </w:p>
    <w:p w:rsidR="00142914" w:rsidRPr="00ED4C98" w:rsidRDefault="00142914" w:rsidP="00142914">
      <w:pPr>
        <w:tabs>
          <w:tab w:val="left" w:pos="851"/>
        </w:tabs>
        <w:autoSpaceDE w:val="0"/>
        <w:autoSpaceDN w:val="0"/>
        <w:adjustRightInd w:val="0"/>
        <w:spacing w:before="60" w:after="60"/>
        <w:ind w:left="851"/>
        <w:rPr>
          <w:rFonts w:eastAsia="Calibri"/>
          <w:b/>
          <w:color w:val="000000"/>
          <w:szCs w:val="24"/>
        </w:rPr>
      </w:pPr>
      <w:r w:rsidRPr="00ED4C98">
        <w:rPr>
          <w:b/>
          <w:color w:val="000000"/>
        </w:rPr>
        <w:t>“4. Visu vai daļu no izpildes rezerves, kas iekļauta 91. un 92. pantā noteiktajās summās, pēc dalībvalsts pieprasījuma saskaņā ar 22. panta 8. punktu var piešķirt strukturālo reformu atbalstam, kā minēts 23.a pantā.”</w:t>
      </w:r>
      <w:r w:rsidRPr="00ED4C98">
        <w:rPr>
          <w:color w:val="000000"/>
        </w:rPr>
        <w:t>.</w:t>
      </w:r>
    </w:p>
    <w:p w:rsidR="00142914" w:rsidRPr="00ED4C98" w:rsidRDefault="00142914" w:rsidP="00142914">
      <w:pPr>
        <w:framePr w:hSpace="180" w:wrap="around" w:vAnchor="text" w:hAnchor="page" w:x="960" w:y="195"/>
        <w:widowControl w:val="0"/>
        <w:tabs>
          <w:tab w:val="left" w:pos="0"/>
          <w:tab w:val="left" w:pos="436"/>
          <w:tab w:val="left" w:pos="1134"/>
          <w:tab w:val="left" w:pos="1418"/>
          <w:tab w:val="left" w:pos="1701"/>
        </w:tabs>
        <w:autoSpaceDE w:val="0"/>
        <w:autoSpaceDN w:val="0"/>
        <w:adjustRightInd w:val="0"/>
        <w:spacing w:before="40" w:after="40"/>
        <w:rPr>
          <w:rFonts w:eastAsia="Calibri"/>
          <w:i/>
          <w:szCs w:val="24"/>
        </w:rPr>
      </w:pPr>
    </w:p>
    <w:p w:rsidR="00142914" w:rsidRPr="00ED4C98" w:rsidRDefault="00142914" w:rsidP="00142914">
      <w:pPr>
        <w:keepNext/>
        <w:spacing w:before="360"/>
        <w:jc w:val="center"/>
        <w:rPr>
          <w:i/>
          <w:noProof/>
        </w:rPr>
      </w:pPr>
      <w:r w:rsidRPr="00ED4C98">
        <w:rPr>
          <w:i/>
          <w:noProof/>
        </w:rPr>
        <w:t>2. pants</w:t>
      </w:r>
    </w:p>
    <w:p w:rsidR="00142914" w:rsidRPr="00ED4C98" w:rsidRDefault="00142914" w:rsidP="00142914">
      <w:pPr>
        <w:rPr>
          <w:noProof/>
        </w:rPr>
      </w:pPr>
      <w:r w:rsidRPr="00ED4C98">
        <w:t xml:space="preserve">Šī regula stājas spēkā nākamajā dienā pēc tās publicēšanas </w:t>
      </w:r>
      <w:r w:rsidRPr="00ED4C98">
        <w:rPr>
          <w:i/>
        </w:rPr>
        <w:t>Eiropas Savienības Oficiālajā Vēstnesī</w:t>
      </w:r>
      <w:r w:rsidRPr="00ED4C98">
        <w:t>.</w:t>
      </w:r>
    </w:p>
    <w:p w:rsidR="00142914" w:rsidRPr="00ED4C98" w:rsidRDefault="00142914" w:rsidP="00142914">
      <w:pPr>
        <w:spacing w:before="480"/>
        <w:rPr>
          <w:noProof/>
        </w:rPr>
      </w:pPr>
      <w:r w:rsidRPr="00ED4C98">
        <w:t>Šī regula uzliek saistības kopumā un ir tieši piemērojama visās dalībvalstīs.</w:t>
      </w:r>
    </w:p>
    <w:p w:rsidR="00142914" w:rsidRPr="00ED4C98" w:rsidRDefault="00F7223E" w:rsidP="00F7223E">
      <w:pPr>
        <w:pStyle w:val="Fait"/>
        <w:rPr>
          <w:noProof/>
        </w:rPr>
      </w:pPr>
      <w:r w:rsidRPr="00F7223E">
        <w:t>Briselē,</w:t>
      </w:r>
    </w:p>
    <w:p w:rsidR="00142914" w:rsidRPr="00ED4C98" w:rsidRDefault="00142914" w:rsidP="00142914">
      <w:pPr>
        <w:pStyle w:val="Institutionquisigne"/>
        <w:rPr>
          <w:noProof/>
        </w:rPr>
      </w:pPr>
      <w:r w:rsidRPr="00ED4C98">
        <w:t>Eiropas Parlamenta vārdā –</w:t>
      </w:r>
      <w:r w:rsidRPr="00ED4C98">
        <w:tab/>
        <w:t>Padomes vārdā –</w:t>
      </w:r>
    </w:p>
    <w:p w:rsidR="00CD2DA8" w:rsidRPr="00ED4C98" w:rsidRDefault="00142914" w:rsidP="00142914">
      <w:pPr>
        <w:pStyle w:val="Personnequisigne"/>
        <w:jc w:val="both"/>
        <w:rPr>
          <w:b/>
          <w:noProof/>
          <w:u w:val="single"/>
        </w:rPr>
      </w:pPr>
      <w:r w:rsidRPr="00ED4C98">
        <w:t>priekšsēdētājs</w:t>
      </w:r>
      <w:r w:rsidRPr="00ED4C98">
        <w:tab/>
        <w:t>priekšsēdētājs</w:t>
      </w:r>
    </w:p>
    <w:sectPr w:rsidR="00CD2DA8" w:rsidRPr="00ED4C98" w:rsidSect="00F7223E">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4689" w:rsidRDefault="00294689" w:rsidP="000D0279">
      <w:pPr>
        <w:spacing w:before="0" w:after="0"/>
      </w:pPr>
      <w:r>
        <w:separator/>
      </w:r>
    </w:p>
  </w:endnote>
  <w:endnote w:type="continuationSeparator" w:id="0">
    <w:p w:rsidR="00294689" w:rsidRDefault="00294689" w:rsidP="000D027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atha">
    <w:panose1 w:val="020B0604020202020204"/>
    <w:charset w:val="00"/>
    <w:family w:val="swiss"/>
    <w:pitch w:val="variable"/>
    <w:sig w:usb0="001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23E" w:rsidRPr="00F7223E" w:rsidRDefault="00F7223E" w:rsidP="00F7223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23E" w:rsidRPr="00F7223E" w:rsidRDefault="00F7223E" w:rsidP="00F7223E">
    <w:pPr>
      <w:pStyle w:val="Footer"/>
      <w:rPr>
        <w:rFonts w:ascii="Arial" w:hAnsi="Arial" w:cs="Arial"/>
        <w:b/>
        <w:sz w:val="48"/>
      </w:rPr>
    </w:pPr>
    <w:r w:rsidRPr="00F7223E">
      <w:rPr>
        <w:rFonts w:ascii="Arial" w:hAnsi="Arial" w:cs="Arial"/>
        <w:b/>
        <w:sz w:val="48"/>
      </w:rPr>
      <w:t>LV</w:t>
    </w:r>
    <w:r w:rsidRPr="00F7223E">
      <w:rPr>
        <w:rFonts w:ascii="Arial" w:hAnsi="Arial" w:cs="Arial"/>
        <w:b/>
        <w:sz w:val="48"/>
      </w:rPr>
      <w:tab/>
    </w:r>
    <w:r w:rsidRPr="00F7223E">
      <w:rPr>
        <w:rFonts w:ascii="Arial" w:hAnsi="Arial" w:cs="Arial"/>
        <w:b/>
        <w:sz w:val="48"/>
      </w:rPr>
      <w:tab/>
    </w:r>
    <w:r w:rsidRPr="00F7223E">
      <w:tab/>
    </w:r>
    <w:r w:rsidRPr="00F7223E">
      <w:rPr>
        <w:rFonts w:ascii="Arial" w:hAnsi="Arial" w:cs="Arial"/>
        <w:b/>
        <w:sz w:val="48"/>
      </w:rPr>
      <w:t>LV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23E" w:rsidRPr="00F7223E" w:rsidRDefault="00F7223E" w:rsidP="00F7223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23E" w:rsidRPr="00F7223E" w:rsidRDefault="00F7223E" w:rsidP="00F7223E">
    <w:pPr>
      <w:pStyle w:val="Footer"/>
      <w:rPr>
        <w:rFonts w:ascii="Arial" w:hAnsi="Arial" w:cs="Arial"/>
        <w:b/>
        <w:sz w:val="48"/>
      </w:rPr>
    </w:pPr>
    <w:r w:rsidRPr="00F7223E">
      <w:rPr>
        <w:rFonts w:ascii="Arial" w:hAnsi="Arial" w:cs="Arial"/>
        <w:b/>
        <w:sz w:val="48"/>
      </w:rPr>
      <w:t>LV</w:t>
    </w:r>
    <w:r w:rsidRPr="00F7223E">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rsidRPr="00F7223E">
      <w:tab/>
    </w:r>
    <w:r w:rsidRPr="00F7223E">
      <w:rPr>
        <w:rFonts w:ascii="Arial" w:hAnsi="Arial" w:cs="Arial"/>
        <w:b/>
        <w:sz w:val="48"/>
      </w:rPr>
      <w:t>LV</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23E" w:rsidRPr="00F7223E" w:rsidRDefault="00F7223E" w:rsidP="00F722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4689" w:rsidRDefault="00294689" w:rsidP="000D0279">
      <w:pPr>
        <w:spacing w:before="0" w:after="0"/>
      </w:pPr>
      <w:r>
        <w:separator/>
      </w:r>
    </w:p>
  </w:footnote>
  <w:footnote w:type="continuationSeparator" w:id="0">
    <w:p w:rsidR="00294689" w:rsidRDefault="00294689" w:rsidP="000D0279">
      <w:pPr>
        <w:spacing w:before="0" w:after="0"/>
      </w:pPr>
      <w:r>
        <w:continuationSeparator/>
      </w:r>
    </w:p>
  </w:footnote>
  <w:footnote w:id="1">
    <w:p w:rsidR="00142914" w:rsidRPr="00095896" w:rsidRDefault="00142914" w:rsidP="00142914">
      <w:pPr>
        <w:pStyle w:val="FootnoteText"/>
        <w:rPr>
          <w:lang w:val="nn-NO"/>
        </w:rPr>
      </w:pPr>
      <w:r>
        <w:rPr>
          <w:rStyle w:val="FootnoteReference"/>
        </w:rPr>
        <w:footnoteRef/>
      </w:r>
      <w:r w:rsidRPr="00142914">
        <w:rPr>
          <w:lang w:val="nn-NO"/>
        </w:rPr>
        <w:tab/>
        <w:t>OV C [...], [...], [...]. lpp.</w:t>
      </w:r>
    </w:p>
  </w:footnote>
  <w:footnote w:id="2">
    <w:p w:rsidR="00142914" w:rsidRPr="00095896" w:rsidRDefault="00142914" w:rsidP="00142914">
      <w:pPr>
        <w:pStyle w:val="FootnoteText"/>
        <w:rPr>
          <w:lang w:val="nn-NO"/>
        </w:rPr>
      </w:pPr>
      <w:r>
        <w:rPr>
          <w:rStyle w:val="FootnoteReference"/>
        </w:rPr>
        <w:footnoteRef/>
      </w:r>
      <w:r w:rsidRPr="00142914">
        <w:rPr>
          <w:lang w:val="nn-NO"/>
        </w:rPr>
        <w:tab/>
        <w:t>OV C [...], [...], [...]. lpp.</w:t>
      </w:r>
    </w:p>
  </w:footnote>
  <w:footnote w:id="3">
    <w:p w:rsidR="00142914" w:rsidRPr="002B2277" w:rsidRDefault="00142914" w:rsidP="00142914">
      <w:pPr>
        <w:pStyle w:val="FootnoteText"/>
        <w:rPr>
          <w:lang w:val="pl-PL"/>
        </w:rPr>
      </w:pPr>
      <w:r>
        <w:rPr>
          <w:rStyle w:val="FootnoteReference"/>
        </w:rPr>
        <w:footnoteRef/>
      </w:r>
      <w:r>
        <w:tab/>
        <w:t xml:space="preserve">OV L </w:t>
      </w:r>
      <w:r w:rsidRPr="00095896">
        <w:t>347</w:t>
      </w:r>
      <w:r>
        <w:t xml:space="preserve">, </w:t>
      </w:r>
      <w:r w:rsidRPr="00095896">
        <w:t>20</w:t>
      </w:r>
      <w:r>
        <w:t>.</w:t>
      </w:r>
      <w:r w:rsidRPr="00095896">
        <w:t>12</w:t>
      </w:r>
      <w:r>
        <w:t>.</w:t>
      </w:r>
      <w:r w:rsidRPr="00095896">
        <w:t>2013</w:t>
      </w:r>
      <w:r>
        <w:t xml:space="preserve">., </w:t>
      </w:r>
      <w:r w:rsidRPr="00095896">
        <w:t>320</w:t>
      </w:r>
      <w:r>
        <w:t>. lpp.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23E" w:rsidRPr="00F7223E" w:rsidRDefault="00F7223E" w:rsidP="00F7223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23E" w:rsidRPr="00F7223E" w:rsidRDefault="00F7223E" w:rsidP="00F7223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23E" w:rsidRPr="00F7223E" w:rsidRDefault="00F7223E" w:rsidP="00F722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8706608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1056F792"/>
    <w:lvl w:ilvl="0">
      <w:start w:val="1"/>
      <w:numFmt w:val="decimal"/>
      <w:pStyle w:val="ListNumber3"/>
      <w:lvlText w:val="%1."/>
      <w:lvlJc w:val="left"/>
      <w:pPr>
        <w:tabs>
          <w:tab w:val="num" w:pos="926"/>
        </w:tabs>
        <w:ind w:left="926" w:hanging="360"/>
      </w:pPr>
    </w:lvl>
  </w:abstractNum>
  <w:abstractNum w:abstractNumId="2">
    <w:nsid w:val="FFFFFF7F"/>
    <w:multiLevelType w:val="singleLevel"/>
    <w:tmpl w:val="CA8A8C90"/>
    <w:lvl w:ilvl="0">
      <w:start w:val="1"/>
      <w:numFmt w:val="decimal"/>
      <w:pStyle w:val="ListNumber2"/>
      <w:lvlText w:val="%1."/>
      <w:lvlJc w:val="left"/>
      <w:pPr>
        <w:tabs>
          <w:tab w:val="num" w:pos="643"/>
        </w:tabs>
        <w:ind w:left="643" w:hanging="360"/>
      </w:pPr>
    </w:lvl>
  </w:abstractNum>
  <w:abstractNum w:abstractNumId="3">
    <w:nsid w:val="FFFFFF81"/>
    <w:multiLevelType w:val="singleLevel"/>
    <w:tmpl w:val="FDE24DC4"/>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1216377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F3FC8CEC"/>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3F143C4E"/>
    <w:lvl w:ilvl="0">
      <w:start w:val="1"/>
      <w:numFmt w:val="decimal"/>
      <w:pStyle w:val="ListNumber"/>
      <w:lvlText w:val="%1."/>
      <w:lvlJc w:val="left"/>
      <w:pPr>
        <w:tabs>
          <w:tab w:val="num" w:pos="360"/>
        </w:tabs>
        <w:ind w:left="360" w:hanging="360"/>
      </w:pPr>
    </w:lvl>
  </w:abstractNum>
  <w:abstractNum w:abstractNumId="7">
    <w:nsid w:val="FFFFFF89"/>
    <w:multiLevelType w:val="singleLevel"/>
    <w:tmpl w:val="41B8BEB6"/>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6A6901C1"/>
    <w:multiLevelType w:val="singleLevel"/>
    <w:tmpl w:val="208841AE"/>
    <w:name w:val="0,2277142"/>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22">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0"/>
  </w:num>
  <w:num w:numId="6">
    <w:abstractNumId w:val="21"/>
  </w:num>
  <w:num w:numId="7">
    <w:abstractNumId w:val="6"/>
  </w:num>
  <w:num w:numId="8">
    <w:abstractNumId w:val="2"/>
  </w:num>
  <w:num w:numId="9">
    <w:abstractNumId w:val="1"/>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2"/>
  </w:num>
  <w:num w:numId="13">
    <w:abstractNumId w:val="20"/>
  </w:num>
  <w:num w:numId="14">
    <w:abstractNumId w:val="11"/>
  </w:num>
  <w:num w:numId="15">
    <w:abstractNumId w:val="13"/>
  </w:num>
  <w:num w:numId="16">
    <w:abstractNumId w:val="9"/>
  </w:num>
  <w:num w:numId="17">
    <w:abstractNumId w:val="19"/>
  </w:num>
  <w:num w:numId="18">
    <w:abstractNumId w:val="8"/>
  </w:num>
  <w:num w:numId="19">
    <w:abstractNumId w:val="14"/>
  </w:num>
  <w:num w:numId="20">
    <w:abstractNumId w:val="16"/>
  </w:num>
  <w:num w:numId="21">
    <w:abstractNumId w:val="17"/>
  </w:num>
  <w:num w:numId="22">
    <w:abstractNumId w:val="10"/>
  </w:num>
  <w:num w:numId="23">
    <w:abstractNumId w:val="15"/>
  </w:num>
  <w:num w:numId="24">
    <w:abstractNumId w:val="2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7-12-14 11:08:57"/>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71"/>
    <w:docVar w:name="DQCResult_ModifiedMarkers" w:val="0;0"/>
    <w:docVar w:name="DQCResult_ModifiedNumbering" w:val="0;0"/>
    <w:docVar w:name="DQCResult_Objects" w:val="0;0"/>
    <w:docVar w:name="DQCResult_Sections" w:val="0;0"/>
    <w:docVar w:name="DQCResult_StructureCheck" w:val="0;0"/>
    <w:docVar w:name="DQCResult_SuperfluousWhitespace" w:val="0;11"/>
    <w:docVar w:name="DQCResult_UnknownFonts" w:val="0;0"/>
    <w:docVar w:name="DQCResult_UnknownStyles" w:val="0;0"/>
    <w:docVar w:name="DQCStatus" w:val="Yellow"/>
    <w:docVar w:name="DQCVersion" w:val="3"/>
    <w:docVar w:name="DQCWithWarnings" w:val="0"/>
    <w:docVar w:name="LW_CORRIGENDUM" w:val="CORRIGENDUM_x000b_Annule et remplace le document COM(2017) 826 final du 6 décembre 2017. Concerne les versions FR, LV et PT. Erreur dans le titre du document._x000b_"/>
    <w:docVar w:name="LW_COVERPAGE_EXISTS" w:val="True"/>
    <w:docVar w:name="LW_COVERPAGE_GUID" w:val="6FDA4F47-6686-4AC6-8A13-7CFEB0537801"/>
    <w:docVar w:name="LW_COVERPAGE_TYPE" w:val="1"/>
    <w:docVar w:name="LW_CROSSREFERENCE" w:val="&lt;UNUSED&gt;"/>
    <w:docVar w:name="LW_DocType" w:val="COM"/>
    <w:docVar w:name="LW_EMISSION" w:val="14.12.2017"/>
    <w:docVar w:name="LW_EMISSION_ISODATE" w:val="2017-12-14"/>
    <w:docVar w:name="LW_EMISSION_LOCATION" w:val="BRX"/>
    <w:docVar w:name="LW_EMISSION_PREFIX" w:val="Brisel\u275?,"/>
    <w:docVar w:name="LW_EMISSION_SUFFIX" w:val="&lt;EMPTY&gt;"/>
    <w:docVar w:name="LW_ID_DOCMODEL" w:val="SJ-023"/>
    <w:docVar w:name="LW_ID_DOCSIGNATURE" w:val="SJ-023"/>
    <w:docVar w:name="LW_ID_DOCSTRUCTURE" w:val="COM/PL/ORG"/>
    <w:docVar w:name="LW_ID_DOCTYPE" w:val="SJ-023"/>
    <w:docVar w:name="LW_ID_EXP.MOTIFS.NEW" w:val="EM_PL_"/>
    <w:docVar w:name="LW_ID_STATUT" w:val="SJ-023"/>
    <w:docVar w:name="LW_INTERETEEE.CP" w:val="&lt;UNUSED&gt;"/>
    <w:docVar w:name="LW_LANGUE" w:val="LV"/>
    <w:docVar w:name="LW_LEVEL_OF_SENSITIVITY" w:val="Standard treatment"/>
    <w:docVar w:name="LW_NOM.INST" w:val="EIROPAS KOMISIJA"/>
    <w:docVar w:name="LW_NOM.INST_JOINTDOC" w:val="&lt;EMPTY&gt;"/>
    <w:docVar w:name="LW_PART_NBR" w:val="1"/>
    <w:docVar w:name="LW_PART_NBR_TOTAL" w:val="1"/>
    <w:docVar w:name="LW_REF.II.NEW.CP" w:val="COD"/>
    <w:docVar w:name="LW_REF.II.NEW.CP_NUMBER" w:val="0336"/>
    <w:docVar w:name="LW_REF.II.NEW.CP_YEAR" w:val="2017"/>
    <w:docVar w:name="LW_REF.INST.NEW" w:val="COM"/>
    <w:docVar w:name="LW_REF.INST.NEW_ADOPTED" w:val="final/2"/>
    <w:docVar w:name="LW_REF.INST.NEW_TEXT" w:val="(2017) 826"/>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Priek\u353?likums"/>
    <w:docVar w:name="LW_SUPERTITRE" w:val="&lt;UNUSED&gt;"/>
    <w:docVar w:name="LW_TITRE.OBJ.CP" w:val="ar kuru attiec\u299?b\u257? uz atbalstu struktur\u257?l\u257?m reform\u257?m dal\u299?bvalst\u299?s groza Eiropas Parlamenta un Padomes 2013. gada 17. decembra Regulu (ES) Nr. 1303/2013, ar ko paredz kop\u299?gus noteikumus par Eiropas Re\u291?ion\u257?l\u257?s att\u299?st\u299?bas fondu, Eiropas Soci\u257?lo fondu, Koh\u275?zijas fondu, Eiropas Lauksaimniec\u299?bas fondu lauku att\u299?st\u299?bai un Eiropas J\u363?rlietu un zivsaimniec\u299?bas fondu un visp\u257?r\u299?gus noteikumus par Eiropas Re\u291?ion\u257?l\u257?s att\u299?st\u299?bas fondu, Eiropas Soci\u257?lo fondu, Koh\u275?zijas fondu un Eiropas J\u363?rlietu un zivsaimniec\u299?bas fondu un atce\u316? Padomes Regulu (EK) Nr. 1083/2006"/>
    <w:docVar w:name="LW_TYPE.DOC.CP" w:val="EIROPAS PARLAMENTA UN PADOMES REGULA,"/>
  </w:docVars>
  <w:rsids>
    <w:rsidRoot w:val="000D0279"/>
    <w:rsid w:val="00043F5E"/>
    <w:rsid w:val="00094562"/>
    <w:rsid w:val="000D0279"/>
    <w:rsid w:val="000D613E"/>
    <w:rsid w:val="000F3641"/>
    <w:rsid w:val="001217E8"/>
    <w:rsid w:val="00142914"/>
    <w:rsid w:val="00150B0C"/>
    <w:rsid w:val="00172605"/>
    <w:rsid w:val="001C3497"/>
    <w:rsid w:val="00251344"/>
    <w:rsid w:val="00294689"/>
    <w:rsid w:val="002B2277"/>
    <w:rsid w:val="002C0C3E"/>
    <w:rsid w:val="002E476B"/>
    <w:rsid w:val="00352527"/>
    <w:rsid w:val="00353163"/>
    <w:rsid w:val="003B683D"/>
    <w:rsid w:val="003E4E8C"/>
    <w:rsid w:val="00436712"/>
    <w:rsid w:val="00461896"/>
    <w:rsid w:val="00580FEB"/>
    <w:rsid w:val="005A4E8E"/>
    <w:rsid w:val="005C1B28"/>
    <w:rsid w:val="00616F0A"/>
    <w:rsid w:val="006372CA"/>
    <w:rsid w:val="00696095"/>
    <w:rsid w:val="006B63D1"/>
    <w:rsid w:val="006E2EC9"/>
    <w:rsid w:val="007143CB"/>
    <w:rsid w:val="0074035D"/>
    <w:rsid w:val="007529D0"/>
    <w:rsid w:val="0076693F"/>
    <w:rsid w:val="007825C0"/>
    <w:rsid w:val="007851E8"/>
    <w:rsid w:val="007C5C42"/>
    <w:rsid w:val="007D178B"/>
    <w:rsid w:val="007E5B8A"/>
    <w:rsid w:val="007E79A1"/>
    <w:rsid w:val="00810100"/>
    <w:rsid w:val="00856A5A"/>
    <w:rsid w:val="00870FBD"/>
    <w:rsid w:val="00877878"/>
    <w:rsid w:val="00886F23"/>
    <w:rsid w:val="008C0130"/>
    <w:rsid w:val="00975AE6"/>
    <w:rsid w:val="009935B4"/>
    <w:rsid w:val="009D6688"/>
    <w:rsid w:val="009F586E"/>
    <w:rsid w:val="00A34682"/>
    <w:rsid w:val="00AB20F5"/>
    <w:rsid w:val="00AC4570"/>
    <w:rsid w:val="00B30B54"/>
    <w:rsid w:val="00B5268A"/>
    <w:rsid w:val="00BB0D5D"/>
    <w:rsid w:val="00BC0462"/>
    <w:rsid w:val="00C00DE3"/>
    <w:rsid w:val="00C15B75"/>
    <w:rsid w:val="00C36E0D"/>
    <w:rsid w:val="00C8446E"/>
    <w:rsid w:val="00CB2A4C"/>
    <w:rsid w:val="00CB37A6"/>
    <w:rsid w:val="00CB7A74"/>
    <w:rsid w:val="00CC4B0F"/>
    <w:rsid w:val="00CD2DA8"/>
    <w:rsid w:val="00CF2DBC"/>
    <w:rsid w:val="00D4388B"/>
    <w:rsid w:val="00D65B3B"/>
    <w:rsid w:val="00D83777"/>
    <w:rsid w:val="00D86BFF"/>
    <w:rsid w:val="00D86D3A"/>
    <w:rsid w:val="00D949FB"/>
    <w:rsid w:val="00DB4E85"/>
    <w:rsid w:val="00DC2258"/>
    <w:rsid w:val="00E251A6"/>
    <w:rsid w:val="00E541ED"/>
    <w:rsid w:val="00ED4C98"/>
    <w:rsid w:val="00EF7EC9"/>
    <w:rsid w:val="00F53DBE"/>
    <w:rsid w:val="00F7223E"/>
    <w:rsid w:val="00F74BF6"/>
    <w:rsid w:val="00FF0DB7"/>
  </w:rsids>
  <m:mathPr>
    <m:mathFont m:val="Cambria Math"/>
    <m:brkBin m:val="before"/>
    <m:brkBinSub m:val="--"/>
    <m:smallFrac m:val="0"/>
    <m:dispDef/>
    <m:lMargin m:val="0"/>
    <m:rMargin m:val="0"/>
    <m:defJc m:val="centerGroup"/>
    <m:wrapIndent m:val="1440"/>
    <m:intLim m:val="subSup"/>
    <m:naryLim m:val="undOvr"/>
  </m:mathPr>
  <w:themeFontLang w:val="en-US" w:eastAsia="zh-CN" w:bidi="ta-I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lv-LV"/>
    </w:rPr>
  </w:style>
  <w:style w:type="paragraph" w:styleId="Heading1">
    <w:name w:val="heading 1"/>
    <w:basedOn w:val="Normal"/>
    <w:next w:val="Text1"/>
    <w:link w:val="Heading1Char"/>
    <w:uiPriority w:val="9"/>
    <w:qFormat/>
    <w:rsid w:val="00877878"/>
    <w:pPr>
      <w:keepNext/>
      <w:numPr>
        <w:numId w:val="1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rsid w:val="00877878"/>
    <w:pPr>
      <w:keepNext/>
      <w:numPr>
        <w:ilvl w:val="1"/>
        <w:numId w:val="1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rsid w:val="00877878"/>
    <w:pPr>
      <w:keepNext/>
      <w:numPr>
        <w:ilvl w:val="2"/>
        <w:numId w:val="17"/>
      </w:numPr>
      <w:outlineLvl w:val="2"/>
    </w:pPr>
    <w:rPr>
      <w:rFonts w:eastAsiaTheme="majorEastAsia"/>
      <w:bCs/>
      <w:i/>
    </w:rPr>
  </w:style>
  <w:style w:type="paragraph" w:styleId="Heading4">
    <w:name w:val="heading 4"/>
    <w:basedOn w:val="Normal"/>
    <w:next w:val="Text1"/>
    <w:link w:val="Heading4Char"/>
    <w:uiPriority w:val="9"/>
    <w:semiHidden/>
    <w:unhideWhenUsed/>
    <w:qFormat/>
    <w:rsid w:val="00877878"/>
    <w:pPr>
      <w:keepNext/>
      <w:numPr>
        <w:ilvl w:val="3"/>
        <w:numId w:val="1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rsid w:val="00E251A6"/>
    <w:pPr>
      <w:numPr>
        <w:numId w:val="1"/>
      </w:numPr>
      <w:contextualSpacing/>
    </w:pPr>
  </w:style>
  <w:style w:type="paragraph" w:styleId="ListBullet2">
    <w:name w:val="List Bullet 2"/>
    <w:basedOn w:val="Normal"/>
    <w:uiPriority w:val="99"/>
    <w:semiHidden/>
    <w:unhideWhenUsed/>
    <w:rsid w:val="00E251A6"/>
    <w:pPr>
      <w:numPr>
        <w:numId w:val="2"/>
      </w:numPr>
      <w:contextualSpacing/>
    </w:pPr>
  </w:style>
  <w:style w:type="paragraph" w:styleId="ListBullet3">
    <w:name w:val="List Bullet 3"/>
    <w:basedOn w:val="Normal"/>
    <w:uiPriority w:val="99"/>
    <w:semiHidden/>
    <w:unhideWhenUsed/>
    <w:rsid w:val="00E251A6"/>
    <w:pPr>
      <w:numPr>
        <w:numId w:val="3"/>
      </w:numPr>
      <w:contextualSpacing/>
    </w:pPr>
  </w:style>
  <w:style w:type="paragraph" w:styleId="ListBullet4">
    <w:name w:val="List Bullet 4"/>
    <w:basedOn w:val="Normal"/>
    <w:uiPriority w:val="99"/>
    <w:semiHidden/>
    <w:unhideWhenUsed/>
    <w:rsid w:val="00E251A6"/>
    <w:pPr>
      <w:numPr>
        <w:numId w:val="4"/>
      </w:numPr>
      <w:contextualSpacing/>
    </w:pPr>
  </w:style>
  <w:style w:type="paragraph" w:styleId="ListNumber4">
    <w:name w:val="List Number 4"/>
    <w:basedOn w:val="Normal"/>
    <w:uiPriority w:val="99"/>
    <w:semiHidden/>
    <w:unhideWhenUsed/>
    <w:rsid w:val="00E251A6"/>
    <w:pPr>
      <w:numPr>
        <w:numId w:val="5"/>
      </w:numPr>
      <w:contextualSpacing/>
    </w:pPr>
  </w:style>
  <w:style w:type="paragraph" w:customStyle="1" w:styleId="ListBullet1">
    <w:name w:val="List Bullet 1"/>
    <w:basedOn w:val="Normal"/>
    <w:rsid w:val="00E251A6"/>
    <w:pPr>
      <w:numPr>
        <w:numId w:val="6"/>
      </w:numPr>
    </w:pPr>
    <w:rPr>
      <w:rFonts w:eastAsia="Times New Roman"/>
      <w:szCs w:val="24"/>
      <w:lang w:eastAsia="de-DE"/>
    </w:rPr>
  </w:style>
  <w:style w:type="paragraph" w:styleId="ListParagraph">
    <w:name w:val="List Paragraph"/>
    <w:basedOn w:val="Normal"/>
    <w:uiPriority w:val="34"/>
    <w:qFormat/>
    <w:rsid w:val="00E251A6"/>
    <w:pPr>
      <w:ind w:left="720"/>
      <w:contextualSpacing/>
    </w:pPr>
  </w:style>
  <w:style w:type="paragraph" w:styleId="Caption">
    <w:name w:val="caption"/>
    <w:basedOn w:val="Normal"/>
    <w:next w:val="Normal"/>
    <w:uiPriority w:val="35"/>
    <w:semiHidden/>
    <w:unhideWhenUsed/>
    <w:qFormat/>
    <w:rsid w:val="00EF7EC9"/>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rsid w:val="00EF7EC9"/>
    <w:pPr>
      <w:spacing w:after="0"/>
    </w:pPr>
  </w:style>
  <w:style w:type="paragraph" w:styleId="ListNumber">
    <w:name w:val="List Number"/>
    <w:basedOn w:val="Normal"/>
    <w:uiPriority w:val="99"/>
    <w:semiHidden/>
    <w:unhideWhenUsed/>
    <w:rsid w:val="00EF7EC9"/>
    <w:pPr>
      <w:numPr>
        <w:numId w:val="7"/>
      </w:numPr>
      <w:contextualSpacing/>
    </w:pPr>
  </w:style>
  <w:style w:type="paragraph" w:styleId="ListNumber2">
    <w:name w:val="List Number 2"/>
    <w:basedOn w:val="Normal"/>
    <w:uiPriority w:val="99"/>
    <w:semiHidden/>
    <w:unhideWhenUsed/>
    <w:rsid w:val="00EF7EC9"/>
    <w:pPr>
      <w:numPr>
        <w:numId w:val="8"/>
      </w:numPr>
      <w:contextualSpacing/>
    </w:pPr>
  </w:style>
  <w:style w:type="paragraph" w:styleId="ListNumber3">
    <w:name w:val="List Number 3"/>
    <w:basedOn w:val="Normal"/>
    <w:uiPriority w:val="99"/>
    <w:semiHidden/>
    <w:unhideWhenUsed/>
    <w:rsid w:val="00EF7EC9"/>
    <w:pPr>
      <w:numPr>
        <w:numId w:val="9"/>
      </w:numPr>
      <w:contextualSpacing/>
    </w:pPr>
  </w:style>
  <w:style w:type="character" w:styleId="CommentReference">
    <w:name w:val="annotation reference"/>
    <w:basedOn w:val="DefaultParagraphFont"/>
    <w:uiPriority w:val="99"/>
    <w:semiHidden/>
    <w:unhideWhenUsed/>
    <w:rsid w:val="00BC0462"/>
    <w:rPr>
      <w:sz w:val="16"/>
      <w:szCs w:val="16"/>
    </w:rPr>
  </w:style>
  <w:style w:type="paragraph" w:styleId="CommentText">
    <w:name w:val="annotation text"/>
    <w:basedOn w:val="Normal"/>
    <w:link w:val="CommentTextChar"/>
    <w:uiPriority w:val="99"/>
    <w:semiHidden/>
    <w:unhideWhenUsed/>
    <w:rsid w:val="00BC0462"/>
    <w:rPr>
      <w:sz w:val="20"/>
      <w:szCs w:val="20"/>
    </w:rPr>
  </w:style>
  <w:style w:type="character" w:customStyle="1" w:styleId="CommentTextChar">
    <w:name w:val="Comment Text Char"/>
    <w:basedOn w:val="DefaultParagraphFont"/>
    <w:link w:val="CommentText"/>
    <w:uiPriority w:val="99"/>
    <w:semiHidden/>
    <w:rsid w:val="00BC0462"/>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BC0462"/>
    <w:rPr>
      <w:b/>
      <w:bCs/>
    </w:rPr>
  </w:style>
  <w:style w:type="character" w:customStyle="1" w:styleId="CommentSubjectChar">
    <w:name w:val="Comment Subject Char"/>
    <w:basedOn w:val="CommentTextChar"/>
    <w:link w:val="CommentSubject"/>
    <w:uiPriority w:val="99"/>
    <w:semiHidden/>
    <w:rsid w:val="00BC0462"/>
    <w:rPr>
      <w:rFonts w:ascii="Times New Roman" w:hAnsi="Times New Roman" w:cs="Times New Roman"/>
      <w:b/>
      <w:bCs/>
      <w:sz w:val="20"/>
      <w:szCs w:val="20"/>
      <w:lang w:val="en-GB"/>
    </w:rPr>
  </w:style>
  <w:style w:type="character" w:styleId="Hyperlink">
    <w:name w:val="Hyperlink"/>
    <w:basedOn w:val="DefaultParagraphFont"/>
    <w:uiPriority w:val="99"/>
    <w:unhideWhenUsed/>
    <w:rsid w:val="00BC0462"/>
    <w:rPr>
      <w:color w:val="0000FF" w:themeColor="hyperlink"/>
      <w:u w:val="single"/>
    </w:rPr>
  </w:style>
  <w:style w:type="paragraph" w:styleId="BalloonText">
    <w:name w:val="Balloon Text"/>
    <w:basedOn w:val="Normal"/>
    <w:link w:val="BalloonTextChar"/>
    <w:uiPriority w:val="99"/>
    <w:semiHidden/>
    <w:unhideWhenUsed/>
    <w:rsid w:val="00BC0462"/>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0462"/>
    <w:rPr>
      <w:rFonts w:ascii="Tahoma" w:hAnsi="Tahoma" w:cs="Tahoma"/>
      <w:sz w:val="16"/>
      <w:szCs w:val="16"/>
      <w:lang w:val="en-GB"/>
    </w:rPr>
  </w:style>
  <w:style w:type="paragraph" w:styleId="Header">
    <w:name w:val="header"/>
    <w:basedOn w:val="Normal"/>
    <w:link w:val="HeaderChar"/>
    <w:uiPriority w:val="99"/>
    <w:unhideWhenUsed/>
    <w:rsid w:val="00F7223E"/>
    <w:pPr>
      <w:tabs>
        <w:tab w:val="center" w:pos="4535"/>
        <w:tab w:val="right" w:pos="9071"/>
      </w:tabs>
      <w:spacing w:before="0"/>
    </w:pPr>
  </w:style>
  <w:style w:type="character" w:customStyle="1" w:styleId="HeaderChar">
    <w:name w:val="Header Char"/>
    <w:basedOn w:val="DefaultParagraphFont"/>
    <w:link w:val="Header"/>
    <w:uiPriority w:val="99"/>
    <w:rsid w:val="00F7223E"/>
    <w:rPr>
      <w:rFonts w:ascii="Times New Roman" w:hAnsi="Times New Roman" w:cs="Times New Roman"/>
      <w:sz w:val="24"/>
      <w:lang w:val="lv-LV"/>
    </w:rPr>
  </w:style>
  <w:style w:type="paragraph" w:styleId="Footer">
    <w:name w:val="footer"/>
    <w:basedOn w:val="Normal"/>
    <w:link w:val="FooterChar"/>
    <w:uiPriority w:val="99"/>
    <w:unhideWhenUsed/>
    <w:rsid w:val="00F7223E"/>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sid w:val="00F7223E"/>
    <w:rPr>
      <w:rFonts w:ascii="Times New Roman" w:hAnsi="Times New Roman" w:cs="Times New Roman"/>
      <w:sz w:val="24"/>
      <w:lang w:val="lv-LV"/>
    </w:rPr>
  </w:style>
  <w:style w:type="paragraph" w:styleId="FootnoteText">
    <w:name w:val="footnote text"/>
    <w:basedOn w:val="Normal"/>
    <w:link w:val="FootnoteTextChar"/>
    <w:uiPriority w:val="99"/>
    <w:semiHidden/>
    <w:unhideWhenUsed/>
    <w:rsid w:val="00877878"/>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sid w:val="00877878"/>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sid w:val="00877878"/>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sid w:val="00877878"/>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sid w:val="00877878"/>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sid w:val="00877878"/>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rsid w:val="00877878"/>
    <w:pPr>
      <w:spacing w:after="240"/>
      <w:jc w:val="center"/>
    </w:pPr>
    <w:rPr>
      <w:b/>
      <w:sz w:val="28"/>
    </w:rPr>
  </w:style>
  <w:style w:type="paragraph" w:styleId="TOC1">
    <w:name w:val="toc 1"/>
    <w:basedOn w:val="Normal"/>
    <w:next w:val="Normal"/>
    <w:uiPriority w:val="39"/>
    <w:semiHidden/>
    <w:unhideWhenUsed/>
    <w:rsid w:val="00877878"/>
    <w:pPr>
      <w:tabs>
        <w:tab w:val="right" w:leader="dot" w:pos="9071"/>
      </w:tabs>
      <w:spacing w:before="60"/>
      <w:ind w:left="850" w:hanging="850"/>
      <w:jc w:val="left"/>
    </w:pPr>
  </w:style>
  <w:style w:type="paragraph" w:styleId="TOC2">
    <w:name w:val="toc 2"/>
    <w:basedOn w:val="Normal"/>
    <w:next w:val="Normal"/>
    <w:uiPriority w:val="39"/>
    <w:semiHidden/>
    <w:unhideWhenUsed/>
    <w:rsid w:val="00877878"/>
    <w:pPr>
      <w:tabs>
        <w:tab w:val="right" w:leader="dot" w:pos="9071"/>
      </w:tabs>
      <w:spacing w:before="60"/>
      <w:ind w:left="850" w:hanging="850"/>
      <w:jc w:val="left"/>
    </w:pPr>
  </w:style>
  <w:style w:type="paragraph" w:styleId="TOC3">
    <w:name w:val="toc 3"/>
    <w:basedOn w:val="Normal"/>
    <w:next w:val="Normal"/>
    <w:uiPriority w:val="39"/>
    <w:semiHidden/>
    <w:unhideWhenUsed/>
    <w:rsid w:val="00877878"/>
    <w:pPr>
      <w:tabs>
        <w:tab w:val="right" w:leader="dot" w:pos="9071"/>
      </w:tabs>
      <w:spacing w:before="60"/>
      <w:ind w:left="850" w:hanging="850"/>
      <w:jc w:val="left"/>
    </w:pPr>
  </w:style>
  <w:style w:type="paragraph" w:styleId="TOC4">
    <w:name w:val="toc 4"/>
    <w:basedOn w:val="Normal"/>
    <w:next w:val="Normal"/>
    <w:uiPriority w:val="39"/>
    <w:semiHidden/>
    <w:unhideWhenUsed/>
    <w:rsid w:val="00877878"/>
    <w:pPr>
      <w:tabs>
        <w:tab w:val="right" w:leader="dot" w:pos="9071"/>
      </w:tabs>
      <w:spacing w:before="60"/>
      <w:ind w:left="850" w:hanging="850"/>
      <w:jc w:val="left"/>
    </w:pPr>
  </w:style>
  <w:style w:type="paragraph" w:styleId="TOC5">
    <w:name w:val="toc 5"/>
    <w:basedOn w:val="Normal"/>
    <w:next w:val="Normal"/>
    <w:uiPriority w:val="39"/>
    <w:semiHidden/>
    <w:unhideWhenUsed/>
    <w:rsid w:val="00877878"/>
    <w:pPr>
      <w:tabs>
        <w:tab w:val="right" w:leader="dot" w:pos="9071"/>
      </w:tabs>
      <w:spacing w:before="300"/>
      <w:jc w:val="left"/>
    </w:pPr>
  </w:style>
  <w:style w:type="paragraph" w:styleId="TOC6">
    <w:name w:val="toc 6"/>
    <w:basedOn w:val="Normal"/>
    <w:next w:val="Normal"/>
    <w:uiPriority w:val="39"/>
    <w:semiHidden/>
    <w:unhideWhenUsed/>
    <w:rsid w:val="00877878"/>
    <w:pPr>
      <w:tabs>
        <w:tab w:val="right" w:leader="dot" w:pos="9071"/>
      </w:tabs>
      <w:spacing w:before="240"/>
      <w:jc w:val="left"/>
    </w:pPr>
  </w:style>
  <w:style w:type="paragraph" w:styleId="TOC7">
    <w:name w:val="toc 7"/>
    <w:basedOn w:val="Normal"/>
    <w:next w:val="Normal"/>
    <w:uiPriority w:val="39"/>
    <w:semiHidden/>
    <w:unhideWhenUsed/>
    <w:rsid w:val="00877878"/>
    <w:pPr>
      <w:tabs>
        <w:tab w:val="right" w:leader="dot" w:pos="9071"/>
      </w:tabs>
      <w:spacing w:before="180"/>
      <w:jc w:val="left"/>
    </w:pPr>
  </w:style>
  <w:style w:type="paragraph" w:styleId="TOC8">
    <w:name w:val="toc 8"/>
    <w:basedOn w:val="Normal"/>
    <w:next w:val="Normal"/>
    <w:uiPriority w:val="39"/>
    <w:semiHidden/>
    <w:unhideWhenUsed/>
    <w:rsid w:val="00877878"/>
    <w:pPr>
      <w:tabs>
        <w:tab w:val="right" w:leader="dot" w:pos="9071"/>
      </w:tabs>
      <w:jc w:val="left"/>
    </w:pPr>
  </w:style>
  <w:style w:type="paragraph" w:styleId="TOC9">
    <w:name w:val="toc 9"/>
    <w:basedOn w:val="Normal"/>
    <w:next w:val="Normal"/>
    <w:uiPriority w:val="39"/>
    <w:semiHidden/>
    <w:unhideWhenUsed/>
    <w:rsid w:val="00877878"/>
    <w:pPr>
      <w:tabs>
        <w:tab w:val="right" w:leader="dot" w:pos="9071"/>
      </w:tabs>
    </w:pPr>
  </w:style>
  <w:style w:type="paragraph" w:customStyle="1" w:styleId="HeaderLandscape">
    <w:name w:val="HeaderLandscape"/>
    <w:basedOn w:val="Normal"/>
    <w:rsid w:val="00F7223E"/>
    <w:pPr>
      <w:tabs>
        <w:tab w:val="center" w:pos="7285"/>
        <w:tab w:val="right" w:pos="14003"/>
      </w:tabs>
      <w:spacing w:before="0"/>
    </w:pPr>
  </w:style>
  <w:style w:type="paragraph" w:customStyle="1" w:styleId="FooterLandscape">
    <w:name w:val="FooterLandscape"/>
    <w:basedOn w:val="Normal"/>
    <w:rsid w:val="00F7223E"/>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sid w:val="00877878"/>
    <w:rPr>
      <w:shd w:val="clear" w:color="auto" w:fill="auto"/>
      <w:vertAlign w:val="superscript"/>
    </w:rPr>
  </w:style>
  <w:style w:type="paragraph" w:customStyle="1" w:styleId="HeaderSensitivity">
    <w:name w:val="Header Sensitivity"/>
    <w:basedOn w:val="Normal"/>
    <w:rsid w:val="00F7223E"/>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rsid w:val="00F7223E"/>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rsid w:val="00877878"/>
    <w:pPr>
      <w:ind w:left="850"/>
    </w:pPr>
  </w:style>
  <w:style w:type="paragraph" w:customStyle="1" w:styleId="Text2">
    <w:name w:val="Text 2"/>
    <w:basedOn w:val="Normal"/>
    <w:rsid w:val="00877878"/>
    <w:pPr>
      <w:ind w:left="1417"/>
    </w:pPr>
  </w:style>
  <w:style w:type="paragraph" w:customStyle="1" w:styleId="Text3">
    <w:name w:val="Text 3"/>
    <w:basedOn w:val="Normal"/>
    <w:rsid w:val="00877878"/>
    <w:pPr>
      <w:ind w:left="1984"/>
    </w:pPr>
  </w:style>
  <w:style w:type="paragraph" w:customStyle="1" w:styleId="Text4">
    <w:name w:val="Text 4"/>
    <w:basedOn w:val="Normal"/>
    <w:rsid w:val="00877878"/>
    <w:pPr>
      <w:ind w:left="2551"/>
    </w:pPr>
  </w:style>
  <w:style w:type="paragraph" w:customStyle="1" w:styleId="NormalCentered">
    <w:name w:val="Normal Centered"/>
    <w:basedOn w:val="Normal"/>
    <w:rsid w:val="00877878"/>
    <w:pPr>
      <w:jc w:val="center"/>
    </w:pPr>
  </w:style>
  <w:style w:type="paragraph" w:customStyle="1" w:styleId="NormalLeft">
    <w:name w:val="Normal Left"/>
    <w:basedOn w:val="Normal"/>
    <w:rsid w:val="00877878"/>
    <w:pPr>
      <w:jc w:val="left"/>
    </w:pPr>
  </w:style>
  <w:style w:type="paragraph" w:customStyle="1" w:styleId="NormalRight">
    <w:name w:val="Normal Right"/>
    <w:basedOn w:val="Normal"/>
    <w:rsid w:val="00877878"/>
    <w:pPr>
      <w:jc w:val="right"/>
    </w:pPr>
  </w:style>
  <w:style w:type="paragraph" w:customStyle="1" w:styleId="QuotedText">
    <w:name w:val="Quoted Text"/>
    <w:basedOn w:val="Normal"/>
    <w:rsid w:val="00877878"/>
    <w:pPr>
      <w:ind w:left="1417"/>
    </w:pPr>
  </w:style>
  <w:style w:type="paragraph" w:customStyle="1" w:styleId="Point0">
    <w:name w:val="Point 0"/>
    <w:basedOn w:val="Normal"/>
    <w:rsid w:val="00877878"/>
    <w:pPr>
      <w:ind w:left="850" w:hanging="850"/>
    </w:pPr>
  </w:style>
  <w:style w:type="paragraph" w:customStyle="1" w:styleId="Point1">
    <w:name w:val="Point 1"/>
    <w:basedOn w:val="Normal"/>
    <w:rsid w:val="00877878"/>
    <w:pPr>
      <w:ind w:left="1417" w:hanging="567"/>
    </w:pPr>
  </w:style>
  <w:style w:type="paragraph" w:customStyle="1" w:styleId="Point2">
    <w:name w:val="Point 2"/>
    <w:basedOn w:val="Normal"/>
    <w:rsid w:val="00877878"/>
    <w:pPr>
      <w:ind w:left="1984" w:hanging="567"/>
    </w:pPr>
  </w:style>
  <w:style w:type="paragraph" w:customStyle="1" w:styleId="Point3">
    <w:name w:val="Point 3"/>
    <w:basedOn w:val="Normal"/>
    <w:rsid w:val="00877878"/>
    <w:pPr>
      <w:ind w:left="2551" w:hanging="567"/>
    </w:pPr>
  </w:style>
  <w:style w:type="paragraph" w:customStyle="1" w:styleId="Point4">
    <w:name w:val="Point 4"/>
    <w:basedOn w:val="Normal"/>
    <w:rsid w:val="00877878"/>
    <w:pPr>
      <w:ind w:left="3118" w:hanging="567"/>
    </w:pPr>
  </w:style>
  <w:style w:type="paragraph" w:customStyle="1" w:styleId="Tiret0">
    <w:name w:val="Tiret 0"/>
    <w:basedOn w:val="Point0"/>
    <w:rsid w:val="00877878"/>
    <w:pPr>
      <w:numPr>
        <w:numId w:val="11"/>
      </w:numPr>
    </w:pPr>
  </w:style>
  <w:style w:type="paragraph" w:customStyle="1" w:styleId="Tiret1">
    <w:name w:val="Tiret 1"/>
    <w:basedOn w:val="Point1"/>
    <w:rsid w:val="00877878"/>
    <w:pPr>
      <w:numPr>
        <w:numId w:val="12"/>
      </w:numPr>
    </w:pPr>
  </w:style>
  <w:style w:type="paragraph" w:customStyle="1" w:styleId="Tiret2">
    <w:name w:val="Tiret 2"/>
    <w:basedOn w:val="Point2"/>
    <w:rsid w:val="00877878"/>
    <w:pPr>
      <w:numPr>
        <w:numId w:val="13"/>
      </w:numPr>
    </w:pPr>
  </w:style>
  <w:style w:type="paragraph" w:customStyle="1" w:styleId="Tiret3">
    <w:name w:val="Tiret 3"/>
    <w:basedOn w:val="Point3"/>
    <w:rsid w:val="00877878"/>
    <w:pPr>
      <w:numPr>
        <w:numId w:val="14"/>
      </w:numPr>
    </w:pPr>
  </w:style>
  <w:style w:type="paragraph" w:customStyle="1" w:styleId="Tiret4">
    <w:name w:val="Tiret 4"/>
    <w:basedOn w:val="Point4"/>
    <w:rsid w:val="00877878"/>
    <w:pPr>
      <w:numPr>
        <w:numId w:val="15"/>
      </w:numPr>
    </w:pPr>
  </w:style>
  <w:style w:type="paragraph" w:customStyle="1" w:styleId="PointDouble0">
    <w:name w:val="PointDouble 0"/>
    <w:basedOn w:val="Normal"/>
    <w:rsid w:val="00877878"/>
    <w:pPr>
      <w:tabs>
        <w:tab w:val="left" w:pos="850"/>
      </w:tabs>
      <w:ind w:left="1417" w:hanging="1417"/>
    </w:pPr>
  </w:style>
  <w:style w:type="paragraph" w:customStyle="1" w:styleId="PointDouble1">
    <w:name w:val="PointDouble 1"/>
    <w:basedOn w:val="Normal"/>
    <w:rsid w:val="00877878"/>
    <w:pPr>
      <w:tabs>
        <w:tab w:val="left" w:pos="1417"/>
      </w:tabs>
      <w:ind w:left="1984" w:hanging="1134"/>
    </w:pPr>
  </w:style>
  <w:style w:type="paragraph" w:customStyle="1" w:styleId="PointDouble2">
    <w:name w:val="PointDouble 2"/>
    <w:basedOn w:val="Normal"/>
    <w:rsid w:val="00877878"/>
    <w:pPr>
      <w:tabs>
        <w:tab w:val="left" w:pos="1984"/>
      </w:tabs>
      <w:ind w:left="2551" w:hanging="1134"/>
    </w:pPr>
  </w:style>
  <w:style w:type="paragraph" w:customStyle="1" w:styleId="PointDouble3">
    <w:name w:val="PointDouble 3"/>
    <w:basedOn w:val="Normal"/>
    <w:rsid w:val="00877878"/>
    <w:pPr>
      <w:tabs>
        <w:tab w:val="left" w:pos="2551"/>
      </w:tabs>
      <w:ind w:left="3118" w:hanging="1134"/>
    </w:pPr>
  </w:style>
  <w:style w:type="paragraph" w:customStyle="1" w:styleId="PointDouble4">
    <w:name w:val="PointDouble 4"/>
    <w:basedOn w:val="Normal"/>
    <w:rsid w:val="00877878"/>
    <w:pPr>
      <w:tabs>
        <w:tab w:val="left" w:pos="3118"/>
      </w:tabs>
      <w:ind w:left="3685" w:hanging="1134"/>
    </w:pPr>
  </w:style>
  <w:style w:type="paragraph" w:customStyle="1" w:styleId="PointTriple0">
    <w:name w:val="PointTriple 0"/>
    <w:basedOn w:val="Normal"/>
    <w:rsid w:val="00877878"/>
    <w:pPr>
      <w:tabs>
        <w:tab w:val="left" w:pos="850"/>
        <w:tab w:val="left" w:pos="1417"/>
      </w:tabs>
      <w:ind w:left="1984" w:hanging="1984"/>
    </w:pPr>
  </w:style>
  <w:style w:type="paragraph" w:customStyle="1" w:styleId="PointTriple1">
    <w:name w:val="PointTriple 1"/>
    <w:basedOn w:val="Normal"/>
    <w:rsid w:val="00877878"/>
    <w:pPr>
      <w:tabs>
        <w:tab w:val="left" w:pos="1417"/>
        <w:tab w:val="left" w:pos="1984"/>
      </w:tabs>
      <w:ind w:left="2551" w:hanging="1701"/>
    </w:pPr>
  </w:style>
  <w:style w:type="paragraph" w:customStyle="1" w:styleId="PointTriple2">
    <w:name w:val="PointTriple 2"/>
    <w:basedOn w:val="Normal"/>
    <w:rsid w:val="00877878"/>
    <w:pPr>
      <w:tabs>
        <w:tab w:val="left" w:pos="1984"/>
        <w:tab w:val="left" w:pos="2551"/>
      </w:tabs>
      <w:ind w:left="3118" w:hanging="1701"/>
    </w:pPr>
  </w:style>
  <w:style w:type="paragraph" w:customStyle="1" w:styleId="PointTriple3">
    <w:name w:val="PointTriple 3"/>
    <w:basedOn w:val="Normal"/>
    <w:rsid w:val="00877878"/>
    <w:pPr>
      <w:tabs>
        <w:tab w:val="left" w:pos="2551"/>
        <w:tab w:val="left" w:pos="3118"/>
      </w:tabs>
      <w:ind w:left="3685" w:hanging="1701"/>
    </w:pPr>
  </w:style>
  <w:style w:type="paragraph" w:customStyle="1" w:styleId="PointTriple4">
    <w:name w:val="PointTriple 4"/>
    <w:basedOn w:val="Normal"/>
    <w:rsid w:val="00877878"/>
    <w:pPr>
      <w:tabs>
        <w:tab w:val="left" w:pos="3118"/>
        <w:tab w:val="left" w:pos="3685"/>
      </w:tabs>
      <w:ind w:left="4252" w:hanging="1701"/>
    </w:pPr>
  </w:style>
  <w:style w:type="paragraph" w:customStyle="1" w:styleId="NumPar1">
    <w:name w:val="NumPar 1"/>
    <w:basedOn w:val="Normal"/>
    <w:next w:val="Text1"/>
    <w:rsid w:val="00877878"/>
    <w:pPr>
      <w:numPr>
        <w:numId w:val="16"/>
      </w:numPr>
    </w:pPr>
  </w:style>
  <w:style w:type="paragraph" w:customStyle="1" w:styleId="NumPar2">
    <w:name w:val="NumPar 2"/>
    <w:basedOn w:val="Normal"/>
    <w:next w:val="Text1"/>
    <w:rsid w:val="00877878"/>
    <w:pPr>
      <w:numPr>
        <w:ilvl w:val="1"/>
        <w:numId w:val="16"/>
      </w:numPr>
    </w:pPr>
  </w:style>
  <w:style w:type="paragraph" w:customStyle="1" w:styleId="NumPar3">
    <w:name w:val="NumPar 3"/>
    <w:basedOn w:val="Normal"/>
    <w:next w:val="Text1"/>
    <w:rsid w:val="00877878"/>
    <w:pPr>
      <w:numPr>
        <w:ilvl w:val="2"/>
        <w:numId w:val="16"/>
      </w:numPr>
    </w:pPr>
  </w:style>
  <w:style w:type="paragraph" w:customStyle="1" w:styleId="NumPar4">
    <w:name w:val="NumPar 4"/>
    <w:basedOn w:val="Normal"/>
    <w:next w:val="Text1"/>
    <w:rsid w:val="00877878"/>
    <w:pPr>
      <w:numPr>
        <w:ilvl w:val="3"/>
        <w:numId w:val="16"/>
      </w:numPr>
    </w:pPr>
  </w:style>
  <w:style w:type="paragraph" w:customStyle="1" w:styleId="ManualNumPar1">
    <w:name w:val="Manual NumPar 1"/>
    <w:basedOn w:val="Normal"/>
    <w:next w:val="Text1"/>
    <w:rsid w:val="00877878"/>
    <w:pPr>
      <w:ind w:left="850" w:hanging="850"/>
    </w:pPr>
  </w:style>
  <w:style w:type="paragraph" w:customStyle="1" w:styleId="ManualNumPar2">
    <w:name w:val="Manual NumPar 2"/>
    <w:basedOn w:val="Normal"/>
    <w:next w:val="Text1"/>
    <w:rsid w:val="00877878"/>
    <w:pPr>
      <w:ind w:left="850" w:hanging="850"/>
    </w:pPr>
  </w:style>
  <w:style w:type="paragraph" w:customStyle="1" w:styleId="ManualNumPar3">
    <w:name w:val="Manual NumPar 3"/>
    <w:basedOn w:val="Normal"/>
    <w:next w:val="Text1"/>
    <w:rsid w:val="00877878"/>
    <w:pPr>
      <w:ind w:left="850" w:hanging="850"/>
    </w:pPr>
  </w:style>
  <w:style w:type="paragraph" w:customStyle="1" w:styleId="ManualNumPar4">
    <w:name w:val="Manual NumPar 4"/>
    <w:basedOn w:val="Normal"/>
    <w:next w:val="Text1"/>
    <w:rsid w:val="00877878"/>
    <w:pPr>
      <w:ind w:left="850" w:hanging="850"/>
    </w:pPr>
  </w:style>
  <w:style w:type="paragraph" w:customStyle="1" w:styleId="QuotedNumPar">
    <w:name w:val="Quoted NumPar"/>
    <w:basedOn w:val="Normal"/>
    <w:rsid w:val="00877878"/>
    <w:pPr>
      <w:ind w:left="1417" w:hanging="567"/>
    </w:pPr>
  </w:style>
  <w:style w:type="paragraph" w:customStyle="1" w:styleId="ManualHeading1">
    <w:name w:val="Manual Heading 1"/>
    <w:basedOn w:val="Normal"/>
    <w:next w:val="Text1"/>
    <w:rsid w:val="00877878"/>
    <w:pPr>
      <w:keepNext/>
      <w:tabs>
        <w:tab w:val="left" w:pos="850"/>
      </w:tabs>
      <w:spacing w:before="360"/>
      <w:ind w:left="850" w:hanging="850"/>
      <w:outlineLvl w:val="0"/>
    </w:pPr>
    <w:rPr>
      <w:b/>
      <w:smallCaps/>
    </w:rPr>
  </w:style>
  <w:style w:type="paragraph" w:customStyle="1" w:styleId="ManualHeading2">
    <w:name w:val="Manual Heading 2"/>
    <w:basedOn w:val="Normal"/>
    <w:next w:val="Text1"/>
    <w:rsid w:val="00877878"/>
    <w:pPr>
      <w:keepNext/>
      <w:tabs>
        <w:tab w:val="left" w:pos="850"/>
      </w:tabs>
      <w:ind w:left="850" w:hanging="850"/>
      <w:outlineLvl w:val="1"/>
    </w:pPr>
    <w:rPr>
      <w:b/>
    </w:rPr>
  </w:style>
  <w:style w:type="paragraph" w:customStyle="1" w:styleId="ManualHeading3">
    <w:name w:val="Manual Heading 3"/>
    <w:basedOn w:val="Normal"/>
    <w:next w:val="Text1"/>
    <w:rsid w:val="00877878"/>
    <w:pPr>
      <w:keepNext/>
      <w:tabs>
        <w:tab w:val="left" w:pos="850"/>
      </w:tabs>
      <w:ind w:left="850" w:hanging="850"/>
      <w:outlineLvl w:val="2"/>
    </w:pPr>
    <w:rPr>
      <w:i/>
    </w:rPr>
  </w:style>
  <w:style w:type="paragraph" w:customStyle="1" w:styleId="ManualHeading4">
    <w:name w:val="Manual Heading 4"/>
    <w:basedOn w:val="Normal"/>
    <w:next w:val="Text1"/>
    <w:rsid w:val="00877878"/>
    <w:pPr>
      <w:keepNext/>
      <w:tabs>
        <w:tab w:val="left" w:pos="850"/>
      </w:tabs>
      <w:ind w:left="850" w:hanging="850"/>
      <w:outlineLvl w:val="3"/>
    </w:pPr>
  </w:style>
  <w:style w:type="paragraph" w:customStyle="1" w:styleId="ChapterTitle">
    <w:name w:val="ChapterTitle"/>
    <w:basedOn w:val="Normal"/>
    <w:next w:val="Normal"/>
    <w:rsid w:val="00877878"/>
    <w:pPr>
      <w:keepNext/>
      <w:spacing w:after="360"/>
      <w:jc w:val="center"/>
    </w:pPr>
    <w:rPr>
      <w:b/>
      <w:sz w:val="32"/>
    </w:rPr>
  </w:style>
  <w:style w:type="paragraph" w:customStyle="1" w:styleId="PartTitle">
    <w:name w:val="PartTitle"/>
    <w:basedOn w:val="Normal"/>
    <w:next w:val="ChapterTitle"/>
    <w:rsid w:val="00877878"/>
    <w:pPr>
      <w:keepNext/>
      <w:pageBreakBefore/>
      <w:spacing w:after="360"/>
      <w:jc w:val="center"/>
    </w:pPr>
    <w:rPr>
      <w:b/>
      <w:sz w:val="36"/>
    </w:rPr>
  </w:style>
  <w:style w:type="paragraph" w:customStyle="1" w:styleId="SectionTitle">
    <w:name w:val="SectionTitle"/>
    <w:basedOn w:val="Normal"/>
    <w:next w:val="Heading1"/>
    <w:rsid w:val="00877878"/>
    <w:pPr>
      <w:keepNext/>
      <w:spacing w:after="360"/>
      <w:jc w:val="center"/>
    </w:pPr>
    <w:rPr>
      <w:b/>
      <w:smallCaps/>
      <w:sz w:val="28"/>
    </w:rPr>
  </w:style>
  <w:style w:type="paragraph" w:customStyle="1" w:styleId="TableTitle">
    <w:name w:val="Table Title"/>
    <w:basedOn w:val="Normal"/>
    <w:next w:val="Normal"/>
    <w:rsid w:val="00877878"/>
    <w:pPr>
      <w:jc w:val="center"/>
    </w:pPr>
    <w:rPr>
      <w:b/>
    </w:rPr>
  </w:style>
  <w:style w:type="character" w:customStyle="1" w:styleId="Marker">
    <w:name w:val="Marker"/>
    <w:basedOn w:val="DefaultParagraphFont"/>
    <w:rsid w:val="00877878"/>
    <w:rPr>
      <w:color w:val="0000FF"/>
      <w:shd w:val="clear" w:color="auto" w:fill="auto"/>
    </w:rPr>
  </w:style>
  <w:style w:type="character" w:customStyle="1" w:styleId="Marker1">
    <w:name w:val="Marker1"/>
    <w:basedOn w:val="DefaultParagraphFont"/>
    <w:rsid w:val="00877878"/>
    <w:rPr>
      <w:color w:val="008000"/>
      <w:shd w:val="clear" w:color="auto" w:fill="auto"/>
    </w:rPr>
  </w:style>
  <w:style w:type="character" w:customStyle="1" w:styleId="Marker2">
    <w:name w:val="Marker2"/>
    <w:basedOn w:val="DefaultParagraphFont"/>
    <w:rsid w:val="00877878"/>
    <w:rPr>
      <w:color w:val="FF0000"/>
      <w:shd w:val="clear" w:color="auto" w:fill="auto"/>
    </w:rPr>
  </w:style>
  <w:style w:type="paragraph" w:customStyle="1" w:styleId="Point0number">
    <w:name w:val="Point 0 (number)"/>
    <w:basedOn w:val="Normal"/>
    <w:rsid w:val="00877878"/>
    <w:pPr>
      <w:numPr>
        <w:numId w:val="18"/>
      </w:numPr>
    </w:pPr>
  </w:style>
  <w:style w:type="paragraph" w:customStyle="1" w:styleId="Point1number">
    <w:name w:val="Point 1 (number)"/>
    <w:basedOn w:val="Normal"/>
    <w:rsid w:val="00877878"/>
    <w:pPr>
      <w:numPr>
        <w:ilvl w:val="2"/>
        <w:numId w:val="18"/>
      </w:numPr>
    </w:pPr>
  </w:style>
  <w:style w:type="paragraph" w:customStyle="1" w:styleId="Point2number">
    <w:name w:val="Point 2 (number)"/>
    <w:basedOn w:val="Normal"/>
    <w:rsid w:val="00877878"/>
    <w:pPr>
      <w:numPr>
        <w:ilvl w:val="4"/>
        <w:numId w:val="18"/>
      </w:numPr>
    </w:pPr>
  </w:style>
  <w:style w:type="paragraph" w:customStyle="1" w:styleId="Point3number">
    <w:name w:val="Point 3 (number)"/>
    <w:basedOn w:val="Normal"/>
    <w:rsid w:val="00877878"/>
    <w:pPr>
      <w:numPr>
        <w:ilvl w:val="6"/>
        <w:numId w:val="18"/>
      </w:numPr>
    </w:pPr>
  </w:style>
  <w:style w:type="paragraph" w:customStyle="1" w:styleId="Point0letter">
    <w:name w:val="Point 0 (letter)"/>
    <w:basedOn w:val="Normal"/>
    <w:rsid w:val="00877878"/>
    <w:pPr>
      <w:numPr>
        <w:ilvl w:val="1"/>
        <w:numId w:val="18"/>
      </w:numPr>
    </w:pPr>
  </w:style>
  <w:style w:type="paragraph" w:customStyle="1" w:styleId="Point1letter">
    <w:name w:val="Point 1 (letter)"/>
    <w:basedOn w:val="Normal"/>
    <w:rsid w:val="00877878"/>
    <w:pPr>
      <w:numPr>
        <w:ilvl w:val="3"/>
        <w:numId w:val="18"/>
      </w:numPr>
    </w:pPr>
  </w:style>
  <w:style w:type="paragraph" w:customStyle="1" w:styleId="Point2letter">
    <w:name w:val="Point 2 (letter)"/>
    <w:basedOn w:val="Normal"/>
    <w:rsid w:val="00877878"/>
    <w:pPr>
      <w:numPr>
        <w:ilvl w:val="5"/>
        <w:numId w:val="18"/>
      </w:numPr>
    </w:pPr>
  </w:style>
  <w:style w:type="paragraph" w:customStyle="1" w:styleId="Point3letter">
    <w:name w:val="Point 3 (letter)"/>
    <w:basedOn w:val="Normal"/>
    <w:rsid w:val="00877878"/>
    <w:pPr>
      <w:numPr>
        <w:ilvl w:val="7"/>
        <w:numId w:val="18"/>
      </w:numPr>
    </w:pPr>
  </w:style>
  <w:style w:type="paragraph" w:customStyle="1" w:styleId="Point4letter">
    <w:name w:val="Point 4 (letter)"/>
    <w:basedOn w:val="Normal"/>
    <w:rsid w:val="00877878"/>
    <w:pPr>
      <w:numPr>
        <w:ilvl w:val="8"/>
        <w:numId w:val="18"/>
      </w:numPr>
    </w:pPr>
  </w:style>
  <w:style w:type="paragraph" w:customStyle="1" w:styleId="Bullet0">
    <w:name w:val="Bullet 0"/>
    <w:basedOn w:val="Normal"/>
    <w:rsid w:val="00877878"/>
    <w:pPr>
      <w:numPr>
        <w:numId w:val="19"/>
      </w:numPr>
    </w:pPr>
  </w:style>
  <w:style w:type="paragraph" w:customStyle="1" w:styleId="Bullet1">
    <w:name w:val="Bullet 1"/>
    <w:basedOn w:val="Normal"/>
    <w:rsid w:val="00877878"/>
    <w:pPr>
      <w:numPr>
        <w:numId w:val="20"/>
      </w:numPr>
    </w:pPr>
  </w:style>
  <w:style w:type="paragraph" w:customStyle="1" w:styleId="Bullet2">
    <w:name w:val="Bullet 2"/>
    <w:basedOn w:val="Normal"/>
    <w:rsid w:val="00877878"/>
    <w:pPr>
      <w:numPr>
        <w:numId w:val="21"/>
      </w:numPr>
    </w:pPr>
  </w:style>
  <w:style w:type="paragraph" w:customStyle="1" w:styleId="Bullet3">
    <w:name w:val="Bullet 3"/>
    <w:basedOn w:val="Normal"/>
    <w:rsid w:val="00877878"/>
    <w:pPr>
      <w:numPr>
        <w:numId w:val="22"/>
      </w:numPr>
    </w:pPr>
  </w:style>
  <w:style w:type="paragraph" w:customStyle="1" w:styleId="Bullet4">
    <w:name w:val="Bullet 4"/>
    <w:basedOn w:val="Normal"/>
    <w:rsid w:val="00877878"/>
    <w:pPr>
      <w:numPr>
        <w:numId w:val="23"/>
      </w:numPr>
    </w:pPr>
  </w:style>
  <w:style w:type="paragraph" w:customStyle="1" w:styleId="Langue">
    <w:name w:val="Langue"/>
    <w:basedOn w:val="Normal"/>
    <w:next w:val="Rfrenceinterne"/>
    <w:rsid w:val="00877878"/>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rsid w:val="00877878"/>
    <w:pPr>
      <w:spacing w:before="0" w:after="0"/>
      <w:jc w:val="left"/>
    </w:pPr>
    <w:rPr>
      <w:rFonts w:ascii="Arial" w:hAnsi="Arial" w:cs="Arial"/>
    </w:rPr>
  </w:style>
  <w:style w:type="paragraph" w:customStyle="1" w:styleId="Emission">
    <w:name w:val="Emission"/>
    <w:basedOn w:val="Normal"/>
    <w:next w:val="Rfrenceinstitutionnelle"/>
    <w:rsid w:val="00877878"/>
    <w:pPr>
      <w:spacing w:before="0" w:after="0"/>
      <w:ind w:left="5103"/>
      <w:jc w:val="left"/>
    </w:pPr>
  </w:style>
  <w:style w:type="paragraph" w:customStyle="1" w:styleId="Rfrenceinstitutionnelle">
    <w:name w:val="Référence institutionnelle"/>
    <w:basedOn w:val="Normal"/>
    <w:next w:val="Confidentialit"/>
    <w:rsid w:val="00877878"/>
    <w:pPr>
      <w:spacing w:before="0" w:after="240"/>
      <w:ind w:left="5103"/>
      <w:jc w:val="left"/>
    </w:pPr>
  </w:style>
  <w:style w:type="paragraph" w:customStyle="1" w:styleId="Pagedecouverture">
    <w:name w:val="Page de couverture"/>
    <w:basedOn w:val="Normal"/>
    <w:next w:val="Normal"/>
    <w:rsid w:val="00877878"/>
    <w:pPr>
      <w:spacing w:before="0" w:after="0"/>
    </w:pPr>
  </w:style>
  <w:style w:type="paragraph" w:customStyle="1" w:styleId="Declassification">
    <w:name w:val="Declassification"/>
    <w:basedOn w:val="Normal"/>
    <w:next w:val="Normal"/>
    <w:rsid w:val="00877878"/>
    <w:pPr>
      <w:spacing w:before="0" w:after="0"/>
    </w:pPr>
  </w:style>
  <w:style w:type="paragraph" w:customStyle="1" w:styleId="Disclaimer">
    <w:name w:val="Disclaimer"/>
    <w:basedOn w:val="Normal"/>
    <w:rsid w:val="00877878"/>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rsid w:val="00877878"/>
    <w:pPr>
      <w:jc w:val="center"/>
    </w:pPr>
    <w:rPr>
      <w:b/>
      <w:u w:val="single"/>
    </w:rPr>
  </w:style>
  <w:style w:type="paragraph" w:customStyle="1" w:styleId="Annexetitre">
    <w:name w:val="Annexe titre"/>
    <w:basedOn w:val="Normal"/>
    <w:next w:val="Normal"/>
    <w:rsid w:val="00877878"/>
    <w:pPr>
      <w:jc w:val="center"/>
    </w:pPr>
    <w:rPr>
      <w:b/>
      <w:u w:val="single"/>
    </w:rPr>
  </w:style>
  <w:style w:type="paragraph" w:customStyle="1" w:styleId="Annexetitrefichefinancire">
    <w:name w:val="Annexe titre (fiche financière)"/>
    <w:basedOn w:val="Normal"/>
    <w:next w:val="Normal"/>
    <w:rsid w:val="00877878"/>
    <w:pPr>
      <w:jc w:val="center"/>
    </w:pPr>
    <w:rPr>
      <w:b/>
      <w:u w:val="single"/>
    </w:rPr>
  </w:style>
  <w:style w:type="paragraph" w:customStyle="1" w:styleId="Applicationdirecte">
    <w:name w:val="Application directe"/>
    <w:basedOn w:val="Normal"/>
    <w:next w:val="Fait"/>
    <w:rsid w:val="00877878"/>
    <w:pPr>
      <w:spacing w:before="480"/>
    </w:pPr>
  </w:style>
  <w:style w:type="paragraph" w:customStyle="1" w:styleId="Avertissementtitre">
    <w:name w:val="Avertissement titre"/>
    <w:basedOn w:val="Normal"/>
    <w:next w:val="Normal"/>
    <w:rsid w:val="00877878"/>
    <w:pPr>
      <w:keepNext/>
      <w:spacing w:before="480"/>
    </w:pPr>
    <w:rPr>
      <w:u w:val="single"/>
    </w:rPr>
  </w:style>
  <w:style w:type="paragraph" w:customStyle="1" w:styleId="Confidence">
    <w:name w:val="Confidence"/>
    <w:basedOn w:val="Normal"/>
    <w:next w:val="Normal"/>
    <w:rsid w:val="00877878"/>
    <w:pPr>
      <w:spacing w:before="360"/>
      <w:jc w:val="center"/>
    </w:pPr>
  </w:style>
  <w:style w:type="paragraph" w:customStyle="1" w:styleId="Confidentialit">
    <w:name w:val="Confidentialité"/>
    <w:basedOn w:val="Normal"/>
    <w:next w:val="TypedudocumentPagedecouverture"/>
    <w:rsid w:val="00877878"/>
    <w:pPr>
      <w:spacing w:before="240" w:after="240"/>
      <w:ind w:left="5103"/>
      <w:jc w:val="left"/>
    </w:pPr>
    <w:rPr>
      <w:i/>
      <w:sz w:val="32"/>
    </w:rPr>
  </w:style>
  <w:style w:type="paragraph" w:customStyle="1" w:styleId="Considrant">
    <w:name w:val="Considérant"/>
    <w:basedOn w:val="Normal"/>
    <w:rsid w:val="00877878"/>
    <w:pPr>
      <w:numPr>
        <w:numId w:val="24"/>
      </w:numPr>
    </w:pPr>
  </w:style>
  <w:style w:type="paragraph" w:customStyle="1" w:styleId="Corrigendum">
    <w:name w:val="Corrigendum"/>
    <w:basedOn w:val="Normal"/>
    <w:next w:val="Normal"/>
    <w:rsid w:val="00877878"/>
    <w:pPr>
      <w:spacing w:before="0" w:after="240"/>
      <w:jc w:val="left"/>
    </w:pPr>
  </w:style>
  <w:style w:type="paragraph" w:customStyle="1" w:styleId="Datedadoption">
    <w:name w:val="Date d'adoption"/>
    <w:basedOn w:val="Normal"/>
    <w:next w:val="Titreobjet"/>
    <w:rsid w:val="00877878"/>
    <w:pPr>
      <w:spacing w:before="360" w:after="0"/>
      <w:jc w:val="center"/>
    </w:pPr>
    <w:rPr>
      <w:b/>
    </w:rPr>
  </w:style>
  <w:style w:type="paragraph" w:customStyle="1" w:styleId="Exposdesmotifstitre">
    <w:name w:val="Exposé des motifs titre"/>
    <w:basedOn w:val="Normal"/>
    <w:next w:val="Normal"/>
    <w:rsid w:val="00877878"/>
    <w:pPr>
      <w:jc w:val="center"/>
    </w:pPr>
    <w:rPr>
      <w:b/>
      <w:u w:val="single"/>
    </w:rPr>
  </w:style>
  <w:style w:type="paragraph" w:customStyle="1" w:styleId="Fait">
    <w:name w:val="Fait à"/>
    <w:basedOn w:val="Normal"/>
    <w:next w:val="Institutionquisigne"/>
    <w:rsid w:val="00877878"/>
    <w:pPr>
      <w:keepNext/>
      <w:spacing w:after="0"/>
    </w:pPr>
  </w:style>
  <w:style w:type="paragraph" w:customStyle="1" w:styleId="Formuledadoption">
    <w:name w:val="Formule d'adoption"/>
    <w:basedOn w:val="Normal"/>
    <w:next w:val="Titrearticle"/>
    <w:rsid w:val="00877878"/>
    <w:pPr>
      <w:keepNext/>
    </w:pPr>
  </w:style>
  <w:style w:type="paragraph" w:customStyle="1" w:styleId="Institutionquiagit">
    <w:name w:val="Institution qui agit"/>
    <w:basedOn w:val="Normal"/>
    <w:next w:val="Normal"/>
    <w:rsid w:val="00877878"/>
    <w:pPr>
      <w:keepNext/>
      <w:spacing w:before="600"/>
    </w:pPr>
  </w:style>
  <w:style w:type="paragraph" w:customStyle="1" w:styleId="Institutionquisigne">
    <w:name w:val="Institution qui signe"/>
    <w:basedOn w:val="Normal"/>
    <w:next w:val="Personnequisigne"/>
    <w:rsid w:val="00877878"/>
    <w:pPr>
      <w:keepNext/>
      <w:tabs>
        <w:tab w:val="left" w:pos="4252"/>
      </w:tabs>
      <w:spacing w:before="720" w:after="0"/>
    </w:pPr>
    <w:rPr>
      <w:i/>
    </w:rPr>
  </w:style>
  <w:style w:type="paragraph" w:customStyle="1" w:styleId="ManualConsidrant">
    <w:name w:val="Manual Considérant"/>
    <w:basedOn w:val="Normal"/>
    <w:rsid w:val="00877878"/>
    <w:pPr>
      <w:ind w:left="709" w:hanging="709"/>
    </w:pPr>
  </w:style>
  <w:style w:type="paragraph" w:customStyle="1" w:styleId="Personnequisigne">
    <w:name w:val="Personne qui signe"/>
    <w:basedOn w:val="Normal"/>
    <w:next w:val="Institutionquisigne"/>
    <w:rsid w:val="00877878"/>
    <w:pPr>
      <w:tabs>
        <w:tab w:val="left" w:pos="4252"/>
      </w:tabs>
      <w:spacing w:before="0" w:after="0"/>
      <w:jc w:val="left"/>
    </w:pPr>
    <w:rPr>
      <w:i/>
    </w:rPr>
  </w:style>
  <w:style w:type="paragraph" w:customStyle="1" w:styleId="Rfrenceinterinstitutionnelle">
    <w:name w:val="Référence interinstitutionnelle"/>
    <w:basedOn w:val="Normal"/>
    <w:next w:val="Statut"/>
    <w:rsid w:val="00877878"/>
    <w:pPr>
      <w:spacing w:before="0" w:after="0"/>
      <w:ind w:left="5103"/>
      <w:jc w:val="left"/>
    </w:pPr>
  </w:style>
  <w:style w:type="paragraph" w:customStyle="1" w:styleId="Rfrenceinterne">
    <w:name w:val="Référence interne"/>
    <w:basedOn w:val="Normal"/>
    <w:next w:val="Rfrenceinterinstitutionnelle"/>
    <w:rsid w:val="00877878"/>
    <w:pPr>
      <w:spacing w:before="0" w:after="0"/>
      <w:ind w:left="5103"/>
      <w:jc w:val="left"/>
    </w:pPr>
  </w:style>
  <w:style w:type="paragraph" w:customStyle="1" w:styleId="Statut">
    <w:name w:val="Statut"/>
    <w:basedOn w:val="Normal"/>
    <w:next w:val="Typedudocument"/>
    <w:rsid w:val="00877878"/>
    <w:pPr>
      <w:spacing w:before="360" w:after="0"/>
      <w:jc w:val="center"/>
    </w:pPr>
  </w:style>
  <w:style w:type="paragraph" w:customStyle="1" w:styleId="Titrearticle">
    <w:name w:val="Titre article"/>
    <w:basedOn w:val="Normal"/>
    <w:next w:val="Normal"/>
    <w:rsid w:val="00877878"/>
    <w:pPr>
      <w:keepNext/>
      <w:spacing w:before="360"/>
      <w:jc w:val="center"/>
    </w:pPr>
    <w:rPr>
      <w:i/>
    </w:rPr>
  </w:style>
  <w:style w:type="paragraph" w:customStyle="1" w:styleId="Titreobjet">
    <w:name w:val="Titre objet"/>
    <w:basedOn w:val="Normal"/>
    <w:next w:val="IntrtEEE"/>
    <w:rsid w:val="00877878"/>
    <w:pPr>
      <w:spacing w:before="360" w:after="360"/>
      <w:jc w:val="center"/>
    </w:pPr>
    <w:rPr>
      <w:b/>
    </w:rPr>
  </w:style>
  <w:style w:type="paragraph" w:customStyle="1" w:styleId="Typedudocument">
    <w:name w:val="Type du document"/>
    <w:basedOn w:val="Normal"/>
    <w:next w:val="Titreobjet"/>
    <w:rsid w:val="00877878"/>
    <w:pPr>
      <w:spacing w:before="360" w:after="0"/>
      <w:jc w:val="center"/>
    </w:pPr>
    <w:rPr>
      <w:b/>
    </w:rPr>
  </w:style>
  <w:style w:type="character" w:customStyle="1" w:styleId="Added">
    <w:name w:val="Added"/>
    <w:basedOn w:val="DefaultParagraphFont"/>
    <w:rsid w:val="00877878"/>
    <w:rPr>
      <w:b/>
      <w:u w:val="single"/>
      <w:shd w:val="clear" w:color="auto" w:fill="auto"/>
    </w:rPr>
  </w:style>
  <w:style w:type="character" w:customStyle="1" w:styleId="Deleted">
    <w:name w:val="Deleted"/>
    <w:basedOn w:val="DefaultParagraphFont"/>
    <w:rsid w:val="00877878"/>
    <w:rPr>
      <w:strike/>
      <w:dstrike w:val="0"/>
      <w:shd w:val="clear" w:color="auto" w:fill="auto"/>
    </w:rPr>
  </w:style>
  <w:style w:type="paragraph" w:customStyle="1" w:styleId="Address">
    <w:name w:val="Address"/>
    <w:basedOn w:val="Normal"/>
    <w:next w:val="Normal"/>
    <w:rsid w:val="00877878"/>
    <w:pPr>
      <w:keepLines/>
      <w:spacing w:line="360" w:lineRule="auto"/>
      <w:ind w:left="3402"/>
      <w:jc w:val="left"/>
    </w:pPr>
  </w:style>
  <w:style w:type="paragraph" w:customStyle="1" w:styleId="Objetexterne">
    <w:name w:val="Objet externe"/>
    <w:basedOn w:val="Normal"/>
    <w:next w:val="Normal"/>
    <w:rsid w:val="00877878"/>
    <w:rPr>
      <w:i/>
      <w:caps/>
    </w:rPr>
  </w:style>
  <w:style w:type="paragraph" w:customStyle="1" w:styleId="Supertitre">
    <w:name w:val="Supertitre"/>
    <w:basedOn w:val="Normal"/>
    <w:next w:val="Normal"/>
    <w:rsid w:val="00877878"/>
    <w:pPr>
      <w:spacing w:before="0" w:after="600"/>
      <w:jc w:val="center"/>
    </w:pPr>
    <w:rPr>
      <w:b/>
    </w:rPr>
  </w:style>
  <w:style w:type="paragraph" w:customStyle="1" w:styleId="Languesfaisantfoi">
    <w:name w:val="Langues faisant foi"/>
    <w:basedOn w:val="Normal"/>
    <w:next w:val="Normal"/>
    <w:rsid w:val="00877878"/>
    <w:pPr>
      <w:spacing w:before="360" w:after="0"/>
      <w:jc w:val="center"/>
    </w:pPr>
  </w:style>
  <w:style w:type="paragraph" w:customStyle="1" w:styleId="Rfrencecroise">
    <w:name w:val="Référence croisée"/>
    <w:basedOn w:val="Normal"/>
    <w:rsid w:val="00877878"/>
    <w:pPr>
      <w:spacing w:before="0" w:after="0"/>
      <w:jc w:val="center"/>
    </w:pPr>
  </w:style>
  <w:style w:type="paragraph" w:customStyle="1" w:styleId="Fichefinanciretitre">
    <w:name w:val="Fiche financière titre"/>
    <w:basedOn w:val="Normal"/>
    <w:next w:val="Normal"/>
    <w:rsid w:val="00877878"/>
    <w:pPr>
      <w:jc w:val="center"/>
    </w:pPr>
    <w:rPr>
      <w:b/>
      <w:u w:val="single"/>
    </w:rPr>
  </w:style>
  <w:style w:type="paragraph" w:customStyle="1" w:styleId="DatedadoptionPagedecouverture">
    <w:name w:val="Date d'adoption (Page de couverture)"/>
    <w:basedOn w:val="Datedadoption"/>
    <w:next w:val="TitreobjetPagedecouverture"/>
    <w:rsid w:val="00877878"/>
  </w:style>
  <w:style w:type="paragraph" w:customStyle="1" w:styleId="RfrenceinterinstitutionnellePagedecouverture">
    <w:name w:val="Référence interinstitutionnelle (Page de couverture)"/>
    <w:basedOn w:val="Rfrenceinterinstitutionnelle"/>
    <w:next w:val="Confidentialit"/>
    <w:rsid w:val="00877878"/>
  </w:style>
  <w:style w:type="paragraph" w:customStyle="1" w:styleId="StatutPagedecouverture">
    <w:name w:val="Statut (Page de couverture)"/>
    <w:basedOn w:val="Statut"/>
    <w:next w:val="TypedudocumentPagedecouverture"/>
    <w:rsid w:val="00877878"/>
  </w:style>
  <w:style w:type="paragraph" w:customStyle="1" w:styleId="TitreobjetPagedecouverture">
    <w:name w:val="Titre objet (Page de couverture)"/>
    <w:basedOn w:val="Titreobjet"/>
    <w:next w:val="IntrtEEEPagedecouverture"/>
    <w:rsid w:val="00877878"/>
  </w:style>
  <w:style w:type="paragraph" w:customStyle="1" w:styleId="TypedudocumentPagedecouverture">
    <w:name w:val="Type du document (Page de couverture)"/>
    <w:basedOn w:val="Typedudocument"/>
    <w:next w:val="TitreobjetPagedecouverture"/>
    <w:rsid w:val="00877878"/>
  </w:style>
  <w:style w:type="paragraph" w:customStyle="1" w:styleId="Volume">
    <w:name w:val="Volume"/>
    <w:basedOn w:val="Normal"/>
    <w:next w:val="Confidentialit"/>
    <w:rsid w:val="00877878"/>
    <w:pPr>
      <w:spacing w:before="0" w:after="240"/>
      <w:ind w:left="5103"/>
      <w:jc w:val="left"/>
    </w:pPr>
  </w:style>
  <w:style w:type="paragraph" w:customStyle="1" w:styleId="IntrtEEE">
    <w:name w:val="Intérêt EEE"/>
    <w:basedOn w:val="Languesfaisantfoi"/>
    <w:next w:val="Normal"/>
    <w:rsid w:val="00877878"/>
    <w:pPr>
      <w:spacing w:after="240"/>
    </w:pPr>
  </w:style>
  <w:style w:type="paragraph" w:customStyle="1" w:styleId="Accompagnant">
    <w:name w:val="Accompagnant"/>
    <w:basedOn w:val="Normal"/>
    <w:next w:val="Typeacteprincipal"/>
    <w:rsid w:val="00877878"/>
    <w:pPr>
      <w:spacing w:before="0" w:after="240"/>
      <w:jc w:val="center"/>
    </w:pPr>
    <w:rPr>
      <w:b/>
      <w:i/>
    </w:rPr>
  </w:style>
  <w:style w:type="paragraph" w:customStyle="1" w:styleId="Typeacteprincipal">
    <w:name w:val="Type acte principal"/>
    <w:basedOn w:val="Normal"/>
    <w:next w:val="Objetacteprincipal"/>
    <w:rsid w:val="00877878"/>
    <w:pPr>
      <w:spacing w:before="0" w:after="240"/>
      <w:jc w:val="center"/>
    </w:pPr>
    <w:rPr>
      <w:b/>
    </w:rPr>
  </w:style>
  <w:style w:type="paragraph" w:customStyle="1" w:styleId="Objetacteprincipal">
    <w:name w:val="Objet acte principal"/>
    <w:basedOn w:val="Normal"/>
    <w:next w:val="Titrearticle"/>
    <w:rsid w:val="00877878"/>
    <w:pPr>
      <w:spacing w:before="0" w:after="360"/>
      <w:jc w:val="center"/>
    </w:pPr>
    <w:rPr>
      <w:b/>
    </w:rPr>
  </w:style>
  <w:style w:type="paragraph" w:customStyle="1" w:styleId="IntrtEEEPagedecouverture">
    <w:name w:val="Intérêt EEE (Page de couverture)"/>
    <w:basedOn w:val="IntrtEEE"/>
    <w:next w:val="Rfrencecroise"/>
    <w:rsid w:val="00877878"/>
  </w:style>
  <w:style w:type="paragraph" w:customStyle="1" w:styleId="AccompagnantPagedecouverture">
    <w:name w:val="Accompagnant (Page de couverture)"/>
    <w:basedOn w:val="Accompagnant"/>
    <w:next w:val="TypeacteprincipalPagedecouverture"/>
    <w:rsid w:val="00877878"/>
  </w:style>
  <w:style w:type="paragraph" w:customStyle="1" w:styleId="TypeacteprincipalPagedecouverture">
    <w:name w:val="Type acte principal (Page de couverture)"/>
    <w:basedOn w:val="Typeacteprincipal"/>
    <w:next w:val="ObjetacteprincipalPagedecouverture"/>
    <w:rsid w:val="00877878"/>
  </w:style>
  <w:style w:type="paragraph" w:customStyle="1" w:styleId="ObjetacteprincipalPagedecouverture">
    <w:name w:val="Objet acte principal (Page de couverture)"/>
    <w:basedOn w:val="Objetacteprincipal"/>
    <w:next w:val="Rfrencecroise"/>
    <w:rsid w:val="00877878"/>
  </w:style>
  <w:style w:type="paragraph" w:customStyle="1" w:styleId="LanguesfaisantfoiPagedecouverture">
    <w:name w:val="Langues faisant foi (Page de couverture)"/>
    <w:basedOn w:val="Normal"/>
    <w:next w:val="Normal"/>
    <w:rsid w:val="00877878"/>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lv-LV"/>
    </w:rPr>
  </w:style>
  <w:style w:type="paragraph" w:styleId="Heading1">
    <w:name w:val="heading 1"/>
    <w:basedOn w:val="Normal"/>
    <w:next w:val="Text1"/>
    <w:link w:val="Heading1Char"/>
    <w:uiPriority w:val="9"/>
    <w:qFormat/>
    <w:rsid w:val="00877878"/>
    <w:pPr>
      <w:keepNext/>
      <w:numPr>
        <w:numId w:val="1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rsid w:val="00877878"/>
    <w:pPr>
      <w:keepNext/>
      <w:numPr>
        <w:ilvl w:val="1"/>
        <w:numId w:val="1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rsid w:val="00877878"/>
    <w:pPr>
      <w:keepNext/>
      <w:numPr>
        <w:ilvl w:val="2"/>
        <w:numId w:val="17"/>
      </w:numPr>
      <w:outlineLvl w:val="2"/>
    </w:pPr>
    <w:rPr>
      <w:rFonts w:eastAsiaTheme="majorEastAsia"/>
      <w:bCs/>
      <w:i/>
    </w:rPr>
  </w:style>
  <w:style w:type="paragraph" w:styleId="Heading4">
    <w:name w:val="heading 4"/>
    <w:basedOn w:val="Normal"/>
    <w:next w:val="Text1"/>
    <w:link w:val="Heading4Char"/>
    <w:uiPriority w:val="9"/>
    <w:semiHidden/>
    <w:unhideWhenUsed/>
    <w:qFormat/>
    <w:rsid w:val="00877878"/>
    <w:pPr>
      <w:keepNext/>
      <w:numPr>
        <w:ilvl w:val="3"/>
        <w:numId w:val="1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rsid w:val="00E251A6"/>
    <w:pPr>
      <w:numPr>
        <w:numId w:val="1"/>
      </w:numPr>
      <w:contextualSpacing/>
    </w:pPr>
  </w:style>
  <w:style w:type="paragraph" w:styleId="ListBullet2">
    <w:name w:val="List Bullet 2"/>
    <w:basedOn w:val="Normal"/>
    <w:uiPriority w:val="99"/>
    <w:semiHidden/>
    <w:unhideWhenUsed/>
    <w:rsid w:val="00E251A6"/>
    <w:pPr>
      <w:numPr>
        <w:numId w:val="2"/>
      </w:numPr>
      <w:contextualSpacing/>
    </w:pPr>
  </w:style>
  <w:style w:type="paragraph" w:styleId="ListBullet3">
    <w:name w:val="List Bullet 3"/>
    <w:basedOn w:val="Normal"/>
    <w:uiPriority w:val="99"/>
    <w:semiHidden/>
    <w:unhideWhenUsed/>
    <w:rsid w:val="00E251A6"/>
    <w:pPr>
      <w:numPr>
        <w:numId w:val="3"/>
      </w:numPr>
      <w:contextualSpacing/>
    </w:pPr>
  </w:style>
  <w:style w:type="paragraph" w:styleId="ListBullet4">
    <w:name w:val="List Bullet 4"/>
    <w:basedOn w:val="Normal"/>
    <w:uiPriority w:val="99"/>
    <w:semiHidden/>
    <w:unhideWhenUsed/>
    <w:rsid w:val="00E251A6"/>
    <w:pPr>
      <w:numPr>
        <w:numId w:val="4"/>
      </w:numPr>
      <w:contextualSpacing/>
    </w:pPr>
  </w:style>
  <w:style w:type="paragraph" w:styleId="ListNumber4">
    <w:name w:val="List Number 4"/>
    <w:basedOn w:val="Normal"/>
    <w:uiPriority w:val="99"/>
    <w:semiHidden/>
    <w:unhideWhenUsed/>
    <w:rsid w:val="00E251A6"/>
    <w:pPr>
      <w:numPr>
        <w:numId w:val="5"/>
      </w:numPr>
      <w:contextualSpacing/>
    </w:pPr>
  </w:style>
  <w:style w:type="paragraph" w:customStyle="1" w:styleId="ListBullet1">
    <w:name w:val="List Bullet 1"/>
    <w:basedOn w:val="Normal"/>
    <w:rsid w:val="00E251A6"/>
    <w:pPr>
      <w:numPr>
        <w:numId w:val="6"/>
      </w:numPr>
    </w:pPr>
    <w:rPr>
      <w:rFonts w:eastAsia="Times New Roman"/>
      <w:szCs w:val="24"/>
      <w:lang w:eastAsia="de-DE"/>
    </w:rPr>
  </w:style>
  <w:style w:type="paragraph" w:styleId="ListParagraph">
    <w:name w:val="List Paragraph"/>
    <w:basedOn w:val="Normal"/>
    <w:uiPriority w:val="34"/>
    <w:qFormat/>
    <w:rsid w:val="00E251A6"/>
    <w:pPr>
      <w:ind w:left="720"/>
      <w:contextualSpacing/>
    </w:pPr>
  </w:style>
  <w:style w:type="paragraph" w:styleId="Caption">
    <w:name w:val="caption"/>
    <w:basedOn w:val="Normal"/>
    <w:next w:val="Normal"/>
    <w:uiPriority w:val="35"/>
    <w:semiHidden/>
    <w:unhideWhenUsed/>
    <w:qFormat/>
    <w:rsid w:val="00EF7EC9"/>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rsid w:val="00EF7EC9"/>
    <w:pPr>
      <w:spacing w:after="0"/>
    </w:pPr>
  </w:style>
  <w:style w:type="paragraph" w:styleId="ListNumber">
    <w:name w:val="List Number"/>
    <w:basedOn w:val="Normal"/>
    <w:uiPriority w:val="99"/>
    <w:semiHidden/>
    <w:unhideWhenUsed/>
    <w:rsid w:val="00EF7EC9"/>
    <w:pPr>
      <w:numPr>
        <w:numId w:val="7"/>
      </w:numPr>
      <w:contextualSpacing/>
    </w:pPr>
  </w:style>
  <w:style w:type="paragraph" w:styleId="ListNumber2">
    <w:name w:val="List Number 2"/>
    <w:basedOn w:val="Normal"/>
    <w:uiPriority w:val="99"/>
    <w:semiHidden/>
    <w:unhideWhenUsed/>
    <w:rsid w:val="00EF7EC9"/>
    <w:pPr>
      <w:numPr>
        <w:numId w:val="8"/>
      </w:numPr>
      <w:contextualSpacing/>
    </w:pPr>
  </w:style>
  <w:style w:type="paragraph" w:styleId="ListNumber3">
    <w:name w:val="List Number 3"/>
    <w:basedOn w:val="Normal"/>
    <w:uiPriority w:val="99"/>
    <w:semiHidden/>
    <w:unhideWhenUsed/>
    <w:rsid w:val="00EF7EC9"/>
    <w:pPr>
      <w:numPr>
        <w:numId w:val="9"/>
      </w:numPr>
      <w:contextualSpacing/>
    </w:pPr>
  </w:style>
  <w:style w:type="character" w:styleId="CommentReference">
    <w:name w:val="annotation reference"/>
    <w:basedOn w:val="DefaultParagraphFont"/>
    <w:uiPriority w:val="99"/>
    <w:semiHidden/>
    <w:unhideWhenUsed/>
    <w:rsid w:val="00BC0462"/>
    <w:rPr>
      <w:sz w:val="16"/>
      <w:szCs w:val="16"/>
    </w:rPr>
  </w:style>
  <w:style w:type="paragraph" w:styleId="CommentText">
    <w:name w:val="annotation text"/>
    <w:basedOn w:val="Normal"/>
    <w:link w:val="CommentTextChar"/>
    <w:uiPriority w:val="99"/>
    <w:semiHidden/>
    <w:unhideWhenUsed/>
    <w:rsid w:val="00BC0462"/>
    <w:rPr>
      <w:sz w:val="20"/>
      <w:szCs w:val="20"/>
    </w:rPr>
  </w:style>
  <w:style w:type="character" w:customStyle="1" w:styleId="CommentTextChar">
    <w:name w:val="Comment Text Char"/>
    <w:basedOn w:val="DefaultParagraphFont"/>
    <w:link w:val="CommentText"/>
    <w:uiPriority w:val="99"/>
    <w:semiHidden/>
    <w:rsid w:val="00BC0462"/>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BC0462"/>
    <w:rPr>
      <w:b/>
      <w:bCs/>
    </w:rPr>
  </w:style>
  <w:style w:type="character" w:customStyle="1" w:styleId="CommentSubjectChar">
    <w:name w:val="Comment Subject Char"/>
    <w:basedOn w:val="CommentTextChar"/>
    <w:link w:val="CommentSubject"/>
    <w:uiPriority w:val="99"/>
    <w:semiHidden/>
    <w:rsid w:val="00BC0462"/>
    <w:rPr>
      <w:rFonts w:ascii="Times New Roman" w:hAnsi="Times New Roman" w:cs="Times New Roman"/>
      <w:b/>
      <w:bCs/>
      <w:sz w:val="20"/>
      <w:szCs w:val="20"/>
      <w:lang w:val="en-GB"/>
    </w:rPr>
  </w:style>
  <w:style w:type="character" w:styleId="Hyperlink">
    <w:name w:val="Hyperlink"/>
    <w:basedOn w:val="DefaultParagraphFont"/>
    <w:uiPriority w:val="99"/>
    <w:unhideWhenUsed/>
    <w:rsid w:val="00BC0462"/>
    <w:rPr>
      <w:color w:val="0000FF" w:themeColor="hyperlink"/>
      <w:u w:val="single"/>
    </w:rPr>
  </w:style>
  <w:style w:type="paragraph" w:styleId="BalloonText">
    <w:name w:val="Balloon Text"/>
    <w:basedOn w:val="Normal"/>
    <w:link w:val="BalloonTextChar"/>
    <w:uiPriority w:val="99"/>
    <w:semiHidden/>
    <w:unhideWhenUsed/>
    <w:rsid w:val="00BC0462"/>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0462"/>
    <w:rPr>
      <w:rFonts w:ascii="Tahoma" w:hAnsi="Tahoma" w:cs="Tahoma"/>
      <w:sz w:val="16"/>
      <w:szCs w:val="16"/>
      <w:lang w:val="en-GB"/>
    </w:rPr>
  </w:style>
  <w:style w:type="paragraph" w:styleId="Header">
    <w:name w:val="header"/>
    <w:basedOn w:val="Normal"/>
    <w:link w:val="HeaderChar"/>
    <w:uiPriority w:val="99"/>
    <w:unhideWhenUsed/>
    <w:rsid w:val="00F7223E"/>
    <w:pPr>
      <w:tabs>
        <w:tab w:val="center" w:pos="4535"/>
        <w:tab w:val="right" w:pos="9071"/>
      </w:tabs>
      <w:spacing w:before="0"/>
    </w:pPr>
  </w:style>
  <w:style w:type="character" w:customStyle="1" w:styleId="HeaderChar">
    <w:name w:val="Header Char"/>
    <w:basedOn w:val="DefaultParagraphFont"/>
    <w:link w:val="Header"/>
    <w:uiPriority w:val="99"/>
    <w:rsid w:val="00F7223E"/>
    <w:rPr>
      <w:rFonts w:ascii="Times New Roman" w:hAnsi="Times New Roman" w:cs="Times New Roman"/>
      <w:sz w:val="24"/>
      <w:lang w:val="lv-LV"/>
    </w:rPr>
  </w:style>
  <w:style w:type="paragraph" w:styleId="Footer">
    <w:name w:val="footer"/>
    <w:basedOn w:val="Normal"/>
    <w:link w:val="FooterChar"/>
    <w:uiPriority w:val="99"/>
    <w:unhideWhenUsed/>
    <w:rsid w:val="00F7223E"/>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sid w:val="00F7223E"/>
    <w:rPr>
      <w:rFonts w:ascii="Times New Roman" w:hAnsi="Times New Roman" w:cs="Times New Roman"/>
      <w:sz w:val="24"/>
      <w:lang w:val="lv-LV"/>
    </w:rPr>
  </w:style>
  <w:style w:type="paragraph" w:styleId="FootnoteText">
    <w:name w:val="footnote text"/>
    <w:basedOn w:val="Normal"/>
    <w:link w:val="FootnoteTextChar"/>
    <w:uiPriority w:val="99"/>
    <w:semiHidden/>
    <w:unhideWhenUsed/>
    <w:rsid w:val="00877878"/>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sid w:val="00877878"/>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sid w:val="00877878"/>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sid w:val="00877878"/>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sid w:val="00877878"/>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sid w:val="00877878"/>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rsid w:val="00877878"/>
    <w:pPr>
      <w:spacing w:after="240"/>
      <w:jc w:val="center"/>
    </w:pPr>
    <w:rPr>
      <w:b/>
      <w:sz w:val="28"/>
    </w:rPr>
  </w:style>
  <w:style w:type="paragraph" w:styleId="TOC1">
    <w:name w:val="toc 1"/>
    <w:basedOn w:val="Normal"/>
    <w:next w:val="Normal"/>
    <w:uiPriority w:val="39"/>
    <w:semiHidden/>
    <w:unhideWhenUsed/>
    <w:rsid w:val="00877878"/>
    <w:pPr>
      <w:tabs>
        <w:tab w:val="right" w:leader="dot" w:pos="9071"/>
      </w:tabs>
      <w:spacing w:before="60"/>
      <w:ind w:left="850" w:hanging="850"/>
      <w:jc w:val="left"/>
    </w:pPr>
  </w:style>
  <w:style w:type="paragraph" w:styleId="TOC2">
    <w:name w:val="toc 2"/>
    <w:basedOn w:val="Normal"/>
    <w:next w:val="Normal"/>
    <w:uiPriority w:val="39"/>
    <w:semiHidden/>
    <w:unhideWhenUsed/>
    <w:rsid w:val="00877878"/>
    <w:pPr>
      <w:tabs>
        <w:tab w:val="right" w:leader="dot" w:pos="9071"/>
      </w:tabs>
      <w:spacing w:before="60"/>
      <w:ind w:left="850" w:hanging="850"/>
      <w:jc w:val="left"/>
    </w:pPr>
  </w:style>
  <w:style w:type="paragraph" w:styleId="TOC3">
    <w:name w:val="toc 3"/>
    <w:basedOn w:val="Normal"/>
    <w:next w:val="Normal"/>
    <w:uiPriority w:val="39"/>
    <w:semiHidden/>
    <w:unhideWhenUsed/>
    <w:rsid w:val="00877878"/>
    <w:pPr>
      <w:tabs>
        <w:tab w:val="right" w:leader="dot" w:pos="9071"/>
      </w:tabs>
      <w:spacing w:before="60"/>
      <w:ind w:left="850" w:hanging="850"/>
      <w:jc w:val="left"/>
    </w:pPr>
  </w:style>
  <w:style w:type="paragraph" w:styleId="TOC4">
    <w:name w:val="toc 4"/>
    <w:basedOn w:val="Normal"/>
    <w:next w:val="Normal"/>
    <w:uiPriority w:val="39"/>
    <w:semiHidden/>
    <w:unhideWhenUsed/>
    <w:rsid w:val="00877878"/>
    <w:pPr>
      <w:tabs>
        <w:tab w:val="right" w:leader="dot" w:pos="9071"/>
      </w:tabs>
      <w:spacing w:before="60"/>
      <w:ind w:left="850" w:hanging="850"/>
      <w:jc w:val="left"/>
    </w:pPr>
  </w:style>
  <w:style w:type="paragraph" w:styleId="TOC5">
    <w:name w:val="toc 5"/>
    <w:basedOn w:val="Normal"/>
    <w:next w:val="Normal"/>
    <w:uiPriority w:val="39"/>
    <w:semiHidden/>
    <w:unhideWhenUsed/>
    <w:rsid w:val="00877878"/>
    <w:pPr>
      <w:tabs>
        <w:tab w:val="right" w:leader="dot" w:pos="9071"/>
      </w:tabs>
      <w:spacing w:before="300"/>
      <w:jc w:val="left"/>
    </w:pPr>
  </w:style>
  <w:style w:type="paragraph" w:styleId="TOC6">
    <w:name w:val="toc 6"/>
    <w:basedOn w:val="Normal"/>
    <w:next w:val="Normal"/>
    <w:uiPriority w:val="39"/>
    <w:semiHidden/>
    <w:unhideWhenUsed/>
    <w:rsid w:val="00877878"/>
    <w:pPr>
      <w:tabs>
        <w:tab w:val="right" w:leader="dot" w:pos="9071"/>
      </w:tabs>
      <w:spacing w:before="240"/>
      <w:jc w:val="left"/>
    </w:pPr>
  </w:style>
  <w:style w:type="paragraph" w:styleId="TOC7">
    <w:name w:val="toc 7"/>
    <w:basedOn w:val="Normal"/>
    <w:next w:val="Normal"/>
    <w:uiPriority w:val="39"/>
    <w:semiHidden/>
    <w:unhideWhenUsed/>
    <w:rsid w:val="00877878"/>
    <w:pPr>
      <w:tabs>
        <w:tab w:val="right" w:leader="dot" w:pos="9071"/>
      </w:tabs>
      <w:spacing w:before="180"/>
      <w:jc w:val="left"/>
    </w:pPr>
  </w:style>
  <w:style w:type="paragraph" w:styleId="TOC8">
    <w:name w:val="toc 8"/>
    <w:basedOn w:val="Normal"/>
    <w:next w:val="Normal"/>
    <w:uiPriority w:val="39"/>
    <w:semiHidden/>
    <w:unhideWhenUsed/>
    <w:rsid w:val="00877878"/>
    <w:pPr>
      <w:tabs>
        <w:tab w:val="right" w:leader="dot" w:pos="9071"/>
      </w:tabs>
      <w:jc w:val="left"/>
    </w:pPr>
  </w:style>
  <w:style w:type="paragraph" w:styleId="TOC9">
    <w:name w:val="toc 9"/>
    <w:basedOn w:val="Normal"/>
    <w:next w:val="Normal"/>
    <w:uiPriority w:val="39"/>
    <w:semiHidden/>
    <w:unhideWhenUsed/>
    <w:rsid w:val="00877878"/>
    <w:pPr>
      <w:tabs>
        <w:tab w:val="right" w:leader="dot" w:pos="9071"/>
      </w:tabs>
    </w:pPr>
  </w:style>
  <w:style w:type="paragraph" w:customStyle="1" w:styleId="HeaderLandscape">
    <w:name w:val="HeaderLandscape"/>
    <w:basedOn w:val="Normal"/>
    <w:rsid w:val="00F7223E"/>
    <w:pPr>
      <w:tabs>
        <w:tab w:val="center" w:pos="7285"/>
        <w:tab w:val="right" w:pos="14003"/>
      </w:tabs>
      <w:spacing w:before="0"/>
    </w:pPr>
  </w:style>
  <w:style w:type="paragraph" w:customStyle="1" w:styleId="FooterLandscape">
    <w:name w:val="FooterLandscape"/>
    <w:basedOn w:val="Normal"/>
    <w:rsid w:val="00F7223E"/>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sid w:val="00877878"/>
    <w:rPr>
      <w:shd w:val="clear" w:color="auto" w:fill="auto"/>
      <w:vertAlign w:val="superscript"/>
    </w:rPr>
  </w:style>
  <w:style w:type="paragraph" w:customStyle="1" w:styleId="HeaderSensitivity">
    <w:name w:val="Header Sensitivity"/>
    <w:basedOn w:val="Normal"/>
    <w:rsid w:val="00F7223E"/>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rsid w:val="00F7223E"/>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rsid w:val="00877878"/>
    <w:pPr>
      <w:ind w:left="850"/>
    </w:pPr>
  </w:style>
  <w:style w:type="paragraph" w:customStyle="1" w:styleId="Text2">
    <w:name w:val="Text 2"/>
    <w:basedOn w:val="Normal"/>
    <w:rsid w:val="00877878"/>
    <w:pPr>
      <w:ind w:left="1417"/>
    </w:pPr>
  </w:style>
  <w:style w:type="paragraph" w:customStyle="1" w:styleId="Text3">
    <w:name w:val="Text 3"/>
    <w:basedOn w:val="Normal"/>
    <w:rsid w:val="00877878"/>
    <w:pPr>
      <w:ind w:left="1984"/>
    </w:pPr>
  </w:style>
  <w:style w:type="paragraph" w:customStyle="1" w:styleId="Text4">
    <w:name w:val="Text 4"/>
    <w:basedOn w:val="Normal"/>
    <w:rsid w:val="00877878"/>
    <w:pPr>
      <w:ind w:left="2551"/>
    </w:pPr>
  </w:style>
  <w:style w:type="paragraph" w:customStyle="1" w:styleId="NormalCentered">
    <w:name w:val="Normal Centered"/>
    <w:basedOn w:val="Normal"/>
    <w:rsid w:val="00877878"/>
    <w:pPr>
      <w:jc w:val="center"/>
    </w:pPr>
  </w:style>
  <w:style w:type="paragraph" w:customStyle="1" w:styleId="NormalLeft">
    <w:name w:val="Normal Left"/>
    <w:basedOn w:val="Normal"/>
    <w:rsid w:val="00877878"/>
    <w:pPr>
      <w:jc w:val="left"/>
    </w:pPr>
  </w:style>
  <w:style w:type="paragraph" w:customStyle="1" w:styleId="NormalRight">
    <w:name w:val="Normal Right"/>
    <w:basedOn w:val="Normal"/>
    <w:rsid w:val="00877878"/>
    <w:pPr>
      <w:jc w:val="right"/>
    </w:pPr>
  </w:style>
  <w:style w:type="paragraph" w:customStyle="1" w:styleId="QuotedText">
    <w:name w:val="Quoted Text"/>
    <w:basedOn w:val="Normal"/>
    <w:rsid w:val="00877878"/>
    <w:pPr>
      <w:ind w:left="1417"/>
    </w:pPr>
  </w:style>
  <w:style w:type="paragraph" w:customStyle="1" w:styleId="Point0">
    <w:name w:val="Point 0"/>
    <w:basedOn w:val="Normal"/>
    <w:rsid w:val="00877878"/>
    <w:pPr>
      <w:ind w:left="850" w:hanging="850"/>
    </w:pPr>
  </w:style>
  <w:style w:type="paragraph" w:customStyle="1" w:styleId="Point1">
    <w:name w:val="Point 1"/>
    <w:basedOn w:val="Normal"/>
    <w:rsid w:val="00877878"/>
    <w:pPr>
      <w:ind w:left="1417" w:hanging="567"/>
    </w:pPr>
  </w:style>
  <w:style w:type="paragraph" w:customStyle="1" w:styleId="Point2">
    <w:name w:val="Point 2"/>
    <w:basedOn w:val="Normal"/>
    <w:rsid w:val="00877878"/>
    <w:pPr>
      <w:ind w:left="1984" w:hanging="567"/>
    </w:pPr>
  </w:style>
  <w:style w:type="paragraph" w:customStyle="1" w:styleId="Point3">
    <w:name w:val="Point 3"/>
    <w:basedOn w:val="Normal"/>
    <w:rsid w:val="00877878"/>
    <w:pPr>
      <w:ind w:left="2551" w:hanging="567"/>
    </w:pPr>
  </w:style>
  <w:style w:type="paragraph" w:customStyle="1" w:styleId="Point4">
    <w:name w:val="Point 4"/>
    <w:basedOn w:val="Normal"/>
    <w:rsid w:val="00877878"/>
    <w:pPr>
      <w:ind w:left="3118" w:hanging="567"/>
    </w:pPr>
  </w:style>
  <w:style w:type="paragraph" w:customStyle="1" w:styleId="Tiret0">
    <w:name w:val="Tiret 0"/>
    <w:basedOn w:val="Point0"/>
    <w:rsid w:val="00877878"/>
    <w:pPr>
      <w:numPr>
        <w:numId w:val="11"/>
      </w:numPr>
    </w:pPr>
  </w:style>
  <w:style w:type="paragraph" w:customStyle="1" w:styleId="Tiret1">
    <w:name w:val="Tiret 1"/>
    <w:basedOn w:val="Point1"/>
    <w:rsid w:val="00877878"/>
    <w:pPr>
      <w:numPr>
        <w:numId w:val="12"/>
      </w:numPr>
    </w:pPr>
  </w:style>
  <w:style w:type="paragraph" w:customStyle="1" w:styleId="Tiret2">
    <w:name w:val="Tiret 2"/>
    <w:basedOn w:val="Point2"/>
    <w:rsid w:val="00877878"/>
    <w:pPr>
      <w:numPr>
        <w:numId w:val="13"/>
      </w:numPr>
    </w:pPr>
  </w:style>
  <w:style w:type="paragraph" w:customStyle="1" w:styleId="Tiret3">
    <w:name w:val="Tiret 3"/>
    <w:basedOn w:val="Point3"/>
    <w:rsid w:val="00877878"/>
    <w:pPr>
      <w:numPr>
        <w:numId w:val="14"/>
      </w:numPr>
    </w:pPr>
  </w:style>
  <w:style w:type="paragraph" w:customStyle="1" w:styleId="Tiret4">
    <w:name w:val="Tiret 4"/>
    <w:basedOn w:val="Point4"/>
    <w:rsid w:val="00877878"/>
    <w:pPr>
      <w:numPr>
        <w:numId w:val="15"/>
      </w:numPr>
    </w:pPr>
  </w:style>
  <w:style w:type="paragraph" w:customStyle="1" w:styleId="PointDouble0">
    <w:name w:val="PointDouble 0"/>
    <w:basedOn w:val="Normal"/>
    <w:rsid w:val="00877878"/>
    <w:pPr>
      <w:tabs>
        <w:tab w:val="left" w:pos="850"/>
      </w:tabs>
      <w:ind w:left="1417" w:hanging="1417"/>
    </w:pPr>
  </w:style>
  <w:style w:type="paragraph" w:customStyle="1" w:styleId="PointDouble1">
    <w:name w:val="PointDouble 1"/>
    <w:basedOn w:val="Normal"/>
    <w:rsid w:val="00877878"/>
    <w:pPr>
      <w:tabs>
        <w:tab w:val="left" w:pos="1417"/>
      </w:tabs>
      <w:ind w:left="1984" w:hanging="1134"/>
    </w:pPr>
  </w:style>
  <w:style w:type="paragraph" w:customStyle="1" w:styleId="PointDouble2">
    <w:name w:val="PointDouble 2"/>
    <w:basedOn w:val="Normal"/>
    <w:rsid w:val="00877878"/>
    <w:pPr>
      <w:tabs>
        <w:tab w:val="left" w:pos="1984"/>
      </w:tabs>
      <w:ind w:left="2551" w:hanging="1134"/>
    </w:pPr>
  </w:style>
  <w:style w:type="paragraph" w:customStyle="1" w:styleId="PointDouble3">
    <w:name w:val="PointDouble 3"/>
    <w:basedOn w:val="Normal"/>
    <w:rsid w:val="00877878"/>
    <w:pPr>
      <w:tabs>
        <w:tab w:val="left" w:pos="2551"/>
      </w:tabs>
      <w:ind w:left="3118" w:hanging="1134"/>
    </w:pPr>
  </w:style>
  <w:style w:type="paragraph" w:customStyle="1" w:styleId="PointDouble4">
    <w:name w:val="PointDouble 4"/>
    <w:basedOn w:val="Normal"/>
    <w:rsid w:val="00877878"/>
    <w:pPr>
      <w:tabs>
        <w:tab w:val="left" w:pos="3118"/>
      </w:tabs>
      <w:ind w:left="3685" w:hanging="1134"/>
    </w:pPr>
  </w:style>
  <w:style w:type="paragraph" w:customStyle="1" w:styleId="PointTriple0">
    <w:name w:val="PointTriple 0"/>
    <w:basedOn w:val="Normal"/>
    <w:rsid w:val="00877878"/>
    <w:pPr>
      <w:tabs>
        <w:tab w:val="left" w:pos="850"/>
        <w:tab w:val="left" w:pos="1417"/>
      </w:tabs>
      <w:ind w:left="1984" w:hanging="1984"/>
    </w:pPr>
  </w:style>
  <w:style w:type="paragraph" w:customStyle="1" w:styleId="PointTriple1">
    <w:name w:val="PointTriple 1"/>
    <w:basedOn w:val="Normal"/>
    <w:rsid w:val="00877878"/>
    <w:pPr>
      <w:tabs>
        <w:tab w:val="left" w:pos="1417"/>
        <w:tab w:val="left" w:pos="1984"/>
      </w:tabs>
      <w:ind w:left="2551" w:hanging="1701"/>
    </w:pPr>
  </w:style>
  <w:style w:type="paragraph" w:customStyle="1" w:styleId="PointTriple2">
    <w:name w:val="PointTriple 2"/>
    <w:basedOn w:val="Normal"/>
    <w:rsid w:val="00877878"/>
    <w:pPr>
      <w:tabs>
        <w:tab w:val="left" w:pos="1984"/>
        <w:tab w:val="left" w:pos="2551"/>
      </w:tabs>
      <w:ind w:left="3118" w:hanging="1701"/>
    </w:pPr>
  </w:style>
  <w:style w:type="paragraph" w:customStyle="1" w:styleId="PointTriple3">
    <w:name w:val="PointTriple 3"/>
    <w:basedOn w:val="Normal"/>
    <w:rsid w:val="00877878"/>
    <w:pPr>
      <w:tabs>
        <w:tab w:val="left" w:pos="2551"/>
        <w:tab w:val="left" w:pos="3118"/>
      </w:tabs>
      <w:ind w:left="3685" w:hanging="1701"/>
    </w:pPr>
  </w:style>
  <w:style w:type="paragraph" w:customStyle="1" w:styleId="PointTriple4">
    <w:name w:val="PointTriple 4"/>
    <w:basedOn w:val="Normal"/>
    <w:rsid w:val="00877878"/>
    <w:pPr>
      <w:tabs>
        <w:tab w:val="left" w:pos="3118"/>
        <w:tab w:val="left" w:pos="3685"/>
      </w:tabs>
      <w:ind w:left="4252" w:hanging="1701"/>
    </w:pPr>
  </w:style>
  <w:style w:type="paragraph" w:customStyle="1" w:styleId="NumPar1">
    <w:name w:val="NumPar 1"/>
    <w:basedOn w:val="Normal"/>
    <w:next w:val="Text1"/>
    <w:rsid w:val="00877878"/>
    <w:pPr>
      <w:numPr>
        <w:numId w:val="16"/>
      </w:numPr>
    </w:pPr>
  </w:style>
  <w:style w:type="paragraph" w:customStyle="1" w:styleId="NumPar2">
    <w:name w:val="NumPar 2"/>
    <w:basedOn w:val="Normal"/>
    <w:next w:val="Text1"/>
    <w:rsid w:val="00877878"/>
    <w:pPr>
      <w:numPr>
        <w:ilvl w:val="1"/>
        <w:numId w:val="16"/>
      </w:numPr>
    </w:pPr>
  </w:style>
  <w:style w:type="paragraph" w:customStyle="1" w:styleId="NumPar3">
    <w:name w:val="NumPar 3"/>
    <w:basedOn w:val="Normal"/>
    <w:next w:val="Text1"/>
    <w:rsid w:val="00877878"/>
    <w:pPr>
      <w:numPr>
        <w:ilvl w:val="2"/>
        <w:numId w:val="16"/>
      </w:numPr>
    </w:pPr>
  </w:style>
  <w:style w:type="paragraph" w:customStyle="1" w:styleId="NumPar4">
    <w:name w:val="NumPar 4"/>
    <w:basedOn w:val="Normal"/>
    <w:next w:val="Text1"/>
    <w:rsid w:val="00877878"/>
    <w:pPr>
      <w:numPr>
        <w:ilvl w:val="3"/>
        <w:numId w:val="16"/>
      </w:numPr>
    </w:pPr>
  </w:style>
  <w:style w:type="paragraph" w:customStyle="1" w:styleId="ManualNumPar1">
    <w:name w:val="Manual NumPar 1"/>
    <w:basedOn w:val="Normal"/>
    <w:next w:val="Text1"/>
    <w:rsid w:val="00877878"/>
    <w:pPr>
      <w:ind w:left="850" w:hanging="850"/>
    </w:pPr>
  </w:style>
  <w:style w:type="paragraph" w:customStyle="1" w:styleId="ManualNumPar2">
    <w:name w:val="Manual NumPar 2"/>
    <w:basedOn w:val="Normal"/>
    <w:next w:val="Text1"/>
    <w:rsid w:val="00877878"/>
    <w:pPr>
      <w:ind w:left="850" w:hanging="850"/>
    </w:pPr>
  </w:style>
  <w:style w:type="paragraph" w:customStyle="1" w:styleId="ManualNumPar3">
    <w:name w:val="Manual NumPar 3"/>
    <w:basedOn w:val="Normal"/>
    <w:next w:val="Text1"/>
    <w:rsid w:val="00877878"/>
    <w:pPr>
      <w:ind w:left="850" w:hanging="850"/>
    </w:pPr>
  </w:style>
  <w:style w:type="paragraph" w:customStyle="1" w:styleId="ManualNumPar4">
    <w:name w:val="Manual NumPar 4"/>
    <w:basedOn w:val="Normal"/>
    <w:next w:val="Text1"/>
    <w:rsid w:val="00877878"/>
    <w:pPr>
      <w:ind w:left="850" w:hanging="850"/>
    </w:pPr>
  </w:style>
  <w:style w:type="paragraph" w:customStyle="1" w:styleId="QuotedNumPar">
    <w:name w:val="Quoted NumPar"/>
    <w:basedOn w:val="Normal"/>
    <w:rsid w:val="00877878"/>
    <w:pPr>
      <w:ind w:left="1417" w:hanging="567"/>
    </w:pPr>
  </w:style>
  <w:style w:type="paragraph" w:customStyle="1" w:styleId="ManualHeading1">
    <w:name w:val="Manual Heading 1"/>
    <w:basedOn w:val="Normal"/>
    <w:next w:val="Text1"/>
    <w:rsid w:val="00877878"/>
    <w:pPr>
      <w:keepNext/>
      <w:tabs>
        <w:tab w:val="left" w:pos="850"/>
      </w:tabs>
      <w:spacing w:before="360"/>
      <w:ind w:left="850" w:hanging="850"/>
      <w:outlineLvl w:val="0"/>
    </w:pPr>
    <w:rPr>
      <w:b/>
      <w:smallCaps/>
    </w:rPr>
  </w:style>
  <w:style w:type="paragraph" w:customStyle="1" w:styleId="ManualHeading2">
    <w:name w:val="Manual Heading 2"/>
    <w:basedOn w:val="Normal"/>
    <w:next w:val="Text1"/>
    <w:rsid w:val="00877878"/>
    <w:pPr>
      <w:keepNext/>
      <w:tabs>
        <w:tab w:val="left" w:pos="850"/>
      </w:tabs>
      <w:ind w:left="850" w:hanging="850"/>
      <w:outlineLvl w:val="1"/>
    </w:pPr>
    <w:rPr>
      <w:b/>
    </w:rPr>
  </w:style>
  <w:style w:type="paragraph" w:customStyle="1" w:styleId="ManualHeading3">
    <w:name w:val="Manual Heading 3"/>
    <w:basedOn w:val="Normal"/>
    <w:next w:val="Text1"/>
    <w:rsid w:val="00877878"/>
    <w:pPr>
      <w:keepNext/>
      <w:tabs>
        <w:tab w:val="left" w:pos="850"/>
      </w:tabs>
      <w:ind w:left="850" w:hanging="850"/>
      <w:outlineLvl w:val="2"/>
    </w:pPr>
    <w:rPr>
      <w:i/>
    </w:rPr>
  </w:style>
  <w:style w:type="paragraph" w:customStyle="1" w:styleId="ManualHeading4">
    <w:name w:val="Manual Heading 4"/>
    <w:basedOn w:val="Normal"/>
    <w:next w:val="Text1"/>
    <w:rsid w:val="00877878"/>
    <w:pPr>
      <w:keepNext/>
      <w:tabs>
        <w:tab w:val="left" w:pos="850"/>
      </w:tabs>
      <w:ind w:left="850" w:hanging="850"/>
      <w:outlineLvl w:val="3"/>
    </w:pPr>
  </w:style>
  <w:style w:type="paragraph" w:customStyle="1" w:styleId="ChapterTitle">
    <w:name w:val="ChapterTitle"/>
    <w:basedOn w:val="Normal"/>
    <w:next w:val="Normal"/>
    <w:rsid w:val="00877878"/>
    <w:pPr>
      <w:keepNext/>
      <w:spacing w:after="360"/>
      <w:jc w:val="center"/>
    </w:pPr>
    <w:rPr>
      <w:b/>
      <w:sz w:val="32"/>
    </w:rPr>
  </w:style>
  <w:style w:type="paragraph" w:customStyle="1" w:styleId="PartTitle">
    <w:name w:val="PartTitle"/>
    <w:basedOn w:val="Normal"/>
    <w:next w:val="ChapterTitle"/>
    <w:rsid w:val="00877878"/>
    <w:pPr>
      <w:keepNext/>
      <w:pageBreakBefore/>
      <w:spacing w:after="360"/>
      <w:jc w:val="center"/>
    </w:pPr>
    <w:rPr>
      <w:b/>
      <w:sz w:val="36"/>
    </w:rPr>
  </w:style>
  <w:style w:type="paragraph" w:customStyle="1" w:styleId="SectionTitle">
    <w:name w:val="SectionTitle"/>
    <w:basedOn w:val="Normal"/>
    <w:next w:val="Heading1"/>
    <w:rsid w:val="00877878"/>
    <w:pPr>
      <w:keepNext/>
      <w:spacing w:after="360"/>
      <w:jc w:val="center"/>
    </w:pPr>
    <w:rPr>
      <w:b/>
      <w:smallCaps/>
      <w:sz w:val="28"/>
    </w:rPr>
  </w:style>
  <w:style w:type="paragraph" w:customStyle="1" w:styleId="TableTitle">
    <w:name w:val="Table Title"/>
    <w:basedOn w:val="Normal"/>
    <w:next w:val="Normal"/>
    <w:rsid w:val="00877878"/>
    <w:pPr>
      <w:jc w:val="center"/>
    </w:pPr>
    <w:rPr>
      <w:b/>
    </w:rPr>
  </w:style>
  <w:style w:type="character" w:customStyle="1" w:styleId="Marker">
    <w:name w:val="Marker"/>
    <w:basedOn w:val="DefaultParagraphFont"/>
    <w:rsid w:val="00877878"/>
    <w:rPr>
      <w:color w:val="0000FF"/>
      <w:shd w:val="clear" w:color="auto" w:fill="auto"/>
    </w:rPr>
  </w:style>
  <w:style w:type="character" w:customStyle="1" w:styleId="Marker1">
    <w:name w:val="Marker1"/>
    <w:basedOn w:val="DefaultParagraphFont"/>
    <w:rsid w:val="00877878"/>
    <w:rPr>
      <w:color w:val="008000"/>
      <w:shd w:val="clear" w:color="auto" w:fill="auto"/>
    </w:rPr>
  </w:style>
  <w:style w:type="character" w:customStyle="1" w:styleId="Marker2">
    <w:name w:val="Marker2"/>
    <w:basedOn w:val="DefaultParagraphFont"/>
    <w:rsid w:val="00877878"/>
    <w:rPr>
      <w:color w:val="FF0000"/>
      <w:shd w:val="clear" w:color="auto" w:fill="auto"/>
    </w:rPr>
  </w:style>
  <w:style w:type="paragraph" w:customStyle="1" w:styleId="Point0number">
    <w:name w:val="Point 0 (number)"/>
    <w:basedOn w:val="Normal"/>
    <w:rsid w:val="00877878"/>
    <w:pPr>
      <w:numPr>
        <w:numId w:val="18"/>
      </w:numPr>
    </w:pPr>
  </w:style>
  <w:style w:type="paragraph" w:customStyle="1" w:styleId="Point1number">
    <w:name w:val="Point 1 (number)"/>
    <w:basedOn w:val="Normal"/>
    <w:rsid w:val="00877878"/>
    <w:pPr>
      <w:numPr>
        <w:ilvl w:val="2"/>
        <w:numId w:val="18"/>
      </w:numPr>
    </w:pPr>
  </w:style>
  <w:style w:type="paragraph" w:customStyle="1" w:styleId="Point2number">
    <w:name w:val="Point 2 (number)"/>
    <w:basedOn w:val="Normal"/>
    <w:rsid w:val="00877878"/>
    <w:pPr>
      <w:numPr>
        <w:ilvl w:val="4"/>
        <w:numId w:val="18"/>
      </w:numPr>
    </w:pPr>
  </w:style>
  <w:style w:type="paragraph" w:customStyle="1" w:styleId="Point3number">
    <w:name w:val="Point 3 (number)"/>
    <w:basedOn w:val="Normal"/>
    <w:rsid w:val="00877878"/>
    <w:pPr>
      <w:numPr>
        <w:ilvl w:val="6"/>
        <w:numId w:val="18"/>
      </w:numPr>
    </w:pPr>
  </w:style>
  <w:style w:type="paragraph" w:customStyle="1" w:styleId="Point0letter">
    <w:name w:val="Point 0 (letter)"/>
    <w:basedOn w:val="Normal"/>
    <w:rsid w:val="00877878"/>
    <w:pPr>
      <w:numPr>
        <w:ilvl w:val="1"/>
        <w:numId w:val="18"/>
      </w:numPr>
    </w:pPr>
  </w:style>
  <w:style w:type="paragraph" w:customStyle="1" w:styleId="Point1letter">
    <w:name w:val="Point 1 (letter)"/>
    <w:basedOn w:val="Normal"/>
    <w:rsid w:val="00877878"/>
    <w:pPr>
      <w:numPr>
        <w:ilvl w:val="3"/>
        <w:numId w:val="18"/>
      </w:numPr>
    </w:pPr>
  </w:style>
  <w:style w:type="paragraph" w:customStyle="1" w:styleId="Point2letter">
    <w:name w:val="Point 2 (letter)"/>
    <w:basedOn w:val="Normal"/>
    <w:rsid w:val="00877878"/>
    <w:pPr>
      <w:numPr>
        <w:ilvl w:val="5"/>
        <w:numId w:val="18"/>
      </w:numPr>
    </w:pPr>
  </w:style>
  <w:style w:type="paragraph" w:customStyle="1" w:styleId="Point3letter">
    <w:name w:val="Point 3 (letter)"/>
    <w:basedOn w:val="Normal"/>
    <w:rsid w:val="00877878"/>
    <w:pPr>
      <w:numPr>
        <w:ilvl w:val="7"/>
        <w:numId w:val="18"/>
      </w:numPr>
    </w:pPr>
  </w:style>
  <w:style w:type="paragraph" w:customStyle="1" w:styleId="Point4letter">
    <w:name w:val="Point 4 (letter)"/>
    <w:basedOn w:val="Normal"/>
    <w:rsid w:val="00877878"/>
    <w:pPr>
      <w:numPr>
        <w:ilvl w:val="8"/>
        <w:numId w:val="18"/>
      </w:numPr>
    </w:pPr>
  </w:style>
  <w:style w:type="paragraph" w:customStyle="1" w:styleId="Bullet0">
    <w:name w:val="Bullet 0"/>
    <w:basedOn w:val="Normal"/>
    <w:rsid w:val="00877878"/>
    <w:pPr>
      <w:numPr>
        <w:numId w:val="19"/>
      </w:numPr>
    </w:pPr>
  </w:style>
  <w:style w:type="paragraph" w:customStyle="1" w:styleId="Bullet1">
    <w:name w:val="Bullet 1"/>
    <w:basedOn w:val="Normal"/>
    <w:rsid w:val="00877878"/>
    <w:pPr>
      <w:numPr>
        <w:numId w:val="20"/>
      </w:numPr>
    </w:pPr>
  </w:style>
  <w:style w:type="paragraph" w:customStyle="1" w:styleId="Bullet2">
    <w:name w:val="Bullet 2"/>
    <w:basedOn w:val="Normal"/>
    <w:rsid w:val="00877878"/>
    <w:pPr>
      <w:numPr>
        <w:numId w:val="21"/>
      </w:numPr>
    </w:pPr>
  </w:style>
  <w:style w:type="paragraph" w:customStyle="1" w:styleId="Bullet3">
    <w:name w:val="Bullet 3"/>
    <w:basedOn w:val="Normal"/>
    <w:rsid w:val="00877878"/>
    <w:pPr>
      <w:numPr>
        <w:numId w:val="22"/>
      </w:numPr>
    </w:pPr>
  </w:style>
  <w:style w:type="paragraph" w:customStyle="1" w:styleId="Bullet4">
    <w:name w:val="Bullet 4"/>
    <w:basedOn w:val="Normal"/>
    <w:rsid w:val="00877878"/>
    <w:pPr>
      <w:numPr>
        <w:numId w:val="23"/>
      </w:numPr>
    </w:pPr>
  </w:style>
  <w:style w:type="paragraph" w:customStyle="1" w:styleId="Langue">
    <w:name w:val="Langue"/>
    <w:basedOn w:val="Normal"/>
    <w:next w:val="Rfrenceinterne"/>
    <w:rsid w:val="00877878"/>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rsid w:val="00877878"/>
    <w:pPr>
      <w:spacing w:before="0" w:after="0"/>
      <w:jc w:val="left"/>
    </w:pPr>
    <w:rPr>
      <w:rFonts w:ascii="Arial" w:hAnsi="Arial" w:cs="Arial"/>
    </w:rPr>
  </w:style>
  <w:style w:type="paragraph" w:customStyle="1" w:styleId="Emission">
    <w:name w:val="Emission"/>
    <w:basedOn w:val="Normal"/>
    <w:next w:val="Rfrenceinstitutionnelle"/>
    <w:rsid w:val="00877878"/>
    <w:pPr>
      <w:spacing w:before="0" w:after="0"/>
      <w:ind w:left="5103"/>
      <w:jc w:val="left"/>
    </w:pPr>
  </w:style>
  <w:style w:type="paragraph" w:customStyle="1" w:styleId="Rfrenceinstitutionnelle">
    <w:name w:val="Référence institutionnelle"/>
    <w:basedOn w:val="Normal"/>
    <w:next w:val="Confidentialit"/>
    <w:rsid w:val="00877878"/>
    <w:pPr>
      <w:spacing w:before="0" w:after="240"/>
      <w:ind w:left="5103"/>
      <w:jc w:val="left"/>
    </w:pPr>
  </w:style>
  <w:style w:type="paragraph" w:customStyle="1" w:styleId="Pagedecouverture">
    <w:name w:val="Page de couverture"/>
    <w:basedOn w:val="Normal"/>
    <w:next w:val="Normal"/>
    <w:rsid w:val="00877878"/>
    <w:pPr>
      <w:spacing w:before="0" w:after="0"/>
    </w:pPr>
  </w:style>
  <w:style w:type="paragraph" w:customStyle="1" w:styleId="Declassification">
    <w:name w:val="Declassification"/>
    <w:basedOn w:val="Normal"/>
    <w:next w:val="Normal"/>
    <w:rsid w:val="00877878"/>
    <w:pPr>
      <w:spacing w:before="0" w:after="0"/>
    </w:pPr>
  </w:style>
  <w:style w:type="paragraph" w:customStyle="1" w:styleId="Disclaimer">
    <w:name w:val="Disclaimer"/>
    <w:basedOn w:val="Normal"/>
    <w:rsid w:val="00877878"/>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rsid w:val="00877878"/>
    <w:pPr>
      <w:jc w:val="center"/>
    </w:pPr>
    <w:rPr>
      <w:b/>
      <w:u w:val="single"/>
    </w:rPr>
  </w:style>
  <w:style w:type="paragraph" w:customStyle="1" w:styleId="Annexetitre">
    <w:name w:val="Annexe titre"/>
    <w:basedOn w:val="Normal"/>
    <w:next w:val="Normal"/>
    <w:rsid w:val="00877878"/>
    <w:pPr>
      <w:jc w:val="center"/>
    </w:pPr>
    <w:rPr>
      <w:b/>
      <w:u w:val="single"/>
    </w:rPr>
  </w:style>
  <w:style w:type="paragraph" w:customStyle="1" w:styleId="Annexetitrefichefinancire">
    <w:name w:val="Annexe titre (fiche financière)"/>
    <w:basedOn w:val="Normal"/>
    <w:next w:val="Normal"/>
    <w:rsid w:val="00877878"/>
    <w:pPr>
      <w:jc w:val="center"/>
    </w:pPr>
    <w:rPr>
      <w:b/>
      <w:u w:val="single"/>
    </w:rPr>
  </w:style>
  <w:style w:type="paragraph" w:customStyle="1" w:styleId="Applicationdirecte">
    <w:name w:val="Application directe"/>
    <w:basedOn w:val="Normal"/>
    <w:next w:val="Fait"/>
    <w:rsid w:val="00877878"/>
    <w:pPr>
      <w:spacing w:before="480"/>
    </w:pPr>
  </w:style>
  <w:style w:type="paragraph" w:customStyle="1" w:styleId="Avertissementtitre">
    <w:name w:val="Avertissement titre"/>
    <w:basedOn w:val="Normal"/>
    <w:next w:val="Normal"/>
    <w:rsid w:val="00877878"/>
    <w:pPr>
      <w:keepNext/>
      <w:spacing w:before="480"/>
    </w:pPr>
    <w:rPr>
      <w:u w:val="single"/>
    </w:rPr>
  </w:style>
  <w:style w:type="paragraph" w:customStyle="1" w:styleId="Confidence">
    <w:name w:val="Confidence"/>
    <w:basedOn w:val="Normal"/>
    <w:next w:val="Normal"/>
    <w:rsid w:val="00877878"/>
    <w:pPr>
      <w:spacing w:before="360"/>
      <w:jc w:val="center"/>
    </w:pPr>
  </w:style>
  <w:style w:type="paragraph" w:customStyle="1" w:styleId="Confidentialit">
    <w:name w:val="Confidentialité"/>
    <w:basedOn w:val="Normal"/>
    <w:next w:val="TypedudocumentPagedecouverture"/>
    <w:rsid w:val="00877878"/>
    <w:pPr>
      <w:spacing w:before="240" w:after="240"/>
      <w:ind w:left="5103"/>
      <w:jc w:val="left"/>
    </w:pPr>
    <w:rPr>
      <w:i/>
      <w:sz w:val="32"/>
    </w:rPr>
  </w:style>
  <w:style w:type="paragraph" w:customStyle="1" w:styleId="Considrant">
    <w:name w:val="Considérant"/>
    <w:basedOn w:val="Normal"/>
    <w:rsid w:val="00877878"/>
    <w:pPr>
      <w:numPr>
        <w:numId w:val="24"/>
      </w:numPr>
    </w:pPr>
  </w:style>
  <w:style w:type="paragraph" w:customStyle="1" w:styleId="Corrigendum">
    <w:name w:val="Corrigendum"/>
    <w:basedOn w:val="Normal"/>
    <w:next w:val="Normal"/>
    <w:rsid w:val="00877878"/>
    <w:pPr>
      <w:spacing w:before="0" w:after="240"/>
      <w:jc w:val="left"/>
    </w:pPr>
  </w:style>
  <w:style w:type="paragraph" w:customStyle="1" w:styleId="Datedadoption">
    <w:name w:val="Date d'adoption"/>
    <w:basedOn w:val="Normal"/>
    <w:next w:val="Titreobjet"/>
    <w:rsid w:val="00877878"/>
    <w:pPr>
      <w:spacing w:before="360" w:after="0"/>
      <w:jc w:val="center"/>
    </w:pPr>
    <w:rPr>
      <w:b/>
    </w:rPr>
  </w:style>
  <w:style w:type="paragraph" w:customStyle="1" w:styleId="Exposdesmotifstitre">
    <w:name w:val="Exposé des motifs titre"/>
    <w:basedOn w:val="Normal"/>
    <w:next w:val="Normal"/>
    <w:rsid w:val="00877878"/>
    <w:pPr>
      <w:jc w:val="center"/>
    </w:pPr>
    <w:rPr>
      <w:b/>
      <w:u w:val="single"/>
    </w:rPr>
  </w:style>
  <w:style w:type="paragraph" w:customStyle="1" w:styleId="Fait">
    <w:name w:val="Fait à"/>
    <w:basedOn w:val="Normal"/>
    <w:next w:val="Institutionquisigne"/>
    <w:rsid w:val="00877878"/>
    <w:pPr>
      <w:keepNext/>
      <w:spacing w:after="0"/>
    </w:pPr>
  </w:style>
  <w:style w:type="paragraph" w:customStyle="1" w:styleId="Formuledadoption">
    <w:name w:val="Formule d'adoption"/>
    <w:basedOn w:val="Normal"/>
    <w:next w:val="Titrearticle"/>
    <w:rsid w:val="00877878"/>
    <w:pPr>
      <w:keepNext/>
    </w:pPr>
  </w:style>
  <w:style w:type="paragraph" w:customStyle="1" w:styleId="Institutionquiagit">
    <w:name w:val="Institution qui agit"/>
    <w:basedOn w:val="Normal"/>
    <w:next w:val="Normal"/>
    <w:rsid w:val="00877878"/>
    <w:pPr>
      <w:keepNext/>
      <w:spacing w:before="600"/>
    </w:pPr>
  </w:style>
  <w:style w:type="paragraph" w:customStyle="1" w:styleId="Institutionquisigne">
    <w:name w:val="Institution qui signe"/>
    <w:basedOn w:val="Normal"/>
    <w:next w:val="Personnequisigne"/>
    <w:rsid w:val="00877878"/>
    <w:pPr>
      <w:keepNext/>
      <w:tabs>
        <w:tab w:val="left" w:pos="4252"/>
      </w:tabs>
      <w:spacing w:before="720" w:after="0"/>
    </w:pPr>
    <w:rPr>
      <w:i/>
    </w:rPr>
  </w:style>
  <w:style w:type="paragraph" w:customStyle="1" w:styleId="ManualConsidrant">
    <w:name w:val="Manual Considérant"/>
    <w:basedOn w:val="Normal"/>
    <w:rsid w:val="00877878"/>
    <w:pPr>
      <w:ind w:left="709" w:hanging="709"/>
    </w:pPr>
  </w:style>
  <w:style w:type="paragraph" w:customStyle="1" w:styleId="Personnequisigne">
    <w:name w:val="Personne qui signe"/>
    <w:basedOn w:val="Normal"/>
    <w:next w:val="Institutionquisigne"/>
    <w:rsid w:val="00877878"/>
    <w:pPr>
      <w:tabs>
        <w:tab w:val="left" w:pos="4252"/>
      </w:tabs>
      <w:spacing w:before="0" w:after="0"/>
      <w:jc w:val="left"/>
    </w:pPr>
    <w:rPr>
      <w:i/>
    </w:rPr>
  </w:style>
  <w:style w:type="paragraph" w:customStyle="1" w:styleId="Rfrenceinterinstitutionnelle">
    <w:name w:val="Référence interinstitutionnelle"/>
    <w:basedOn w:val="Normal"/>
    <w:next w:val="Statut"/>
    <w:rsid w:val="00877878"/>
    <w:pPr>
      <w:spacing w:before="0" w:after="0"/>
      <w:ind w:left="5103"/>
      <w:jc w:val="left"/>
    </w:pPr>
  </w:style>
  <w:style w:type="paragraph" w:customStyle="1" w:styleId="Rfrenceinterne">
    <w:name w:val="Référence interne"/>
    <w:basedOn w:val="Normal"/>
    <w:next w:val="Rfrenceinterinstitutionnelle"/>
    <w:rsid w:val="00877878"/>
    <w:pPr>
      <w:spacing w:before="0" w:after="0"/>
      <w:ind w:left="5103"/>
      <w:jc w:val="left"/>
    </w:pPr>
  </w:style>
  <w:style w:type="paragraph" w:customStyle="1" w:styleId="Statut">
    <w:name w:val="Statut"/>
    <w:basedOn w:val="Normal"/>
    <w:next w:val="Typedudocument"/>
    <w:rsid w:val="00877878"/>
    <w:pPr>
      <w:spacing w:before="360" w:after="0"/>
      <w:jc w:val="center"/>
    </w:pPr>
  </w:style>
  <w:style w:type="paragraph" w:customStyle="1" w:styleId="Titrearticle">
    <w:name w:val="Titre article"/>
    <w:basedOn w:val="Normal"/>
    <w:next w:val="Normal"/>
    <w:rsid w:val="00877878"/>
    <w:pPr>
      <w:keepNext/>
      <w:spacing w:before="360"/>
      <w:jc w:val="center"/>
    </w:pPr>
    <w:rPr>
      <w:i/>
    </w:rPr>
  </w:style>
  <w:style w:type="paragraph" w:customStyle="1" w:styleId="Titreobjet">
    <w:name w:val="Titre objet"/>
    <w:basedOn w:val="Normal"/>
    <w:next w:val="IntrtEEE"/>
    <w:rsid w:val="00877878"/>
    <w:pPr>
      <w:spacing w:before="360" w:after="360"/>
      <w:jc w:val="center"/>
    </w:pPr>
    <w:rPr>
      <w:b/>
    </w:rPr>
  </w:style>
  <w:style w:type="paragraph" w:customStyle="1" w:styleId="Typedudocument">
    <w:name w:val="Type du document"/>
    <w:basedOn w:val="Normal"/>
    <w:next w:val="Titreobjet"/>
    <w:rsid w:val="00877878"/>
    <w:pPr>
      <w:spacing w:before="360" w:after="0"/>
      <w:jc w:val="center"/>
    </w:pPr>
    <w:rPr>
      <w:b/>
    </w:rPr>
  </w:style>
  <w:style w:type="character" w:customStyle="1" w:styleId="Added">
    <w:name w:val="Added"/>
    <w:basedOn w:val="DefaultParagraphFont"/>
    <w:rsid w:val="00877878"/>
    <w:rPr>
      <w:b/>
      <w:u w:val="single"/>
      <w:shd w:val="clear" w:color="auto" w:fill="auto"/>
    </w:rPr>
  </w:style>
  <w:style w:type="character" w:customStyle="1" w:styleId="Deleted">
    <w:name w:val="Deleted"/>
    <w:basedOn w:val="DefaultParagraphFont"/>
    <w:rsid w:val="00877878"/>
    <w:rPr>
      <w:strike/>
      <w:dstrike w:val="0"/>
      <w:shd w:val="clear" w:color="auto" w:fill="auto"/>
    </w:rPr>
  </w:style>
  <w:style w:type="paragraph" w:customStyle="1" w:styleId="Address">
    <w:name w:val="Address"/>
    <w:basedOn w:val="Normal"/>
    <w:next w:val="Normal"/>
    <w:rsid w:val="00877878"/>
    <w:pPr>
      <w:keepLines/>
      <w:spacing w:line="360" w:lineRule="auto"/>
      <w:ind w:left="3402"/>
      <w:jc w:val="left"/>
    </w:pPr>
  </w:style>
  <w:style w:type="paragraph" w:customStyle="1" w:styleId="Objetexterne">
    <w:name w:val="Objet externe"/>
    <w:basedOn w:val="Normal"/>
    <w:next w:val="Normal"/>
    <w:rsid w:val="00877878"/>
    <w:rPr>
      <w:i/>
      <w:caps/>
    </w:rPr>
  </w:style>
  <w:style w:type="paragraph" w:customStyle="1" w:styleId="Supertitre">
    <w:name w:val="Supertitre"/>
    <w:basedOn w:val="Normal"/>
    <w:next w:val="Normal"/>
    <w:rsid w:val="00877878"/>
    <w:pPr>
      <w:spacing w:before="0" w:after="600"/>
      <w:jc w:val="center"/>
    </w:pPr>
    <w:rPr>
      <w:b/>
    </w:rPr>
  </w:style>
  <w:style w:type="paragraph" w:customStyle="1" w:styleId="Languesfaisantfoi">
    <w:name w:val="Langues faisant foi"/>
    <w:basedOn w:val="Normal"/>
    <w:next w:val="Normal"/>
    <w:rsid w:val="00877878"/>
    <w:pPr>
      <w:spacing w:before="360" w:after="0"/>
      <w:jc w:val="center"/>
    </w:pPr>
  </w:style>
  <w:style w:type="paragraph" w:customStyle="1" w:styleId="Rfrencecroise">
    <w:name w:val="Référence croisée"/>
    <w:basedOn w:val="Normal"/>
    <w:rsid w:val="00877878"/>
    <w:pPr>
      <w:spacing w:before="0" w:after="0"/>
      <w:jc w:val="center"/>
    </w:pPr>
  </w:style>
  <w:style w:type="paragraph" w:customStyle="1" w:styleId="Fichefinanciretitre">
    <w:name w:val="Fiche financière titre"/>
    <w:basedOn w:val="Normal"/>
    <w:next w:val="Normal"/>
    <w:rsid w:val="00877878"/>
    <w:pPr>
      <w:jc w:val="center"/>
    </w:pPr>
    <w:rPr>
      <w:b/>
      <w:u w:val="single"/>
    </w:rPr>
  </w:style>
  <w:style w:type="paragraph" w:customStyle="1" w:styleId="DatedadoptionPagedecouverture">
    <w:name w:val="Date d'adoption (Page de couverture)"/>
    <w:basedOn w:val="Datedadoption"/>
    <w:next w:val="TitreobjetPagedecouverture"/>
    <w:rsid w:val="00877878"/>
  </w:style>
  <w:style w:type="paragraph" w:customStyle="1" w:styleId="RfrenceinterinstitutionnellePagedecouverture">
    <w:name w:val="Référence interinstitutionnelle (Page de couverture)"/>
    <w:basedOn w:val="Rfrenceinterinstitutionnelle"/>
    <w:next w:val="Confidentialit"/>
    <w:rsid w:val="00877878"/>
  </w:style>
  <w:style w:type="paragraph" w:customStyle="1" w:styleId="StatutPagedecouverture">
    <w:name w:val="Statut (Page de couverture)"/>
    <w:basedOn w:val="Statut"/>
    <w:next w:val="TypedudocumentPagedecouverture"/>
    <w:rsid w:val="00877878"/>
  </w:style>
  <w:style w:type="paragraph" w:customStyle="1" w:styleId="TitreobjetPagedecouverture">
    <w:name w:val="Titre objet (Page de couverture)"/>
    <w:basedOn w:val="Titreobjet"/>
    <w:next w:val="IntrtEEEPagedecouverture"/>
    <w:rsid w:val="00877878"/>
  </w:style>
  <w:style w:type="paragraph" w:customStyle="1" w:styleId="TypedudocumentPagedecouverture">
    <w:name w:val="Type du document (Page de couverture)"/>
    <w:basedOn w:val="Typedudocument"/>
    <w:next w:val="TitreobjetPagedecouverture"/>
    <w:rsid w:val="00877878"/>
  </w:style>
  <w:style w:type="paragraph" w:customStyle="1" w:styleId="Volume">
    <w:name w:val="Volume"/>
    <w:basedOn w:val="Normal"/>
    <w:next w:val="Confidentialit"/>
    <w:rsid w:val="00877878"/>
    <w:pPr>
      <w:spacing w:before="0" w:after="240"/>
      <w:ind w:left="5103"/>
      <w:jc w:val="left"/>
    </w:pPr>
  </w:style>
  <w:style w:type="paragraph" w:customStyle="1" w:styleId="IntrtEEE">
    <w:name w:val="Intérêt EEE"/>
    <w:basedOn w:val="Languesfaisantfoi"/>
    <w:next w:val="Normal"/>
    <w:rsid w:val="00877878"/>
    <w:pPr>
      <w:spacing w:after="240"/>
    </w:pPr>
  </w:style>
  <w:style w:type="paragraph" w:customStyle="1" w:styleId="Accompagnant">
    <w:name w:val="Accompagnant"/>
    <w:basedOn w:val="Normal"/>
    <w:next w:val="Typeacteprincipal"/>
    <w:rsid w:val="00877878"/>
    <w:pPr>
      <w:spacing w:before="0" w:after="240"/>
      <w:jc w:val="center"/>
    </w:pPr>
    <w:rPr>
      <w:b/>
      <w:i/>
    </w:rPr>
  </w:style>
  <w:style w:type="paragraph" w:customStyle="1" w:styleId="Typeacteprincipal">
    <w:name w:val="Type acte principal"/>
    <w:basedOn w:val="Normal"/>
    <w:next w:val="Objetacteprincipal"/>
    <w:rsid w:val="00877878"/>
    <w:pPr>
      <w:spacing w:before="0" w:after="240"/>
      <w:jc w:val="center"/>
    </w:pPr>
    <w:rPr>
      <w:b/>
    </w:rPr>
  </w:style>
  <w:style w:type="paragraph" w:customStyle="1" w:styleId="Objetacteprincipal">
    <w:name w:val="Objet acte principal"/>
    <w:basedOn w:val="Normal"/>
    <w:next w:val="Titrearticle"/>
    <w:rsid w:val="00877878"/>
    <w:pPr>
      <w:spacing w:before="0" w:after="360"/>
      <w:jc w:val="center"/>
    </w:pPr>
    <w:rPr>
      <w:b/>
    </w:rPr>
  </w:style>
  <w:style w:type="paragraph" w:customStyle="1" w:styleId="IntrtEEEPagedecouverture">
    <w:name w:val="Intérêt EEE (Page de couverture)"/>
    <w:basedOn w:val="IntrtEEE"/>
    <w:next w:val="Rfrencecroise"/>
    <w:rsid w:val="00877878"/>
  </w:style>
  <w:style w:type="paragraph" w:customStyle="1" w:styleId="AccompagnantPagedecouverture">
    <w:name w:val="Accompagnant (Page de couverture)"/>
    <w:basedOn w:val="Accompagnant"/>
    <w:next w:val="TypeacteprincipalPagedecouverture"/>
    <w:rsid w:val="00877878"/>
  </w:style>
  <w:style w:type="paragraph" w:customStyle="1" w:styleId="TypeacteprincipalPagedecouverture">
    <w:name w:val="Type acte principal (Page de couverture)"/>
    <w:basedOn w:val="Typeacteprincipal"/>
    <w:next w:val="ObjetacteprincipalPagedecouverture"/>
    <w:rsid w:val="00877878"/>
  </w:style>
  <w:style w:type="paragraph" w:customStyle="1" w:styleId="ObjetacteprincipalPagedecouverture">
    <w:name w:val="Objet acte principal (Page de couverture)"/>
    <w:basedOn w:val="Objetacteprincipal"/>
    <w:next w:val="Rfrencecroise"/>
    <w:rsid w:val="00877878"/>
  </w:style>
  <w:style w:type="paragraph" w:customStyle="1" w:styleId="LanguesfaisantfoiPagedecouverture">
    <w:name w:val="Langues faisant foi (Page de couverture)"/>
    <w:basedOn w:val="Normal"/>
    <w:next w:val="Normal"/>
    <w:rsid w:val="00877878"/>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050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CCE44B-CC2F-4299-A179-CE9C0ADC9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0</TotalTime>
  <Pages>9</Pages>
  <Words>2332</Words>
  <Characters>15547</Characters>
  <Application>Microsoft Office Word</Application>
  <DocSecurity>4</DocSecurity>
  <Lines>289</Lines>
  <Paragraphs>113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17826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THERACE Christine (SG)</dc:creator>
  <cp:lastModifiedBy>Stefanie Heilemann</cp:lastModifiedBy>
  <cp:revision>2</cp:revision>
  <cp:lastPrinted>2017-12-04T12:44:00Z</cp:lastPrinted>
  <dcterms:created xsi:type="dcterms:W3CDTF">2017-12-14T14:35:00Z</dcterms:created>
  <dcterms:modified xsi:type="dcterms:W3CDTF">2017-12-14T14:35:00Z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vt:lpwstr>
  </property>
  <property fmtid="{D5CDD505-2E9C-101B-9397-08002B2CF9AE}" pid="4" name="Last edited using">
    <vt:lpwstr>LW 6.0, Build 20171009</vt:lpwstr>
  </property>
  <property fmtid="{D5CDD505-2E9C-101B-9397-08002B2CF9AE}" pid="5" name="Created using">
    <vt:lpwstr>LW 6.0, Build 20171009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SJ-023</vt:lpwstr>
  </property>
  <property fmtid="{D5CDD505-2E9C-101B-9397-08002B2CF9AE}" pid="10" name="DQCStatus">
    <vt:lpwstr>Yellow (DQC version 03)</vt:lpwstr>
  </property>
</Properties>
</file>