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F437D030-3D99-4872-9F2E-DFF02E60CC3B" style="width:450.7pt;height:392.9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DÔVODOVÁ SPRÁVA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KONTEXT NÁVRHU</w:t>
      </w:r>
    </w:p>
    <w:p>
      <w:pPr>
        <w:ind w:left="850"/>
        <w:rPr>
          <w:rFonts w:eastAsia="Times New Roman"/>
          <w:noProof/>
        </w:rPr>
      </w:pPr>
      <w:r>
        <w:rPr>
          <w:noProof/>
        </w:rPr>
        <w:t>Tento návrh na zrušenie nariadenia (EÚ) č. 256/2014 (ďalej len „nariadenie“) sa predkladá v súvislosti s programom Komisie REFIT a záväzkom k lepšej tvorbe práva. Cieľom je zabezpečiť kvalitný právny rámec, ktorý by spĺňal svoj účel, ako sa uvádza v Medziinštitucionálnej dohode medzi Európskym parlamentom, Radou Európskej únie a Európskou komisiou o lepšej tvorbe práva.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Komisia zistila, že toto nariadenie už nespĺňa svoj účel, a navrhuje jeho zrušenie.</w:t>
      </w:r>
    </w:p>
    <w:p>
      <w:pPr>
        <w:ind w:left="850"/>
        <w:rPr>
          <w:rFonts w:eastAsia="Times New Roman"/>
          <w:noProof/>
          <w:szCs w:val="24"/>
        </w:rPr>
      </w:pPr>
      <w:r>
        <w:rPr>
          <w:noProof/>
        </w:rPr>
        <w:t>Nariadenie (EÚ) č. 256/2014 o povinnosti oznamovať Komisii investičné projekty v oblasti energetickej infraštruktúry v rámci Európskej únie bolo prijaté 26. februára 2014 s cieľom zabezpečiť, aby sa energetická politika EÚ rozvíjala efektívne a aby reagovala na skutočné potreby EÚ. Toto nariadenie bolo podporené vykonávacím nariadením Komisie (EÚ) č. 1113/2014 zo 16. októbra 2014, ktorým sa stanovuje formulár a technické podrobnosti oznámenia uvedeného v článkoch 3 a 5 nariadenia (EÚ) č. 256/2014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</w:p>
    <w:p>
      <w:pPr>
        <w:ind w:left="850"/>
        <w:rPr>
          <w:rFonts w:eastAsia="Times New Roman"/>
          <w:noProof/>
          <w:szCs w:val="24"/>
        </w:rPr>
      </w:pPr>
      <w:r>
        <w:rPr>
          <w:noProof/>
        </w:rPr>
        <w:t>Na základe článku 194 Zmluvy o fungovaní Európskej únie sa nariadením (EÚ) č. 256/2014 a vykonávacím nariadením Komisie (EÚ) č. 1113/2014 určila povinnosť členských štátov oznamovať Komisii investičné projekty, v prípade ktorých sa začali stavebné alebo vyraďovacie práce, alebo v prípade ktorých bolo prijaté konečné investičné rozhodnutie. Zámerom bolo, aby tak Komisia získala prístup k údajom a informáciám o plánovaní výrobných, prenosových a skladovacích kapacít, ako aj o projektoch v rôznych energetických odvetviach s významom pre EÚ a budúce energetické a investičné politiky.</w:t>
      </w:r>
    </w:p>
    <w:p>
      <w:pPr>
        <w:ind w:left="850"/>
        <w:rPr>
          <w:rFonts w:eastAsia="Times New Roman"/>
          <w:noProof/>
          <w:szCs w:val="24"/>
        </w:rPr>
      </w:pPr>
      <w:r>
        <w:rPr>
          <w:noProof/>
        </w:rPr>
        <w:t xml:space="preserve">Preto bolo toto nariadenie zamerané na to, aby Komisia získala celkový prehľad o vývoji investícií do energetickej infraštruktúry v EÚ a aby tak mohla lepšie plniť svoje povinnosti v odvetví energetiky. </w:t>
      </w:r>
    </w:p>
    <w:p>
      <w:pPr>
        <w:ind w:left="850"/>
        <w:rPr>
          <w:rFonts w:ascii="Lucida Sans Unicode" w:hAnsi="Lucida Sans Unicode" w:cs="Lucida Sans Unicode"/>
          <w:noProof/>
          <w:color w:val="444444"/>
          <w:sz w:val="19"/>
          <w:szCs w:val="19"/>
        </w:rPr>
      </w:pPr>
      <w:r>
        <w:rPr>
          <w:noProof/>
        </w:rPr>
        <w:t>Povinnosti vyplývajúce z tohto nariadenia sa už uplatňovali na základe nariadenia Rady (EÚ, Euratom) č. 617/2010 z 24. júna 2010 o oznamovaní investičných projektov v oblasti energetickej infraštruktúry v rámci Európskej únie Komisii a o zrušení nariadenia (ES) č. 736/96</w:t>
      </w:r>
      <w:r>
        <w:rPr>
          <w:rStyle w:val="FootnoteReference"/>
          <w:noProof/>
        </w:rPr>
        <w:footnoteReference w:id="4"/>
      </w:r>
      <w:r>
        <w:rPr>
          <w:noProof/>
        </w:rPr>
        <w:t>.</w:t>
      </w:r>
      <w:r>
        <w:rPr>
          <w:noProof/>
          <w:color w:val="444444"/>
          <w:sz w:val="22"/>
        </w:rPr>
        <w:t xml:space="preserve"> </w:t>
      </w:r>
      <w:r>
        <w:rPr>
          <w:noProof/>
        </w:rPr>
        <w:t>Súdny dvor zrušil nariadenie Rady č. 617/2010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z dôvodu nesprávneho právneho základu, ale jeho účinnosť sa skončila až prijatím nariadenia (EÚ) č. 256/2014.</w:t>
      </w:r>
      <w:r>
        <w:rPr>
          <w:rFonts w:ascii="Lucida Sans Unicode" w:hAnsi="Lucida Sans Unicode"/>
          <w:noProof/>
          <w:color w:val="444444"/>
          <w:sz w:val="19"/>
        </w:rPr>
        <w:t xml:space="preserve"> </w:t>
      </w:r>
    </w:p>
    <w:p>
      <w:pPr>
        <w:ind w:left="850"/>
        <w:rPr>
          <w:rFonts w:eastAsia="Times New Roman"/>
          <w:noProof/>
          <w:szCs w:val="24"/>
        </w:rPr>
      </w:pPr>
      <w:r>
        <w:rPr>
          <w:noProof/>
        </w:rPr>
        <w:t xml:space="preserve">Odkedy sú platné povinnosti na základe tohto nariadenia a predchádzajúceho nariadenia Rady č. 617/2010, členské štáty podali príslušné správy trikrát (v rokoch 2011, 2013 a 2015). Uplynulo už dosť času na to, aby Komisia mohla vykonať kritickú analýzu na základe dôkazov, ktorou určí, či nariadenie dosiahlo očakávané výsledky.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VÝSLEDKY HODNOTENÍ EX POST, KONZULTÁCIÍ SO ZAINTERESOVANÝMI STRANAMI A POSÚDENÍ VPLYVU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Hodnotenie ex post, regulačná vhodnosť a zjednodušenie</w:t>
      </w:r>
    </w:p>
    <w:p>
      <w:pPr>
        <w:ind w:left="788"/>
        <w:rPr>
          <w:rFonts w:eastAsia="Times New Roman"/>
          <w:noProof/>
        </w:rPr>
      </w:pPr>
      <w:r>
        <w:rPr>
          <w:noProof/>
        </w:rPr>
        <w:t xml:space="preserve">Po tom, čo členské štáty absolvovali tri kolá nahlasovania údajov na základe tohto nariadenia a jeho predchodcu, Komisia zadala tri externé štúdie. V zmysle ich zistení Komisia v roku 2016 preskúmala nariadenie (EÚ) č. 256/2014 na základe jeho článku 11. To bolo súčasťou širšej kontroly vhodnosti, ktorá zahŕňala aj povinnosti plánovania a nahlasovania na základe </w:t>
      </w:r>
      <w:r>
        <w:rPr>
          <w:i/>
          <w:iCs/>
          <w:noProof/>
        </w:rPr>
        <w:t>acquis</w:t>
      </w:r>
      <w:r>
        <w:rPr>
          <w:noProof/>
        </w:rPr>
        <w:t xml:space="preserve"> v oblasti energetiky. Komisia ju uverejnila v novembri 2016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spolu s návrhom nariadenia o riadení energetickej únie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. </w:t>
      </w:r>
    </w:p>
    <w:p>
      <w:pPr>
        <w:ind w:left="788"/>
        <w:rPr>
          <w:rFonts w:eastAsia="Times New Roman"/>
          <w:noProof/>
        </w:rPr>
      </w:pPr>
      <w:r>
        <w:rPr>
          <w:noProof/>
        </w:rPr>
        <w:t>V rámci tejto činnosti sa zistilo, že: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Existujú značné presahy, pokiaľ ide o povinnosti nahlasovania údajov podľa tohto nariadenia a povinnosti nahlasovania údajov voči ENTSO-E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a ENTSO-G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, pričom povinnosti vyplývajúce z tohto nariadenia prinášajú len malú alebo vôbec žiadnu pridanú hodnotu.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Väčšina informácií, ktoré poskytujú členské štáty na základe tohto nariadenia, sa dá jednoducho získať z iných zdrojov: siete ENTSO (Európska sieť prevádzkovateľov prenosových sústav a prepravných sietí), desaťročné plány rozvoja siete, výročné správy prevádzkovateľov prenosových sústav a prevádzkovateľov prepravných sietí, dodávatelia energií, národné sektorové plány rozvoja (napr. akčné plány rozvoja obnoviteľných zdrojov energie) atď. Komisia okrem toho pravidelne zhromažďuje informácie v rámci svojho systému pre monitorovanie trhu s energiou (EMOS).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Po dokončení všetkých troch kôl nahlasovania sa získali údaje iba za približne polovicu odvetvia energetiky v EÚ.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Ťažkosti súvisiace s vykonávaním niektorých požiadaviek nariadenia, najmä pokiaľ ide o poskytovanie informácií o budúcich kapacitách, oslabili užitočnosť týchto troch kôl nahlasovania.</w:t>
      </w:r>
    </w:p>
    <w:p>
      <w:pPr>
        <w:ind w:left="851"/>
        <w:rPr>
          <w:noProof/>
        </w:rPr>
      </w:pPr>
      <w:r>
        <w:rPr>
          <w:noProof/>
        </w:rPr>
        <w:t>Komisia následne dospela k záveru, že nariadenie (EÚ) č. 256/2014 neprinieslo očakávané výsledky. Preto by mal byť podaný návrh na jeho zrušenie.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Konzultácie so zainteresovanými stranami</w:t>
      </w:r>
    </w:p>
    <w:p>
      <w:pPr>
        <w:autoSpaceDE w:val="0"/>
        <w:autoSpaceDN w:val="0"/>
        <w:adjustRightInd w:val="0"/>
        <w:ind w:left="851"/>
        <w:rPr>
          <w:noProof/>
        </w:rPr>
      </w:pPr>
      <w:r>
        <w:rPr>
          <w:noProof/>
        </w:rPr>
        <w:t>V rámci prípravných prác na návrhu legislatívnej iniciatívy o riadení energetickej únie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Komisia uskutočnila rozsiahlu konzultáciu s cieľom získať názory a podnety od zainteresovaných strán, občanov a členských štátov. Pýtala sa v nej na to, ako možno zlepšiť súčasné spôsoby plánovania a nahlasovania v oblasti energetiky v záujme splnenia cieľov energetickej únie a zníženia administratívneho zaťaženia.</w:t>
      </w:r>
    </w:p>
    <w:p>
      <w:pPr>
        <w:autoSpaceDE w:val="0"/>
        <w:autoSpaceDN w:val="0"/>
        <w:adjustRightInd w:val="0"/>
        <w:ind w:left="851"/>
        <w:rPr>
          <w:noProof/>
        </w:rPr>
      </w:pPr>
      <w:r>
        <w:rPr>
          <w:noProof/>
        </w:rPr>
        <w:t>Verejná konzultácia sa začala 11. januára 2016, trvala vyše 12 týždňov a skončila sa 22. apríla 2016. Komisia zahrnula odpovede do hodnotenia a kontroly vhodnosti existujúcich plánovacích a vykazovacích povinností a využila ich aj v posúdení vplyvu svojho legislatívneho návrhu o riadení energetickej únie.</w:t>
      </w:r>
    </w:p>
    <w:p>
      <w:pPr>
        <w:autoSpaceDE w:val="0"/>
        <w:autoSpaceDN w:val="0"/>
        <w:adjustRightInd w:val="0"/>
        <w:ind w:left="851"/>
        <w:rPr>
          <w:noProof/>
        </w:rPr>
      </w:pPr>
      <w:r>
        <w:rPr>
          <w:noProof/>
        </w:rPr>
        <w:t>Účastníci konzultácie určili povinnosti podľa nariadenia (EÚ) č. 256/2014 ako povinnosti, ktoré by sa mohli zrušiť</w:t>
      </w:r>
      <w:r>
        <w:rPr>
          <w:rStyle w:val="FootnoteReference"/>
          <w:noProof/>
        </w:rPr>
        <w:footnoteReference w:id="11"/>
      </w:r>
      <w:r>
        <w:rPr>
          <w:noProof/>
        </w:rPr>
        <w:t>.</w:t>
      </w:r>
    </w:p>
    <w:p>
      <w:pPr>
        <w:autoSpaceDE w:val="0"/>
        <w:autoSpaceDN w:val="0"/>
        <w:adjustRightInd w:val="0"/>
        <w:rPr>
          <w:noProof/>
        </w:rPr>
      </w:pP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3.</w:t>
      </w:r>
      <w:r>
        <w:rPr>
          <w:noProof/>
        </w:rPr>
        <w:tab/>
        <w:t>PRÁVNE PRVKY NÁVRHU</w:t>
      </w:r>
    </w:p>
    <w:p>
      <w:pPr>
        <w:ind w:left="850"/>
        <w:rPr>
          <w:rFonts w:eastAsia="Times New Roman"/>
          <w:noProof/>
        </w:rPr>
      </w:pPr>
      <w:r>
        <w:rPr>
          <w:noProof/>
        </w:rPr>
        <w:t>Návrhom sa zrušuje nariadenie Európskeho parlamentu a Rady (EÚ) č. 256/2014 z 26. februára 2014 o povinnosti oznamovať Komisii investičné projekty v oblasti energetickej infraštruktúry v rámci Európskej únie, ktorým sa nahrádza nariadenie Rady (EÚ, Euratom) č. 617/2010 a zrušuje nariadenie Rady (ES) č. 736/96.</w:t>
      </w:r>
    </w:p>
    <w:p>
      <w:pPr>
        <w:ind w:left="850"/>
        <w:rPr>
          <w:rFonts w:eastAsia="Times New Roman"/>
          <w:noProof/>
        </w:rPr>
      </w:pPr>
      <w:r>
        <w:rPr>
          <w:noProof/>
        </w:rPr>
        <w:t>Právny základ nariadenia (EÚ) č. 256/2014, ktorým je článok 194 Zmluva o fungovaní Európskej únie, je predmetom riadneho legislatívneho postupu. Komisia preto navrhuje Európskemu parlamentu a Rade, aby sa toto nariadenie zrušilo.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VPLYV NA ROZPOČET </w:t>
      </w:r>
    </w:p>
    <w:p>
      <w:pPr>
        <w:ind w:left="850"/>
        <w:rPr>
          <w:noProof/>
        </w:rPr>
      </w:pPr>
      <w:r>
        <w:rPr>
          <w:noProof/>
        </w:rPr>
        <w:t>Nariadenie malo veľmi malý vplyv na rozpočet, ktorý spočíval vo výdavkoch na informačné technológie, obstarávaní údajov a náhradách pre expertov. Neočakával sa ani veľký priamy vplyv na rozpočty členských štátov.</w:t>
      </w:r>
    </w:p>
    <w:p>
      <w:pPr>
        <w:ind w:left="850"/>
        <w:rPr>
          <w:noProof/>
        </w:rPr>
      </w:pPr>
      <w:r>
        <w:rPr>
          <w:noProof/>
        </w:rPr>
        <w:t>Zrušením tohto nariadenia sa skončia obmedzené výdavky, ktoré s ním súvisia. Pomôže to racionálnejšie využívať zdroje Komisie a členských štátov, keďže sa odstránia duplicitné povinnosti nahlasovania a spracovania údajov, ktoré sú k dispozícii z iných, kvalitnejších zdrojov.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2017/0347 (COD)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NARIADENIE EURÓPSKEHO PARLAMENTU A RADY,</w:t>
      </w:r>
    </w:p>
    <w:p>
      <w:pPr>
        <w:pStyle w:val="Titreobjet"/>
        <w:rPr>
          <w:noProof/>
        </w:rPr>
      </w:pPr>
      <w:r>
        <w:rPr>
          <w:noProof/>
        </w:rPr>
        <w:t xml:space="preserve">ktorým sa zrušuje nariadenie Európskeho parlamentu a Rady (EÚ) č. 256/2014 o povinnosti oznamovať Komisii investičné projekty v oblasti energetickej infraštruktúry v rámci Európskej únie </w:t>
      </w:r>
      <w:r>
        <w:rPr>
          <w:noProof/>
        </w:rPr>
        <w:br/>
      </w:r>
      <w:r>
        <w:rPr>
          <w:noProof/>
        </w:rPr>
        <w:br/>
      </w:r>
    </w:p>
    <w:p>
      <w:pPr>
        <w:pStyle w:val="Institutionquiagit"/>
        <w:rPr>
          <w:noProof/>
        </w:rPr>
      </w:pPr>
      <w:r>
        <w:rPr>
          <w:noProof/>
        </w:rPr>
        <w:t>EURÓPSKY PARLAMENT A RADA EURÓPSKEJ ÚNIE,</w:t>
      </w:r>
    </w:p>
    <w:p>
      <w:pPr>
        <w:rPr>
          <w:noProof/>
        </w:rPr>
      </w:pPr>
      <w:r>
        <w:rPr>
          <w:noProof/>
        </w:rPr>
        <w:t>so zreteľom na Zmluvu o fungovaní Európskej únie, a najmä na jej článok 194,</w:t>
      </w:r>
    </w:p>
    <w:p>
      <w:pPr>
        <w:rPr>
          <w:noProof/>
        </w:rPr>
      </w:pPr>
      <w:r>
        <w:rPr>
          <w:noProof/>
        </w:rPr>
        <w:t>so zreteľom na návrh Európskej komisie,</w:t>
      </w:r>
    </w:p>
    <w:p>
      <w:pPr>
        <w:rPr>
          <w:noProof/>
        </w:rPr>
      </w:pPr>
      <w:r>
        <w:rPr>
          <w:noProof/>
        </w:rPr>
        <w:t>po postúpení návrhu legislatívneho aktu národným parlamentom,</w:t>
      </w:r>
    </w:p>
    <w:p>
      <w:pPr>
        <w:rPr>
          <w:noProof/>
        </w:rPr>
      </w:pPr>
      <w:r>
        <w:rPr>
          <w:noProof/>
        </w:rPr>
        <w:t>so zreteľom na stanovisko Európskeho hospodárskeho a sociálneho výboru</w:t>
      </w:r>
      <w:r>
        <w:rPr>
          <w:rStyle w:val="FootnoteReference"/>
          <w:noProof/>
        </w:rPr>
        <w:footnoteReference w:id="12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so zreteľom na stanovisko Výboru regiónov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konajúc v súlade s riadnym legislatívnym postupom,</w:t>
      </w:r>
    </w:p>
    <w:p>
      <w:pPr>
        <w:rPr>
          <w:noProof/>
        </w:rPr>
      </w:pPr>
      <w:r>
        <w:rPr>
          <w:noProof/>
        </w:rPr>
        <w:t>keďže: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Európsky parlament, Rada Európskej únie a Európska komisia potvrdili svoj spoločný záväzok aktualizovať a zjednodušiť právne predpisy v Medziinštitucionálnej dohode o lepšej tvorbe práva z 13. apríla 2016</w:t>
      </w:r>
      <w:r>
        <w:rPr>
          <w:rStyle w:val="FootnoteReference"/>
          <w:noProof/>
        </w:rPr>
        <w:footnoteReference w:id="14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V záujme sprehľadnenia legislatívy a obmedzenia jej rozsahu je potrebné určiť právne predpisy, ktoré sú zastarané alebo už nespĺňajú svoj účel. Rušením takýchto predpisov zachovávame transparentnosť, zrozumiteľnosť a použiteľnosť legislatívneho rámca.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Nariadenie Európskeho parlamentu a Rady (EÚ) č. 256/2014</w:t>
      </w:r>
      <w:r>
        <w:rPr>
          <w:rStyle w:val="FootnoteReference"/>
          <w:noProof/>
        </w:rPr>
        <w:footnoteReference w:id="15"/>
      </w:r>
      <w:r>
        <w:rPr>
          <w:noProof/>
        </w:rPr>
        <w:t xml:space="preserve"> vyžadovalo od členských štátov, aby oznamovali Komisii investičné projekty, v prípade ktorých sa začali stavebné alebo vyraďovacie práce, alebo v prípade ktorých bolo prijaté konečné investičné rozhodnutie. 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Povinnosti vyplývajúce z nariadenia (EÚ) č. 256/2014 týkajúce sa oznamovania investičných projektov a niektorých súvisiacich informácií a údajov už existovali na základe nariadenia Rady (EÚ, Euratom) č. 617/2010</w:t>
      </w:r>
      <w:r>
        <w:rPr>
          <w:rStyle w:val="FootnoteReference"/>
          <w:noProof/>
        </w:rPr>
        <w:footnoteReference w:id="16"/>
      </w:r>
      <w:r>
        <w:rPr>
          <w:noProof/>
        </w:rPr>
        <w:t>. Súdny dvor zrušil nariadenie (EÚ, Euratom) č. 617/2010</w:t>
      </w:r>
      <w:r>
        <w:rPr>
          <w:rStyle w:val="FootnoteReference"/>
          <w:noProof/>
        </w:rPr>
        <w:footnoteReference w:id="17"/>
      </w:r>
      <w:r>
        <w:rPr>
          <w:noProof/>
        </w:rPr>
        <w:t xml:space="preserve"> z dôvodu nesprávneho právneho základu, jeho účinky však pretrvávali až do prijatia nariadenia č. 256/2014. 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Zámerom predchádzajúceho legislatívneho rámca bolo poskytnúť Komisii údaje a informácie o plánovanom rozvoji výrobných, prenosových a skladovacích kapacít, ako aj o projektoch v odvetví energetiky. Komisia mala získať celkový prehľad o vývoji investovania do energetickej infraštruktúry v Únii.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 xml:space="preserve">Od stanovenia povinností v zmysle nariadenia (EÚ) č. 256/2014 a nariadenia Rady (EÚ, Euratom) č. 617/2010 sa uskutočnili tri kolá nahlasovania informácií, a to v rokoch 2011, 2013 a 2015. Okrem toho po tom, čo členské štáty absolvovali tri kolá nahlasovania údajov na základe nariadenia (EÚ) č. 256/2014, Komisia zadala tri externé štúdie. Uplynulo teda už dosť času a Komisia nadobudla dostatok skúseností na to, aby mohla vykonať kritickú analýzu na základe dôkazov, ktorou určí, či nariadenie prinieslo očakávané výsledky. 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V roku 2016 Komisia vykonala preskúmanie v zmysle článku 11 nariadenia (EÚ) č. 256/2014 vrátane konzultácie so zainteresovanými stranami, ktorá zahŕňala všetky povinnosti plánovania a nahlasovania v odvetví energetiky. Komisia dospela k záveru, že existujú značné presahy, pokiaľ ide o vykazovacie povinnosti podľa nariadenia (EÚ) č. 256/2014 a vykazovanie povinnosti voči Európskej sieti prevádzkovateľov prenosových sústav pre elektrinu ENTSO-E a Európskej sieti prevádzkovateľov prepravných sietí pre plyn ENTSO-G. Takisto vyšlo najavo, že kvalita a vhodnosť nahlásených informácií a údajov bola často nedostatočná a že tieto informácie a údaje už mala Komisia k dispozícii z iných zdrojov, napríklad od sietí ENTSO (Európska sieť prevádzkovateľov prenosových sústav a prepravných sietí), z desaťročných plánov rozvoja siete, výročných správ prevádzkovateľov prenosových sústav a prevádzkovateľov prepravných sietí, od dodávateľov energií, z národných plánov rozvoja atď. Ďalej sa skonštatovalo, že Komisia má priamy prístup k trhovým údajom v rámci svojho systému pre monitorovanie trhu s energiou (EMOS).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Nariadenie (EÚ) č. 256/2014 preto neprinieslo očakávané výsledky vzhľadom na kvantitu, kvalitu a vhodnosť údajov a informácií poskytovaných Komisii.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Nariadenie (EÚ) č. 256/2014 by sa preto malo zrušiť,</w:t>
      </w:r>
    </w:p>
    <w:p>
      <w:pPr>
        <w:pStyle w:val="Formuledadoption"/>
        <w:rPr>
          <w:noProof/>
        </w:rPr>
      </w:pPr>
      <w:r>
        <w:rPr>
          <w:noProof/>
        </w:rPr>
        <w:t>PRIJALI TOTO NARIADENIE:</w:t>
      </w:r>
    </w:p>
    <w:p>
      <w:pPr>
        <w:pStyle w:val="Titrearticle"/>
        <w:rPr>
          <w:noProof/>
        </w:rPr>
      </w:pPr>
      <w:r>
        <w:rPr>
          <w:noProof/>
        </w:rPr>
        <w:t>Článok 1</w:t>
      </w:r>
    </w:p>
    <w:p>
      <w:pPr>
        <w:rPr>
          <w:noProof/>
        </w:rPr>
      </w:pPr>
      <w:r>
        <w:rPr>
          <w:noProof/>
        </w:rPr>
        <w:t>Nariadenie (EÚ) č. 256/2014 sa zrušuje.</w:t>
      </w:r>
    </w:p>
    <w:p>
      <w:pPr>
        <w:rPr>
          <w:noProof/>
        </w:rPr>
      </w:pPr>
    </w:p>
    <w:p>
      <w:pPr>
        <w:pStyle w:val="Titrearticle"/>
        <w:rPr>
          <w:noProof/>
        </w:rPr>
      </w:pPr>
      <w:r>
        <w:rPr>
          <w:noProof/>
        </w:rPr>
        <w:t>Článok 2</w:t>
      </w:r>
    </w:p>
    <w:p>
      <w:pPr>
        <w:rPr>
          <w:noProof/>
        </w:rPr>
      </w:pPr>
      <w:r>
        <w:rPr>
          <w:noProof/>
        </w:rPr>
        <w:t>Toto nariadenie nadobúda účinnosť dvadsiatym dňom po jeho uverejnení v </w:t>
      </w:r>
      <w:r>
        <w:rPr>
          <w:i/>
          <w:noProof/>
        </w:rPr>
        <w:t>Úradnom vestníku Európskej únie</w:t>
      </w:r>
      <w:r>
        <w:rPr>
          <w:noProof/>
        </w:rPr>
        <w:t xml:space="preserve">. </w:t>
      </w:r>
    </w:p>
    <w:p>
      <w:pPr>
        <w:pStyle w:val="Applicationdirecte"/>
        <w:keepNext/>
        <w:keepLines/>
        <w:rPr>
          <w:noProof/>
        </w:rPr>
      </w:pPr>
      <w:r>
        <w:rPr>
          <w:noProof/>
        </w:rPr>
        <w:t>Toto nariadenie je záväzné v celom rozsahu a priamo uplatniteľné vo všetkých členských štátoch.</w:t>
      </w:r>
    </w:p>
    <w:p>
      <w:pPr>
        <w:pStyle w:val="Fait"/>
        <w:rPr>
          <w:noProof/>
        </w:rPr>
      </w:pPr>
      <w:r>
        <w:t>V Bruseli</w:t>
      </w:r>
    </w:p>
    <w:p>
      <w:pPr>
        <w:pStyle w:val="Institutionquisigne"/>
        <w:rPr>
          <w:noProof/>
        </w:rPr>
      </w:pPr>
      <w:r>
        <w:rPr>
          <w:noProof/>
        </w:rPr>
        <w:t>Za Európsky parlament</w:t>
      </w: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>predseda</w:t>
      </w:r>
      <w:r>
        <w:rPr>
          <w:noProof/>
        </w:rPr>
        <w:tab/>
        <w:t>predseda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rStyle w:val="Strong"/>
          <w:b w:val="0"/>
        </w:rPr>
        <w:t>Medziinštitucionálna dohoda medzi Európskym parlamentom, Radou Európskej únie a Európskou komisiou o lepšej tvorbe práva</w:t>
      </w:r>
      <w:r>
        <w:rPr>
          <w:rStyle w:val="Strong"/>
        </w:rPr>
        <w:t xml:space="preserve">. </w:t>
      </w:r>
      <w:r>
        <w:rPr>
          <w:rStyle w:val="Hyperlink"/>
          <w:color w:val="auto"/>
        </w:rPr>
        <w:t>Ú. v. EÚ L 123, 12.5.2016, s. 1 – 14.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rStyle w:val="Strong"/>
          <w:b w:val="0"/>
        </w:rPr>
        <w:t>Ú. v. EÚ L 302, 22.10.2014, s. 26.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1">
        <w:r>
          <w:rPr>
            <w:rStyle w:val="Hyperlink"/>
            <w:color w:val="auto"/>
            <w:u w:val="none"/>
          </w:rPr>
          <w:t>Ú. v. EÚ L 180, 15.7.2010, s. 7.</w:t>
        </w:r>
      </w:hyperlink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Rozsudok Súdneho dvora zo 6. septembra 2012, Parlament/Rada, C-490/10, Zb. 2012, s. I-0000.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 xml:space="preserve">Pracovný dokument útvarov Komisie SWD(2016) 396 final. </w:t>
      </w:r>
      <w:hyperlink r:id="rId2">
        <w:r>
          <w:rPr>
            <w:rStyle w:val="Hyperlink"/>
            <w:color w:val="auto"/>
          </w:rPr>
          <w:t>http://ec.europa.eu/energy/sites/ener/files/documents/1_en_autre_document_travail_service_part1_v4.pdf</w:t>
        </w:r>
      </w:hyperlink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COM(2016) 0759 final/2 – 2016/0375 (COD).</w:t>
      </w:r>
      <w:r>
        <w:rPr>
          <w:rFonts w:ascii="Lucida Sans Unicode" w:hAnsi="Lucida Sans Unicode"/>
          <w:sz w:val="19"/>
        </w:rPr>
        <w:t xml:space="preserve"> </w:t>
      </w:r>
      <w:r>
        <w:t xml:space="preserve">Návrh Komisie na nariadenie Európskeho parlamentu a Rady o riadení energetickej únie, ktorým sa mení smernica 94/22/ES, smernica 98/70/ES, smernica 2009/31/ES, nariadenie (ES) č. 663/2009, nariadenie (ES) č. 715/2009, smernica 2009/73/ES, smernica Rady 2009/119/ES, smernica 2010/31/EÚ, smernica 2012/27/EÚ, smernica 2013/30/EÚ a smernica Rady (EÚ) 2015/652 a ktorým sa zrušuje nariadenie (EÚ) č. 525/2013 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Európska sieť prevádzkovateľov prenosových sústav pre elektrinu.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Európska sieť prevádzkovateľov prepravných sietí pre plyn.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COM(2016) 0759 final/2 – 2016/0375 (COD).</w:t>
      </w:r>
      <w:r>
        <w:rPr>
          <w:rFonts w:ascii="Lucida Sans Unicode" w:hAnsi="Lucida Sans Unicode"/>
          <w:sz w:val="19"/>
        </w:rPr>
        <w:t xml:space="preserve"> </w:t>
      </w:r>
      <w:r>
        <w:t xml:space="preserve">Návrh Komisie na nariadenie Európskeho parlamentu a Rady o riadení energetickej únie, ktorým sa mení smernica 94/22/ES, smernica 98/70/ES, smernica 2009/31/ES, nariadenie (ES) č. 663/2009, nariadenie (ES) č. 715/2009, smernica 2009/73/ES, smernica Rady 2009/119/ES, smernica 2010/31/EÚ, smernica 2012/27/EÚ, smernica 2013/30/EÚ a smernica Rady (EÚ) 2015/652 a ktorým sa zrušuje nariadenie (EÚ) č. 525/2013. 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Pozri SWD(2016) 396 final, s. 118.</w:t>
      </w:r>
    </w:p>
  </w:footnote>
  <w:footnote w:id="12">
    <w:p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ab/>
        <w:t>Ú. v. EÚ C […], […], s. […].</w:t>
      </w:r>
    </w:p>
  </w:footnote>
  <w:footnote w:id="13">
    <w:p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ab/>
        <w:t>Ú. v. EÚ C […], […], s. […].</w:t>
      </w:r>
    </w:p>
  </w:footnote>
  <w:footnote w:id="14">
    <w:p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ab/>
        <w:t>Ú. v. EÚ L 123, 12.5.2016, s. 1.</w:t>
      </w:r>
    </w:p>
  </w:footnote>
  <w:footnote w:id="15">
    <w:p>
      <w:pPr>
        <w:pStyle w:val="FootnoteText"/>
      </w:pPr>
      <w:r>
        <w:rPr>
          <w:rStyle w:val="FootnoteReference"/>
        </w:rPr>
        <w:footnoteRef/>
      </w:r>
      <w:r>
        <w:tab/>
        <w:t>Nariadenie Európskeho parlamentu a Rady (EÚ) č. 256/2014 z 26. februára 2014 o povinnosti oznamovať Komisii investičné projekty v oblasti energetickej infraštruktúry v rámci Európskej únie, ktorým sa nahrádza nariadenie Rady (EÚ, Euratom) č. 617/2010 a zrušuje nariadenie Rady (ES) č. 736/96 (Ú. v. EÚ L 84, 20.3.2014, s. 61).</w:t>
      </w:r>
    </w:p>
  </w:footnote>
  <w:footnote w:id="16">
    <w:p>
      <w:pPr>
        <w:pStyle w:val="FootnoteText"/>
      </w:pPr>
      <w:r>
        <w:rPr>
          <w:rStyle w:val="FootnoteReference"/>
        </w:rPr>
        <w:footnoteRef/>
      </w:r>
      <w:r>
        <w:tab/>
        <w:t>Nariadenie Rady (EÚ, Euratom) č. 617/2010 z 24. júna 2010 o oznamovaní investičných projektov v oblasti energetickej infraštruktúry v rámci Európskej únie Komisii a o zrušení nariadenia (ES) č. 736/96 (</w:t>
      </w:r>
      <w:hyperlink r:id="rId3">
        <w:r>
          <w:rPr>
            <w:rStyle w:val="Hyperlink"/>
            <w:color w:val="auto"/>
            <w:u w:val="none"/>
          </w:rPr>
          <w:t>Ú. v. EÚ L 180, 15.7.2010, s. 7</w:t>
        </w:r>
      </w:hyperlink>
      <w:r>
        <w:rPr>
          <w:rStyle w:val="Hyperlink"/>
          <w:color w:val="auto"/>
          <w:u w:val="none"/>
        </w:rPr>
        <w:t>).</w:t>
      </w:r>
    </w:p>
  </w:footnote>
  <w:footnote w:id="17">
    <w:p>
      <w:pPr>
        <w:pStyle w:val="FootnoteText"/>
      </w:pPr>
      <w:r>
        <w:rPr>
          <w:rStyle w:val="FootnoteReference"/>
        </w:rPr>
        <w:footnoteRef/>
      </w:r>
      <w:r>
        <w:tab/>
        <w:t>Rozsudok Súdneho dvora zo 6. septembra 2012 vo veci C-490/10 Parlament/Rada, ECLI:EU:C:2012:525.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95078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6681B5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8BEA2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042AFA9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8AEAF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F9030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064E9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33273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7-12-18 16:18:3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6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F437D030-3D99-4872-9F2E-DFF02E60CC3B"/>
    <w:docVar w:name="LW_COVERPAGE_TYPE" w:val="1"/>
    <w:docVar w:name="LW_CROSSREFERENCE" w:val="&lt;UNUSED&gt;"/>
    <w:docVar w:name="LW_DocType" w:val="COM"/>
    <w:docVar w:name="LW_EMISSION" w:val="19. 12. 2017"/>
    <w:docVar w:name="LW_EMISSION_ISODATE" w:val="2017-12-19"/>
    <w:docVar w:name="LW_EMISSION_LOCATION" w:val="BRX"/>
    <w:docVar w:name="LW_EMISSION_PREFIX" w:val="V Bruseli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STATUT" w:val="SJ-023"/>
    <w:docVar w:name="LW_INTERETEEE.CP" w:val="&lt;UNUSED&gt;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347"/>
    <w:docVar w:name="LW_REF.II.NEW.CP_YEAR" w:val="2017"/>
    <w:docVar w:name="LW_REF.INST.NEW" w:val="COM"/>
    <w:docVar w:name="LW_REF.INST.NEW_ADOPTED" w:val="final"/>
    <w:docVar w:name="LW_REF.INST.NEW_TEXT" w:val="(2017) 76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TATUT.CP" w:val="Návrh"/>
    <w:docVar w:name="LW_SUPERTITRE" w:val="&lt;UNUSED&gt;"/>
    <w:docVar w:name="LW_TITRE.OBJ.CP" w:val="ktorým sa zru\u353?uje nariadenie Európskeho parlamentu a Rady (EÚ) \u269?. 256/2014 o povinnosti oznamova\u357? Komisii investi\u269?né projekty v oblasti energetickej infra\u353?truktúry v rámci Európskej únie _x000b__x000b_"/>
    <w:docVar w:name="LW_TYPE.DOC.CP" w:val="NARIADENIE EURÓPSKEHO PARLAMENTU A RADY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super">
    <w:name w:val="super"/>
    <w:basedOn w:val="DefaultParagraphFont"/>
    <w:rPr>
      <w:sz w:val="17"/>
      <w:szCs w:val="17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note">
    <w:name w:val="Footnote"/>
    <w:basedOn w:val="Default"/>
    <w:rPr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doc-ti2">
    <w:name w:val="doc-ti2"/>
    <w:basedOn w:val="Normal"/>
    <w:pPr>
      <w:spacing w:before="240" w:line="312" w:lineRule="atLeast"/>
      <w:jc w:val="center"/>
    </w:pPr>
    <w:rPr>
      <w:rFonts w:eastAsia="Times New Roman"/>
      <w:b/>
      <w:bCs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super">
    <w:name w:val="super"/>
    <w:basedOn w:val="DefaultParagraphFont"/>
    <w:rPr>
      <w:sz w:val="17"/>
      <w:szCs w:val="17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note">
    <w:name w:val="Footnote"/>
    <w:basedOn w:val="Default"/>
    <w:rPr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doc-ti2">
    <w:name w:val="doc-ti2"/>
    <w:basedOn w:val="Normal"/>
    <w:pPr>
      <w:spacing w:before="240" w:line="312" w:lineRule="atLeast"/>
      <w:jc w:val="center"/>
    </w:pPr>
    <w:rPr>
      <w:rFonts w:eastAsia="Times New Roman"/>
      <w:b/>
      <w:bCs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001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04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8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9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8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46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-lex.europa.eu/legal-content/SK/AUTO/?uri=OJ:L:2010:180:TOC" TargetMode="External"/><Relationship Id="rId2" Type="http://schemas.openxmlformats.org/officeDocument/2006/relationships/hyperlink" Target="http://ec.europa.eu/energy/sites/ener/files/documents/1_en_autre_document_travail_service_part1_v4.pdf" TargetMode="External"/><Relationship Id="rId1" Type="http://schemas.openxmlformats.org/officeDocument/2006/relationships/hyperlink" Target="http://eur-lex.europa.eu/legal-content/SK/AUTO/?uri=OJ:L:2010:180:T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EEEDB-7B49-491A-B3A1-D7EF7C49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7</Pages>
  <Words>1511</Words>
  <Characters>9207</Characters>
  <Application>Microsoft Office Word</Application>
  <DocSecurity>0</DocSecurity>
  <Lines>170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cp:lastPrinted>2017-10-05T12:15:00Z</cp:lastPrinted>
  <dcterms:created xsi:type="dcterms:W3CDTF">2017-12-04T10:42:00Z</dcterms:created>
  <dcterms:modified xsi:type="dcterms:W3CDTF">2017-12-18T15:18:00Z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5.8.86.0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WTemplateID">
    <vt:lpwstr>SJ-023</vt:lpwstr>
  </property>
  <property fmtid="{D5CDD505-2E9C-101B-9397-08002B2CF9AE}" pid="9" name="Level of sensitivity">
    <vt:lpwstr>Standard treatment</vt:lpwstr>
  </property>
  <property fmtid="{D5CDD505-2E9C-101B-9397-08002B2CF9AE}" pid="10" name="DQCStatus">
    <vt:lpwstr>Green (DQC version 03)</vt:lpwstr>
  </property>
</Properties>
</file>