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BAD4FC3-A23B-46A9-9D07-ED0E079397B9" style="width:450.7pt;height:392.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ind w:left="850"/>
        <w:rPr>
          <w:rFonts w:eastAsia="Times New Roman"/>
          <w:noProof/>
        </w:rPr>
      </w:pPr>
      <w:r>
        <w:rPr>
          <w:noProof/>
        </w:rPr>
        <w:t>Šis pasiūlymas panaikinti Reglamentą (ES) Nr. 256/2014 (toliau – Reglamentas) teikiamas remiantis Komisijos programa REFIT ir įsipareigojimu dėl geresnio reglamentavimo. Juo siekiama užtikrinti, kad teisėkūros sistema atitiktų paskirtį ir būtų aukštos kokybės, kaip nurodyta Europos Parlamento, Europos Sąjungos Tarybos ir Europos Komisijos tarpinstituciniame susitarime dėl geresnės teisėkūros</w:t>
      </w:r>
      <w:r>
        <w:rPr>
          <w:rStyle w:val="FootnoteReference"/>
          <w:noProof/>
        </w:rPr>
        <w:footnoteReference w:id="2"/>
      </w:r>
      <w:r>
        <w:rPr>
          <w:noProof/>
        </w:rPr>
        <w:t>. Komisija nustatė, kad šis reglamentas nebeatitinka paskirties ir siūlo jį panaikinti.</w:t>
      </w:r>
    </w:p>
    <w:p>
      <w:pPr>
        <w:ind w:left="850"/>
        <w:rPr>
          <w:rFonts w:eastAsia="Times New Roman"/>
          <w:noProof/>
          <w:szCs w:val="24"/>
        </w:rPr>
      </w:pPr>
      <w:r>
        <w:rPr>
          <w:noProof/>
        </w:rPr>
        <w:t>Siekiant užtikrinti, kad ES energetikos politika būtų plėtojama veiksmingai ir atitiktų faktinius ES poreikius, 2014 m. vasario 26 d. priimtas Reglamentas (ES) Nr. 256/2014 dėl pranešimo Komisijai apie energetikos infrastruktūros investicinius projektus Europos Sąjungoje. Šis reglamentas įtvirtintas 2014 m. spalio 16 d. Komisijos įgyvendinimo reglamentu (ES) Nr. 1113/2014, kuriuo nustatyta Reglamento (ES) Nr. 256/2014 3 ir 5 straipsniuose nurodyto pranešimo forma ir techniniai duomenys</w:t>
      </w:r>
      <w:r>
        <w:rPr>
          <w:rStyle w:val="FootnoteReference"/>
          <w:noProof/>
        </w:rPr>
        <w:footnoteReference w:id="3"/>
      </w:r>
      <w:r>
        <w:rPr>
          <w:noProof/>
        </w:rPr>
        <w:t>.</w:t>
      </w:r>
    </w:p>
    <w:p>
      <w:pPr>
        <w:ind w:left="850"/>
        <w:rPr>
          <w:rFonts w:eastAsia="Times New Roman"/>
          <w:noProof/>
          <w:szCs w:val="24"/>
        </w:rPr>
      </w:pPr>
      <w:r>
        <w:rPr>
          <w:noProof/>
        </w:rPr>
        <w:t>Remiantis Sutarties dėl Europos Sąjungos veikimo 194 straipsniu, Reglamentu (ES) Nr. 256/2014 ir Komisijos įgyvendinimo reglamentu (ES) Nr. 1113/2014 reikalauta, kad valstybės narės praneštų Komisijai apie investicinius projektus, pagal kuriuos pradėti statybos ar eksploatavimo nutraukimo darbai arba dėl kurių priimtas galutinis sprendimas dėl investavimo. Tokiu būdu Komisija turėjo gauti duomenis ir informaciją apie numatomus gamybos, perdavimo ir saugojimo pajėgumų pokyčius ir apie įvairių energetikos sektorių projektus, kurie atitinka Sąjungos interesus ir yra svarbūs nustatant energetikos ir investicijų politikos kryptį ateityje.</w:t>
      </w:r>
    </w:p>
    <w:p>
      <w:pPr>
        <w:ind w:left="850"/>
        <w:rPr>
          <w:rFonts w:eastAsia="Times New Roman"/>
          <w:noProof/>
          <w:szCs w:val="24"/>
        </w:rPr>
      </w:pPr>
      <w:r>
        <w:rPr>
          <w:noProof/>
        </w:rPr>
        <w:t xml:space="preserve">Taigi reglamentu siekta suteikti Komisijai galimybę susidaryti bendrą investicijų į energetikos infrastruktūrą ES raidos vaizdą, kad ji galėtų geriau vykdyti savo įpareigojimus energetikos srityje. </w:t>
      </w:r>
    </w:p>
    <w:p>
      <w:pPr>
        <w:ind w:left="850"/>
        <w:rPr>
          <w:rFonts w:ascii="Lucida Sans Unicode" w:hAnsi="Lucida Sans Unicode" w:cs="Lucida Sans Unicode"/>
          <w:noProof/>
          <w:color w:val="444444"/>
          <w:sz w:val="19"/>
          <w:szCs w:val="19"/>
        </w:rPr>
      </w:pPr>
      <w:r>
        <w:rPr>
          <w:noProof/>
        </w:rPr>
        <w:t>Įpareigojimai pagal šį reglamentą jau galiojo pagal 2010 m. birželio 24 d. Tarybos reglamentą (ES, Euratomas) Nr. 617/2010 dėl pranešimo Komisijai apie energetikos infrastruktūros investicinius projektus Europos Sąjungoje ir dėl Reglamento (EB) Nr. 736/96 panaikinimo</w:t>
      </w:r>
      <w:r>
        <w:rPr>
          <w:rStyle w:val="FootnoteReference"/>
          <w:noProof/>
        </w:rPr>
        <w:footnoteReference w:id="4"/>
      </w:r>
      <w:r>
        <w:rPr>
          <w:noProof/>
          <w:color w:val="444444"/>
          <w:sz w:val="22"/>
        </w:rPr>
        <w:t xml:space="preserve">. </w:t>
      </w:r>
      <w:r>
        <w:rPr>
          <w:noProof/>
        </w:rPr>
        <w:t xml:space="preserve"> Dėl netinkamo teisinio pagrindo Tarybos reglamentą Nr. 617/2010</w:t>
      </w:r>
      <w:r>
        <w:rPr>
          <w:rStyle w:val="FootnoteReference"/>
          <w:noProof/>
        </w:rPr>
        <w:footnoteReference w:id="5"/>
      </w:r>
      <w:r>
        <w:rPr>
          <w:noProof/>
        </w:rPr>
        <w:t xml:space="preserve"> Teisingumo Teismas panaikino, tačiau jis liko galioti, kol buvo priimtas Reglamentas (ES) Nr. 256/2014.</w:t>
      </w:r>
      <w:r>
        <w:rPr>
          <w:rFonts w:ascii="Lucida Sans Unicode" w:hAnsi="Lucida Sans Unicode"/>
          <w:noProof/>
          <w:color w:val="444444"/>
          <w:sz w:val="19"/>
        </w:rPr>
        <w:t xml:space="preserve"> </w:t>
      </w:r>
    </w:p>
    <w:p>
      <w:pPr>
        <w:ind w:left="850"/>
        <w:rPr>
          <w:rFonts w:eastAsia="Times New Roman"/>
          <w:noProof/>
          <w:szCs w:val="24"/>
        </w:rPr>
      </w:pPr>
      <w:r>
        <w:rPr>
          <w:noProof/>
        </w:rPr>
        <w:t xml:space="preserve">Nuo tada, kai nustatyti įpareigojimai pagal šį reglamentą ir ankstesnį Tarybos reglamentą Nr. 617/2010, valstybės narės ataskaitas teikė tris kartus – 2011, 2013 ir 2015 m. Taigi praėjo pakankamai laiko, kad Komisija galėtų atlikti kritinę įrodymais pagrįstą analizę, ar tas reglamentas davė tokių rezultatų, kokių tikėtasi. </w:t>
      </w:r>
    </w:p>
    <w:p>
      <w:pPr>
        <w:pStyle w:val="ManualHeading1"/>
        <w:rPr>
          <w:noProof/>
        </w:rPr>
      </w:pPr>
      <w:r>
        <w:rPr>
          <w:noProof/>
        </w:rPr>
        <w:lastRenderedPageBreak/>
        <w:t>2.</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r>
      <w:r>
        <w:rPr>
          <w:i/>
          <w:noProof/>
        </w:rPr>
        <w:t>Ex post</w:t>
      </w:r>
      <w:r>
        <w:rPr>
          <w:noProof/>
        </w:rPr>
        <w:t xml:space="preserve"> vertinimas, reglamentavimo tinkamumas ir supaprastinimas</w:t>
      </w:r>
    </w:p>
    <w:p>
      <w:pPr>
        <w:ind w:left="788"/>
        <w:rPr>
          <w:rFonts w:eastAsia="Times New Roman"/>
          <w:noProof/>
        </w:rPr>
      </w:pPr>
      <w:r>
        <w:rPr>
          <w:noProof/>
        </w:rPr>
        <w:t>Po to, kai pagal šį reglamentą ir ankstesnį Tarybos reglamentą valstybės narės tris kartus pateikė ataskaitas, Komisija užsakė atlikti tris išorės tyrimus. Atsižvelgdama į jų rezultatus, Komisija 2016 m. peržiūrėjo Reglamentą (ES) Nr. 256/2014, kaip numatyta jo 11 straipsnyje. Tai buvo platesnio masto tinkamumo patikros, apimančios planavimo ir ataskaitų teikimo įpareigojimus pagal energetikos sektoriaus teisės aktus, dalis. Komisija ją paskelbė 2016 m. lapkričio mėn.</w:t>
      </w:r>
      <w:r>
        <w:rPr>
          <w:rStyle w:val="FootnoteReference"/>
          <w:noProof/>
        </w:rPr>
        <w:footnoteReference w:id="6"/>
      </w:r>
      <w:r>
        <w:rPr>
          <w:noProof/>
        </w:rPr>
        <w:t xml:space="preserve"> kartu su savo pasiūlymu dėl Reglamento dėl energetikos sąjungos valdymo</w:t>
      </w:r>
      <w:r>
        <w:rPr>
          <w:rStyle w:val="FootnoteReference"/>
          <w:noProof/>
        </w:rPr>
        <w:footnoteReference w:id="7"/>
      </w:r>
      <w:r>
        <w:rPr>
          <w:noProof/>
        </w:rPr>
        <w:t xml:space="preserve">. </w:t>
      </w:r>
    </w:p>
    <w:p>
      <w:pPr>
        <w:ind w:left="788"/>
        <w:rPr>
          <w:rFonts w:eastAsia="Times New Roman"/>
          <w:noProof/>
        </w:rPr>
      </w:pPr>
      <w:r>
        <w:rPr>
          <w:noProof/>
        </w:rPr>
        <w:t>Šie tyrimai atskleidė, kad:</w:t>
      </w:r>
    </w:p>
    <w:p>
      <w:pPr>
        <w:pStyle w:val="ManualNumPar1"/>
        <w:rPr>
          <w:noProof/>
        </w:rPr>
      </w:pPr>
      <w:r>
        <w:t>1.</w:t>
      </w:r>
      <w:r>
        <w:tab/>
      </w:r>
      <w:r>
        <w:rPr>
          <w:noProof/>
        </w:rPr>
        <w:t>didelė dalis ataskaitų teikimo įpareigojimų pagal šį reglamentą ir ENTSO-E</w:t>
      </w:r>
      <w:r>
        <w:rPr>
          <w:rStyle w:val="FootnoteReference"/>
          <w:noProof/>
        </w:rPr>
        <w:footnoteReference w:id="8"/>
      </w:r>
      <w:r>
        <w:rPr>
          <w:noProof/>
        </w:rPr>
        <w:t xml:space="preserve"> ir ENTSO-G</w:t>
      </w:r>
      <w:r>
        <w:rPr>
          <w:rStyle w:val="FootnoteReference"/>
          <w:noProof/>
        </w:rPr>
        <w:footnoteReference w:id="9"/>
      </w:r>
      <w:r>
        <w:rPr>
          <w:noProof/>
        </w:rPr>
        <w:t xml:space="preserve"> ataskaitų teikimo įpareigojimų sutampa, o įpareigojimai pagal šį reglamentą turi mažai pridėtinės vertės arba jos neturi; </w:t>
      </w:r>
    </w:p>
    <w:p>
      <w:pPr>
        <w:pStyle w:val="ManualNumPar1"/>
        <w:rPr>
          <w:noProof/>
        </w:rPr>
      </w:pPr>
      <w:r>
        <w:t>2.</w:t>
      </w:r>
      <w:r>
        <w:tab/>
      </w:r>
      <w:r>
        <w:rPr>
          <w:noProof/>
        </w:rPr>
        <w:t>didžiąją valstybių narių pagal šį reglamentą teikiamos informacijos dalį galima nesunkiai gauti iš kitų šaltinių – Europos perdavimo sistemos operatorių tinklų (ENTSO), dešimties metų tinklo plėtros planų, perdavimo sistemos operatorių ir komunalinių paslaugų įmonių metinių ataskaitų, nacionalinių sektoriaus plėtros planų (pvz., atsinaujinančiųjų išteklių energijos veiksmų planų) ir pan. Be to, Komisija reguliariai renka informacija apie rinką per savo Energijos rinkos stebėjimo sistemą (EMOS);</w:t>
      </w:r>
    </w:p>
    <w:p>
      <w:pPr>
        <w:pStyle w:val="ManualNumPar1"/>
        <w:rPr>
          <w:noProof/>
        </w:rPr>
      </w:pPr>
      <w:r>
        <w:t>3.</w:t>
      </w:r>
      <w:r>
        <w:tab/>
      </w:r>
      <w:r>
        <w:rPr>
          <w:noProof/>
        </w:rPr>
        <w:t>per visus tris kartus, kai teiktos ataskaitos, surinkti duomenys apėmė tik maždaug pusę ES energetikos sektoriaus;</w:t>
      </w:r>
    </w:p>
    <w:p>
      <w:pPr>
        <w:pStyle w:val="ManualNumPar1"/>
        <w:rPr>
          <w:noProof/>
        </w:rPr>
      </w:pPr>
      <w:r>
        <w:t>4.</w:t>
      </w:r>
      <w:r>
        <w:tab/>
      </w:r>
      <w:r>
        <w:rPr>
          <w:noProof/>
        </w:rPr>
        <w:t>dėl neišvengiamų sunkumų įgyvendinant kai kuriuos reglamento reikalavimus, visų pirma susijusius su informacija, kurią reikia pateikti apie būsimą pajėgumą, šios tris kartus teiktos ataskaitos nebuvo tokios naudingos.</w:t>
      </w:r>
    </w:p>
    <w:p>
      <w:pPr>
        <w:ind w:left="851"/>
        <w:rPr>
          <w:noProof/>
        </w:rPr>
      </w:pPr>
      <w:r>
        <w:rPr>
          <w:noProof/>
        </w:rPr>
        <w:t>Taigi Komisija nusprendė, kad Reglamentas (ES) Nr. 256/2014 nedavė tokių rezultatų, kokių tikėtasi. Todėl reikėtų pasiūlyti jį panaikinti.</w:t>
      </w:r>
    </w:p>
    <w:p>
      <w:pPr>
        <w:pStyle w:val="ManualHeading2"/>
        <w:rPr>
          <w:rFonts w:eastAsia="Arial Unicode MS"/>
          <w:noProof/>
          <w:u w:color="000000"/>
          <w:bdr w:val="nil"/>
        </w:rPr>
      </w:pPr>
      <w:r>
        <w:rPr>
          <w:noProof/>
        </w:rPr>
        <w:t>•</w:t>
      </w:r>
      <w:r>
        <w:rPr>
          <w:noProof/>
        </w:rPr>
        <w:tab/>
        <w:t>Konsultacijos su suinteresuotosiomis šalimis</w:t>
      </w:r>
    </w:p>
    <w:p>
      <w:pPr>
        <w:autoSpaceDE w:val="0"/>
        <w:autoSpaceDN w:val="0"/>
        <w:adjustRightInd w:val="0"/>
        <w:ind w:left="851"/>
        <w:rPr>
          <w:noProof/>
        </w:rPr>
      </w:pPr>
      <w:r>
        <w:rPr>
          <w:noProof/>
        </w:rPr>
        <w:t>Ruošdama savo teisėkūros iniciatyvos pasiūlymą dėl energetikos sąjungos valdymo</w:t>
      </w:r>
      <w:r>
        <w:rPr>
          <w:rStyle w:val="FootnoteReference"/>
          <w:noProof/>
        </w:rPr>
        <w:footnoteReference w:id="10"/>
      </w:r>
      <w:r>
        <w:rPr>
          <w:noProof/>
        </w:rPr>
        <w:t xml:space="preserve">, Komisija išsamiai konsultavosi siekdama surinkti suinteresuotųjų šalių, piliečių ir </w:t>
      </w:r>
      <w:r>
        <w:rPr>
          <w:noProof/>
        </w:rPr>
        <w:lastRenderedPageBreak/>
        <w:t>valstybių narių nuomones ir pasiūlymus. Konsultuojantis buvo klausiama, kaip būtų galima pagerinti esamą energetikos srities planavimo ir ataskaitų teikimo tvarką, kad būtų pasiekti energetikos sąjungos tikslai ir sumažinta administracinė našta.</w:t>
      </w:r>
    </w:p>
    <w:p>
      <w:pPr>
        <w:autoSpaceDE w:val="0"/>
        <w:autoSpaceDN w:val="0"/>
        <w:adjustRightInd w:val="0"/>
        <w:ind w:left="851"/>
        <w:rPr>
          <w:noProof/>
        </w:rPr>
      </w:pPr>
      <w:r>
        <w:rPr>
          <w:noProof/>
        </w:rPr>
        <w:t>12 savaičių trukusios viešosios konsultacijos pradėtos 2016 m. sausio 11 d. ir baigtos 2016 m. balandžio 22 d. Gautais atsakymais Komisija rėmėsi atlikdama esamų planavimo ir ataskaitų teikimo įpareigojimų vertinimą ir tinkamumo patikrą, taip pat savo pasiūlyto teisėkūros procedūra priimamo akto dėl energetikos sąjungos valdymo poveikio vertinimą.</w:t>
      </w:r>
    </w:p>
    <w:p>
      <w:pPr>
        <w:autoSpaceDE w:val="0"/>
        <w:autoSpaceDN w:val="0"/>
        <w:adjustRightInd w:val="0"/>
        <w:ind w:left="851"/>
        <w:rPr>
          <w:noProof/>
        </w:rPr>
      </w:pPr>
      <w:r>
        <w:rPr>
          <w:noProof/>
        </w:rPr>
        <w:t>Per konsultacijas respondentai nurodė, kad įpareigojimai pagal Reglamentą (ES) Nr. 256/2014 turėtų būti panaikinti</w:t>
      </w:r>
      <w:r>
        <w:rPr>
          <w:rStyle w:val="FootnoteReference"/>
          <w:noProof/>
        </w:rPr>
        <w:footnoteReference w:id="11"/>
      </w:r>
      <w:r>
        <w:rPr>
          <w:noProof/>
        </w:rPr>
        <w:t>.</w:t>
      </w:r>
    </w:p>
    <w:p>
      <w:pPr>
        <w:autoSpaceDE w:val="0"/>
        <w:autoSpaceDN w:val="0"/>
        <w:adjustRightInd w:val="0"/>
        <w:rPr>
          <w:noProof/>
        </w:rPr>
      </w:pPr>
    </w:p>
    <w:p>
      <w:pPr>
        <w:pStyle w:val="ManualHeading2"/>
        <w:rPr>
          <w:rFonts w:eastAsia="Arial Unicode MS"/>
          <w:noProof/>
          <w:u w:color="000000"/>
          <w:bdr w:val="nil"/>
        </w:rPr>
      </w:pPr>
      <w:r>
        <w:rPr>
          <w:noProof/>
        </w:rPr>
        <w:t>3.</w:t>
      </w:r>
      <w:r>
        <w:rPr>
          <w:noProof/>
        </w:rPr>
        <w:tab/>
        <w:t>TEISINIAI PASIŪLYMO ASPEKTAI</w:t>
      </w:r>
    </w:p>
    <w:p>
      <w:pPr>
        <w:ind w:left="850"/>
        <w:rPr>
          <w:rFonts w:eastAsia="Times New Roman"/>
          <w:noProof/>
        </w:rPr>
      </w:pPr>
      <w:r>
        <w:rPr>
          <w:noProof/>
        </w:rPr>
        <w:t>Pasiūlymu panaikinamas 2014 m. vasario 26 d. Europos Parlamento ir Tarybos reglamentas (ES) Nr. 256/2014 dėl pranešimo Komisijai apie energetikos infrastruktūros investicinius projektus Europos Sąjungoje, kuriuo pakeičiamas Tarybos reglamentas (ES, Euratomas) Nr. 617/2010 ir panaikinamas Tarybos reglamentas (EB) Nr. 736/96.</w:t>
      </w:r>
    </w:p>
    <w:p>
      <w:pPr>
        <w:ind w:left="850"/>
        <w:rPr>
          <w:rFonts w:eastAsia="Times New Roman"/>
          <w:noProof/>
        </w:rPr>
      </w:pPr>
      <w:r>
        <w:rPr>
          <w:noProof/>
        </w:rPr>
        <w:t>Pagal Reglamento (ES) Nr. 256/2014 teisinį pagrindą, t. y. Sutarties dėl Europos Sąjungos veikimo 194 straipsnį, taikoma įprasta teisėkūros procedūra, Todėl Komisija šio reglamento panaikinimo pasiūlymą teikia Europos Parlamentui ir Tarybai.</w:t>
      </w:r>
    </w:p>
    <w:p>
      <w:pPr>
        <w:pStyle w:val="ManualHeading1"/>
        <w:rPr>
          <w:noProof/>
        </w:rPr>
      </w:pPr>
      <w:r>
        <w:rPr>
          <w:noProof/>
        </w:rPr>
        <w:t>4.</w:t>
      </w:r>
      <w:r>
        <w:rPr>
          <w:noProof/>
        </w:rPr>
        <w:tab/>
        <w:t xml:space="preserve">POVEIKIS BIUDŽETUI </w:t>
      </w:r>
    </w:p>
    <w:p>
      <w:pPr>
        <w:autoSpaceDE w:val="0"/>
        <w:autoSpaceDN w:val="0"/>
        <w:adjustRightInd w:val="0"/>
        <w:rPr>
          <w:noProof/>
        </w:rPr>
      </w:pPr>
      <w:r>
        <w:rPr>
          <w:noProof/>
        </w:rPr>
        <w:t>Reglamento poveikis biudžetui buvo labai nedidelis ir buvo susijęs su išlaidomis informacinėms technologijoms, duomenims pirkti ir ekspertų išlaidoms atlyginti. Jokio esminio tiesioginio poveikio valstybių narių biudžetams irgi neprognozuota.</w:t>
      </w:r>
    </w:p>
    <w:p>
      <w:pPr>
        <w:autoSpaceDE w:val="0"/>
        <w:autoSpaceDN w:val="0"/>
        <w:adjustRightInd w:val="0"/>
        <w:rPr>
          <w:noProof/>
        </w:rPr>
      </w:pPr>
      <w:r>
        <w:rPr>
          <w:noProof/>
        </w:rPr>
        <w:t>Panaikinus šį reglamentą, nebebus patiriama nedidelių su juo susijusių išlaidų. Tai padės racionaliau naudoti Komisijos ir valstybių narių išteklius, nes bus pašalinti besidubliuojantys ataskaitų teikimo reikalavimai ir nebereikės apdoroti duomenų, kuriuos dabar galima gauti iš kitų, kokybiškesnių šaltinių.</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2017/0347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 xml:space="preserve">kuriuo panaikinamas Europos Parlamento ir Tarybos reglamentas (ES) Nr. 256/2014 dėl pranešimo Komisijai apie energetikos infrastruktūros investicinius projektus Europos Sąjungoje </w:t>
      </w:r>
      <w:r>
        <w:rPr>
          <w:noProof/>
        </w:rPr>
        <w:br/>
      </w:r>
      <w:r>
        <w:rPr>
          <w:noProof/>
        </w:rPr>
        <w:br/>
      </w:r>
    </w:p>
    <w:p>
      <w:pPr>
        <w:pStyle w:val="Institutionquiagit"/>
        <w:rPr>
          <w:noProof/>
        </w:rPr>
      </w:pPr>
      <w:r>
        <w:rPr>
          <w:noProof/>
        </w:rPr>
        <w:t>EUROPOS PARLAMENTAS IR EUROPOS SĄJUNGOS TARYBA,</w:t>
      </w:r>
    </w:p>
    <w:p>
      <w:pPr>
        <w:rPr>
          <w:noProof/>
        </w:rPr>
      </w:pPr>
      <w:r>
        <w:rPr>
          <w:noProof/>
        </w:rPr>
        <w:t>atsižvelgdami į Sutartį dėl Europos Sąjungos veikimo, ypač į jos 194 straipsnį,</w:t>
      </w:r>
    </w:p>
    <w:p>
      <w:pPr>
        <w:rPr>
          <w:noProof/>
        </w:rPr>
      </w:pPr>
      <w:r>
        <w:rPr>
          <w:noProof/>
        </w:rPr>
        <w:t>atsižvelgdami į Europos Komisijos pasiūlymą,</w:t>
      </w:r>
    </w:p>
    <w:p>
      <w:pPr>
        <w:rPr>
          <w:noProof/>
        </w:rPr>
      </w:pPr>
      <w:r>
        <w:rPr>
          <w:noProof/>
        </w:rPr>
        <w:t>teisėkūros procedūra priimamo teisės akto projektą perdavus nacionaliniams parlamentams,</w:t>
      </w:r>
    </w:p>
    <w:p>
      <w:pPr>
        <w:rPr>
          <w:noProof/>
        </w:rPr>
      </w:pPr>
      <w:r>
        <w:rPr>
          <w:noProof/>
        </w:rPr>
        <w:t>atsižvelgdami į Europos ekonomikos ir socialinių reikalų komiteto nuomonę</w:t>
      </w:r>
      <w:r>
        <w:rPr>
          <w:rStyle w:val="FootnoteReference"/>
          <w:noProof/>
        </w:rPr>
        <w:footnoteReference w:id="12"/>
      </w:r>
      <w:r>
        <w:rPr>
          <w:noProof/>
        </w:rPr>
        <w:t>,</w:t>
      </w:r>
    </w:p>
    <w:p>
      <w:pPr>
        <w:rPr>
          <w:noProof/>
        </w:rPr>
      </w:pPr>
      <w:r>
        <w:rPr>
          <w:noProof/>
        </w:rPr>
        <w:t>atsižvelgdami į Regionų komiteto nuomonę</w:t>
      </w:r>
      <w:r>
        <w:rPr>
          <w:rStyle w:val="FootnoteReference"/>
          <w:noProof/>
        </w:rPr>
        <w:footnoteReference w:id="13"/>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2016 m. balandžio 13 d. Tarpinstituciniame susitarime dėl geresnės teisėkūros</w:t>
      </w:r>
      <w:r>
        <w:rPr>
          <w:rStyle w:val="FootnoteReference"/>
          <w:noProof/>
        </w:rPr>
        <w:footnoteReference w:id="14"/>
      </w:r>
      <w:r>
        <w:rPr>
          <w:noProof/>
        </w:rPr>
        <w:t xml:space="preserve"> Europos Parlamentas, Europos Sąjungos Taryba ir Europos Komisija patvirtino bendrą įsipareigojimą atnaujinti ir supaprastinti teisės aktus;</w:t>
      </w:r>
    </w:p>
    <w:p>
      <w:pPr>
        <w:pStyle w:val="ManualConsidrant"/>
        <w:rPr>
          <w:noProof/>
        </w:rPr>
      </w:pPr>
      <w:r>
        <w:t>(2)</w:t>
      </w:r>
      <w:r>
        <w:tab/>
      </w:r>
      <w:r>
        <w:rPr>
          <w:noProof/>
        </w:rPr>
        <w:t>siekiant sutvarkyti teisės aktus ir sumažinti jų skaičių, būtina nustatyti, kurie teisės aktai yra nebeaktualūs arba nebeatitinka paskirties. Panaikinant tokius teisės aktus, teisėkūros sistema išlieka skaidri, aiški ir paprasta taikyti;</w:t>
      </w:r>
    </w:p>
    <w:p>
      <w:pPr>
        <w:pStyle w:val="ManualConsidrant"/>
        <w:rPr>
          <w:noProof/>
        </w:rPr>
      </w:pPr>
      <w:r>
        <w:t>(3)</w:t>
      </w:r>
      <w:r>
        <w:tab/>
      </w:r>
      <w:r>
        <w:rPr>
          <w:noProof/>
        </w:rPr>
        <w:t>Europos Parlamento ir Tarybos reglamentu (ES) Nr. 256/2014</w:t>
      </w:r>
      <w:r>
        <w:rPr>
          <w:rStyle w:val="FootnoteReference"/>
          <w:noProof/>
        </w:rPr>
        <w:footnoteReference w:id="15"/>
      </w:r>
      <w:r>
        <w:rPr>
          <w:noProof/>
        </w:rPr>
        <w:t xml:space="preserve"> reikalauta, kad valstybės narės praneštų Komisijai apie investicinius projektus, pagal kuriuos pradėti statybos ar eksploatavimo nutraukimo darbai arba dėl kurių priimtas galutinis sprendimas dėl investavimo; </w:t>
      </w:r>
    </w:p>
    <w:p>
      <w:pPr>
        <w:pStyle w:val="ManualConsidrant"/>
        <w:rPr>
          <w:noProof/>
        </w:rPr>
      </w:pPr>
      <w:r>
        <w:t>(4)</w:t>
      </w:r>
      <w:r>
        <w:tab/>
      </w:r>
      <w:r>
        <w:rPr>
          <w:noProof/>
        </w:rPr>
        <w:t>Reglamento (ES) Nr. 256/2014 įpareigojimai pranešti apie investicinius projektus ir teikti tam tikrą su jais susijusią informaciją ir duomenis anksčiau buvo nustatyti Tarybos reglamentu (ES, Euratomas) Nr. 617/2010</w:t>
      </w:r>
      <w:r>
        <w:rPr>
          <w:rStyle w:val="FootnoteReference"/>
          <w:noProof/>
        </w:rPr>
        <w:footnoteReference w:id="16"/>
      </w:r>
      <w:r>
        <w:rPr>
          <w:noProof/>
        </w:rPr>
        <w:t xml:space="preserve">. Dėl netinkamo teisinio pagrindo </w:t>
      </w:r>
      <w:r>
        <w:rPr>
          <w:noProof/>
        </w:rPr>
        <w:lastRenderedPageBreak/>
        <w:t>Reglamentą (ES, Euratomas) Nr. 617/2010</w:t>
      </w:r>
      <w:r>
        <w:rPr>
          <w:rStyle w:val="FootnoteReference"/>
          <w:noProof/>
        </w:rPr>
        <w:footnoteReference w:id="17"/>
      </w:r>
      <w:r>
        <w:rPr>
          <w:noProof/>
        </w:rPr>
        <w:t xml:space="preserve"> Teisingumo Teismas panaikino, tačiau jis liko galioti, kol buvo priimtas Reglamentas Nr. 256/2014; </w:t>
      </w:r>
    </w:p>
    <w:p>
      <w:pPr>
        <w:pStyle w:val="ManualConsidrant"/>
        <w:rPr>
          <w:noProof/>
        </w:rPr>
      </w:pPr>
      <w:r>
        <w:t>(5)</w:t>
      </w:r>
      <w:r>
        <w:tab/>
      </w:r>
      <w:r>
        <w:rPr>
          <w:noProof/>
        </w:rPr>
        <w:t>ankstesnė teisės aktų sistema buvo skirta tam, kad Komisija gautų duomenis ir informaciją apie numatomus gamybos, perdavimo ir saugojimo pajėgumų pokyčius ir apie energetikos sektorių projektus. Ja siekta Komisijai suteikti galimybę susidaryti bendrą investicijų į energetikos infrastruktūrą Sąjungoje vystymosi vaizdą;</w:t>
      </w:r>
    </w:p>
    <w:p>
      <w:pPr>
        <w:pStyle w:val="ManualConsidrant"/>
        <w:rPr>
          <w:noProof/>
        </w:rPr>
      </w:pPr>
      <w:r>
        <w:t>(6)</w:t>
      </w:r>
      <w:r>
        <w:tab/>
      </w:r>
      <w:r>
        <w:rPr>
          <w:noProof/>
        </w:rPr>
        <w:t xml:space="preserve">nuo tada, kai Reglamentu (ES) Nr. 256/2014 ir Tarybos reglamentu (ES, Euratomas) Nr. 617/2010 buvo nustatyti įpareigojimai, ataskaitos teiktos tris kartus – 2011, 2013 ir 2015 m. Be to, po to, kai pagal Reglamentą (ES) Nr. 256/2014 valstybės narės tris kartus pateikė ataskaitas, Komisija užsakė atlikti tris išorės tyrimus. Taigi praėjo pakankamai laiko ir įgyta pakankamai patirties, kad Komisija galėtų atlikti kritinę įrodymais pagrįstą analizę, ar tas reglamentas davė tokių rezultatų, kokių tikėtasi; </w:t>
      </w:r>
    </w:p>
    <w:p>
      <w:pPr>
        <w:pStyle w:val="ManualConsidrant"/>
        <w:rPr>
          <w:noProof/>
        </w:rPr>
      </w:pPr>
      <w:r>
        <w:t>(7)</w:t>
      </w:r>
      <w:r>
        <w:tab/>
      </w:r>
      <w:r>
        <w:rPr>
          <w:noProof/>
        </w:rPr>
        <w:t>2016 m. Komisija atliko Reglamento (ES) Nr. 256/2014 11 straipsnyje numatytą peržiūrą, įskaitant konsultacijas su suinteresuotosiomis šalimis, apimančias visus energetikos sektoriaus planavimo ir ataskaitų teikimo įpareigojimus. Komisija padarė išvadą, kad didelė dalis ataskaitų teikimo įpareigojimų pagal Reglamentą (ES) Nr. 256/2014 ir ENTSO-E ir ENTSO-G perdavimo sistemų operatoriams taikomų ataskaitų teikimo įpareigojimų sutampa. Taip pat tapo akivaizdu, kad gautų duomenų kokybė ir tinkamumas dažnai buvo menki ir kad šią informaciją bei duomenis Komisija jau gali gauti iš kitų šaltinių, kaip antai ENTSO (Europos perdavimo sistemos operatorių tinklų), TYNDP (dešimties metų tinklo plėtros planų), perdavimo sistemos operatorių ir komunalinių paslaugų įmonių metinių ataskaitų, nacionalinių plėtros planų ir pan. Be to, pastebėta, kad Komisija turi tiesioginę prieigą prie rinkos duomenų per savo Energijos rinkos stebėjimo sistemą (EMOS);</w:t>
      </w:r>
    </w:p>
    <w:p>
      <w:pPr>
        <w:pStyle w:val="ManualConsidrant"/>
        <w:rPr>
          <w:noProof/>
        </w:rPr>
      </w:pPr>
      <w:r>
        <w:t>(8)</w:t>
      </w:r>
      <w:r>
        <w:tab/>
      </w:r>
      <w:r>
        <w:rPr>
          <w:noProof/>
        </w:rPr>
        <w:t>taigi Reglamentas (ES) Nr. 256/2014 Komisijos gautų duomenų ir informacijos kiekio, kokybės ir tinkamumo požiūriu nedavė tokių rezultatų, kokių tikėtasi;</w:t>
      </w:r>
    </w:p>
    <w:p>
      <w:pPr>
        <w:pStyle w:val="ManualConsidrant"/>
        <w:rPr>
          <w:noProof/>
        </w:rPr>
      </w:pPr>
      <w:r>
        <w:t>(9)</w:t>
      </w:r>
      <w:r>
        <w:tab/>
      </w:r>
      <w:r>
        <w:rPr>
          <w:noProof/>
        </w:rPr>
        <w:t>todėl Reglamentas (ES) Nr. 256/2014 turėtų būti panaikintas,</w:t>
      </w: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Reglamentas (ES) Nr. 256/2014 panaikinamas.</w:t>
      </w:r>
    </w:p>
    <w:p>
      <w:pPr>
        <w:rPr>
          <w:noProof/>
        </w:rPr>
      </w:pPr>
    </w:p>
    <w:p>
      <w:pPr>
        <w:pStyle w:val="Titrearticle"/>
        <w:rPr>
          <w:noProof/>
        </w:rPr>
      </w:pPr>
      <w:r>
        <w:rPr>
          <w:noProof/>
        </w:rPr>
        <w:t>2 straipsnis</w:t>
      </w:r>
    </w:p>
    <w:p>
      <w:pPr>
        <w:rPr>
          <w:noProof/>
        </w:rPr>
      </w:pPr>
      <w:r>
        <w:rPr>
          <w:noProof/>
        </w:rPr>
        <w:t xml:space="preserve">Šis reglamentas įsigalioja dvidešimtą dieną po jo paskelbimo </w:t>
      </w:r>
      <w:r>
        <w:rPr>
          <w:i/>
          <w:noProof/>
        </w:rPr>
        <w:t>Europos Sąjungos oficialiajame leidinyje</w:t>
      </w:r>
      <w:r>
        <w:rPr>
          <w:noProof/>
        </w:rPr>
        <w:t xml:space="preserve">. </w:t>
      </w:r>
    </w:p>
    <w:p>
      <w:pPr>
        <w:pStyle w:val="Applicationdirecte"/>
        <w:keepNext/>
        <w:keepLines/>
        <w:rPr>
          <w:noProof/>
        </w:rPr>
      </w:pPr>
      <w:r>
        <w:rPr>
          <w:noProof/>
        </w:rPr>
        <w:lastRenderedPageBreak/>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r>
      <w:r>
        <w:rPr>
          <w:rStyle w:val="Strong"/>
          <w:b w:val="0"/>
          <w:lang w:val="pt-PT"/>
        </w:rPr>
        <w:t>Europos Parlamento, Europos Sąjungos Tarybos ir Europos Komisijos tarpinstitucinis susitarimas dėl geresnės teisėkūros.</w:t>
      </w:r>
      <w:r>
        <w:rPr>
          <w:rStyle w:val="Strong"/>
          <w:lang w:val="pt-PT"/>
        </w:rPr>
        <w:t xml:space="preserve"> </w:t>
      </w:r>
      <w:r>
        <w:rPr>
          <w:rStyle w:val="Hyperlink"/>
          <w:color w:val="auto"/>
          <w:lang w:val="pt-PT"/>
        </w:rPr>
        <w:t>OJ L 123, 2016 5 12, p. 1–14.</w:t>
      </w:r>
    </w:p>
  </w:footnote>
  <w:footnote w:id="3">
    <w:p>
      <w:pPr>
        <w:pStyle w:val="FootnoteText"/>
        <w:rPr>
          <w:lang w:val="pt-PT"/>
        </w:rPr>
      </w:pPr>
      <w:r>
        <w:rPr>
          <w:rStyle w:val="FootnoteReference"/>
        </w:rPr>
        <w:footnoteRef/>
      </w:r>
      <w:r>
        <w:rPr>
          <w:lang w:val="pt-PT"/>
        </w:rPr>
        <w:tab/>
      </w:r>
      <w:r>
        <w:rPr>
          <w:rStyle w:val="Strong"/>
          <w:b w:val="0"/>
          <w:lang w:val="pt-PT"/>
        </w:rPr>
        <w:t>OL L 302, 2014 10 22, p. 26.</w:t>
      </w:r>
      <w:r>
        <w:rPr>
          <w:rFonts w:ascii="Lucida Sans Unicode" w:hAnsi="Lucida Sans Unicode"/>
          <w:sz w:val="19"/>
          <w:lang w:val="pt-PT"/>
        </w:rPr>
        <w:t xml:space="preserve"> </w:t>
      </w:r>
    </w:p>
  </w:footnote>
  <w:footnote w:id="4">
    <w:p>
      <w:pPr>
        <w:pStyle w:val="FootnoteText"/>
        <w:rPr>
          <w:lang w:val="pt-PT"/>
        </w:rPr>
      </w:pPr>
      <w:r>
        <w:rPr>
          <w:rStyle w:val="FootnoteReference"/>
        </w:rPr>
        <w:footnoteRef/>
      </w:r>
      <w:r>
        <w:rPr>
          <w:lang w:val="pt-PT"/>
        </w:rPr>
        <w:tab/>
      </w:r>
      <w:hyperlink r:id="rId1">
        <w:r>
          <w:rPr>
            <w:rStyle w:val="Hyperlink"/>
            <w:color w:val="auto"/>
            <w:u w:val="none"/>
            <w:lang w:val="pt-PT"/>
          </w:rPr>
          <w:t>OL L 180, 2010 7 15, p. 7.</w:t>
        </w:r>
      </w:hyperlink>
    </w:p>
  </w:footnote>
  <w:footnote w:id="5">
    <w:p>
      <w:pPr>
        <w:pStyle w:val="FootnoteText"/>
        <w:rPr>
          <w:lang w:val="pt-PT"/>
        </w:rPr>
      </w:pPr>
      <w:r>
        <w:rPr>
          <w:rStyle w:val="FootnoteReference"/>
        </w:rPr>
        <w:footnoteRef/>
      </w:r>
      <w:r>
        <w:rPr>
          <w:lang w:val="pt-PT"/>
        </w:rPr>
        <w:tab/>
        <w:t xml:space="preserve">2012 m. rugsėjo 6 d. Teisingumo Teismo sprendimas </w:t>
      </w:r>
      <w:r>
        <w:rPr>
          <w:i/>
          <w:lang w:val="pt-PT"/>
        </w:rPr>
        <w:t>Parlamentas / Taryba, C-490/10 (2012, Rink. p. I-0000).</w:t>
      </w:r>
    </w:p>
  </w:footnote>
  <w:footnote w:id="6">
    <w:p>
      <w:pPr>
        <w:pStyle w:val="FootnoteText"/>
        <w:jc w:val="left"/>
      </w:pPr>
      <w:r>
        <w:rPr>
          <w:rStyle w:val="FootnoteReference"/>
        </w:rPr>
        <w:footnoteRef/>
      </w:r>
      <w:r>
        <w:rPr>
          <w:lang w:val="pt-PT"/>
        </w:rPr>
        <w:tab/>
        <w:t xml:space="preserve">Komisijos tarnybų darbinis dokumentas(2016) 396 </w:t>
      </w:r>
      <w:r>
        <w:rPr>
          <w:i/>
          <w:lang w:val="pt-PT"/>
        </w:rPr>
        <w:t>final</w:t>
      </w:r>
      <w:r>
        <w:rPr>
          <w:lang w:val="pt-PT"/>
        </w:rPr>
        <w:t xml:space="preserve">. </w:t>
      </w:r>
      <w:hyperlink r:id="rId2">
        <w:r>
          <w:rPr>
            <w:rStyle w:val="Hyperlink"/>
            <w:color w:val="auto"/>
          </w:rPr>
          <w:t>http://ec.europa.eu/energy/sites/ener/files/documents/1_en_autre_document_travail_service_part1_v4.pdf</w:t>
        </w:r>
      </w:hyperlink>
    </w:p>
  </w:footnote>
  <w:footnote w:id="7">
    <w:p>
      <w:pPr>
        <w:pStyle w:val="FootnoteText"/>
      </w:pPr>
      <w:r>
        <w:rPr>
          <w:rStyle w:val="FootnoteReference"/>
        </w:rPr>
        <w:footnoteRef/>
      </w:r>
      <w:r>
        <w:tab/>
        <w:t xml:space="preserve">COM/2016/0759 </w:t>
      </w:r>
      <w:r>
        <w:rPr>
          <w:i/>
        </w:rPr>
        <w:t>final</w:t>
      </w:r>
      <w:r>
        <w:t>/2 - 2016/0375 (COD).</w:t>
      </w:r>
      <w:r>
        <w:rPr>
          <w:rFonts w:ascii="Lucida Sans Unicode" w:hAnsi="Lucida Sans Unicode"/>
          <w:sz w:val="19"/>
        </w:rPr>
        <w:t xml:space="preserve"> </w:t>
      </w:r>
      <w:r>
        <w:t xml:space="preserve">Komisijos pasiūlymas dėl Europos Parlamento ir Tarybos reglamento dėl energetikos sąjungos valdymo, kuriuo iš dalies keičiama Direktyva 94/22/EB, Direktyva 98/70/EB, Direktyva 2009/31/EB, Reglamentas (EB) Nr. 663/2009, Reglamentas (EB) Nr. 715/2009, Direktyva 2009/73/EB, Tarybos direktyva 2009/119/EB, Direktyva 2010/31/ES, Direktyva 2012/27/ES, Direktyva 2013/30/ES ir Tarybos direktyva (ES) 2015/652 ir panaikinamas Reglamentas (ES) Nr. 525/2013. </w:t>
      </w:r>
    </w:p>
  </w:footnote>
  <w:footnote w:id="8">
    <w:p>
      <w:pPr>
        <w:pStyle w:val="FootnoteText"/>
      </w:pPr>
      <w:r>
        <w:rPr>
          <w:rStyle w:val="FootnoteReference"/>
        </w:rPr>
        <w:footnoteRef/>
      </w:r>
      <w:r>
        <w:tab/>
        <w:t>Europos elektros energijos perdavimo sistemos operatorių tinklas</w:t>
      </w:r>
    </w:p>
  </w:footnote>
  <w:footnote w:id="9">
    <w:p>
      <w:pPr>
        <w:pStyle w:val="FootnoteText"/>
      </w:pPr>
      <w:r>
        <w:rPr>
          <w:rStyle w:val="FootnoteReference"/>
        </w:rPr>
        <w:footnoteRef/>
      </w:r>
      <w:r>
        <w:tab/>
        <w:t>Europos dujų perdavimo sistemos operatorių tinklas</w:t>
      </w:r>
    </w:p>
  </w:footnote>
  <w:footnote w:id="10">
    <w:p>
      <w:pPr>
        <w:pStyle w:val="FootnoteText"/>
      </w:pPr>
      <w:r>
        <w:rPr>
          <w:rStyle w:val="FootnoteReference"/>
        </w:rPr>
        <w:footnoteRef/>
      </w:r>
      <w:r>
        <w:tab/>
        <w:t xml:space="preserve">COM/2016/0759 </w:t>
      </w:r>
      <w:r>
        <w:rPr>
          <w:i/>
        </w:rPr>
        <w:t>final</w:t>
      </w:r>
      <w:r>
        <w:t>/2 - 2016/0375 (COD).</w:t>
      </w:r>
      <w:r>
        <w:rPr>
          <w:rFonts w:ascii="Lucida Sans Unicode" w:hAnsi="Lucida Sans Unicode"/>
          <w:sz w:val="19"/>
        </w:rPr>
        <w:t xml:space="preserve"> </w:t>
      </w:r>
      <w:r>
        <w:t xml:space="preserve">Komisijos pasiūlymas dėl Europos Parlamento ir Tarybos reglamento dėl energetikos sąjungos valdymo, kuriuo iš dalies keičiama Direktyva 94/22/EB, Direktyva 98/70/EB, Direktyva 2009/31/EB, Reglamentas (EB) Nr. 663/2009, Reglamentas (EB) Nr. 715/2009, Direktyva 2009/73/EB, Tarybos direktyva 2009/119/EB, Direktyva 2010/31/ES, Direktyva 2012/27/ES, Direktyva 2013/30/ES ir Tarybos direktyva (ES) 2015/652 ir panaikinamas Reglamentas (ES) Nr. 525/2013. </w:t>
      </w:r>
    </w:p>
  </w:footnote>
  <w:footnote w:id="11">
    <w:p>
      <w:pPr>
        <w:pStyle w:val="FootnoteText"/>
      </w:pPr>
      <w:r>
        <w:rPr>
          <w:rStyle w:val="FootnoteReference"/>
        </w:rPr>
        <w:footnoteRef/>
      </w:r>
      <w:r>
        <w:tab/>
        <w:t xml:space="preserve">Žr. ten pat SWD(2016) 396 </w:t>
      </w:r>
      <w:r>
        <w:rPr>
          <w:i/>
        </w:rPr>
        <w:t>final</w:t>
      </w:r>
      <w:r>
        <w:t>, p. 118.</w:t>
      </w:r>
    </w:p>
  </w:footnote>
  <w:footnote w:id="12">
    <w:p>
      <w:pPr>
        <w:pStyle w:val="FootnoteText"/>
      </w:pPr>
      <w:r>
        <w:rPr>
          <w:rStyle w:val="FootnoteReference"/>
        </w:rPr>
        <w:footnoteRef/>
      </w:r>
      <w:r>
        <w:tab/>
        <w:t>OL C […], […], p. […].</w:t>
      </w:r>
    </w:p>
  </w:footnote>
  <w:footnote w:id="13">
    <w:p>
      <w:pPr>
        <w:pStyle w:val="FootnoteText"/>
      </w:pPr>
      <w:r>
        <w:rPr>
          <w:rStyle w:val="FootnoteReference"/>
        </w:rPr>
        <w:footnoteRef/>
      </w:r>
      <w:r>
        <w:tab/>
        <w:t>OL C […], […], p. […].</w:t>
      </w:r>
    </w:p>
  </w:footnote>
  <w:footnote w:id="14">
    <w:p>
      <w:pPr>
        <w:pStyle w:val="FootnoteText"/>
      </w:pPr>
      <w:r>
        <w:rPr>
          <w:rStyle w:val="FootnoteReference"/>
        </w:rPr>
        <w:footnoteRef/>
      </w:r>
      <w:r>
        <w:tab/>
        <w:t>OL L 123, 2016 5 12, p. 1.</w:t>
      </w:r>
    </w:p>
  </w:footnote>
  <w:footnote w:id="15">
    <w:p>
      <w:pPr>
        <w:pStyle w:val="FootnoteText"/>
      </w:pPr>
      <w:r>
        <w:rPr>
          <w:rStyle w:val="FootnoteReference"/>
        </w:rPr>
        <w:footnoteRef/>
      </w:r>
      <w:r>
        <w:tab/>
        <w:t>2014 m. vasario 26 d. Europos Parlamento ir Tarybos reglamentas (ES) Nr. 256/2014 dėl pranešimo Komisijai apie energetikos infrastruktūros investicinius projektus Europos Sąjungoje, kuriuo pakeičiamas Tarybos reglamentas (ES, Euratomas) Nr. 617/2010 ir panaikinamas Tarybos reglamentas (EB) Nr. 736/96 (OL L 84, 2014 3 20, p. 61).</w:t>
      </w:r>
    </w:p>
  </w:footnote>
  <w:footnote w:id="16">
    <w:p>
      <w:pPr>
        <w:pStyle w:val="FootnoteText"/>
      </w:pPr>
      <w:r>
        <w:rPr>
          <w:rStyle w:val="FootnoteReference"/>
        </w:rPr>
        <w:footnoteRef/>
      </w:r>
      <w:r>
        <w:tab/>
        <w:t>2010 m. birželio 24 d. Tarybos reglamentas (ES, Euratomas) Nr. 617/2010 dėl pranešimo Komisijai apie energetikos infrastruktūros investicinius projektus Europos Sąjungoje ir dėl Reglamento (EB) Nr. 736/96 panaikinimo (</w:t>
      </w:r>
      <w:hyperlink r:id="rId3">
        <w:r>
          <w:rPr>
            <w:rStyle w:val="Hyperlink"/>
            <w:color w:val="auto"/>
            <w:u w:val="none"/>
          </w:rPr>
          <w:t>OL L 180, 2010 7 15, p. 7</w:t>
        </w:r>
      </w:hyperlink>
      <w:r>
        <w:rPr>
          <w:rStyle w:val="Hyperlink"/>
          <w:color w:val="auto"/>
          <w:u w:val="none"/>
        </w:rPr>
        <w:t>).</w:t>
      </w:r>
    </w:p>
  </w:footnote>
  <w:footnote w:id="17">
    <w:p>
      <w:pPr>
        <w:pStyle w:val="FootnoteText"/>
        <w:rPr>
          <w:lang w:val="pt-PT"/>
        </w:rPr>
      </w:pPr>
      <w:r>
        <w:rPr>
          <w:rStyle w:val="FootnoteReference"/>
        </w:rPr>
        <w:footnoteRef/>
      </w:r>
      <w:r>
        <w:rPr>
          <w:lang w:val="pt-PT"/>
        </w:rPr>
        <w:tab/>
        <w:t xml:space="preserve">2012 m. rugsėjo 6 d. Teisingumo Teismo sprendimas </w:t>
      </w:r>
      <w:r>
        <w:rPr>
          <w:i/>
          <w:lang w:val="pt-PT"/>
        </w:rPr>
        <w:t>Parlamentas / Taryba, C-490/10, ECLI:EU:C:2012:525.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5078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681B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BEA2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2AFA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EAF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030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64E98E"/>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6:17: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BAD4FC3-A23B-46A9-9D07-ED0E079397B9"/>
    <w:docVar w:name="LW_COVERPAGE_TYPE" w:val="1"/>
    <w:docVar w:name="LW_CROSSREFERENCE" w:val="&lt;UNUSED&gt;"/>
    <w:docVar w:name="LW_DocType" w:val="COM"/>
    <w:docVar w:name="LW_EMISSION" w:val="2017 12 19"/>
    <w:docVar w:name="LW_EMISSION_ISODATE" w:val="2017-12-19"/>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347"/>
    <w:docVar w:name="LW_REF.II.NEW.CP_YEAR" w:val="2017"/>
    <w:docVar w:name="LW_REF.INST.NEW" w:val="COM"/>
    <w:docVar w:name="LW_REF.INST.NEW_ADOPTED" w:val="final"/>
    <w:docVar w:name="LW_REF.INST.NEW_TEXT" w:val="(2017) 7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uo panaikinamas Europos Parlamento ir Tarybos reglamentas (ES) Nr. 256/2014 d\u279?l prane\u353?imo Komisijai apie energetikos infrastrukt\u363?ros investicinius projektus Europos S\u261?jungoje _x000b__x000b_"/>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2031">
      <w:bodyDiv w:val="1"/>
      <w:marLeft w:val="0"/>
      <w:marRight w:val="0"/>
      <w:marTop w:val="0"/>
      <w:marBottom w:val="0"/>
      <w:divBdr>
        <w:top w:val="none" w:sz="0" w:space="0" w:color="auto"/>
        <w:left w:val="none" w:sz="0" w:space="0" w:color="auto"/>
        <w:bottom w:val="none" w:sz="0" w:space="0" w:color="auto"/>
        <w:right w:val="none" w:sz="0" w:space="0" w:color="auto"/>
      </w:divBdr>
      <w:divsChild>
        <w:div w:id="1797749863">
          <w:marLeft w:val="0"/>
          <w:marRight w:val="0"/>
          <w:marTop w:val="0"/>
          <w:marBottom w:val="0"/>
          <w:divBdr>
            <w:top w:val="none" w:sz="0" w:space="0" w:color="auto"/>
            <w:left w:val="none" w:sz="0" w:space="0" w:color="auto"/>
            <w:bottom w:val="none" w:sz="0" w:space="0" w:color="auto"/>
            <w:right w:val="none" w:sz="0" w:space="0" w:color="auto"/>
          </w:divBdr>
          <w:divsChild>
            <w:div w:id="284704445">
              <w:marLeft w:val="0"/>
              <w:marRight w:val="0"/>
              <w:marTop w:val="0"/>
              <w:marBottom w:val="0"/>
              <w:divBdr>
                <w:top w:val="none" w:sz="0" w:space="0" w:color="auto"/>
                <w:left w:val="none" w:sz="0" w:space="0" w:color="auto"/>
                <w:bottom w:val="none" w:sz="0" w:space="0" w:color="auto"/>
                <w:right w:val="none" w:sz="0" w:space="0" w:color="auto"/>
              </w:divBdr>
              <w:divsChild>
                <w:div w:id="36316893">
                  <w:marLeft w:val="0"/>
                  <w:marRight w:val="0"/>
                  <w:marTop w:val="0"/>
                  <w:marBottom w:val="0"/>
                  <w:divBdr>
                    <w:top w:val="none" w:sz="0" w:space="0" w:color="auto"/>
                    <w:left w:val="none" w:sz="0" w:space="0" w:color="auto"/>
                    <w:bottom w:val="none" w:sz="0" w:space="0" w:color="auto"/>
                    <w:right w:val="none" w:sz="0" w:space="0" w:color="auto"/>
                  </w:divBdr>
                  <w:divsChild>
                    <w:div w:id="2008820015">
                      <w:marLeft w:val="1"/>
                      <w:marRight w:val="1"/>
                      <w:marTop w:val="0"/>
                      <w:marBottom w:val="0"/>
                      <w:divBdr>
                        <w:top w:val="none" w:sz="0" w:space="0" w:color="auto"/>
                        <w:left w:val="none" w:sz="0" w:space="0" w:color="auto"/>
                        <w:bottom w:val="none" w:sz="0" w:space="0" w:color="auto"/>
                        <w:right w:val="none" w:sz="0" w:space="0" w:color="auto"/>
                      </w:divBdr>
                      <w:divsChild>
                        <w:div w:id="864171505">
                          <w:marLeft w:val="0"/>
                          <w:marRight w:val="0"/>
                          <w:marTop w:val="0"/>
                          <w:marBottom w:val="0"/>
                          <w:divBdr>
                            <w:top w:val="none" w:sz="0" w:space="0" w:color="auto"/>
                            <w:left w:val="none" w:sz="0" w:space="0" w:color="auto"/>
                            <w:bottom w:val="none" w:sz="0" w:space="0" w:color="auto"/>
                            <w:right w:val="none" w:sz="0" w:space="0" w:color="auto"/>
                          </w:divBdr>
                          <w:divsChild>
                            <w:div w:id="909921040">
                              <w:marLeft w:val="0"/>
                              <w:marRight w:val="0"/>
                              <w:marTop w:val="0"/>
                              <w:marBottom w:val="360"/>
                              <w:divBdr>
                                <w:top w:val="none" w:sz="0" w:space="0" w:color="auto"/>
                                <w:left w:val="none" w:sz="0" w:space="0" w:color="auto"/>
                                <w:bottom w:val="none" w:sz="0" w:space="0" w:color="auto"/>
                                <w:right w:val="none" w:sz="0" w:space="0" w:color="auto"/>
                              </w:divBdr>
                              <w:divsChild>
                                <w:div w:id="903683626">
                                  <w:marLeft w:val="0"/>
                                  <w:marRight w:val="0"/>
                                  <w:marTop w:val="0"/>
                                  <w:marBottom w:val="0"/>
                                  <w:divBdr>
                                    <w:top w:val="none" w:sz="0" w:space="0" w:color="auto"/>
                                    <w:left w:val="none" w:sz="0" w:space="0" w:color="auto"/>
                                    <w:bottom w:val="none" w:sz="0" w:space="0" w:color="auto"/>
                                    <w:right w:val="none" w:sz="0" w:space="0" w:color="auto"/>
                                  </w:divBdr>
                                  <w:divsChild>
                                    <w:div w:id="461922125">
                                      <w:marLeft w:val="0"/>
                                      <w:marRight w:val="0"/>
                                      <w:marTop w:val="0"/>
                                      <w:marBottom w:val="0"/>
                                      <w:divBdr>
                                        <w:top w:val="none" w:sz="0" w:space="0" w:color="auto"/>
                                        <w:left w:val="none" w:sz="0" w:space="0" w:color="auto"/>
                                        <w:bottom w:val="none" w:sz="0" w:space="0" w:color="auto"/>
                                        <w:right w:val="none" w:sz="0" w:space="0" w:color="auto"/>
                                      </w:divBdr>
                                      <w:divsChild>
                                        <w:div w:id="1164584403">
                                          <w:marLeft w:val="0"/>
                                          <w:marRight w:val="0"/>
                                          <w:marTop w:val="0"/>
                                          <w:marBottom w:val="0"/>
                                          <w:divBdr>
                                            <w:top w:val="none" w:sz="0" w:space="0" w:color="auto"/>
                                            <w:left w:val="none" w:sz="0" w:space="0" w:color="auto"/>
                                            <w:bottom w:val="none" w:sz="0" w:space="0" w:color="auto"/>
                                            <w:right w:val="none" w:sz="0" w:space="0" w:color="auto"/>
                                          </w:divBdr>
                                          <w:divsChild>
                                            <w:div w:id="1663463957">
                                              <w:marLeft w:val="0"/>
                                              <w:marRight w:val="0"/>
                                              <w:marTop w:val="0"/>
                                              <w:marBottom w:val="0"/>
                                              <w:divBdr>
                                                <w:top w:val="none" w:sz="0" w:space="0" w:color="auto"/>
                                                <w:left w:val="none" w:sz="0" w:space="0" w:color="auto"/>
                                                <w:bottom w:val="none" w:sz="0" w:space="0" w:color="auto"/>
                                                <w:right w:val="none" w:sz="0" w:space="0" w:color="auto"/>
                                              </w:divBdr>
                                              <w:divsChild>
                                                <w:div w:id="75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10:180:TOC" TargetMode="External"/><Relationship Id="rId2" Type="http://schemas.openxmlformats.org/officeDocument/2006/relationships/hyperlink" Target="http://ec.europa.eu/energy/sites/ener/files/documents/1_en_autre_document_travail_service_part1_v4.pdf" TargetMode="External"/><Relationship Id="rId1" Type="http://schemas.openxmlformats.org/officeDocument/2006/relationships/hyperlink" Target="http://eur-lex.europa.eu/legal-content/EN/AUTO/?uri=OJ:L:2010:18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C840-C08C-4626-9CFB-F6FF16B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1386</Words>
  <Characters>9485</Characters>
  <Application>Microsoft Office Word</Application>
  <DocSecurity>0</DocSecurity>
  <Lines>166</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2017-10-05T12:15:00Z</cp:lastPrinted>
  <dcterms:created xsi:type="dcterms:W3CDTF">2017-12-04T13:30:00Z</dcterms:created>
  <dcterms:modified xsi:type="dcterms:W3CDTF">2017-12-18T15:17:00Z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