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00851E-F47E-4982-904D-103EBEF9EB31" style="width:450.7pt;height:37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ind w:left="850"/>
        <w:rPr>
          <w:rFonts w:eastAsia="Times New Roman"/>
          <w:noProof/>
        </w:rPr>
      </w:pPr>
      <w:r>
        <w:rPr>
          <w:noProof/>
        </w:rPr>
        <w:t>Šis priekšlikums par Regulas (ES) Nr. 256/2014 (“regula”) atcelšanu tiek iesniegts saistībā ar Komisijas Normatīvās atbilstības un izpildes programmu (</w:t>
      </w:r>
      <w:r>
        <w:rPr>
          <w:i/>
          <w:noProof/>
        </w:rPr>
        <w:t>REFIT</w:t>
      </w:r>
      <w:r>
        <w:rPr>
          <w:noProof/>
        </w:rPr>
        <w:t>) un apņemšanos nodrošināt labāku regulējumu. Priekšlikuma nolūks ir nodrošināt ļoti kvalitatīvu un mērķim atbilstošu tiesisko regulējumu, kā minēts Iestāžu nolīgumā starp Eiropas Parlamentu, Eiropas Savienības Padomi un Eiropas Komisiju par labāku likumdošanas procesu</w:t>
      </w:r>
      <w:r>
        <w:rPr>
          <w:rStyle w:val="FootnoteReference"/>
          <w:noProof/>
        </w:rPr>
        <w:footnoteReference w:id="2"/>
      </w:r>
      <w:r>
        <w:rPr>
          <w:noProof/>
        </w:rPr>
        <w:t>. Komisija ir konstatējusi, ka minētā regula vairs nav piemērota mērķa sasniegšanai, un ierosina to atcelt.</w:t>
      </w:r>
    </w:p>
    <w:p>
      <w:pPr>
        <w:ind w:left="850"/>
        <w:rPr>
          <w:rFonts w:eastAsia="Times New Roman"/>
          <w:noProof/>
          <w:szCs w:val="24"/>
        </w:rPr>
      </w:pPr>
      <w:r>
        <w:rPr>
          <w:noProof/>
        </w:rPr>
        <w:t>Lai nodrošinātu, ka ES enerģētikas politika attīstās efektīvā veidā un atbilst ES faktiskajām vajadzībām, 2014. gada 26. februārī tika pieņemta Regula (ES) Nr. 256/2014 par Eiropas Savienībā īstenotu energoinfrastruktūras investīciju projektu paziņošanu Komisijai. Šī regula tika papildināta ar Komisijas 2014. gada 16. oktobra Īstenošanas regulu (ES) Nr. 1113/2014</w:t>
      </w:r>
      <w:r>
        <w:rPr>
          <w:rStyle w:val="FootnoteReference"/>
          <w:noProof/>
        </w:rPr>
        <w:footnoteReference w:id="3"/>
      </w:r>
      <w:r>
        <w:rPr>
          <w:noProof/>
        </w:rPr>
        <w:t>, ar ko noteica Regulas (ES) Nr. 256/2014 3. un 5. pantā minētās ziņošanas formu un tehniskos aspektus.</w:t>
      </w:r>
    </w:p>
    <w:p>
      <w:pPr>
        <w:ind w:left="850"/>
        <w:rPr>
          <w:rFonts w:eastAsia="Times New Roman"/>
          <w:noProof/>
          <w:szCs w:val="24"/>
        </w:rPr>
      </w:pPr>
      <w:r>
        <w:rPr>
          <w:noProof/>
        </w:rPr>
        <w:t>Pamatojoties uz Līguma par Eiropas Savienības darbību 194. pantu, Regulā (ES) Nr. 256/2014 un Komisijas Īstenošanas regulā (ES) Nr. 1113/2014 noteikts, ka dalībvalstīm jāpaziņo Komisijai par investīciju projektiem, kuru ietvaros ir sākti būvdarbi vai ekspluatācijas izbeigšanas darbi vai par kuriem ir pieņemts galīgs lēmums par investīcijām. Bija paredzēts, ka šādā veidā Komisija saņems datus un informāciju par plānotajām ražošanas, pārvades un glabāšanas jaudas izmaiņām, kā arī par tādiem projektiem dažādajās enerģētikas nozarēs, kas ir nozīmīgi ES līmenī un svarīgi attiecībā uz turpmāko enerģētikas un investīciju politiku.</w:t>
      </w:r>
    </w:p>
    <w:p>
      <w:pPr>
        <w:ind w:left="850"/>
        <w:rPr>
          <w:rFonts w:eastAsia="Times New Roman"/>
          <w:noProof/>
          <w:szCs w:val="24"/>
        </w:rPr>
      </w:pPr>
      <w:r>
        <w:rPr>
          <w:noProof/>
        </w:rPr>
        <w:t xml:space="preserve">Tādējādi regulas mērķis bija sniegt Komisijai vispārēju priekšstatu par to, kā ES attīstās investīcijas enerģētikas infrastruktūrā, lai Komisija varētu labāk pildīt savus pienākumus enerģētikas jomā. </w:t>
      </w:r>
    </w:p>
    <w:p>
      <w:pPr>
        <w:ind w:left="850"/>
        <w:rPr>
          <w:rFonts w:ascii="Lucida Sans Unicode" w:hAnsi="Lucida Sans Unicode" w:cs="Lucida Sans Unicode"/>
          <w:noProof/>
          <w:color w:val="444444"/>
          <w:sz w:val="19"/>
          <w:szCs w:val="19"/>
        </w:rPr>
      </w:pPr>
      <w:r>
        <w:rPr>
          <w:noProof/>
        </w:rPr>
        <w:t>Regulā noteiktie pienākumi jau bija spēkā saskaņā ar Padomes 2010. gada 24. jūnija Regulu (ES, Euratom) Nr. 617/2010 par to, kā ziņot Komisijai par enerģētikas infrastruktūras investīciju projektiem Eiropas Savienībā, un ar ko atceļ Regulu (EK) Nr. 736/96</w:t>
      </w:r>
      <w:r>
        <w:rPr>
          <w:rStyle w:val="FootnoteReference"/>
          <w:noProof/>
        </w:rPr>
        <w:footnoteReference w:id="4"/>
      </w:r>
      <w:r>
        <w:rPr>
          <w:noProof/>
          <w:color w:val="444444"/>
          <w:sz w:val="22"/>
        </w:rPr>
        <w:t xml:space="preserve">. </w:t>
      </w:r>
      <w:r>
        <w:rPr>
          <w:noProof/>
        </w:rPr>
        <w:t xml:space="preserve"> Tiesa Padomes Regulu Nr. 617/2010</w:t>
      </w:r>
      <w:r>
        <w:rPr>
          <w:rStyle w:val="FootnoteReference"/>
          <w:noProof/>
        </w:rPr>
        <w:footnoteReference w:id="5"/>
      </w:r>
      <w:r>
        <w:rPr>
          <w:rFonts w:ascii="Lucida Sans Unicode" w:hAnsi="Lucida Sans Unicode"/>
          <w:noProof/>
          <w:color w:val="444444"/>
          <w:sz w:val="19"/>
        </w:rPr>
        <w:t xml:space="preserve"> </w:t>
      </w:r>
      <w:r>
        <w:rPr>
          <w:noProof/>
        </w:rPr>
        <w:t xml:space="preserve"> atcēla tās kļūdaina juridiskā pamata dēļ, tomēr tās ietekme saglabājās, līdz tika pieņemta Regula (ES) Nr. 256/2014.</w:t>
      </w:r>
      <w:r>
        <w:rPr>
          <w:rFonts w:ascii="Lucida Sans Unicode" w:hAnsi="Lucida Sans Unicode"/>
          <w:noProof/>
          <w:color w:val="444444"/>
          <w:sz w:val="19"/>
        </w:rPr>
        <w:t xml:space="preserve"> </w:t>
      </w:r>
    </w:p>
    <w:p>
      <w:pPr>
        <w:ind w:left="850"/>
        <w:rPr>
          <w:rFonts w:eastAsia="Times New Roman"/>
          <w:noProof/>
          <w:szCs w:val="24"/>
        </w:rPr>
      </w:pPr>
      <w:r>
        <w:rPr>
          <w:noProof/>
        </w:rPr>
        <w:t xml:space="preserve">Kopš ir stājušies spēkā šajā regulā un pirms tās pieņemtajā Padomes Regulā Nr. 617/2010 noteiktie pienākumi, dalībvalstis ziņojumus ir iesniegušas trīs reizes (2011., 2013. un 2015. gadā). Tādējādi ir pagājis pietiekams laiks, lai Komisija varētu veikt ar faktiem pamatotu kritisku analīzi par to, vai regula ir devusi vēlamos rezultātus. </w:t>
      </w:r>
    </w:p>
    <w:p>
      <w:pPr>
        <w:pStyle w:val="ManualHeading1"/>
        <w:rPr>
          <w:noProof/>
        </w:rPr>
      </w:pPr>
      <w:r>
        <w:rPr>
          <w:noProof/>
        </w:rPr>
        <w:lastRenderedPageBreak/>
        <w:t>2.</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normatīvā atbilstība un vienkāršošana</w:t>
      </w:r>
    </w:p>
    <w:p>
      <w:pPr>
        <w:ind w:left="788"/>
        <w:rPr>
          <w:rFonts w:eastAsia="Times New Roman"/>
          <w:noProof/>
        </w:rPr>
      </w:pPr>
      <w:r>
        <w:rPr>
          <w:noProof/>
        </w:rPr>
        <w:t>Pēc tam, kad dalībvalstis trīs reizes bija iesniegušas ziņojumus saskaņā ar šo regulu un iepriekšējo tiesību aktu, Komisija pasūtīja trīs ārējus pētījumus. Ņemot vērā tajos konstatēto, Komisija 2016. gadā pārskatīja Regulu (ES) 256/2014, kā paredzēts tās 11. pantā. Tas tika darīts plašākas atbilstības pārbaudes satvarā, kas aptvēra plānošanas un ziņošanas pienākumus atbilstīgi enerģētikas tiesību aktu kopumam. Rezultātus Komisija publicēja 2016. gada novembrī</w:t>
      </w:r>
      <w:r>
        <w:rPr>
          <w:rStyle w:val="FootnoteReference"/>
          <w:noProof/>
        </w:rPr>
        <w:footnoteReference w:id="6"/>
      </w:r>
      <w:r>
        <w:rPr>
          <w:noProof/>
        </w:rPr>
        <w:t xml:space="preserve"> līdz ar priekšlikumu regulai par Enerģētikas savienības pārvaldību</w:t>
      </w:r>
      <w:r>
        <w:rPr>
          <w:rStyle w:val="FootnoteReference"/>
          <w:noProof/>
        </w:rPr>
        <w:footnoteReference w:id="7"/>
      </w:r>
      <w:r>
        <w:rPr>
          <w:noProof/>
        </w:rPr>
        <w:t xml:space="preserve">. </w:t>
      </w:r>
    </w:p>
    <w:p>
      <w:pPr>
        <w:ind w:left="788"/>
        <w:rPr>
          <w:rFonts w:eastAsia="Times New Roman"/>
          <w:noProof/>
        </w:rPr>
      </w:pPr>
      <w:r>
        <w:rPr>
          <w:noProof/>
        </w:rPr>
        <w:t>Atklājās, ka</w:t>
      </w:r>
    </w:p>
    <w:p>
      <w:pPr>
        <w:pStyle w:val="ManualNumPar1"/>
        <w:rPr>
          <w:noProof/>
        </w:rPr>
      </w:pPr>
      <w:r>
        <w:t>1.</w:t>
      </w:r>
      <w:r>
        <w:tab/>
      </w:r>
      <w:r>
        <w:rPr>
          <w:noProof/>
        </w:rPr>
        <w:t xml:space="preserve">pastāv būtiska pārklāšanās starp šajā regulā paredzētajiem ziņošanas pienākumiem un </w:t>
      </w:r>
      <w:r>
        <w:rPr>
          <w:i/>
          <w:noProof/>
        </w:rPr>
        <w:t>ENTSO-E</w:t>
      </w:r>
      <w:r>
        <w:rPr>
          <w:rStyle w:val="FootnoteReference"/>
          <w:noProof/>
        </w:rPr>
        <w:footnoteReference w:id="8"/>
      </w:r>
      <w:r>
        <w:rPr>
          <w:noProof/>
        </w:rPr>
        <w:t xml:space="preserve"> un </w:t>
      </w:r>
      <w:r>
        <w:rPr>
          <w:i/>
          <w:noProof/>
        </w:rPr>
        <w:t>ENTSO-G</w:t>
      </w:r>
      <w:r>
        <w:rPr>
          <w:rStyle w:val="FootnoteReference"/>
          <w:noProof/>
        </w:rPr>
        <w:footnoteReference w:id="9"/>
      </w:r>
      <w:r>
        <w:rPr>
          <w:noProof/>
        </w:rPr>
        <w:t xml:space="preserve"> noteiktajiem ziņošanas pienākumiem, šajā regulā paredzētajiem pienākumiem nesniedzot nekādu vai mazu pievienoto vērtību. </w:t>
      </w:r>
    </w:p>
    <w:p>
      <w:pPr>
        <w:pStyle w:val="ManualNumPar1"/>
        <w:rPr>
          <w:noProof/>
        </w:rPr>
      </w:pPr>
      <w:r>
        <w:t>2.</w:t>
      </w:r>
      <w:r>
        <w:tab/>
      </w:r>
      <w:r>
        <w:rPr>
          <w:noProof/>
        </w:rPr>
        <w:t xml:space="preserve">Lielāko daļu no informācijas, ko dalībvalstis sniedz saskaņā ar šo regulu, var viegli iegūt no citiem avotiem: pārvades sistēmu operatoru Eiropas tīkliem, </w:t>
      </w:r>
      <w:r>
        <w:rPr>
          <w:i/>
          <w:noProof/>
        </w:rPr>
        <w:t>TYNDP</w:t>
      </w:r>
      <w:r>
        <w:rPr>
          <w:noProof/>
        </w:rPr>
        <w:t xml:space="preserve"> (tīkla attīstības desmit gadu plāniem), pārvades sistēmas operatoru un komunālo pakalpojumu uzņēmumu gada ziņojumiem, valstu nozares attīstības plāniem (piemēram, atjaunojamo energoresursu rīcības plāniem) u. c. Turklāt Komisija regulāri vāc tirgus informāciju, izmantojot Enerģijas tirgu novērošanas sistēmu (</w:t>
      </w:r>
      <w:r>
        <w:rPr>
          <w:i/>
          <w:noProof/>
        </w:rPr>
        <w:t>EMOS</w:t>
      </w:r>
      <w:r>
        <w:rPr>
          <w:noProof/>
        </w:rPr>
        <w:t>).</w:t>
      </w:r>
    </w:p>
    <w:p>
      <w:pPr>
        <w:pStyle w:val="ManualNumPar1"/>
        <w:rPr>
          <w:noProof/>
        </w:rPr>
      </w:pPr>
      <w:r>
        <w:t>3.</w:t>
      </w:r>
      <w:r>
        <w:tab/>
      </w:r>
      <w:r>
        <w:rPr>
          <w:noProof/>
        </w:rPr>
        <w:t>Pēc trim ziņojumu iesniegšanas kārtām savāktie dati aptvēra tikai aptuveni pusi no ES enerģētikas nozares.</w:t>
      </w:r>
    </w:p>
    <w:p>
      <w:pPr>
        <w:pStyle w:val="ManualNumPar1"/>
        <w:rPr>
          <w:noProof/>
        </w:rPr>
      </w:pPr>
      <w:r>
        <w:t>4.</w:t>
      </w:r>
      <w:r>
        <w:tab/>
      </w:r>
      <w:r>
        <w:rPr>
          <w:noProof/>
        </w:rPr>
        <w:t>Objektīvas grūtības saistībā ar dažu regulas prasību izpildi, jo īpaši attiecībā uz informāciju, kas sniedzama par turpmākajām jaudām, mazināja minēto triju ziņošanas kārtu lietderību.</w:t>
      </w:r>
    </w:p>
    <w:p>
      <w:pPr>
        <w:ind w:left="851"/>
        <w:rPr>
          <w:noProof/>
        </w:rPr>
      </w:pPr>
      <w:r>
        <w:rPr>
          <w:noProof/>
        </w:rPr>
        <w:t>Tāpēc Komisija secināja, ka Regula (ES) Nr. 256/2014 nesniedz vēlamos rezultātus. Tālab tā ierosināja regulu atcelt.</w:t>
      </w:r>
    </w:p>
    <w:p>
      <w:pPr>
        <w:pStyle w:val="ManualHeading2"/>
        <w:rPr>
          <w:rFonts w:eastAsia="Arial Unicode MS"/>
          <w:noProof/>
          <w:u w:color="000000"/>
          <w:bdr w:val="nil"/>
        </w:rPr>
      </w:pPr>
      <w:r>
        <w:rPr>
          <w:noProof/>
        </w:rPr>
        <w:t>•</w:t>
      </w:r>
      <w:r>
        <w:rPr>
          <w:noProof/>
        </w:rPr>
        <w:tab/>
        <w:t>Apspriešanās ar ieinteresētajām personām</w:t>
      </w:r>
    </w:p>
    <w:p>
      <w:pPr>
        <w:autoSpaceDE w:val="0"/>
        <w:autoSpaceDN w:val="0"/>
        <w:adjustRightInd w:val="0"/>
        <w:ind w:left="851"/>
        <w:rPr>
          <w:noProof/>
        </w:rPr>
      </w:pPr>
      <w:r>
        <w:rPr>
          <w:noProof/>
        </w:rPr>
        <w:t>Gatavojoties nākt klajā ar priekšlikumu likumdošanas iniciatīvai par Enerģētikas savienības pārvaldību</w:t>
      </w:r>
      <w:r>
        <w:rPr>
          <w:rStyle w:val="FootnoteReference"/>
          <w:noProof/>
        </w:rPr>
        <w:footnoteReference w:id="10"/>
      </w:r>
      <w:r>
        <w:rPr>
          <w:noProof/>
        </w:rPr>
        <w:t xml:space="preserve">, Komisija veica plašu apspriešanos, lai apkopotu ieinteresēto personu, iedzīvotāju un dalībvalstu domas un viedokļus. Apspriešanās gaitā tika lūgts </w:t>
      </w:r>
      <w:r>
        <w:rPr>
          <w:noProof/>
        </w:rPr>
        <w:lastRenderedPageBreak/>
        <w:t>paust viedokli par to, kā pašreizējos plānošanas un ziņošanas pasākumus enerģētikas jomā varētu uzlabot, lai sasniegtu Enerģētikas savienības mērķi un samazinātu administratīvo slogu.</w:t>
      </w:r>
    </w:p>
    <w:p>
      <w:pPr>
        <w:autoSpaceDE w:val="0"/>
        <w:autoSpaceDN w:val="0"/>
        <w:adjustRightInd w:val="0"/>
        <w:ind w:left="851"/>
        <w:rPr>
          <w:noProof/>
        </w:rPr>
      </w:pPr>
      <w:r>
        <w:rPr>
          <w:noProof/>
        </w:rPr>
        <w:t>Sabiedriskā apspriešana tika sākta 2016. gada 11. janvārī, ilga 12 nedēļas un noslēdzās 2016. gada 22. aprīlī. Saņemtās atbildes tika izmantotas Komisijas veiktajā esošo plānošanas un ziņošanas pienākumu atbilstības izvērtēšanā un pārbaudē, kā arī, lai novērtētu, kāda būs tās ierosinātās likumdošanas iniciatīvas par Enerģētikas savienības pārvaldību ietekme.</w:t>
      </w:r>
    </w:p>
    <w:p>
      <w:pPr>
        <w:autoSpaceDE w:val="0"/>
        <w:autoSpaceDN w:val="0"/>
        <w:adjustRightInd w:val="0"/>
        <w:ind w:left="851"/>
        <w:rPr>
          <w:noProof/>
        </w:rPr>
      </w:pPr>
      <w:r>
        <w:rPr>
          <w:noProof/>
        </w:rPr>
        <w:t>Respondenti norādīja, ka Regulā (ES) Nr. 256/2014 noteiktos pienākumus varētu atcelt</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PRIEKŠLIKUMA JURIDISKIE ASPEKTI</w:t>
      </w:r>
    </w:p>
    <w:p>
      <w:pPr>
        <w:ind w:left="850"/>
        <w:rPr>
          <w:rFonts w:eastAsia="Times New Roman"/>
          <w:noProof/>
        </w:rPr>
      </w:pPr>
      <w:r>
        <w:rPr>
          <w:noProof/>
        </w:rPr>
        <w:t>Priekšlikums paredz atcelt Eiropas Parlamenta un Padomes 2014. gada 26. februāra Regulu (ES) Nr. 256/2014 par Eiropas Savienībā īstenotu energoinfrastruktūras investīciju projektu paziņošanu Komisijai, ar ko aizstāj Padomes Regulu (ES, Euratom) Nr. 617/2010 un atceļ Padomes Regulu (EK) Nr. 736/96.</w:t>
      </w:r>
    </w:p>
    <w:p>
      <w:pPr>
        <w:ind w:left="850"/>
        <w:rPr>
          <w:rFonts w:eastAsia="Times New Roman"/>
          <w:noProof/>
        </w:rPr>
      </w:pPr>
      <w:r>
        <w:rPr>
          <w:noProof/>
        </w:rPr>
        <w:t>Regulas (ES) Nr. 256/2014 juridiskais pamats, proti, Līguma par Eiropas Savienības darbību 194. pants, nozīmē parastās likumdošanas procedūras izmantošanu. Tāpēc Komisija Eiropas Parlamentam un Padomei ierosina šo regulu atcelt.</w:t>
      </w:r>
    </w:p>
    <w:p>
      <w:pPr>
        <w:pStyle w:val="ManualHeading1"/>
        <w:rPr>
          <w:noProof/>
        </w:rPr>
      </w:pPr>
      <w:r>
        <w:rPr>
          <w:noProof/>
        </w:rPr>
        <w:t>4.</w:t>
      </w:r>
      <w:r>
        <w:rPr>
          <w:noProof/>
        </w:rPr>
        <w:tab/>
        <w:t xml:space="preserve">IETEKME UZ BUDŽETU </w:t>
      </w:r>
    </w:p>
    <w:p>
      <w:pPr>
        <w:autoSpaceDE w:val="0"/>
        <w:autoSpaceDN w:val="0"/>
        <w:adjustRightInd w:val="0"/>
        <w:rPr>
          <w:noProof/>
        </w:rPr>
      </w:pPr>
      <w:r>
        <w:rPr>
          <w:noProof/>
        </w:rPr>
        <w:t>Regulai bija ļoti ierobežota ietekme uz budžetu, kas saistīta ar izdevumiem par informācijas tehnoloģijām, datu iegādi un ekspertu algošanu. Netika arī paredzēts, ka tā būtiski tieši ietekmēs dalībvalstu budžetus.</w:t>
      </w:r>
    </w:p>
    <w:p>
      <w:pPr>
        <w:autoSpaceDE w:val="0"/>
        <w:autoSpaceDN w:val="0"/>
        <w:adjustRightInd w:val="0"/>
        <w:rPr>
          <w:noProof/>
        </w:rPr>
      </w:pPr>
      <w:r>
        <w:rPr>
          <w:noProof/>
        </w:rPr>
        <w:t>Līdz ar šīs regulas atcelšanu beigsies arī ar to saistītie ierobežotie izdevumi. Tas palīdzēs racionalizēt Komisijas un dalībvalstu resursus, likvidējot dubultas ziņošanas pienākumu un tādu datu apstrādi, kas ir kļuvuši pieejami, izmantojot citus, augstākas kvalitātes avotus.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2017/0347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atceļ Eiropas Parlamenta un Padomes Regulu (ES) Nr. 256/2014 par Eiropas Savienībā īstenotu energoinfrastruktūras investīciju projektu paziņošanu Komisijai </w:t>
      </w:r>
      <w:r>
        <w:rPr>
          <w:noProof/>
        </w:rPr>
        <w:br/>
      </w:r>
      <w:r>
        <w:rPr>
          <w:noProof/>
        </w:rPr>
        <w:br/>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2"/>
      </w:r>
      <w:r>
        <w:rPr>
          <w:noProof/>
        </w:rPr>
        <w:t>,</w:t>
      </w:r>
    </w:p>
    <w:p>
      <w:pPr>
        <w:rPr>
          <w:noProof/>
        </w:rPr>
      </w:pPr>
      <w:r>
        <w:rPr>
          <w:noProof/>
        </w:rPr>
        <w:t>ņemot vērā Reģionu komitejas atzinumu</w:t>
      </w:r>
      <w:r>
        <w:rPr>
          <w:rStyle w:val="FootnoteReference"/>
          <w:noProof/>
        </w:rPr>
        <w:footnoteReference w:id="13"/>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Eiropas Parlaments, Eiropas Savienības Padome un Eiropas Komisija 2016. gada 13. aprīļa Iestāžu nolīgumā par labāku likumdošanas procesu</w:t>
      </w:r>
      <w:r>
        <w:rPr>
          <w:rStyle w:val="FootnoteReference"/>
          <w:noProof/>
        </w:rPr>
        <w:footnoteReference w:id="14"/>
      </w:r>
      <w:r>
        <w:rPr>
          <w:noProof/>
        </w:rPr>
        <w:t xml:space="preserve"> apstiprināja kopīgo apņemšanos atjaunināt un vienkāršot tiesību aktus.</w:t>
      </w:r>
    </w:p>
    <w:p>
      <w:pPr>
        <w:pStyle w:val="ManualConsidrant"/>
        <w:rPr>
          <w:noProof/>
        </w:rPr>
      </w:pPr>
      <w:r>
        <w:t>(2)</w:t>
      </w:r>
      <w:r>
        <w:tab/>
      </w:r>
      <w:r>
        <w:rPr>
          <w:noProof/>
        </w:rPr>
        <w:t>Lai sakārtotu tiesību aktus un samazinātu to apjomu, ir nepieciešams konstatēt, kuri tiesību akti ir novecojuši vai vairs neatbilst mērķim. Atceļot šādus tiesību aktus, tiek saglabāta tiesiskā regulējuma pārredzamība, skaidrums un izmantošanas vienkāršums.</w:t>
      </w:r>
    </w:p>
    <w:p>
      <w:pPr>
        <w:pStyle w:val="ManualConsidrant"/>
        <w:rPr>
          <w:noProof/>
        </w:rPr>
      </w:pPr>
      <w:r>
        <w:t>(3)</w:t>
      </w:r>
      <w:r>
        <w:tab/>
      </w:r>
      <w:r>
        <w:rPr>
          <w:noProof/>
        </w:rPr>
        <w:t>Eiropas Parlamenta un Padomes Regulā (ES) Nr. 256/2014</w:t>
      </w:r>
      <w:r>
        <w:rPr>
          <w:rStyle w:val="FootnoteReference"/>
          <w:noProof/>
        </w:rPr>
        <w:footnoteReference w:id="15"/>
      </w:r>
      <w:r>
        <w:rPr>
          <w:noProof/>
        </w:rPr>
        <w:t xml:space="preserve"> dalībvalstīm ir noteikta prasība paziņot Komisijai par investīciju projektiem, kuru ietvaros ir sākti būvdarbi vai ekspluatācijas izbeigšanas darbi vai par kuriem ir pieņemts galīgs lēmums par investīcijām. </w:t>
      </w:r>
    </w:p>
    <w:p>
      <w:pPr>
        <w:pStyle w:val="ManualConsidrant"/>
        <w:rPr>
          <w:noProof/>
        </w:rPr>
      </w:pPr>
      <w:r>
        <w:t>(4)</w:t>
      </w:r>
      <w:r>
        <w:tab/>
      </w:r>
      <w:r>
        <w:rPr>
          <w:noProof/>
        </w:rPr>
        <w:t>Regulā (ES) Nr. 256/2014 noteiktais pienākums ziņot par investīciju projektiem un sniegt ar tiem saistītu konkrētu informāciju un datus jau bija noteikts Padomes Regulā (ES, Euratom) Nr. 617/2010</w:t>
      </w:r>
      <w:r>
        <w:rPr>
          <w:rStyle w:val="FootnoteReference"/>
          <w:noProof/>
        </w:rPr>
        <w:footnoteReference w:id="16"/>
      </w:r>
      <w:r>
        <w:rPr>
          <w:noProof/>
        </w:rPr>
        <w:t>. Tiesa Regulu (ES, Euratom) Nr. 617/2010</w:t>
      </w:r>
      <w:r>
        <w:rPr>
          <w:rStyle w:val="FootnoteReference"/>
          <w:noProof/>
        </w:rPr>
        <w:footnoteReference w:id="17"/>
      </w:r>
      <w:r>
        <w:rPr>
          <w:noProof/>
        </w:rPr>
        <w:t xml:space="preserve"> atcēla tās </w:t>
      </w:r>
      <w:r>
        <w:rPr>
          <w:noProof/>
        </w:rPr>
        <w:lastRenderedPageBreak/>
        <w:t xml:space="preserve">kļūdaina juridiskā pamata dēļ, tomēr tās ietekme tika saglabāta līdz Regulas (ES) Nr. 256/2014 pieņemšanai. </w:t>
      </w:r>
    </w:p>
    <w:p>
      <w:pPr>
        <w:pStyle w:val="ManualConsidrant"/>
        <w:rPr>
          <w:noProof/>
        </w:rPr>
      </w:pPr>
      <w:r>
        <w:t>(5)</w:t>
      </w:r>
      <w:r>
        <w:tab/>
      </w:r>
      <w:r>
        <w:rPr>
          <w:noProof/>
        </w:rPr>
        <w:t>Iepriekšējā tiesiskā regulējuma mērķis bija sniegt Komisijai datus un informāciju par plānotajām ražošanas, pārvades un glabāšanas jaudas izmaiņām, kā arī par projektiem enerģētikas nozarēs. Tam vajadzēja Komisijai sniegt vispārēju priekšstatu par to, kā Savienībā notiek investīcijas energoinfrastruktūrā.</w:t>
      </w:r>
    </w:p>
    <w:p>
      <w:pPr>
        <w:pStyle w:val="ManualConsidrant"/>
        <w:rPr>
          <w:noProof/>
        </w:rPr>
      </w:pPr>
      <w:r>
        <w:t>(6)</w:t>
      </w:r>
      <w:r>
        <w:tab/>
      </w:r>
      <w:r>
        <w:rPr>
          <w:noProof/>
        </w:rPr>
        <w:t xml:space="preserve">Kopš ar Regulu (ES) Nr. 256/2014 un Padomes Regulu (ES, Euratom) Nr 617/2010 tika noteikts ziņošanas pienākums, ziņojumi ir iesniegti trīs reizes (2011., 2013. un 2015. gadā). Turklāt, pēc tam, kad dalībvalstis trīs reizes bija iesniegušas ziņojumus saskaņā ar Regulu (ES) Nr. 256/2014, Komisija pasūtīja trīs ārējus pētījumus. Tādējādi ir pagājis pietiekams laiks un ir gūta pietiekama pieredze, lai Komisija varētu veikt ar faktiem pamatotu kritisku analīzi par to, vai regula ir devusi vēlamos rezultātus. </w:t>
      </w:r>
    </w:p>
    <w:p>
      <w:pPr>
        <w:pStyle w:val="ManualConsidrant"/>
        <w:rPr>
          <w:noProof/>
        </w:rPr>
      </w:pPr>
      <w:r>
        <w:t>(7)</w:t>
      </w:r>
      <w:r>
        <w:tab/>
      </w:r>
      <w:r>
        <w:rPr>
          <w:noProof/>
        </w:rPr>
        <w:t xml:space="preserve">Komisija 2016. gadā veica Regulas (ES) Nr. 256/2014 11. pantā paredzēto pārskatīšanu, tostarp apspriežoties ar ieinteresētajām personām par visiem plānošanas un ziņošanas pienākumiem enerģētikas nozarē. Komisija secināja, ka pastāv būtiska pārklāšanās starp Regulā (ES) Nr. 256/2014 paredzētajiem ziņošanas pienākumiem un enerģijas pārvades sistēmu operatoru </w:t>
      </w:r>
      <w:r>
        <w:rPr>
          <w:i/>
          <w:noProof/>
        </w:rPr>
        <w:t>ENTSO-E</w:t>
      </w:r>
      <w:r>
        <w:rPr>
          <w:noProof/>
        </w:rPr>
        <w:t xml:space="preserve"> un </w:t>
      </w:r>
      <w:r>
        <w:rPr>
          <w:i/>
          <w:noProof/>
        </w:rPr>
        <w:t>ENTSO-G</w:t>
      </w:r>
      <w:r>
        <w:rPr>
          <w:noProof/>
        </w:rPr>
        <w:t xml:space="preserve"> noteiktajiem ziņošanas pienākumiem. Tāpat tika konstatēts, ka saņemtās informācijas un datu kvalitāte un atbilstība bieži vien ir nepietiekama un ka šāda informācija un dati Komisijai ir kļuvuši pieejami no citiem avotiem, piemēram, pārvades sistēmu operatoru Eiropas tīkliem, </w:t>
      </w:r>
      <w:r>
        <w:rPr>
          <w:i/>
          <w:noProof/>
        </w:rPr>
        <w:t>TYNDP</w:t>
      </w:r>
      <w:r>
        <w:rPr>
          <w:noProof/>
        </w:rPr>
        <w:t xml:space="preserve"> (tīkla attīstības desmit gadu plāniem), pārvades sistēmas operatoru un komunālo pakalpojumu uzņēmumu gada ziņojumiem, valstu attīstības plāniem u. c. Turklāt tika atzīmēts, ka Komisijai ir tieša piekļuve tirgus datiem caur tās Enerģijas tirgu novērošanas sistēmu (</w:t>
      </w:r>
      <w:r>
        <w:rPr>
          <w:i/>
          <w:noProof/>
        </w:rPr>
        <w:t>EMOS</w:t>
      </w:r>
      <w:r>
        <w:rPr>
          <w:noProof/>
        </w:rPr>
        <w:t>).</w:t>
      </w:r>
    </w:p>
    <w:p>
      <w:pPr>
        <w:pStyle w:val="ManualConsidrant"/>
        <w:rPr>
          <w:noProof/>
        </w:rPr>
      </w:pPr>
      <w:r>
        <w:t>(8)</w:t>
      </w:r>
      <w:r>
        <w:tab/>
      </w:r>
      <w:r>
        <w:rPr>
          <w:noProof/>
        </w:rPr>
        <w:t>Tādējādi Regula (ES) Nr. 256/2014 nav devusi gaidītos rezultātus attiecībā uz Komisijas saņemto datu un informācijas daudzumu, kvalitāti un atbilstību.</w:t>
      </w:r>
    </w:p>
    <w:p>
      <w:pPr>
        <w:pStyle w:val="ManualConsidrant"/>
        <w:rPr>
          <w:noProof/>
        </w:rPr>
      </w:pPr>
      <w:r>
        <w:t>(9)</w:t>
      </w:r>
      <w:r>
        <w:tab/>
      </w:r>
      <w:r>
        <w:rPr>
          <w:noProof/>
        </w:rPr>
        <w:t>Tādēļ Regula (ES) Nr. 256/2014 būtu jāatceļ.</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Regulu (ES) Nr. 256/2014 atceļ.</w:t>
      </w:r>
    </w:p>
    <w:p>
      <w:pPr>
        <w:rPr>
          <w:noProof/>
        </w:rPr>
      </w:pPr>
    </w:p>
    <w:p>
      <w:pPr>
        <w:pStyle w:val="Titrearticle"/>
        <w:rPr>
          <w:noProof/>
        </w:rPr>
      </w:pPr>
      <w:r>
        <w:rPr>
          <w:noProof/>
        </w:rPr>
        <w:t>2. pants</w:t>
      </w:r>
    </w:p>
    <w:p>
      <w:pPr>
        <w:rPr>
          <w:noProof/>
        </w:rPr>
      </w:pPr>
      <w:r>
        <w:rPr>
          <w:noProof/>
        </w:rPr>
        <w:t xml:space="preserve">Šī regula stājas spēkā divdesmitajā dienā pēc tās publicēšanas </w:t>
      </w:r>
      <w:r>
        <w:rPr>
          <w:i/>
          <w:noProof/>
        </w:rPr>
        <w:t>Eiropas Savienības Oficiālajā Vēstnesī</w:t>
      </w:r>
      <w:r>
        <w:rPr>
          <w:noProof/>
        </w:rPr>
        <w:t xml:space="preserve">. </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Strong"/>
          <w:b w:val="0"/>
        </w:rPr>
        <w:t>Iestāžu nolīgums starp Eiropas Parlamentu, Eiropas Savienības Padomi un Eiropas Komisiju par labāku likumdošanas procesu</w:t>
      </w:r>
      <w:r>
        <w:rPr>
          <w:rStyle w:val="Strong"/>
        </w:rPr>
        <w:t xml:space="preserve">. </w:t>
      </w:r>
      <w:r>
        <w:rPr>
          <w:rStyle w:val="Hyperlink"/>
          <w:color w:val="auto"/>
        </w:rPr>
        <w:t>OV L 123, 12.5.2016., 1.–14. lpp.</w:t>
      </w:r>
    </w:p>
  </w:footnote>
  <w:footnote w:id="3">
    <w:p>
      <w:pPr>
        <w:pStyle w:val="FootnoteText"/>
      </w:pPr>
      <w:r>
        <w:rPr>
          <w:rStyle w:val="FootnoteReference"/>
        </w:rPr>
        <w:footnoteRef/>
      </w:r>
      <w:r>
        <w:tab/>
      </w:r>
      <w:r>
        <w:rPr>
          <w:rStyle w:val="Strong"/>
          <w:b w:val="0"/>
        </w:rPr>
        <w:t>OV L 302, 22.10.2014., 26. lpp.</w:t>
      </w:r>
      <w:r>
        <w:rPr>
          <w:rFonts w:ascii="Lucida Sans Unicode" w:hAnsi="Lucida Sans Unicode"/>
          <w:sz w:val="19"/>
        </w:rPr>
        <w:t xml:space="preserve"> </w:t>
      </w:r>
    </w:p>
  </w:footnote>
  <w:footnote w:id="4">
    <w:p>
      <w:pPr>
        <w:pStyle w:val="FootnoteText"/>
      </w:pPr>
      <w:r>
        <w:rPr>
          <w:rStyle w:val="FootnoteReference"/>
        </w:rPr>
        <w:footnoteRef/>
      </w:r>
      <w:r>
        <w:tab/>
      </w:r>
      <w:hyperlink r:id="rId1">
        <w:r>
          <w:rPr>
            <w:rStyle w:val="Hyperlink"/>
            <w:color w:val="auto"/>
            <w:u w:val="none"/>
          </w:rPr>
          <w:t>OV L 180, 15.7.2010., 7. lpp.</w:t>
        </w:r>
      </w:hyperlink>
    </w:p>
  </w:footnote>
  <w:footnote w:id="5">
    <w:p>
      <w:pPr>
        <w:pStyle w:val="FootnoteText"/>
      </w:pPr>
      <w:r>
        <w:rPr>
          <w:rStyle w:val="FootnoteReference"/>
        </w:rPr>
        <w:footnoteRef/>
      </w:r>
      <w:r>
        <w:tab/>
        <w:t>Tiesas 2012. gada 6. septembra spriedums lietā C-490/10 Parlaments/Padome (Krājums 2012, I-0000. lpp.)).</w:t>
      </w:r>
    </w:p>
  </w:footnote>
  <w:footnote w:id="6">
    <w:p>
      <w:pPr>
        <w:pStyle w:val="FootnoteText"/>
        <w:jc w:val="left"/>
      </w:pPr>
      <w:r>
        <w:rPr>
          <w:rStyle w:val="FootnoteReference"/>
        </w:rPr>
        <w:footnoteRef/>
      </w:r>
      <w:r>
        <w:tab/>
        <w:t xml:space="preserve">Komisijas dienestu darba dokuments (2016) 396 </w:t>
      </w:r>
      <w:r>
        <w:rPr>
          <w:i/>
        </w:rPr>
        <w:t>final</w:t>
      </w:r>
      <w:r>
        <w:t xml:space="preserve">. </w:t>
      </w:r>
      <w:hyperlink r:id="rId2">
        <w:r>
          <w:rPr>
            <w:rStyle w:val="Hyperlink"/>
            <w:color w:val="auto"/>
          </w:rPr>
          <w:t>http://ec.europa.eu/energy/sites/ener/files/documents/1_en_autre_document_travail_service_part1_v4.pdf</w:t>
        </w:r>
      </w:hyperlink>
    </w:p>
  </w:footnote>
  <w:footnote w:id="7">
    <w:p>
      <w:pPr>
        <w:pStyle w:val="FootnoteText"/>
      </w:pPr>
      <w:r>
        <w:rPr>
          <w:rStyle w:val="FootnoteReference"/>
        </w:rPr>
        <w:footnoteRef/>
      </w:r>
      <w:r>
        <w:tab/>
        <w:t xml:space="preserve">COM(2016) 0759 </w:t>
      </w:r>
      <w:r>
        <w:rPr>
          <w:i/>
        </w:rPr>
        <w:t>final</w:t>
      </w:r>
      <w:r>
        <w:t xml:space="preserve"> – 2016/0375 (COD).</w:t>
      </w:r>
      <w:r>
        <w:rPr>
          <w:rFonts w:ascii="Lucida Sans Unicode" w:hAnsi="Lucida Sans Unicode"/>
          <w:sz w:val="19"/>
        </w:rPr>
        <w:t xml:space="preserve"> </w:t>
      </w:r>
      <w:r>
        <w:t xml:space="preserve">Komisijas priekšlikums – Eiropas Parlamenta un Padomes Regula 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 </w:t>
      </w:r>
    </w:p>
  </w:footnote>
  <w:footnote w:id="8">
    <w:p>
      <w:pPr>
        <w:pStyle w:val="FootnoteText"/>
      </w:pPr>
      <w:r>
        <w:rPr>
          <w:rStyle w:val="FootnoteReference"/>
        </w:rPr>
        <w:footnoteRef/>
      </w:r>
      <w:r>
        <w:tab/>
        <w:t>Elektroenerģijas pārvades sistēmu operatoru Eiropas tīkls.</w:t>
      </w:r>
    </w:p>
  </w:footnote>
  <w:footnote w:id="9">
    <w:p>
      <w:pPr>
        <w:pStyle w:val="FootnoteText"/>
      </w:pPr>
      <w:r>
        <w:rPr>
          <w:rStyle w:val="FootnoteReference"/>
        </w:rPr>
        <w:footnoteRef/>
      </w:r>
      <w:r>
        <w:tab/>
        <w:t>Gāzes pārvades sistēmu operatoru Eiropas tīkls.</w:t>
      </w:r>
    </w:p>
  </w:footnote>
  <w:footnote w:id="10">
    <w:p>
      <w:pPr>
        <w:pStyle w:val="FootnoteText"/>
      </w:pPr>
      <w:r>
        <w:rPr>
          <w:rStyle w:val="FootnoteReference"/>
        </w:rPr>
        <w:footnoteRef/>
      </w:r>
      <w:r>
        <w:tab/>
        <w:t xml:space="preserve">COM(2016) 0759 </w:t>
      </w:r>
      <w:r>
        <w:rPr>
          <w:i/>
        </w:rPr>
        <w:t>final</w:t>
      </w:r>
      <w:r>
        <w:t xml:space="preserve"> – 2016/0375 (COD).</w:t>
      </w:r>
      <w:r>
        <w:rPr>
          <w:rFonts w:ascii="Lucida Sans Unicode" w:hAnsi="Lucida Sans Unicode"/>
          <w:sz w:val="19"/>
        </w:rPr>
        <w:t xml:space="preserve"> </w:t>
      </w:r>
      <w:r>
        <w:t xml:space="preserve">Komisijas priekšlikums – Eiropas Parlamenta un Padomes Regula 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 </w:t>
      </w:r>
    </w:p>
  </w:footnote>
  <w:footnote w:id="11">
    <w:p>
      <w:pPr>
        <w:pStyle w:val="FootnoteText"/>
      </w:pPr>
      <w:r>
        <w:rPr>
          <w:rStyle w:val="FootnoteReference"/>
        </w:rPr>
        <w:footnoteRef/>
      </w:r>
      <w:r>
        <w:tab/>
        <w:t xml:space="preserve">Sk. turpat SWD(2016) 396 </w:t>
      </w:r>
      <w:r>
        <w:rPr>
          <w:i/>
        </w:rPr>
        <w:t>final</w:t>
      </w:r>
      <w:r>
        <w:t>, 118. lpp.</w:t>
      </w:r>
    </w:p>
  </w:footnote>
  <w:footnote w:id="12">
    <w:p>
      <w:pPr>
        <w:pStyle w:val="FootnoteText"/>
        <w:rPr>
          <w:lang w:val="pl-PL"/>
        </w:rPr>
      </w:pPr>
      <w:r>
        <w:rPr>
          <w:rStyle w:val="FootnoteReference"/>
        </w:rPr>
        <w:footnoteRef/>
      </w:r>
      <w:r>
        <w:tab/>
        <w:t>OV C [...], [...], [...]. lpp.</w:t>
      </w:r>
    </w:p>
  </w:footnote>
  <w:footnote w:id="13">
    <w:p>
      <w:pPr>
        <w:pStyle w:val="FootnoteText"/>
        <w:rPr>
          <w:lang w:val="pl-PL"/>
        </w:rPr>
      </w:pPr>
      <w:r>
        <w:rPr>
          <w:rStyle w:val="FootnoteReference"/>
        </w:rPr>
        <w:footnoteRef/>
      </w:r>
      <w:r>
        <w:tab/>
        <w:t>OV C [...], [...], [...]. lpp.</w:t>
      </w:r>
    </w:p>
  </w:footnote>
  <w:footnote w:id="14">
    <w:p>
      <w:pPr>
        <w:pStyle w:val="FootnoteText"/>
        <w:rPr>
          <w:lang w:val="pl-PL"/>
        </w:rPr>
      </w:pPr>
      <w:r>
        <w:rPr>
          <w:rStyle w:val="FootnoteReference"/>
        </w:rPr>
        <w:footnoteRef/>
      </w:r>
      <w:r>
        <w:tab/>
        <w:t>OV L 123, 12.5.2016., 1. lpp.</w:t>
      </w:r>
    </w:p>
  </w:footnote>
  <w:footnote w:id="15">
    <w:p>
      <w:pPr>
        <w:pStyle w:val="FootnoteText"/>
      </w:pPr>
      <w:r>
        <w:rPr>
          <w:rStyle w:val="FootnoteReference"/>
        </w:rPr>
        <w:footnoteRef/>
      </w:r>
      <w:r>
        <w:tab/>
        <w:t>Eiropas Parlamenta un Padomes 2014. gada 26. februāra Regula (ES) Nr. 256/2014 par Eiropas Savienībā īstenotu energoinfrastruktūras investīciju projektu paziņošanu Komisijai, ar ko aizstāj Padomes Regulu (ES, Euratom) Nr. 617/2010 un atceļ Padomes Regulu (EK) Nr. 736/96 (OV L 84, 20.3.2014., 61. lpp.).</w:t>
      </w:r>
    </w:p>
  </w:footnote>
  <w:footnote w:id="16">
    <w:p>
      <w:pPr>
        <w:pStyle w:val="FootnoteText"/>
      </w:pPr>
      <w:r>
        <w:rPr>
          <w:rStyle w:val="FootnoteReference"/>
        </w:rPr>
        <w:footnoteRef/>
      </w:r>
      <w:r>
        <w:tab/>
        <w:t>Padomes 2010. gada 24. jūnija Regula (ES, Euratom) Nr. 617/2010 par to, kā ziņot Komisijai par enerģētikas infrastruktūras investīciju projektiem Eiropas Savienībā, un ar ko atceļ Regulu (EK) Nr. 736/96 (</w:t>
      </w:r>
      <w:hyperlink r:id="rId3">
        <w:r>
          <w:rPr>
            <w:rStyle w:val="Hyperlink"/>
            <w:color w:val="auto"/>
            <w:u w:val="none"/>
          </w:rPr>
          <w:t>OV L 180, 15.7.2010., 7. lpp.</w:t>
        </w:r>
      </w:hyperlink>
      <w:r>
        <w:rPr>
          <w:rStyle w:val="Hyperlink"/>
          <w:color w:val="auto"/>
          <w:u w:val="none"/>
        </w:rPr>
        <w:t>).</w:t>
      </w:r>
    </w:p>
  </w:footnote>
  <w:footnote w:id="17">
    <w:p>
      <w:pPr>
        <w:pStyle w:val="FootnoteText"/>
      </w:pPr>
      <w:r>
        <w:rPr>
          <w:rStyle w:val="FootnoteReference"/>
        </w:rPr>
        <w:footnoteRef/>
      </w:r>
      <w:r>
        <w:tab/>
        <w:t>Tiesas 2012. gada 6. septembra spriedums lietā C-490/10 Parlaments/Padome,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8: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A00851E-F47E-4982-904D-103EBEF9EB31"/>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iek\u353?likums"/>
    <w:docVar w:name="LW_SUPERTITRE" w:val="&lt;UNUSED&gt;"/>
    <w:docVar w:name="LW_TITRE.OBJ.CP" w:val="ar ko atce\u316? Eiropas Parlamenta un Padomes Regulu (ES) Nr. 256/2014 par Eiropas Savien\u299?b\u257? \u299?stenotu energoinfrastrukt\u363?ras invest\u299?ciju projektu pazi\u326?o\u353?anu Komisijai _x000b__x000b_"/>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AUTO/?uri=OJ:L:2010:180: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LV/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58D8-D3AD-45CB-9522-05DEAE68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1401</Words>
  <Characters>9111</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2017-12-04T15:16:00Z</dcterms:created>
  <dcterms:modified xsi:type="dcterms:W3CDTF">2017-12-18T15:18:00Z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