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DD882CA1-A648-4491-BF8C-E4A4CD9E508B" style="width:450.8pt;height:393.3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UZASADNIENIE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WNIOSKU</w:t>
      </w:r>
    </w:p>
    <w:p>
      <w:pPr>
        <w:ind w:left="850"/>
        <w:rPr>
          <w:rFonts w:eastAsia="Times New Roman"/>
          <w:noProof/>
        </w:rPr>
      </w:pPr>
      <w:r>
        <w:rPr>
          <w:noProof/>
        </w:rPr>
        <w:t>Poniższy wniosek w sprawie uchylenia rozporządzenia (UE) nr 256/2014 („rozporządzenie”) zostaje przedłożony w ramach realizowanego przez Komisję programu REFIT i zobowiązania dotyczącego lepszego stanowienia prawa. Jego celem jest zapewnienie ram prawnych, które byłyby adekwatne do potrzeb i miałyby wysoką jakość, jak wskazano w porozumieniu międzyinstytucjonalnym pomiędzy Parlamentem Europejskim, Radą Unii Europejskiej i Komisją Europejską w sprawie lepszego stanowienia prawa</w:t>
      </w:r>
      <w:r>
        <w:rPr>
          <w:rStyle w:val="FootnoteReference"/>
          <w:noProof/>
        </w:rPr>
        <w:footnoteReference w:id="2"/>
      </w:r>
      <w:r>
        <w:rPr>
          <w:noProof/>
        </w:rPr>
        <w:t>. Komisja stwierdziła, że przedmiotowe rozporządzenie nie jest już adekwatne do zakładanego celu, i proponuje jego uchylenie.</w:t>
      </w:r>
    </w:p>
    <w:p>
      <w:pPr>
        <w:ind w:left="850"/>
        <w:rPr>
          <w:rFonts w:eastAsia="Times New Roman"/>
          <w:noProof/>
          <w:szCs w:val="24"/>
        </w:rPr>
      </w:pPr>
      <w:r>
        <w:rPr>
          <w:noProof/>
        </w:rPr>
        <w:t>W dniu 26 lutego 2014 r. przyjęto rozporządzenie (UE) nr 256/2014 w sprawie zgłaszania Komisji projektów inwestycyjnych dotyczących infrastruktury energetycznej w Unii Europejskiej w celu zapewnienia, aby unijna polityka energetyczna rozwijała się w sposób skuteczny i odpowiadała rzeczywistym potrzebom. Rozporządzenie to zostało wsparte rozporządzeniem wykonawczym Komisji (UE) nr 1113/2014 z dnia 16 października 2014 r. ustanawiającym format i szczegóły techniczne zgłoszenia, o którym mowa w art. 3 i 5 rozporządzenia (UE) nr 256/2014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ind w:left="850"/>
        <w:rPr>
          <w:rFonts w:eastAsia="Times New Roman"/>
          <w:noProof/>
          <w:szCs w:val="24"/>
        </w:rPr>
      </w:pPr>
      <w:r>
        <w:rPr>
          <w:noProof/>
        </w:rPr>
        <w:t>W oparciu o art. 194 Traktatu o funkcjonowaniu Unii Europejskiej rozporządzeniem (UE) nr 256/2014 i rozporządzeniem wykonawczym Komisji (UE) nr 1113/2014 zobowiązano państwa członkowskie do zgłaszania Komisji projektów inwestycyjnych, w przypadku których prace w zakresie budowy lub wycofywania z eksploatacji już się rozpoczęły lub co do których podjęto już ostateczną decyzję inwestycyjną. W ten sposób Komisja miała uzyskać dostęp do danych i informacji na temat planowanego rozwoju zdolności wytwórczych, przesyłowych i magazynowych, a także projektów w różnych sektorach energetyki, które są przedmiotem zainteresowania UE i są istotne w kontekście przyszłych polityk w dziedzinach energetyki i inwestycji.</w:t>
      </w:r>
    </w:p>
    <w:p>
      <w:pPr>
        <w:ind w:left="850"/>
        <w:rPr>
          <w:rFonts w:eastAsia="Times New Roman"/>
          <w:noProof/>
          <w:szCs w:val="24"/>
        </w:rPr>
      </w:pPr>
      <w:r>
        <w:rPr>
          <w:noProof/>
        </w:rPr>
        <w:t xml:space="preserve">W związku z tym przedmiotowe rozporządzenie miało na celu zapewnienie Komisji całościowego obrazu rozwoju inwestycji w zakresie infrastruktury energetycznej w UE, tak aby mogła ona lepiej realizować swoje zadania w dziedzinie energetyki. </w:t>
      </w:r>
    </w:p>
    <w:p>
      <w:pPr>
        <w:ind w:left="850"/>
        <w:rPr>
          <w:rFonts w:ascii="Lucida Sans Unicode" w:hAnsi="Lucida Sans Unicode" w:cs="Lucida Sans Unicode"/>
          <w:noProof/>
          <w:color w:val="444444"/>
          <w:sz w:val="19"/>
          <w:szCs w:val="19"/>
        </w:rPr>
      </w:pPr>
      <w:r>
        <w:rPr>
          <w:noProof/>
        </w:rPr>
        <w:t>Obowiązki wynikające z przedmiotowego rozporządzenia obowiązywały już na mocy rozporządzenia Rady (UE, Euratom) nr 617/2010 z dnia 24 czerwca 2010 r. w sprawie zgłaszania Komisji projektów inwestycyjnych dotyczących infrastruktury energetycznej w Unii Europejskiej oraz uchylającego rozporządzenie (WE) nr 736/96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Trybunał Sprawiedliwości stwierdził nieważność rozporządzenia Rady nr 617/2010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ze względu na jego błędną podstawę prawną, ale jego skutki zostały utrzymane do czasu przyjęcia rozporządzenia (UE) nr 256/2014.</w:t>
      </w:r>
      <w:r>
        <w:rPr>
          <w:rFonts w:ascii="Lucida Sans Unicode" w:hAnsi="Lucida Sans Unicode"/>
          <w:noProof/>
          <w:color w:val="444444"/>
          <w:sz w:val="19"/>
        </w:rPr>
        <w:t xml:space="preserve"> </w:t>
      </w:r>
    </w:p>
    <w:p>
      <w:pPr>
        <w:ind w:left="850"/>
        <w:rPr>
          <w:rFonts w:eastAsia="Times New Roman"/>
          <w:noProof/>
          <w:szCs w:val="24"/>
        </w:rPr>
      </w:pPr>
      <w:r>
        <w:rPr>
          <w:noProof/>
        </w:rPr>
        <w:t xml:space="preserve">Od czasu wprowadzenia obowiązków wynikających z przedmiotowego rozporządzenia oraz poprzedzającego go aktu, tj. rozporządzenia Rady nr 617/2010, </w:t>
      </w:r>
      <w:r>
        <w:rPr>
          <w:noProof/>
        </w:rPr>
        <w:lastRenderedPageBreak/>
        <w:t xml:space="preserve">państwa członkowskie zrealizowały trzy cykle sprawozdawcze (w roku 2011, 2013 i 2015). W związku z tym minęło wystarczająco dużo czasu, aby Komisja mogła przeprowadzić opartą na dowodach, krytyczną analizę tego, czy rozporządzenie przyniosło oczekiwane rezultaty.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WYNIKI OCEN </w:t>
      </w:r>
      <w:r>
        <w:rPr>
          <w:i/>
          <w:noProof/>
        </w:rPr>
        <w:t>EX POST</w:t>
      </w:r>
      <w:r>
        <w:rPr>
          <w:noProof/>
        </w:rPr>
        <w:t>, KONSULTACJI Z ZAINTERESOWANYMI STRONAMI I OCEN SKUTKÓW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Oceny </w:t>
      </w:r>
      <w:r>
        <w:rPr>
          <w:i/>
          <w:noProof/>
        </w:rPr>
        <w:t>ex post</w:t>
      </w:r>
      <w:r>
        <w:rPr>
          <w:noProof/>
        </w:rPr>
        <w:t>, sprawność regulacyjna i uproszczenie</w:t>
      </w:r>
    </w:p>
    <w:p>
      <w:pPr>
        <w:ind w:left="788"/>
        <w:rPr>
          <w:rFonts w:eastAsia="Times New Roman"/>
          <w:noProof/>
        </w:rPr>
      </w:pPr>
      <w:r>
        <w:rPr>
          <w:noProof/>
        </w:rPr>
        <w:t>Komisja zleciła przeprowadzenie trzech badań zewnętrznych po zrealizowaniu przez państwa członkowskie trzech cykli sprawozdawczych, które odbyły się na podstawie przedmiotowego rozporządzenia i poprzedzającego go aktu. W świetle ich ustaleń w 2016 r. Komisja dokonała przeglądu rozporządzenia (UE) nr 256/2014 zgodnie z jego art. 11. Był to element obszerniejszej kontroli sprawności, która dotyczyła obowiązków w zakresie planowania i sprawozdawczości wynikających z korpusu przepisów dotyczących energii. Komisja opublikowała jej wyniki w listopadzie 2016 r.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wraz z wnioskiem dotyczącym rozporządzenia w sprawie zarządzania unią energetyczną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. </w:t>
      </w:r>
    </w:p>
    <w:p>
      <w:pPr>
        <w:ind w:left="788"/>
        <w:rPr>
          <w:rFonts w:eastAsia="Times New Roman"/>
          <w:noProof/>
        </w:rPr>
      </w:pPr>
      <w:r>
        <w:rPr>
          <w:noProof/>
        </w:rPr>
        <w:t>Działanie to wykazało, że: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Obowiązki sprawozdawcze wynikające z przedmiotowego rozporządzenia oraz obowiązki sprawozdawcze względem ENTSO-E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i ENTSO-G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w znacznym stopniu się pokrywają, przy czym wartość dodana obowiązków wynikających z przedmiotowego rozporządzenia jest niewielka bądź żadna.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Większość informacji dostarczonych przez państwa członkowskie na mocy przedmiotowego rozporządzenia można w łatwy sposób uzyskać z innych źródeł, takich jak: ENTSO (europejskie sieci operatorów systemów przesyłowych), dziesięcioletnie plany rozwoju sieci, sprawozdania roczne operatorów systemów przesyłowych i przedsiębiorstw użyteczności publicznej, krajowe sektorowe plany rozwoju (np. plany działania w zakresie energii ze źródeł odnawialnych) itp. Co więcej, Komisja gromadzi regularnie informacje dotyczące rynku za pomocą systemu obserwacji rynku energii (EMOS).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We wszystkich trzech zakończonych cyklach zgromadzone dane dotyczyły tylko ok. połowy unijnego sektora energetycznego.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Trudności nieodłącznie związane z wdrażaniem niektórych wymogów rozporządzenia, szczególnie w odniesieniu do informacji, jakie mają być przekazywane na temat przyszłych zdolności, podały w wątpliwość użyteczność trzech przeprowadzonych cykli sprawozdawczych.</w:t>
      </w:r>
    </w:p>
    <w:p>
      <w:pPr>
        <w:ind w:left="851"/>
        <w:rPr>
          <w:noProof/>
        </w:rPr>
      </w:pPr>
      <w:r>
        <w:rPr>
          <w:noProof/>
        </w:rPr>
        <w:lastRenderedPageBreak/>
        <w:t>W związku z tym Komisja uznała, że rozporządzenie (UE) nr 256/2014 nie przyniosło oczekiwanych rezultatów. Należy zatem zaproponować jego uchylenie.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Konsultacje z zainteresowanymi stronami</w:t>
      </w:r>
    </w:p>
    <w:p>
      <w:pPr>
        <w:autoSpaceDE w:val="0"/>
        <w:autoSpaceDN w:val="0"/>
        <w:adjustRightInd w:val="0"/>
        <w:ind w:left="851"/>
        <w:rPr>
          <w:noProof/>
        </w:rPr>
      </w:pPr>
      <w:r>
        <w:rPr>
          <w:noProof/>
        </w:rPr>
        <w:t>W ramach prac przygotowawczych na potrzeby wniosku dotyczącego inicjatywy ustawodawczej w sprawie zarządzania unią energetyczną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Komisja przeprowadziła szeroko zakrojone konsultacje w celu zebrania stanowisk i opinii zainteresowanych stron, obywateli i państw członkowskich. W trakcie konsultacji pytano, w jaki sposób istniejące mechanizmy planowania i sprawozdawczości w dziedzinie energetyki mogą zostać usprawnione, aby osiągnąć cele unii energetycznej, a także zmniejszyć obciążenie administracyjne.</w:t>
      </w:r>
    </w:p>
    <w:p>
      <w:pPr>
        <w:autoSpaceDE w:val="0"/>
        <w:autoSpaceDN w:val="0"/>
        <w:adjustRightInd w:val="0"/>
        <w:ind w:left="851"/>
        <w:rPr>
          <w:noProof/>
        </w:rPr>
      </w:pPr>
      <w:r>
        <w:rPr>
          <w:noProof/>
        </w:rPr>
        <w:t>W dniu 11 stycznia 2016 r. rozpoczęto konsultacje publiczne, które trwały 12 tygodni i zakończyły się w dniu 22 kwietnia 2016 r. Odpowiedzi zostały uwzględnione przez Komisję przy ocenie oraz kontroli sprawności istniejących obowiązków w zakresie planowania i sprawozdawczości, jak również w ocenie skutków wniosku ustawodawczego dotyczącego zarządzania unią energetyczną.</w:t>
      </w:r>
    </w:p>
    <w:p>
      <w:pPr>
        <w:autoSpaceDE w:val="0"/>
        <w:autoSpaceDN w:val="0"/>
        <w:adjustRightInd w:val="0"/>
        <w:ind w:left="851"/>
        <w:rPr>
          <w:noProof/>
        </w:rPr>
      </w:pPr>
      <w:r>
        <w:rPr>
          <w:noProof/>
        </w:rPr>
        <w:t>Respondenci uczestniczący w konsultacjach wskazywali obowiązki wynikające z rozporządzenia (UE) nr 256/2014 jako wymogi, które mogłyby zostać uchylone</w:t>
      </w:r>
      <w:r>
        <w:rPr>
          <w:rStyle w:val="FootnoteReference"/>
          <w:noProof/>
        </w:rPr>
        <w:footnoteReference w:id="11"/>
      </w:r>
      <w:r>
        <w:rPr>
          <w:noProof/>
        </w:rPr>
        <w:t>.</w:t>
      </w:r>
    </w:p>
    <w:p>
      <w:pPr>
        <w:autoSpaceDE w:val="0"/>
        <w:autoSpaceDN w:val="0"/>
        <w:adjustRightInd w:val="0"/>
        <w:rPr>
          <w:noProof/>
        </w:rPr>
      </w:pP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3.</w:t>
      </w:r>
      <w:r>
        <w:rPr>
          <w:noProof/>
        </w:rPr>
        <w:tab/>
        <w:t>ASPEKTY PRAWNE WNIOSKU</w:t>
      </w:r>
    </w:p>
    <w:p>
      <w:pPr>
        <w:ind w:left="850"/>
        <w:rPr>
          <w:rFonts w:eastAsia="Times New Roman"/>
          <w:noProof/>
        </w:rPr>
      </w:pPr>
      <w:r>
        <w:rPr>
          <w:noProof/>
        </w:rPr>
        <w:t>Wniosek przewiduje uchylenie rozporządzenia Parlamentu Europejskiego i Rady (UE) nr 256/2014 z dnia 26 lutego 2014 r. w sprawie zgłaszania Komisji projektów inwestycyjnych dotyczących infrastruktury energetycznej w Unii Europejskiej, zastępującego rozporządzenie Rady (UE, Euratom) nr 617/2010 oraz uchylającego rozporządzenie Rady (WE) nr 736/96.</w:t>
      </w:r>
    </w:p>
    <w:p>
      <w:pPr>
        <w:ind w:left="850"/>
        <w:rPr>
          <w:rFonts w:eastAsia="Times New Roman"/>
          <w:noProof/>
        </w:rPr>
      </w:pPr>
      <w:r>
        <w:rPr>
          <w:noProof/>
        </w:rPr>
        <w:t>Podstawa prawna rozporządzenia (UE) nr 256/2014, tj. art. 194 Traktatu o funkcjonowaniu Unii Europejskiej, podlega zwykłej procedurze ustawodawczej. W związku z tym Komisja proponuje Parlamentowi Europejskiemu i Radzie uchylenie przedmiotowego rozporządzenia.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WPŁYW NA BUDŻET 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>Rozporządzenie miało bardzo ograniczone skutki dla budżetu, które były związane z wydatkami na technologie informatyczne, zakupem danych i zwrotem kosztów ponoszonych przez ekspertów. Nie zakładano również większych bezpośrednich skutków dla budżetów państw członkowskich.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Uchylenie przedmiotowego rozporządzenia wyeliminuje konieczność ponoszenia ograniczonych wydatków, jakie były z nim związane. Pomoże zracjonalizować wykorzystanie zasobów Komisji i państw członkowskich dzięki usunięciu podwójnych obowiązków </w:t>
      </w:r>
      <w:r>
        <w:rPr>
          <w:noProof/>
        </w:rPr>
        <w:lastRenderedPageBreak/>
        <w:t>w zakresie sprawozdawczości i przetwarzania danych, które stały się dostępne za pośrednictwem innych źródeł o wyższej jakości.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2017/0347 (COD)</w:t>
      </w:r>
    </w:p>
    <w:p>
      <w:pPr>
        <w:pStyle w:val="Statut"/>
        <w:rPr>
          <w:noProof/>
        </w:rPr>
      </w:pPr>
      <w:r>
        <w:rPr>
          <w:noProof/>
        </w:rPr>
        <w:t>Wniosek</w:t>
      </w:r>
    </w:p>
    <w:p>
      <w:pPr>
        <w:pStyle w:val="Typedudocument"/>
        <w:rPr>
          <w:noProof/>
        </w:rPr>
      </w:pPr>
      <w:r>
        <w:rPr>
          <w:noProof/>
        </w:rPr>
        <w:t>ROZPORZĄDZENIE PARLAMENTU EUROPEJSKIEGO I RADY</w:t>
      </w:r>
    </w:p>
    <w:p>
      <w:pPr>
        <w:pStyle w:val="Titreobjet"/>
        <w:rPr>
          <w:noProof/>
        </w:rPr>
      </w:pPr>
      <w:r>
        <w:rPr>
          <w:noProof/>
        </w:rPr>
        <w:t xml:space="preserve">uchylające rozporządzenie Parlamentu Europejskiego i Rady (UE) nr 256/2014 w sprawie zgłaszania Komisji projektów inwestycyjnych dotyczących infrastruktury energetycznej w Unii Europejskiej </w:t>
      </w:r>
      <w:r>
        <w:rPr>
          <w:noProof/>
        </w:rPr>
        <w:br/>
      </w:r>
      <w:r>
        <w:rPr>
          <w:noProof/>
        </w:rPr>
        <w:br/>
      </w:r>
    </w:p>
    <w:p>
      <w:pPr>
        <w:pStyle w:val="Institutionquiagit"/>
        <w:rPr>
          <w:noProof/>
        </w:rPr>
      </w:pPr>
      <w:r>
        <w:rPr>
          <w:noProof/>
        </w:rPr>
        <w:t>PARLAMENT EUROPEJSKI I RADA UNII EUROPEJSKIEJ,</w:t>
      </w:r>
    </w:p>
    <w:p>
      <w:pPr>
        <w:rPr>
          <w:noProof/>
        </w:rPr>
      </w:pPr>
      <w:r>
        <w:rPr>
          <w:noProof/>
        </w:rPr>
        <w:t>uwzględniając Traktat o funkcjonowaniu Unii Europejskiej, w szczególności jego art. 194,</w:t>
      </w:r>
    </w:p>
    <w:p>
      <w:pPr>
        <w:rPr>
          <w:noProof/>
        </w:rPr>
      </w:pPr>
      <w:r>
        <w:rPr>
          <w:noProof/>
        </w:rPr>
        <w:t>uwzględniając wniosek Komisji Europejskiej,</w:t>
      </w:r>
    </w:p>
    <w:p>
      <w:pPr>
        <w:rPr>
          <w:noProof/>
        </w:rPr>
      </w:pPr>
      <w:r>
        <w:rPr>
          <w:noProof/>
        </w:rPr>
        <w:t>po przekazaniu projektu aktu ustawodawczego parlamentom narodowym,</w:t>
      </w:r>
    </w:p>
    <w:p>
      <w:pPr>
        <w:rPr>
          <w:noProof/>
        </w:rPr>
      </w:pPr>
      <w:r>
        <w:rPr>
          <w:noProof/>
        </w:rPr>
        <w:t>uwzględniając opinię Europejskiego Komitetu Ekonomiczno-Społecznego</w:t>
      </w:r>
      <w:r>
        <w:rPr>
          <w:rStyle w:val="FootnoteReference"/>
          <w:noProof/>
        </w:rPr>
        <w:footnoteReference w:id="12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uwzględniając opinię Komitetu Regionów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stanowiąc zgodnie ze zwykłą procedurą ustawodawczą,</w:t>
      </w:r>
    </w:p>
    <w:p>
      <w:pPr>
        <w:rPr>
          <w:noProof/>
        </w:rPr>
      </w:pPr>
      <w:r>
        <w:rPr>
          <w:noProof/>
        </w:rPr>
        <w:t>a także mając na uwadze, co następuje: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Parlament Europejski, Rada Unii Europejskiej i Komisja Europejska potwierdziły swoje wspólne zobowiązanie do uaktualnienia i uproszczenia prawodawstwa w porozumieniu międzyinstytucjonalnym w sprawie lepszego stanowienia prawa z dnia 13 kwietnia 2016 r.</w:t>
      </w:r>
      <w:r>
        <w:rPr>
          <w:rStyle w:val="FootnoteReference"/>
          <w:noProof/>
        </w:rPr>
        <w:footnoteReference w:id="14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W celu uporządkowania przepisów i zmniejszenia ich liczby konieczne jest określenie aktów prawnych, które są nieaktualne lub przestały być adekwatne do zakładanego celu. Uchylenie takich aktów pozwala utrzymać przejrzyste, jasne i łatwe do stosowania ramy prawne.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Rozporządzenie Parlamentu Europejskiego i Rady (UE) nr 256/2014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nakłada na państwa członkowskie obowiązek zgłaszania Komisji projektów inwestycyjnych, w przypadku których prace w zakresie budowy lub wycofywania z eksploatacji już się rozpoczęły lub co do których podjęto już ostateczną decyzję inwestycyjną.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Obowiązki wynikające z rozporządzenia (UE) nr 256/2014, dotyczące zgłaszania projektów inwestycyjnych oraz niektórych związanych z tym informacji i danych, </w:t>
      </w:r>
      <w:r>
        <w:rPr>
          <w:noProof/>
        </w:rPr>
        <w:lastRenderedPageBreak/>
        <w:t>obowiązywały już na mocy rozporządzenia Rady (UE, Euratom) nr 617/2010</w:t>
      </w:r>
      <w:r>
        <w:rPr>
          <w:rStyle w:val="FootnoteReference"/>
          <w:noProof/>
        </w:rPr>
        <w:footnoteReference w:id="16"/>
      </w:r>
      <w:r>
        <w:rPr>
          <w:noProof/>
        </w:rPr>
        <w:t>. Trybunał Sprawiedliwości stwierdził nieważność rozporządzenia (UE, Euratom) nr 617/2010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ze względu na jego nieprawidłową podstawę prawną, ale jego skutki zostały utrzymane do czasu przyjęcia rozporządzenia nr 256/2014.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Poprzednie ramy prawne miały dostarczyć Komisji danych i informacji na temat planowanego rozwoju zdolności wytwórczych, przesyłowych i magazynowych, a także na temat projektów w sektorach energetyki. Ich celem było zapewnienie Komisji całościowego obrazu rozwoju inwestycji w zakresie infrastruktury energetycznej w Unii.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Od czasu ustanowienia obowiązków na mocy rozporządzenia (UE) nr 256/2014 i rozporządzenia Rady (UE, Euratom) nr 617/2010 miały miejsce trzy cykle sprawozdawcze (w roku 2011, 2013 i 2015). Komisja zleciła następnie przeprowadzenie trzech badań zewnętrznych po zrealizowaniu przez państwa członkowskie trzech cykli sprawozdawczych, które odbyły się na podstawie rozporządzenia (UE) nr 256/2014. W związku z tym upłynęło wystarczająco dużo czasu, aby Komisja mogła przeprowadzić opartą na dowodach, krytyczną analizę tego, czy rozporządzenie przyniosło oczekiwane rezultaty. 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W 2016 r. Komisja przeprowadziła przegląd, o którym mowa w art. 11 rozporządzenia (UE) nr 256/2014, w tym konsultacje z zainteresowanymi stronami obejmujące wszystkie obowiązki w zakresie planowania i sprawozdawczości w sektorze energetyki. Komisja doszła do wniosku, że obowiązki sprawozdawcze wynikające z rozporządzenia (UE) nr 256/2014 oraz obowiązki sprawozdawcze względem sieci operatorów systemów przesyłowych energii (ENTSO-E i ENTSOG) w dużej mierze się pokrywają. Oczywiste stało się również, iż jakość i adekwatność otrzymywanych informacji i danych jest często słaba oraz że Komisja uzyskała już dostęp do tych informacji i danych za pośrednictwem innych źródeł, takich jak: ENTSO (europejskie sieci operatorów systemów przesyłowych), dziesięcioletnie plany rozwoju sieci, sprawozdania roczne operatorów systemów przesyłowych i przedsiębiorstw użyteczności publicznej, krajowe plany rozwoju itp. Zauważono ponadto, iż Komisja ma bezpośredni dostęp do danych dotyczących rynku poprzez swój system obserwacji rynku energii (EMOS).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Rozporządzenie (UE) nr 256/2014 nie przyniosło zatem oczekiwanych wyników, jeśli chodzi o ilość, jakość i adekwatność danych i informacji otrzymywanych przez Komisję.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W związku z tym rozporządzenie (UE) nr 256/2014 powinno zostać uchylone,</w:t>
      </w:r>
    </w:p>
    <w:p>
      <w:pPr>
        <w:pStyle w:val="Formuledadoption"/>
        <w:rPr>
          <w:noProof/>
        </w:rPr>
      </w:pPr>
      <w:r>
        <w:rPr>
          <w:noProof/>
        </w:rPr>
        <w:t>PRZYJMUJĄ NINIEJSZE ROZPORZĄDZENIE:</w:t>
      </w:r>
    </w:p>
    <w:p>
      <w:pPr>
        <w:pStyle w:val="Titrearticle"/>
        <w:rPr>
          <w:noProof/>
        </w:rPr>
      </w:pPr>
      <w:r>
        <w:rPr>
          <w:noProof/>
        </w:rPr>
        <w:t>Artykuł 1</w:t>
      </w:r>
    </w:p>
    <w:p>
      <w:pPr>
        <w:rPr>
          <w:noProof/>
        </w:rPr>
      </w:pPr>
      <w:r>
        <w:rPr>
          <w:noProof/>
        </w:rPr>
        <w:t>Rozporządzenie (UE) nr 256/2014 traci moc.</w:t>
      </w:r>
    </w:p>
    <w:p>
      <w:pPr>
        <w:rPr>
          <w:noProof/>
        </w:rPr>
      </w:pPr>
    </w:p>
    <w:p>
      <w:pPr>
        <w:pStyle w:val="Titrearticle"/>
        <w:rPr>
          <w:noProof/>
        </w:rPr>
      </w:pPr>
      <w:r>
        <w:rPr>
          <w:noProof/>
        </w:rPr>
        <w:lastRenderedPageBreak/>
        <w:t>Artykuł 2</w:t>
      </w:r>
    </w:p>
    <w:p>
      <w:pPr>
        <w:rPr>
          <w:noProof/>
        </w:rPr>
      </w:pPr>
      <w:r>
        <w:rPr>
          <w:noProof/>
        </w:rPr>
        <w:t>Niniejsze rozporządzenie wchodzi w życie dwudziestego dnia po jego opublikowaniu w </w:t>
      </w:r>
      <w:r>
        <w:rPr>
          <w:i/>
          <w:noProof/>
        </w:rPr>
        <w:t>Dzienniku Urzędowym Unii Europejskiej</w:t>
      </w:r>
      <w:r>
        <w:rPr>
          <w:noProof/>
        </w:rPr>
        <w:t xml:space="preserve">. </w:t>
      </w:r>
    </w:p>
    <w:p>
      <w:pPr>
        <w:pStyle w:val="Applicationdirecte"/>
        <w:rPr>
          <w:noProof/>
        </w:rPr>
      </w:pPr>
      <w:r>
        <w:rPr>
          <w:noProof/>
        </w:rPr>
        <w:t>Niniejsze rozporządzenie wiąże w całości i jest bezpośrednio stosowane we wszystkich państwach członkowskich.</w:t>
      </w:r>
    </w:p>
    <w:p>
      <w:pPr>
        <w:pStyle w:val="Fait"/>
        <w:rPr>
          <w:noProof/>
        </w:rPr>
      </w:pPr>
      <w:r>
        <w:t xml:space="preserve">Sporządzono w Brukseli dnia </w:t>
      </w:r>
      <w:r>
        <w:rPr>
          <w:rStyle w:val="Marker"/>
        </w:rPr>
        <w:t>[…]</w:t>
      </w:r>
      <w:r>
        <w:t xml:space="preserve"> r.</w:t>
      </w:r>
    </w:p>
    <w:p>
      <w:pPr>
        <w:pStyle w:val="Institutionquisigne"/>
        <w:rPr>
          <w:noProof/>
        </w:rPr>
      </w:pPr>
      <w:r>
        <w:rPr>
          <w:noProof/>
        </w:rPr>
        <w:t>W imieniu Parlamentu Europejskiego</w:t>
      </w:r>
      <w:r>
        <w:rPr>
          <w:noProof/>
        </w:rPr>
        <w:tab/>
        <w:t>W imieniu Rady</w:t>
      </w:r>
    </w:p>
    <w:p>
      <w:pPr>
        <w:pStyle w:val="Personnequisigne"/>
        <w:rPr>
          <w:noProof/>
        </w:rPr>
      </w:pPr>
      <w:r>
        <w:rPr>
          <w:noProof/>
        </w:rPr>
        <w:t>Przewodniczący</w:t>
      </w:r>
      <w:r>
        <w:rPr>
          <w:noProof/>
        </w:rPr>
        <w:tab/>
        <w:t>Przewodniczący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Strong"/>
          <w:b w:val="0"/>
        </w:rPr>
        <w:t>Porozumienie międzyinstytucjonalne pomiędzy Parlamentem Europejskim, Radą Unii Europejskiej a Komisją Europejską w sprawie lepszego stanowienia prawa</w:t>
      </w:r>
      <w:r>
        <w:t>,</w:t>
      </w:r>
      <w:r>
        <w:rPr>
          <w:rStyle w:val="Strong"/>
        </w:rPr>
        <w:t xml:space="preserve"> </w:t>
      </w:r>
      <w:r>
        <w:rPr>
          <w:rStyle w:val="Hyperlink"/>
          <w:color w:val="auto"/>
        </w:rPr>
        <w:t>Dz.U. L 123 z 12.5.2016, s. 1–14.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Strong"/>
          <w:b w:val="0"/>
        </w:rPr>
        <w:t>Dz.U. L 302 z 22.10.2014, s. 26.</w:t>
      </w:r>
      <w:r>
        <w:rPr>
          <w:rFonts w:ascii="Lucida Sans Unicode" w:hAnsi="Lucida Sans Unicode"/>
          <w:sz w:val="19"/>
        </w:rPr>
        <w:t xml:space="preserve"> 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"/>
            <w:color w:val="auto"/>
            <w:u w:val="none"/>
          </w:rPr>
          <w:t>Dz.U. L 180 z 15.7.2010, s. 7.</w:t>
        </w:r>
      </w:hyperlink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 xml:space="preserve">Wyrok Trybunału Sprawiedliwości z dnia 6 września 2012 r. w sprawie C-490/10 </w:t>
      </w:r>
      <w:r>
        <w:rPr>
          <w:i/>
        </w:rPr>
        <w:t>Parlament przeciwko Radzie</w:t>
      </w:r>
      <w:r>
        <w:t xml:space="preserve"> (Zb.Orz. 2012, s. I-0000).</w:t>
      </w:r>
    </w:p>
  </w:footnote>
  <w:footnote w:id="6">
    <w:p>
      <w:pPr>
        <w:pStyle w:val="FootnoteText"/>
        <w:jc w:val="left"/>
      </w:pPr>
      <w:r>
        <w:rPr>
          <w:rStyle w:val="FootnoteReference"/>
        </w:rPr>
        <w:footnoteRef/>
      </w:r>
      <w:r>
        <w:tab/>
        <w:t xml:space="preserve">Dokument roboczy służb Komisji (2016) 396 final. </w:t>
      </w:r>
      <w:hyperlink r:id="rId2">
        <w:r>
          <w:rPr>
            <w:rStyle w:val="Hyperlink"/>
            <w:color w:val="auto"/>
          </w:rPr>
          <w:t>http://ec.europa.eu/energy/sites/ener/files/documents/1_en_autre_document_travail_service_part1_v4.pdf</w:t>
        </w:r>
      </w:hyperlink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COM/2016/0759 final/2 - 2016/0375 (COD).</w:t>
      </w:r>
      <w:r>
        <w:rPr>
          <w:rFonts w:ascii="Lucida Sans Unicode" w:hAnsi="Lucida Sans Unicode"/>
          <w:sz w:val="19"/>
        </w:rPr>
        <w:t xml:space="preserve"> </w:t>
      </w:r>
      <w:r>
        <w:t xml:space="preserve">Wniosek Komisji dotyczący rozporządzenia Parlamentu Europejskiego i Rady w sprawie zarządzania unią energetyczną, zmieniającego dyrektywę 94/22/WE, dyrektywę 98/70/WE, dyrektywę 2009/31/WE, rozporządzenie (WE) nr 663/2009, rozporządzenie (WE) nr 715/2009, dyrektywę 2009/73/WE, dyrektywę Rady 2009/119/WE, dyrektywę 2010/31/UE, dyrektywę 2012/27/UE, dyrektywę 2013/30/UE i dyrektywę Rady (UE) 2015/652 oraz uchylającego rozporządzenie (UE) nr 525/2013. 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Europejska sieć operatorów systemów przesyłowych energii elektrycznej.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Europejska sieć operatorów systemów przesyłowych gazu.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COM/2016/0759 final/2 - 2016/0375 (COD).</w:t>
      </w:r>
      <w:r>
        <w:rPr>
          <w:rFonts w:ascii="Lucida Sans Unicode" w:hAnsi="Lucida Sans Unicode"/>
          <w:sz w:val="19"/>
        </w:rPr>
        <w:t xml:space="preserve"> </w:t>
      </w:r>
      <w:r>
        <w:t xml:space="preserve">Wniosek Komisji dotyczący rozporządzenia Parlamentu Europejskiego i Rady w sprawie zarządzania unią energetyczną, zmieniającego dyrektywę 94/22/WE, dyrektywę 98/70/WE, dyrektywę 2009/31/WE, rozporządzenie (WE) nr 663/2009, rozporządzenie (WE) nr 715/2009, dyrektywę 2009/73/WE, dyrektywę Rady 2009/119/WE, dyrektywę 2010/31/UE, dyrektywę 2012/27/UE, dyrektywę 2013/30/UE i dyrektywę Rady (UE) 2015/652 oraz uchylającego rozporządzenie (UE) nr 525/2013. 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Zob. tamże SWD(2016) 396 final, s. 118.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Dz.U. C […] z […], s. […].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Dz.U. C […] z […], s. […].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Dz.U. L 123 z 12.5.2016, s. 1.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Rozporządzenie Parlamentu Europejskiego i Rady (UE) nr 256/2014 z dnia 26 lutego 2014 r. w sprawie zgłaszania Komisji projektów inwestycyjnych dotyczących infrastruktury energetycznej w Unii Europejskiej, zastępujące rozporządzenie Rady (UE, Euratom) nr 617/2010 oraz uchylające rozporządzenie Rady (WE) nr 736/96 (Dz.U. L 84 z 20.3.2014, s. 61).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>Rozporządzenie Rady (UE, Euratom) nr 617/2010 z dnia 24 czerwca 2010 r. w sprawie zgłaszania Komisji projektów inwestycyjnych dotyczących infrastruktury energetycznej w Unii Europejskiej oraz uchylające rozporządzenie (WE) nr 736/96 (</w:t>
      </w:r>
      <w:hyperlink r:id="rId3">
        <w:r>
          <w:rPr>
            <w:rStyle w:val="Hyperlink"/>
            <w:color w:val="auto"/>
            <w:u w:val="none"/>
          </w:rPr>
          <w:t>Dz.U. L 180 z 15.7.2010, s. 7</w:t>
        </w:r>
      </w:hyperlink>
      <w:r>
        <w:rPr>
          <w:rStyle w:val="Hyperlink"/>
          <w:color w:val="auto"/>
          <w:u w:val="none"/>
        </w:rPr>
        <w:t>).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 xml:space="preserve">Wyrok Trybunału Sprawiedliwości z dnia 6 września 2012 r. w sprawie C-490/10 </w:t>
      </w:r>
      <w:r>
        <w:rPr>
          <w:i/>
        </w:rPr>
        <w:t>Parlament przeciwko Radzie</w:t>
      </w:r>
      <w:r>
        <w:t xml:space="preserve"> (ECLI:EU:C:2012:525).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95078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6681B5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8BEA2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42AFA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8AEAF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F9030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064E9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33273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7-12-18 16:18:2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DD882CA1-A648-4491-BF8C-E4A4CD9E508B"/>
    <w:docVar w:name="LW_COVERPAGE_TYPE" w:val="1"/>
    <w:docVar w:name="LW_CROSSREFERENCE" w:val="&lt;UNUSED&gt;"/>
    <w:docVar w:name="LW_DocType" w:val="COM"/>
    <w:docVar w:name="LW_EMISSION" w:val="19.12.2017"/>
    <w:docVar w:name="LW_EMISSION_ISODATE" w:val="2017-12-19"/>
    <w:docVar w:name="LW_EMISSION_LOCATION" w:val="BRX"/>
    <w:docVar w:name="LW_EMISSION_PREFIX" w:val="Bruksela, dnia "/>
    <w:docVar w:name="LW_EMISSION_SUFFIX" w:val=" r.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&lt;UNUSED&gt;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347"/>
    <w:docVar w:name="LW_REF.II.NEW.CP_YEAR" w:val="2017"/>
    <w:docVar w:name="LW_REF.INST.NEW" w:val="COM"/>
    <w:docVar w:name="LW_REF.INST.NEW_ADOPTED" w:val="final"/>
    <w:docVar w:name="LW_REF.INST.NEW_TEXT" w:val="(2017) 76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TATUT.CP" w:val="Wniosek"/>
    <w:docVar w:name="LW_SUPERTITRE" w:val="&lt;UNUSED&gt;"/>
    <w:docVar w:name="LW_TITRE.OBJ.CP" w:val="uchylaj\u261?ce rozporz\u261?dzenie Parlamentu Europejskiego i Rady (UE) nr 256/2014 w sprawie zg\u322?aszania Komisji projektów inwestycyjnych dotycz\u261?cych infrastruktury energetycznej w Unii Europejskiej _x000b__x000b_"/>
    <w:docVar w:name="LW_TYPE.DOC.CP" w:val="ROZPORZ\u260?DZENIE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note">
    <w:name w:val="Footnote"/>
    <w:basedOn w:val="Default"/>
    <w:rPr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oc-ti2">
    <w:name w:val="doc-ti2"/>
    <w:basedOn w:val="Normal"/>
    <w:pPr>
      <w:spacing w:before="240" w:line="312" w:lineRule="atLeast"/>
      <w:jc w:val="center"/>
    </w:pPr>
    <w:rPr>
      <w:rFonts w:eastAsia="Times New Roman"/>
      <w:b/>
      <w:bCs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note">
    <w:name w:val="Footnote"/>
    <w:basedOn w:val="Default"/>
    <w:rPr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oc-ti2">
    <w:name w:val="doc-ti2"/>
    <w:basedOn w:val="Normal"/>
    <w:pPr>
      <w:spacing w:before="240" w:line="312" w:lineRule="atLeast"/>
      <w:jc w:val="center"/>
    </w:pPr>
    <w:rPr>
      <w:rFonts w:eastAsia="Times New Roman"/>
      <w:b/>
      <w:bCs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001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0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46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-lex.europa.eu/legal-content/PL/AUTO/?uri=OJ:L:2010:180:TOC" TargetMode="External"/><Relationship Id="rId2" Type="http://schemas.openxmlformats.org/officeDocument/2006/relationships/hyperlink" Target="http://ec.europa.eu/energy/sites/ener/files/documents/1_en_autre_document_travail_service_part1_v4.pdf" TargetMode="External"/><Relationship Id="rId1" Type="http://schemas.openxmlformats.org/officeDocument/2006/relationships/hyperlink" Target="http://eur-lex.europa.eu/legal-content/PL/AUTO/?uri=OJ:L:2010:180:T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AB84-FA29-4394-B366-21B740DC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8</Pages>
  <Words>1560</Words>
  <Characters>10719</Characters>
  <Application>Microsoft Office Word</Application>
  <DocSecurity>0</DocSecurity>
  <Lines>194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2017-10-05T12:15:00Z</cp:lastPrinted>
  <dcterms:created xsi:type="dcterms:W3CDTF">2017-12-04T07:57:00Z</dcterms:created>
  <dcterms:modified xsi:type="dcterms:W3CDTF">2017-12-18T15:18:00Z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SJ-023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