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7421F3A-7768-4639-BDBC-4D28AC2BC686"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Insaħħu s-suq uniku għall-prodotti</w:t>
      </w:r>
    </w:p>
    <w:p>
      <w:pPr>
        <w:pStyle w:val="Text1"/>
        <w:rPr>
          <w:noProof/>
        </w:rPr>
      </w:pPr>
      <w:r>
        <w:rPr>
          <w:noProof/>
        </w:rPr>
        <w:t>Is-suq uniku għall-prodotti huwa waħda mill-akbar kisbiet tal-Unjoni Ewropea. Se niċċelebraw il-25 anniversarju tiegħu fl-2018. Il-pedament tiegħu huwa l-fiduċja, bejn il-konsumaturi, in-negozji u l-awtoritajiet. Il-konsumaturi u l-ħaddiema jridu jkunu fiduċjużi li l-prodotti li jixtru u jużaw huma sikuri. In-negozji jrid ikollhom il-fiduċja li hemm kundizzjonijiet ekwi fejn ir-regoli japplikaw għal kulħadd u jipproteġu lil kulħadd bl-istess mod. B’mod partikolari l-intrapriżi żgħar u medji (SMEs) għandhom jinħelsu mill-burokrazija, biex tiġi promossa l-intraprenditorija u l-ħolqien tal-impjiegi. Il-fiduċja li ppermettiet integrazzjoni mingħajr preċedenti tas-swieq fi ħdan l-UE, kienet u għadha waħda mis-sisien tat-tkabbir ekonomiku. Il-valur miżjud tal-industrija waħdu kiber b’25 % fl-UE27 (23 % fl-UE28) f’termini reali mill-2009 ’l hawn. Is-sehem tiegħu bħala proporzjon tal-ekonomija għalhekk żdied b’mod sinjifikanti mill-2009 ’l hawn minn 15.5 % (14.7 % fl-UE28) għal 17.1 % (16.1 % fl-UE28) illum il-ġurnata</w:t>
      </w:r>
      <w:r>
        <w:rPr>
          <w:rStyle w:val="FootnoteReference"/>
          <w:noProof/>
        </w:rPr>
        <w:footnoteReference w:id="2"/>
      </w:r>
      <w:r>
        <w:rPr>
          <w:noProof/>
        </w:rPr>
        <w:t>.</w:t>
      </w:r>
    </w:p>
    <w:p>
      <w:pPr>
        <w:pStyle w:val="Text1"/>
        <w:rPr>
          <w:noProof/>
        </w:rPr>
      </w:pPr>
      <w:r>
        <w:rPr>
          <w:noProof/>
        </w:rPr>
        <w:t>Kif tissottolinja l-Istrateġija għal Suq Uniku</w:t>
      </w:r>
      <w:r>
        <w:rPr>
          <w:rStyle w:val="FootnoteReference"/>
          <w:noProof/>
        </w:rPr>
        <w:footnoteReference w:id="3"/>
      </w:r>
      <w:r>
        <w:rPr>
          <w:noProof/>
        </w:rPr>
        <w:t xml:space="preserve">, l-UE u s-Suq Uniku jeħtieġ li jadattaw għal ambjent li qiegħed jinbidel. L-ostakoli fis-swieq tal-prodotti u s-servizzi jxekklu, l-effiċjenza, il-produttività u l-kompetittività tal-ekonomija Ewropea. Ħafna drabi n-negozji jħossuhom maħnuqa b’regolamentazzjoni skaduta u diffiċli żżejjed u mhux kapaċi jsibu l-informazzjoni meħtieġa. Barra minn hekk, nuqqas ta’ osservanza tar-regoli tal-UE dwar il-prodotti jxekkel il-ħolqien ta’ kundizzjonijiet verament ekwi. </w:t>
      </w:r>
    </w:p>
    <w:p>
      <w:pPr>
        <w:pStyle w:val="Text1"/>
        <w:rPr>
          <w:noProof/>
        </w:rPr>
      </w:pPr>
      <w:r>
        <w:rPr>
          <w:noProof/>
        </w:rPr>
        <w:t>Kemm il-Parlament Ewropew kif ukoll il-Kunsill Ewropew approvaw l-għanijiet tal-Istrateġija għal Suq Uniku u talbu lill-Kummissjoni biex tneħħi l-ostakoli li għad fadal u biex tiffaċilita s-soluzzjonijiet</w:t>
      </w:r>
      <w:r>
        <w:rPr>
          <w:rStyle w:val="FootnoteReference"/>
          <w:noProof/>
        </w:rPr>
        <w:footnoteReference w:id="4"/>
      </w:r>
      <w:r>
        <w:rPr>
          <w:noProof/>
        </w:rPr>
        <w:t>. Konsegwentement u skont l-Aġenda tal-Mexxejja l-Kunsill Ewropew se janalizza l-progress li sar fir-rigward tal-iskadenzi tal-2018 tal-Istrateġiji għal Suq Uniku f'Marzu 2018</w:t>
      </w:r>
      <w:r>
        <w:rPr>
          <w:rStyle w:val="FootnoteReference"/>
          <w:noProof/>
        </w:rPr>
        <w:footnoteReference w:id="5"/>
      </w:r>
      <w:r>
        <w:rPr>
          <w:noProof/>
        </w:rPr>
        <w:t>.</w:t>
      </w:r>
    </w:p>
    <w:p>
      <w:pPr>
        <w:pStyle w:val="Text1"/>
        <w:rPr>
          <w:noProof/>
        </w:rPr>
      </w:pPr>
      <w:r>
        <w:rPr>
          <w:noProof/>
        </w:rPr>
        <w:t xml:space="preserve">Għas-suq uniku tal-prodotti, baqa’ b’mod partikolari żewġ dgħufijiet strutturali li jridu jiġu indirizzati malajr sabiex jinkiseb il-potenzjal sħiħ tiegħu u biex tiġi ġġustifikata l-fiduċja. Il-potenzjal qiegħed hemm, il-konsumaturi, in-negozji u l-awtoritajiet huma ppreparati; irridu biss nipprovdu l-ambjent neċessarju biex dan jaħdem. </w:t>
      </w:r>
    </w:p>
    <w:p>
      <w:pPr>
        <w:pStyle w:val="Text1"/>
        <w:rPr>
          <w:noProof/>
        </w:rPr>
      </w:pPr>
      <w:r>
        <w:rPr>
          <w:noProof/>
        </w:rPr>
        <w:t>L-ewwel dgħufija strutturali tas-suq uniku tal-prodotti hija relatata mal-infurzar tar-regoli ta' sigurtà armonizzati tal-UE fir-rigward tal-prodotti. Minkejja regoli ferm estensivi tas-sigurtà, għad hemm wisq prodotti mhux sikuri u illeċiti fis-suq. Dawn il-prodotti jikkawżaw riskji kbar għall-konsumaturi. Dawn ma jiksbux il-valur għal flushom u jistgħu ikunu esposti għal riskji tas-saħħa. Nuqqas ta’ infurzar tar-regoli tal-prodotti tal-UE m’għandhomx jirriżultaw f’vantaġġ inġust għal dawk li deliberatament jippruvaw jevitaw regoli ta’ sigurtà essenzjali. Il-Kummissjoni riċentement adottat miżuri biex ittejjeb l-azzjoni tal-infurzar kontra ksur tad-drittjiet tal-proprjetà intellettwali</w:t>
      </w:r>
      <w:r>
        <w:rPr>
          <w:rStyle w:val="FootnoteReference"/>
          <w:noProof/>
        </w:rPr>
        <w:footnoteReference w:id="6"/>
      </w:r>
      <w:r>
        <w:rPr>
          <w:noProof/>
        </w:rPr>
        <w:t xml:space="preserve">. Iżda wasal iż-żmien ta’ aktar ħidma f’ġieh il-konformità. F’suq id-daqs tas-Suq Uniku, l-awtoritajiet tal-infurzar fl-Istati Membri jridu jikkooperaw sewwa ma’ xulxin sabiex ineħħu l-prodotti mhux sikuri mis-suq b’mod effettiv u fil-pront. </w:t>
      </w:r>
    </w:p>
    <w:p>
      <w:pPr>
        <w:pStyle w:val="Text1"/>
        <w:rPr>
          <w:noProof/>
        </w:rPr>
      </w:pPr>
      <w:r>
        <w:rPr>
          <w:noProof/>
        </w:rPr>
        <w:t>It-tieni dgħufija strutturali għandha x’taqsam ma’ prodotti li ma jaqgħux taħt ir-regoli ta’ sigurtà armonizzati tal-prodotti tal-UE, jew jaqgħu parzjalment biss taħt dawn ir-regoli, pereżempju fil-qasam tal-għamara, oġġetti ta’ fuq il-mejda u xi prodotti tal-kostruzzjoni. Prodotti ta’ dan it-tip jistgħu jiġu kkunsidrati siguri u li huma konformi mal-interess pubbliku fi Stat Membru wieħed, iżda jistgħu jiffaċċjaw diffikultajiet tal-aċċess għas-suq fi Stat Membru ieħor.  Jista’ jkun hemm differenzi leġittimi minħabba speċifiċitajiet nazzjonali. Madankollu, kull tip ta’ rifjut jenħtieġ li jkun debitament iġġustifikat u spjegat abbażi ta’ tħassib ta’ politika pubblika. Għandha tingħata assistenza biex ikun hemm fehim aħjar u eventwalment jingħelbu l-ostakoli għall-aċċess għas-suq ta’ dawn il-prodotti. Jeħtieġ li jitjiebu l-opportunitajiet ta’ negozju, u dan huwa speċjalment rilevanti għall-SMEs.</w:t>
      </w:r>
    </w:p>
    <w:p>
      <w:pPr>
        <w:pStyle w:val="Text1"/>
        <w:rPr>
          <w:noProof/>
        </w:rPr>
      </w:pPr>
      <w:r>
        <w:rPr>
          <w:noProof/>
        </w:rPr>
        <w:t>Għalhekk, il-Kummissjoni llum qed tipproponi "pakkett dwar il-prodotti" li se jindirizza b’mod komprensiv dawn id-dgħufijiet għal suq uniku tal-prodotti li jiffunzjona aħjar. Dan jinkludi żewġ proposti leġiżlattivi ambizzjużi. L-ewwel waħda għandha l-għan li ssaħħaħ il-konformità u l-infurzar tar-regoli tal-UE dwar il-prodotti</w:t>
      </w:r>
      <w:r>
        <w:rPr>
          <w:noProof/>
          <w:vertAlign w:val="superscript"/>
        </w:rPr>
        <w:footnoteReference w:id="7"/>
      </w:r>
      <w:r>
        <w:rPr>
          <w:noProof/>
        </w:rPr>
        <w:t>. It-tieni waħda għandha l-għan li tirrivitalizza u tiffaċilita l-użu tar-rikonoxximent reċiproku fis-Suq uniku</w:t>
      </w:r>
      <w:r>
        <w:rPr>
          <w:noProof/>
          <w:vertAlign w:val="superscript"/>
        </w:rPr>
        <w:footnoteReference w:id="8"/>
      </w:r>
      <w:r>
        <w:rPr>
          <w:noProof/>
        </w:rPr>
        <w:t>. Il-"pakkett dwar il-prodotti" huwa kompletat minn Rapport dwar it-tħaddim tad-Direttiva (UE) 2015/1535 li tistabbilixxi proċedura għall-għoti ta’ informazzjoni fil-qasam tar-regolamenti tekniċi u tar-regoli dwar is-servizzi tas-Soċjetà tal-Informatika mill-2014 sal-2015</w:t>
      </w:r>
      <w:r>
        <w:rPr>
          <w:noProof/>
          <w:vertAlign w:val="superscript"/>
        </w:rPr>
        <w:footnoteReference w:id="9"/>
      </w:r>
      <w:r>
        <w:rPr>
          <w:noProof/>
        </w:rPr>
        <w:t>, Rapport dwar l-implimentazzjoni tar-Regolament (KE) Nru 765/2008</w:t>
      </w:r>
      <w:r>
        <w:rPr>
          <w:noProof/>
          <w:vertAlign w:val="superscript"/>
        </w:rPr>
        <w:footnoteReference w:id="10"/>
      </w:r>
      <w:r>
        <w:rPr>
          <w:noProof/>
        </w:rPr>
        <w:t xml:space="preserve"> kif ukoll miżuri legali nonvinkolanti spjegati f’din il-Komunikazzjoni li għandhom l-għan li joħolqu l-fiduċja fis-Suq Uniku.</w:t>
      </w:r>
    </w:p>
    <w:p>
      <w:pPr>
        <w:pStyle w:val="Heading1"/>
        <w:rPr>
          <w:noProof/>
        </w:rPr>
      </w:pPr>
      <w:r>
        <w:rPr>
          <w:noProof/>
        </w:rPr>
        <w:t>Fiduċja fl-infurzar tar-regoli tal-UE dwar il-prodotti</w:t>
      </w:r>
    </w:p>
    <w:p>
      <w:pPr>
        <w:pStyle w:val="Text1"/>
        <w:rPr>
          <w:noProof/>
        </w:rPr>
      </w:pPr>
      <w:r>
        <w:rPr>
          <w:noProof/>
        </w:rPr>
        <w:t>Is-sikurezza tal-konsumatur u l-ħarsien tal-ambjent huma s-sisien tas-suq uniku għall-prodotti. Madwar l-UE, aħna qbilna dwar regoli tas-sigurtà u ambjentali komuni sabiex jipproteġuna kontra l-perikli għas-sigurtà, it-tniġġis u l-ħsara ambjentali. Madankollu, bosta konsumaturi ġew żgwidati konxjament u deliberatament meta xtraw karozza diżil. Sfortunatament, il-karozzi ma kinux l-uniċi oġġetti fejn kien hemm kompetizzjoni inġusta bl-evitar tar-regoli. Kuljum fl-Ewropa jinbiegħu ammonti kbar ta’ prodotti mhux sikuri. Dan ivarja minn prodotti ttikkettati ħażin sa prodotti li jippreżentaw riskji serji għas-saħħa jew għall-ambjent.</w:t>
      </w:r>
      <w:r>
        <w:rPr>
          <w:rStyle w:val="FootnoteReference"/>
          <w:noProof/>
        </w:rPr>
        <w:t xml:space="preserve"> </w:t>
      </w:r>
      <w:r>
        <w:rPr>
          <w:noProof/>
        </w:rPr>
        <w:t>Bejn l-2011 u l-2017, kien hemm madwar 2,500 inċident fejn prodotti illegali kellhom jiġu rtirati mis-suq</w:t>
      </w:r>
      <w:r>
        <w:rPr>
          <w:rStyle w:val="FootnoteReference"/>
          <w:noProof/>
        </w:rPr>
        <w:footnoteReference w:id="11"/>
      </w:r>
      <w:r>
        <w:rPr>
          <w:noProof/>
        </w:rPr>
        <w:t>. U din probabbilment hija parti żgħira biss mill-problema.</w:t>
      </w:r>
    </w:p>
    <w:p>
      <w:pPr>
        <w:pStyle w:val="Text1"/>
        <w:rPr>
          <w:noProof/>
        </w:rPr>
      </w:pPr>
      <w:r>
        <w:rPr>
          <w:noProof/>
        </w:rPr>
        <w:t>Ir-regoli tal-UE dwar il-prodotti jkopru proporzjoni kbir tal-prodotti manifatturati kollha fl-UE. Dawn għandhom valur ta’ EUR 2 400 biljun u huma prodotti jew distribwiti minn madwar 5 miljun negozju. Ir-regoli tal-UE jippermettu ċ-ċirkolazzjoni libera tal-prodotti madwar l-Unjoni filwaqt li jassiguraw livell għoli ta’ protezzjoni ambjentali, tas-saħħa u tas-sikurezza. Għal bosta setturi, bħall-ġugarelli u t-tagħmir elettriku, l-UE għandha modi mhux burokratiċi limitati kif tippermetti l-aċċess għas-suq. Biex is-suq uniku jaħdem, huma meħtieġa kundizzjonijiet ekwi għan-negozji, b’regoli ċari u livell għoli ta’ protezzjoni tal-konsumatur.</w:t>
      </w:r>
      <w:r>
        <w:rPr>
          <w:rStyle w:val="FootnoteReference"/>
          <w:noProof/>
        </w:rPr>
        <w:t xml:space="preserve"> </w:t>
      </w:r>
      <w:r>
        <w:rPr>
          <w:noProof/>
        </w:rPr>
        <w:t>Il-fiduċja u kundizzjonijiet ekwi diġà huma miksuba f’setturi oħra bħal oġġetti tal-ikel, is-saħħa tal-pjanti jew is-saħħa tal-annimali abbażi ta’ regoli stretti maqbula fil-livell tal-UE.</w:t>
      </w:r>
    </w:p>
    <w:p>
      <w:pPr>
        <w:pStyle w:val="Text1"/>
        <w:rPr>
          <w:noProof/>
        </w:rPr>
      </w:pPr>
      <w:r>
        <w:rPr>
          <w:noProof/>
        </w:rPr>
        <w:t>Qegħdin ngħixu wkoll f’dinja affettwata dejjem aktar minn bidliet soċjetali bħall-globalizzazzjoni u d-diġitalizzazzjoni. Il-prodotti u l-ktajjen tad-distribuzzjoni madwar l-UE huma dejjem aktar interkonnessi. Min-naħa l-oħra, l-awtoritajiet tas-sorveljanza tas-suq nazzjonali huma neqsin mir-riżorsi u huma limitati għat-territorju nazzjonali tagħhom. Neħtieġu perspettiva Ewropea għall-infurzar. Ħafna drabi, l-investigazzjonijiet mibdija fi Stat Membru partikolari jintemmu fil-fruntiera nazzjonali. Sabiex tingħeleb din id-diskrepanza, is-sorveljanza tas-suq trid tkun konsistenti, irrispettivament minn jekk il-prodott isirx barra jew ġewwa l-UE, jew jekk jinxtarax online jew offline.</w:t>
      </w:r>
    </w:p>
    <w:p>
      <w:pPr>
        <w:pStyle w:val="Text1"/>
        <w:rPr>
          <w:noProof/>
        </w:rPr>
      </w:pPr>
      <w:r>
        <w:rPr>
          <w:noProof/>
        </w:rPr>
        <w:t>F’konformità ma’ inizjattivi oħra tal-UE bħall-Istrateġija għall-Politika Industrijali</w:t>
      </w:r>
      <w:r>
        <w:rPr>
          <w:rStyle w:val="FootnoteReference"/>
          <w:noProof/>
        </w:rPr>
        <w:footnoteReference w:id="12"/>
      </w:r>
      <w:r>
        <w:rPr>
          <w:noProof/>
        </w:rPr>
        <w:t>, l-Istrateġija għal Suq Uniku Diġitali</w:t>
      </w:r>
      <w:r>
        <w:rPr>
          <w:rStyle w:val="FootnoteReference"/>
          <w:noProof/>
        </w:rPr>
        <w:footnoteReference w:id="13"/>
      </w:r>
      <w:r>
        <w:rPr>
          <w:noProof/>
        </w:rPr>
        <w:t xml:space="preserve"> u r-reviżjoni ta’ nofs it-terminu tagħha,</w:t>
      </w:r>
      <w:r>
        <w:rPr>
          <w:rStyle w:val="FootnoteReference"/>
          <w:noProof/>
        </w:rPr>
        <w:footnoteReference w:id="14"/>
      </w:r>
      <w:r>
        <w:rPr>
          <w:noProof/>
        </w:rPr>
        <w:t xml:space="preserve"> u l-pjan ta’ azzjoni għall-ġestjoni doganali</w:t>
      </w:r>
      <w:r>
        <w:rPr>
          <w:rStyle w:val="FootnoteReference"/>
          <w:noProof/>
        </w:rPr>
        <w:footnoteReference w:id="15"/>
      </w:r>
      <w:r>
        <w:rPr>
          <w:noProof/>
        </w:rPr>
        <w:t xml:space="preserve">, il-Kummissjoni għalhekk tipproponi li jiżdied </w:t>
      </w:r>
      <w:r>
        <w:rPr>
          <w:b/>
          <w:noProof/>
        </w:rPr>
        <w:t>l-infurzar tar-regoli komuni tal-UE dwar is-sikurezza</w:t>
      </w:r>
      <w:r>
        <w:rPr>
          <w:noProof/>
        </w:rPr>
        <w:t>. Il-konsumaturi jeħtieġ li jerġgħu jiksbu l-fiduċja li l-prodotti li jixtru online jew offline huma sikuri. Jekk jinqalgħu problemi, jeħtieġ li jkollna l-qafas korrett sabiex jiġu indirizzati r-riskji u jerġgħu jiġu stabbiliti kundizzjonijiet ekwi.</w:t>
      </w:r>
    </w:p>
    <w:p>
      <w:pPr>
        <w:pStyle w:val="Text1"/>
        <w:rPr>
          <w:noProof/>
        </w:rPr>
      </w:pPr>
      <w:r>
        <w:rPr>
          <w:noProof/>
        </w:rPr>
        <w:t>L-għan tas-suq uniku għall-prodotti huwa l-ħolqien ta’ opportunitajiet ekonomiċi, it-tisħiħ tal-kompetittività u li l-UE tkun kapaċi tindirizza l-isfidi ta’ ekonomija globali. Fl-istess ħin, kif issottolinja d-dokument ta’ riflessjoni tal-Kummissjoni dwar il-ġestjoni tal-globalizzazzjoni, l-UE jeħtieġ li taġixxi u terġa' tistabbilixxi kundizzjonijiet ekwi għal kulħadd b’infurzar b’saħħtu tar-regoli tal-UE</w:t>
      </w:r>
      <w:r>
        <w:rPr>
          <w:rStyle w:val="FootnoteReference"/>
          <w:noProof/>
        </w:rPr>
        <w:footnoteReference w:id="16"/>
      </w:r>
      <w:r>
        <w:rPr>
          <w:noProof/>
        </w:rPr>
        <w:t>. F’suq uniku miftuħ, ir-regoli qegħdin hemm biex jipproteġu s-sikurezza taċ-ċittadini tal-UE. Huwa jista’ jiffunzjona tajjeb biss jekk ikun jista’ jiġi ggarantit livell għoli ta’ fiduċja f’din il-protezzjoni. L-infurzar b’saħħtu huwa vitali sabiex ikun assigurat li l-kompetizzjoni sseħħ bejn prodotti konformi, u mhux bejn prodotti konformi u oħrajn mhux konformi.</w:t>
      </w:r>
    </w:p>
    <w:p>
      <w:pPr>
        <w:pStyle w:val="Text1"/>
        <w:ind w:left="1200" w:hanging="718"/>
        <w:rPr>
          <w:b/>
          <w:noProof/>
        </w:rPr>
      </w:pPr>
      <w:r>
        <w:rPr>
          <w:b/>
          <w:noProof/>
        </w:rPr>
        <w:t>a)</w:t>
      </w:r>
      <w:r>
        <w:rPr>
          <w:noProof/>
        </w:rPr>
        <w:tab/>
      </w:r>
      <w:r>
        <w:rPr>
          <w:b/>
          <w:noProof/>
          <w:u w:val="single"/>
        </w:rPr>
        <w:t>Infurzar intelliġenti f’suq uniku mingħajr fruntieri</w:t>
      </w:r>
      <w:r>
        <w:rPr>
          <w:b/>
          <w:noProof/>
        </w:rPr>
        <w:t xml:space="preserve"> </w:t>
      </w:r>
    </w:p>
    <w:p>
      <w:pPr>
        <w:pStyle w:val="Text1"/>
        <w:rPr>
          <w:noProof/>
        </w:rPr>
      </w:pPr>
      <w:r>
        <w:rPr>
          <w:noProof/>
        </w:rPr>
        <w:t>Is-sorveljanza tas-suq hija mmaniġġjata mill-Istati Membri, u b’kull raġun. Huma qegħdin fl-aħjar pożizzjoni sabiex jimmonitorjaw is-swieq tagħhom u jimponu penali jekk ikun meħtieġ, minħabba li huma l-eqreb għal kwalunkwe inċident, l-ewwel li jirreaġixxu u l-aktar familjari mal-ekonomija nazzjonali tagħhom.</w:t>
      </w:r>
    </w:p>
    <w:p>
      <w:pPr>
        <w:pStyle w:val="Text1"/>
        <w:rPr>
          <w:noProof/>
        </w:rPr>
      </w:pPr>
      <w:r>
        <w:rPr>
          <w:noProof/>
        </w:rPr>
        <w:t>Madankollu, l-infurzar purament nazzjonali mhuwiex suffiċjenti. Hemm aktar minn 500 awtorità tas-sorveljanza tas-suq distinti (minn 1 sa aktar minn 200 għal kull Stat Membru) li jivviġilaw Suq Uniku wieħed għal prodotti speċifiċi. In-negozji ħafna drabi jkunu bbażati f’post differenti mill-awtorità tas-sorveljanza tas-suq li tinduna bi problema. Dan iwassal għal diffikultajiet fir-rigward tal-istabbiliment tal-liġi u l-ġurisdizzjoni applikabbli, l-aċċess għall-ġustizzja u l-infurzar tad-deċiżjonijiet. Fornituri diżonesti fil-preżent qed jabbużaw minn din il-frammentazzjoni tas-suq, għad-detriment tas-sikurezza tal-konsumaturi u tal-prodotti.</w:t>
      </w:r>
    </w:p>
    <w:p>
      <w:pPr>
        <w:pStyle w:val="Text1"/>
        <w:rPr>
          <w:noProof/>
        </w:rPr>
      </w:pPr>
      <w:r>
        <w:rPr>
          <w:noProof/>
        </w:rPr>
        <w:t>Minkejja r-rieda ta’ azzjoni fil-livell nazzjonali, l-infurzar fis-suq uniku għall-prodotti ta’ sikwit huwa mxekkel min-nuqqas ta’ riżorsi (persunal, baġit, kapaċità tal-laboratorju), koordinazzjoni u skambju. In-negozjanti diżonesti jistgħu jagħmlu l-flus billi jqiegħdu fis-suq prodotti mhux sikuri iżda huma l-awtoritajiet li jridu jġorru l-ispejjeż, eż. billi jħallsu sabiex jinqerdu prodotti mhux sikuri. F’suq uniku integrat għall-prodotti, għalhekk jeħtieġ li l-ħidma tal-awtoritajiet nazzjonali għall-kontroll ta’ prodotti mhux sikuri tkun ikkoordinata aħjar, sabiex in-negozjanti diżonesti ma jkunux jistgħu jinħbew wara l-fruntieri u t-tweġiba għan-nuqqas ta’ konformità mar-regoli tal-UE tkun konsistenti madwar l-Unjoni kollha.</w:t>
      </w:r>
    </w:p>
    <w:p>
      <w:pPr>
        <w:pStyle w:val="Text1"/>
        <w:rPr>
          <w:noProof/>
        </w:rPr>
      </w:pPr>
      <w:r>
        <w:rPr>
          <w:noProof/>
        </w:rPr>
        <w:t>Għalhekk, dan il-pakkett huwa pass kbir lejn infurzar aktar intelliġenti, li fejn hemm bżonn, jikkumplimenta u jsaħħaħ il-leġiżlazzjoni tal-Unjoni eżistenti u futura dwar l-armonizzazzjoni</w:t>
      </w:r>
      <w:r>
        <w:rPr>
          <w:rStyle w:val="FootnoteReference"/>
          <w:noProof/>
        </w:rPr>
        <w:footnoteReference w:id="17"/>
      </w:r>
      <w:r>
        <w:rPr>
          <w:noProof/>
        </w:rPr>
        <w:t xml:space="preserve">: </w:t>
      </w:r>
    </w:p>
    <w:p>
      <w:pPr>
        <w:pStyle w:val="Text1"/>
        <w:rPr>
          <w:noProof/>
        </w:rPr>
      </w:pPr>
      <w:r>
        <w:rPr>
          <w:noProof/>
        </w:rPr>
        <w:t xml:space="preserve">L-awtoritajiet tal-infurzar se jaħdmu flimkien aktar mill-qrib permezz ta’ </w:t>
      </w:r>
      <w:r>
        <w:rPr>
          <w:b/>
          <w:noProof/>
        </w:rPr>
        <w:t>uffiċċji uniċi ta’ kooperazzjoni</w:t>
      </w:r>
      <w:r>
        <w:rPr>
          <w:noProof/>
        </w:rPr>
        <w:t>. L-użu ta’ evidenza, rapporti ta’ testijiet u deċiżjonijiet ta’ Stat Membru ieħor se jsir aktar faċli. Se jkun hemm il-preżunzjoni li jekk prodott jinstab li ma jikkonformax mar-regoli tal-UE dwar il-prodotti fi Stat Membru partikolari, l-evidenza u d-deċiżjonijiet jistgħu jiġu trasferiti għal Stat Membru ieħor, sabiex jiġi faċilitat l-infurzar madwar l-UE.</w:t>
      </w:r>
    </w:p>
    <w:p>
      <w:pPr>
        <w:pStyle w:val="Text1"/>
        <w:rPr>
          <w:noProof/>
        </w:rPr>
      </w:pPr>
      <w:r>
        <w:rPr>
          <w:noProof/>
        </w:rPr>
        <w:t xml:space="preserve">L-azzjonijiet kontra prodotti mhux konformi jistgħu jkunu effettivi biss meta l-awtoritajiet </w:t>
      </w:r>
      <w:r>
        <w:rPr>
          <w:b/>
          <w:noProof/>
        </w:rPr>
        <w:t>jaqsmu aktar informazzjoni dwar l-investigazzjonijiet u l-prodotti illegali</w:t>
      </w:r>
      <w:r>
        <w:rPr>
          <w:noProof/>
        </w:rPr>
        <w:t>. Il-Kummissjoni se timpenja ruħha b’mod aktar intensiv fl-iżgurar tal-ġbir tal-għarfien komuni fost l-awtoritajiet tal-infurzar u l-konverġenza tal-għodod differenti tal-IT bħalma huma s-Sistema ta’ Twissija Rapida għal prodotti perikolużi mhux tal-ikel (RAPEX) u s-Sistema ta’ Informazzjoni u Komunikazzjoni għas-Sorveljanza tas-Suq (ICSMS) sabiex tiffaċilita l-ħidma ta’ infurzar tal-awtoritajiet.</w:t>
      </w:r>
    </w:p>
    <w:p>
      <w:pPr>
        <w:pStyle w:val="Text1"/>
        <w:rPr>
          <w:noProof/>
        </w:rPr>
      </w:pPr>
      <w:r>
        <w:rPr>
          <w:noProof/>
        </w:rPr>
        <w:t xml:space="preserve">Barra minn hekk, </w:t>
      </w:r>
      <w:r>
        <w:rPr>
          <w:b/>
          <w:noProof/>
        </w:rPr>
        <w:t>indikaturi tas-sorveljanza tas-suq</w:t>
      </w:r>
      <w:r>
        <w:rPr>
          <w:noProof/>
        </w:rPr>
        <w:t xml:space="preserve"> affidabbli għandhom jassiguraw li jkun hemm fehim komuni tal-isfidi li tiffaċċja s-sorveljanza tas-suq.</w:t>
      </w:r>
    </w:p>
    <w:p>
      <w:pPr>
        <w:pStyle w:val="Text1"/>
        <w:rPr>
          <w:noProof/>
        </w:rPr>
      </w:pPr>
      <w:r>
        <w:rPr>
          <w:noProof/>
        </w:rPr>
        <w:t xml:space="preserve">L-awtoritajiet nazzjonali tal-infurzar se jiksbu aktar appoġġ għall-koordinazzjoni u t-twettiq tal-kompiti tagħhom. Se jiġi stabbilit </w:t>
      </w:r>
      <w:r>
        <w:rPr>
          <w:b/>
          <w:noProof/>
        </w:rPr>
        <w:t>netwerk tal-Unjoni dwar il-konformità tal-prodotti</w:t>
      </w:r>
      <w:r>
        <w:rPr>
          <w:noProof/>
        </w:rPr>
        <w:t xml:space="preserve">. Dan in-netwerk se jipprovdi appoġġ amministrattiv għall-investigazzjonijiet konġunti meħtieġa sabiex jiġu kkoordinati l-azzjonijiet ta’ infurzar ta’ ’l fuq minn 500 awtorità nazzjonali. In-netwerk se jippermetti lill-awtoritajiet li jiġbru flimkien l-għarfien, jorganizzaw skambji ta’ uffiċjali, jiżviluppaw stampa ta’ intelligence komuni, u jfasslu metodi effiċjenti għal kontrolli aktar immirati u bbażati fuq ir-riskju. Huwa se jipprovdi wkoll taħriġ standard għall-ispetturi u jassisti fl-akkwist konġunt tal-kapaċità ta’ ttestjar tal-prodotti. In-netwerk se jdaħħal fis-sorveljanza tas-suq il-perspettiva Ewropea komuni li hija neċessarja f’suq Ewropew komuni. Madankollu, is-sussidjarjetà se tiġi rrispettata b’mod sħiħ. L-awtoritajiet tas-sorveljanza tas-suq nazzjonali biss se jinfurzaw deċiżjonijiet konkreti dwar in-negozjanti. </w:t>
      </w:r>
    </w:p>
    <w:p>
      <w:pPr>
        <w:pStyle w:val="Text1"/>
        <w:rPr>
          <w:noProof/>
        </w:rPr>
      </w:pPr>
      <w:r>
        <w:rPr>
          <w:noProof/>
        </w:rPr>
        <w:t xml:space="preserve">Hija essenzjali wkoll </w:t>
      </w:r>
      <w:r>
        <w:rPr>
          <w:b/>
          <w:noProof/>
        </w:rPr>
        <w:t>kooperazzjoni aktar mill-qrib bejn in-negozji u l-awtoritajiet tal-infurzar</w:t>
      </w:r>
      <w:r>
        <w:rPr>
          <w:noProof/>
        </w:rPr>
        <w:t>. Iż-żewġ partijiet jeħtieġ li jafdaw lil xulxin. Huma previsti l-oqsma ta’ kooperazzjoni aktar mill-qrib li ġejjin:</w:t>
      </w:r>
    </w:p>
    <w:p>
      <w:pPr>
        <w:pStyle w:val="Text1"/>
        <w:numPr>
          <w:ilvl w:val="0"/>
          <w:numId w:val="39"/>
        </w:numPr>
        <w:rPr>
          <w:noProof/>
        </w:rPr>
      </w:pPr>
      <w:r>
        <w:rPr>
          <w:noProof/>
        </w:rPr>
        <w:t>Informazzjoni dwar il-konformità: Il-manifatturi jikkunsidraw li huma għandhom ikunu l-ewwel li jiġu kkuntattjati jekk ikun hemm suspett li l-prodotti tagħhom ma jkunux qegħdin jirrispettaw ir-regoli. B’dan il-mod, huma jkunu jistgħu jintervjenu immedjatament, jeliminaw l-inkomprensjonijiet jew jieħdu miżuri korrettivi, jekk ikun meħtieġ. Huma jkunu jafu wkoll jekk il-prodott inkwistjoni jkunx qiegħed jinbiegħ xi mkien ieħor. Il-biċċa l-kbira tal-manifatturi li jbigħu fl-Unjoni diġà għandhom rappreżentant li jista’ jiġi kkuntattjat faċilment. Din il-prattika tajba se ssir obbligatorja</w:t>
      </w:r>
      <w:r>
        <w:rPr>
          <w:rStyle w:val="FootnoteReference"/>
          <w:noProof/>
        </w:rPr>
        <w:footnoteReference w:id="18"/>
      </w:r>
      <w:r>
        <w:rPr>
          <w:noProof/>
        </w:rPr>
        <w:t>.</w:t>
      </w:r>
    </w:p>
    <w:p>
      <w:pPr>
        <w:pStyle w:val="Text1"/>
        <w:numPr>
          <w:ilvl w:val="0"/>
          <w:numId w:val="39"/>
        </w:numPr>
        <w:rPr>
          <w:noProof/>
        </w:rPr>
      </w:pPr>
      <w:r>
        <w:rPr>
          <w:noProof/>
        </w:rPr>
        <w:t xml:space="preserve">Il-“Ftehimiet ta’ Sħubija dwar il-Konformità” mal-awtoritajiet lokali tagħhom se jippermettu lin-negozji li jiksbu pariri dwar kwistjonijiet ta’ konformità. </w:t>
      </w:r>
    </w:p>
    <w:p>
      <w:pPr>
        <w:pStyle w:val="Text1"/>
        <w:numPr>
          <w:ilvl w:val="0"/>
          <w:numId w:val="39"/>
        </w:numPr>
        <w:rPr>
          <w:noProof/>
        </w:rPr>
      </w:pPr>
      <w:r>
        <w:rPr>
          <w:noProof/>
        </w:rPr>
        <w:t>In-negozji u l-awtoritajiet jistgħu jikkonkludu “memoranda ta’ qbil” dwar proġetti konġunti għall-identifikazzjoni ta’ prodotti mhux konformi</w:t>
      </w:r>
      <w:r>
        <w:rPr>
          <w:rStyle w:val="FootnoteReference"/>
          <w:noProof/>
        </w:rPr>
        <w:footnoteReference w:id="19"/>
      </w:r>
      <w:r>
        <w:rPr>
          <w:noProof/>
        </w:rPr>
        <w:t>.</w:t>
      </w:r>
    </w:p>
    <w:p>
      <w:pPr>
        <w:pStyle w:val="Text1"/>
        <w:numPr>
          <w:ilvl w:val="0"/>
          <w:numId w:val="39"/>
        </w:numPr>
        <w:rPr>
          <w:noProof/>
        </w:rPr>
      </w:pPr>
      <w:r>
        <w:rPr>
          <w:noProof/>
        </w:rPr>
        <w:t>Billi l-prevenzjoni u l-infurzar jimxu id f’id, in-negozji fl-UE u madwar id-dinja jistgħu jfittxu parir regolatorju mingħand “Punti ta’ Kuntatt għall-Prodotti” nazzjonali</w:t>
      </w:r>
      <w:r>
        <w:rPr>
          <w:rStyle w:val="FootnoteReference"/>
          <w:noProof/>
        </w:rPr>
        <w:footnoteReference w:id="20"/>
      </w:r>
      <w:r>
        <w:rPr>
          <w:noProof/>
        </w:rPr>
        <w:t xml:space="preserve">. </w:t>
      </w:r>
    </w:p>
    <w:p>
      <w:pPr>
        <w:pStyle w:val="Text1"/>
        <w:rPr>
          <w:noProof/>
        </w:rPr>
      </w:pPr>
      <w:r>
        <w:rPr>
          <w:noProof/>
        </w:rPr>
        <w:t xml:space="preserve">Għal suq uniku sikur u li jiffunzjona, in-negozji u l-konsumaturi jridu jkunu jafu bir-regoli u jkollhom l-informazzjoni li għandhom bżonn sabiex jirreaġixxu u jaddattaw. </w:t>
      </w:r>
      <w:r>
        <w:rPr>
          <w:b/>
          <w:noProof/>
        </w:rPr>
        <w:t>L-awtoritajiet tas-sorveljanza tas-suq iridu jippubblikaw is-sejbiet tagħhom</w:t>
      </w:r>
      <w:r>
        <w:rPr>
          <w:noProof/>
        </w:rPr>
        <w:t>, speċjalment meta jillimitaw il-kummerċjalizzazzjoni ta’ ċerti prodotti.</w:t>
      </w:r>
    </w:p>
    <w:p>
      <w:pPr>
        <w:pStyle w:val="Text1"/>
        <w:ind w:left="1200" w:hanging="718"/>
        <w:rPr>
          <w:b/>
          <w:noProof/>
        </w:rPr>
      </w:pPr>
      <w:r>
        <w:rPr>
          <w:b/>
          <w:noProof/>
        </w:rPr>
        <w:t>b)</w:t>
      </w:r>
      <w:r>
        <w:rPr>
          <w:noProof/>
        </w:rPr>
        <w:tab/>
      </w:r>
      <w:r>
        <w:rPr>
          <w:b/>
          <w:noProof/>
          <w:u w:val="single"/>
        </w:rPr>
        <w:t>Infurzar fil-fruntieri esterni</w:t>
      </w:r>
    </w:p>
    <w:p>
      <w:pPr>
        <w:pStyle w:val="Text1"/>
        <w:rPr>
          <w:noProof/>
        </w:rPr>
      </w:pPr>
      <w:r>
        <w:rPr>
          <w:noProof/>
        </w:rPr>
        <w:t>Il-konsumaturi għandhom jistennew l-istess livell ta’ protezzjoni għall-prodotti manifatturati ġewwa jew barra mill-UE. F’dinja globalizzata, li jiġi assigurat li l-prodotti importati jissodisfaw ukoll ir-rekwiżiti tal-UE u ma jikkompetux b’mod inġust billi jiksru r-regoli tal-UE, jibqa’ ta’ sfida. Fil-prinċipju, il-prodotti importati għandhom jiġu ċċekkjati mad-dħul fis-suq uniku. Madankollu minħabba l-volum biss tal-importazzjonijiet huwa impossibbli li jiġu ċċekkjati l-kunsinni kollha. Aktar minn 30 % tal-prodotti kollha fis-swieq tal-UE kienu importazzjonijiet fl-2015. Huma kellhom valur stmat ta’ kważi EUR 750 biljun</w:t>
      </w:r>
      <w:r>
        <w:rPr>
          <w:rStyle w:val="FootnoteReference"/>
          <w:noProof/>
        </w:rPr>
        <w:footnoteReference w:id="21"/>
      </w:r>
      <w:r>
        <w:rPr>
          <w:noProof/>
        </w:rPr>
        <w:t>.</w:t>
      </w:r>
    </w:p>
    <w:p>
      <w:pPr>
        <w:pStyle w:val="Text1"/>
        <w:rPr>
          <w:noProof/>
        </w:rPr>
      </w:pPr>
    </w:p>
    <w:p>
      <w:pPr>
        <w:pStyle w:val="Text1"/>
        <w:rPr>
          <w:noProof/>
        </w:rPr>
      </w:pPr>
    </w:p>
    <w:p>
      <w:pPr>
        <w:pStyle w:val="Text1"/>
        <w:keepNext/>
        <w:spacing w:after="0"/>
        <w:rPr>
          <w:b/>
          <w:noProof/>
        </w:rPr>
      </w:pPr>
      <w:r>
        <w:rPr>
          <w:b/>
          <w:noProof/>
        </w:rPr>
        <w:t>Kummerċ fi prodotti armonizzati: produzzjoni mibjugħa u kummerċ ma’ pajjiżi mhux tal-UE (2008-2015, UE-28), EUR biljuni</w:t>
      </w:r>
    </w:p>
    <w:p>
      <w:pPr>
        <w:spacing w:after="0"/>
        <w:ind w:left="720"/>
        <w:jc w:val="center"/>
        <w:rPr>
          <w:noProof/>
        </w:rPr>
      </w:pPr>
    </w:p>
    <w:p>
      <w:pPr>
        <w:spacing w:after="0"/>
        <w:ind w:left="720"/>
        <w:jc w:val="center"/>
        <w:rPr>
          <w:noProof/>
        </w:rPr>
      </w:pPr>
    </w:p>
    <w:p>
      <w:pPr>
        <w:pStyle w:val="Text1"/>
        <w:rPr>
          <w:noProof/>
        </w:rPr>
      </w:pPr>
      <w:r>
        <w:rPr>
          <w:noProof/>
          <w:lang w:val="en-US" w:eastAsia="en-US" w:bidi="ar-SA"/>
        </w:rPr>
        <w:drawing>
          <wp:inline distT="0" distB="0" distL="0" distR="0">
            <wp:extent cx="5972810" cy="34131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3413125"/>
                    </a:xfrm>
                    <a:prstGeom prst="rect">
                      <a:avLst/>
                    </a:prstGeom>
                  </pic:spPr>
                </pic:pic>
              </a:graphicData>
            </a:graphic>
          </wp:inline>
        </w:drawing>
      </w:r>
    </w:p>
    <w:p>
      <w:pPr>
        <w:pStyle w:val="Text1"/>
        <w:rPr>
          <w:noProof/>
        </w:rPr>
      </w:pPr>
    </w:p>
    <w:p>
      <w:pPr>
        <w:pStyle w:val="Text1"/>
        <w:jc w:val="center"/>
        <w:rPr>
          <w:noProof/>
        </w:rPr>
      </w:pPr>
      <w:r>
        <w:rPr>
          <w:noProof/>
        </w:rPr>
        <w:t>Sors: Prodcom - Statistika skont il-prodott, EUROSTAT (2016)</w:t>
      </w:r>
    </w:p>
    <w:p>
      <w:pPr>
        <w:pStyle w:val="Text1"/>
        <w:rPr>
          <w:noProof/>
        </w:rPr>
      </w:pPr>
      <w:r>
        <w:rPr>
          <w:noProof/>
        </w:rPr>
        <w:t>Ir-regoli dwar l-infurzar fil-fruntieri esterni jeħtieġ li jiġu adattati għar-realtajiet ġodda tas-seklu 21, inkluż l-ammont dejjem jiżdied ta’ bejgħ online, u l-Kodiċi Doganali tal-Unjoni l-ġdid.</w:t>
      </w:r>
    </w:p>
    <w:p>
      <w:pPr>
        <w:pStyle w:val="Text1"/>
        <w:rPr>
          <w:noProof/>
        </w:rPr>
      </w:pPr>
      <w:r>
        <w:rPr>
          <w:b/>
          <w:noProof/>
        </w:rPr>
        <w:t>Il-proposta l-ġdida tadatta l-kuntest legali attwali għar-regoli doganali l-ġodda</w:t>
      </w:r>
      <w:r>
        <w:rPr>
          <w:noProof/>
        </w:rPr>
        <w:t>. Hija tipprovdi aktar ċarezza għall-kontrolli fuq il-prodotti li jidħlu fl-UE, u għall-koordinazzjoni u l-kooperazzjoni bejn l-awtoritajiet doganali u l-awtoritajiet tas-sorveljanza tas-suq.</w:t>
      </w:r>
    </w:p>
    <w:p>
      <w:pPr>
        <w:pStyle w:val="Text1"/>
        <w:rPr>
          <w:b/>
          <w:noProof/>
        </w:rPr>
      </w:pPr>
      <w:r>
        <w:rPr>
          <w:b/>
          <w:noProof/>
        </w:rPr>
        <w:t xml:space="preserve">Hija tissimplifika wkoll il-burokrazija għall-importaturi. </w:t>
      </w:r>
      <w:r>
        <w:rPr>
          <w:noProof/>
        </w:rPr>
        <w:t>In-negozji fdati se jibbenefikaw minn kontrolli eħfef u, b’riżultat ta’ dan, l-awtoritajiet se jkunu jistgħu jikkonċentraw l-isforzi tagħhom fejn ir-riskju għas-sikurezza tal-prodotti hija l-akbar.</w:t>
      </w:r>
      <w:r>
        <w:rPr>
          <w:b/>
          <w:noProof/>
        </w:rPr>
        <w:t xml:space="preserve"> </w:t>
      </w:r>
    </w:p>
    <w:p>
      <w:pPr>
        <w:pStyle w:val="Text1"/>
        <w:rPr>
          <w:b/>
          <w:noProof/>
        </w:rPr>
      </w:pPr>
      <w:r>
        <w:rPr>
          <w:noProof/>
        </w:rPr>
        <w:t xml:space="preserve">Barra minn hekk, meta l-awtoritajiet tal-infurzar ikollhom dubji dwar il-legalità ta’ prodott, huma se </w:t>
      </w:r>
      <w:r>
        <w:rPr>
          <w:b/>
          <w:noProof/>
        </w:rPr>
        <w:t>jissospendu r-rilaxx għaċ-ċirkolazzjoni libera</w:t>
      </w:r>
      <w:r>
        <w:rPr>
          <w:noProof/>
        </w:rPr>
        <w:t xml:space="preserve"> fl-UE sakemm jirċievu evidenza xierqa li l-prodott huwa tajjeb sabiex jinbiegħ fl-UE.</w:t>
      </w:r>
    </w:p>
    <w:p>
      <w:pPr>
        <w:pStyle w:val="Text1"/>
        <w:ind w:left="1200" w:hanging="718"/>
        <w:rPr>
          <w:b/>
          <w:noProof/>
        </w:rPr>
      </w:pPr>
      <w:r>
        <w:rPr>
          <w:b/>
          <w:noProof/>
        </w:rPr>
        <w:t>c)</w:t>
      </w:r>
      <w:r>
        <w:rPr>
          <w:noProof/>
        </w:rPr>
        <w:tab/>
      </w:r>
      <w:r>
        <w:rPr>
          <w:b/>
          <w:noProof/>
          <w:u w:val="single"/>
        </w:rPr>
        <w:t>Akkreditazzjoni u markar CE</w:t>
      </w:r>
    </w:p>
    <w:p>
      <w:pPr>
        <w:pStyle w:val="Text1"/>
        <w:rPr>
          <w:noProof/>
        </w:rPr>
      </w:pPr>
      <w:r>
        <w:rPr>
          <w:noProof/>
        </w:rPr>
        <w:t>Filwaqt li r-regoli tas-sorveljanza tas-suq attwali jeħtieġu titjib, ir-regoli tal-UE għall-akkreditazzjoni u l-markar CE dehru li jaħdmu raġonevolment tajjeb. Din il-komunikazzjoni hija akkumpanjata minn rapport li jissottolinja l-importanza ta’ sistema mmexxija tajjeb u affidabbli ta’ akkreditazzjoni u valutazzjoni tal-konformità li fuqha tkun ibbażata l-politika tal-UE u li ssaħħaħ il-fiduċja fis-sikurezza tal-prodotti.</w:t>
      </w:r>
    </w:p>
    <w:p>
      <w:pPr>
        <w:pStyle w:val="Heading1"/>
        <w:rPr>
          <w:noProof/>
        </w:rPr>
      </w:pPr>
      <w:r>
        <w:rPr>
          <w:noProof/>
        </w:rPr>
        <w:t>Magħquda fid-diversità fis-suq uniku għall-prodotti: Rikonoxximent reċiproku</w:t>
      </w:r>
    </w:p>
    <w:p>
      <w:pPr>
        <w:pStyle w:val="Text1"/>
        <w:rPr>
          <w:noProof/>
        </w:rPr>
      </w:pPr>
      <w:r>
        <w:rPr>
          <w:noProof/>
        </w:rPr>
        <w:t>Fejn ma hemmx regoli komuni tal-UE għall-prodotti, pereżempju fil-qasam ta’ oġġetti għall-kura tat-tfal jew cash registers, il-prinċipju tar-rikonoxximent reċiproku għandu jassigura li prodott li jkun legalment kummerċjalizzat fi Stat Membru partikolari jista’ jinbiegħ ukoll fi kwalunkwe Stat Membru ieħor — sakemm dan ikun sikur u jirrispetta l-interess pubbliku</w:t>
      </w:r>
      <w:r>
        <w:rPr>
          <w:rStyle w:val="FootnoteReference"/>
          <w:noProof/>
        </w:rPr>
        <w:footnoteReference w:id="22"/>
      </w:r>
      <w:r>
        <w:rPr>
          <w:noProof/>
        </w:rPr>
        <w:t>. Madankollu, ta’ sikwit in-negozji llum il-ġurnata ma jistgħux jistrieħu fuq ir-rikonoxximent reċiproku biex jiksbu aċċess għas-suq madwar l-UE. B’mod partikolari l-intrapriżi żgħar u medji jirrappurtaw diffikultajiet serji meta jippruvaw jiddependu fuq ir-rikonoxximent reċiproku biex ibigħu l-prodotti tagħhom fi Stat Membru ieħor. L-Istati Membri jintroduċu rekwiżiti addizzjonali u duplikazzjoni tal-ittestjar, u dan iżid bla bżonn il-burokrazija u l-ispejjeż. Dan jiċħad lill-operaturi ekonomiċi mill-effiċjenzi tal-iskala tas-suq uniku, jgħolli l-prezzijiet għall-konsumaturi u jnaqqas il-kummerċ għad-detriment ta’ kulħadd</w:t>
      </w:r>
      <w:r>
        <w:rPr>
          <w:rStyle w:val="FootnoteReference"/>
          <w:noProof/>
        </w:rPr>
        <w:footnoteReference w:id="23"/>
      </w:r>
      <w:r>
        <w:rPr>
          <w:noProof/>
        </w:rPr>
        <w:t>.</w:t>
      </w:r>
    </w:p>
    <w:p>
      <w:pPr>
        <w:pStyle w:val="Text1"/>
        <w:rPr>
          <w:noProof/>
        </w:rPr>
      </w:pPr>
      <w:r>
        <w:rPr>
          <w:noProof/>
        </w:rPr>
        <w:t xml:space="preserve">L-awtoritajiet nazzjonali ħafna drabi ma għandhomx fiduċja fil-ġudizzju ta’ awtoritajiet minn Stati Membri oħra, li jirriżulta f’rekwiżiti addizzjonali u duplikazzjoni tal-ittestjar, u dan iżid bla bżonn il-burokrazija u l-ispejjeż. Barra minn hekk, il-kontestazzjoni ta’ deċiżjonijiet li jirrifjutaw jew li jillimitaw l-aċċess għas-suq fil-qorti tieħu fit-tul u tiswa ħafna flus għall-operaturi. Konsegwentement, in-negozji qed jiffaċċjaw spejjeż mhux mistennija minħabba li jridu </w:t>
      </w:r>
      <w:r>
        <w:rPr>
          <w:b/>
          <w:noProof/>
        </w:rPr>
        <w:t>jadattaw il-prodotti tagħhom</w:t>
      </w:r>
      <w:r>
        <w:rPr>
          <w:noProof/>
        </w:rPr>
        <w:t xml:space="preserve"> għar-rekwiżiti ta’ diversi swieq nazzjonali u jiltaqgħu ma’ </w:t>
      </w:r>
      <w:r>
        <w:rPr>
          <w:b/>
          <w:noProof/>
        </w:rPr>
        <w:t>dewmien għad-dħul fis-suq</w:t>
      </w:r>
      <w:r>
        <w:rPr>
          <w:noProof/>
        </w:rPr>
        <w:t xml:space="preserve"> u </w:t>
      </w:r>
      <w:r>
        <w:rPr>
          <w:b/>
          <w:noProof/>
        </w:rPr>
        <w:t>opportunitajiet mitlufa</w:t>
      </w:r>
      <w:r>
        <w:rPr>
          <w:noProof/>
        </w:rPr>
        <w:t>. Dan jolqot b’mod partikolari lill-intrapriżi żgħar u medji</w:t>
      </w:r>
      <w:r>
        <w:rPr>
          <w:rStyle w:val="FootnoteReference"/>
          <w:noProof/>
        </w:rPr>
        <w:footnoteReference w:id="24"/>
      </w:r>
      <w:r>
        <w:rPr>
          <w:noProof/>
        </w:rPr>
        <w:t xml:space="preserve">. </w:t>
      </w:r>
    </w:p>
    <w:p>
      <w:pPr>
        <w:pStyle w:val="Text1"/>
        <w:rPr>
          <w:noProof/>
        </w:rPr>
      </w:pPr>
      <w:r>
        <w:rPr>
          <w:noProof/>
        </w:rPr>
        <w:t>Dan irid jinbidel. Is-sistema eżistenti tista’ u hemm bżonn li titjieb. Il-Kummissjoni għalhekk tipproponi li żżid u tikkjarifika l-opportunitajiet eżistenti u li tiffaċilita l-aċċess għas-suq.</w:t>
      </w:r>
    </w:p>
    <w:p>
      <w:pPr>
        <w:pStyle w:val="Text1"/>
        <w:rPr>
          <w:noProof/>
        </w:rPr>
      </w:pPr>
      <w:r>
        <w:rPr>
          <w:noProof/>
        </w:rPr>
        <w:t xml:space="preserve">Se jiġi segwit ukoll approċċ immirat u kooperattiv fir-rigward tal-implimentazzjoni tad-Direttiva dwar it-Trasparenza tas-Suq Uniku (UE) Nru 2015/1535. Din id-Direttiva hija għodda importanti għall-evitar ta’ ostakoli għall-prodotti li mhumiex armonizzati jew li huma armonizzati biss parzjalment. L-Istati Membri huma obbligati jinnotifikaw kwalunkwe abbozz ta’ leġiżlazzjoni li jikkonċerna dawn il-prodotti sabiex l-ostakoli jkunu jistgħu jiġu evitati </w:t>
      </w:r>
      <w:r>
        <w:rPr>
          <w:i/>
          <w:noProof/>
        </w:rPr>
        <w:t>ex ante</w:t>
      </w:r>
      <w:r>
        <w:rPr>
          <w:noProof/>
        </w:rPr>
        <w:t>. F’konformità mar-riżultati tar-rapport dwar l-implimentazzjoni tad-Direttiva, ippubblikati llum ukoll, il-Kummissjoni u l-Istati Membri għandhom bżonn isolvu d-diffikultajiet fi stadju aktar bikri, jiffokaw fuq l-aktar tħassib mifrux u l-aktar oqsma ekonomikament sinifikanti fl-Istati Membri.</w:t>
      </w:r>
    </w:p>
    <w:p>
      <w:pPr>
        <w:pStyle w:val="Text1"/>
        <w:ind w:left="1200" w:hanging="718"/>
        <w:rPr>
          <w:b/>
          <w:noProof/>
        </w:rPr>
      </w:pPr>
      <w:r>
        <w:rPr>
          <w:b/>
          <w:noProof/>
        </w:rPr>
        <w:t>a)</w:t>
      </w:r>
      <w:r>
        <w:rPr>
          <w:noProof/>
        </w:rPr>
        <w:tab/>
      </w:r>
      <w:r>
        <w:rPr>
          <w:b/>
          <w:noProof/>
          <w:u w:val="single"/>
        </w:rPr>
        <w:t>Mit-teorija għall-prattika</w:t>
      </w:r>
    </w:p>
    <w:p>
      <w:pPr>
        <w:pStyle w:val="Text1"/>
        <w:rPr>
          <w:noProof/>
        </w:rPr>
      </w:pPr>
      <w:r>
        <w:rPr>
          <w:noProof/>
        </w:rPr>
        <w:t>Il-prinċipju tar-rikonoxximent reċiproku għall-prodotti huwa derivat mit-Trattat dwar il-Funzjonament tal-Unjoni Ewropea (TFUE)</w:t>
      </w:r>
      <w:r>
        <w:rPr>
          <w:rStyle w:val="FootnoteReference"/>
          <w:noProof/>
        </w:rPr>
        <w:footnoteReference w:id="25"/>
      </w:r>
      <w:r>
        <w:rPr>
          <w:noProof/>
        </w:rPr>
        <w:t>. Dan ġie ripetutament sostnut u msaħħaħ mill-Qorti tal-Ġustizzja tal-Unjoni Ewropea. Madankollu, il-qafas attwali ma kienx biżżejjed sabiex jassigura applikazzjoni konsistenti u effettiva. Għalhekk, qed tiġi proposta s-sostituzzjoni tar-</w:t>
      </w:r>
      <w:r>
        <w:rPr>
          <w:b/>
          <w:noProof/>
        </w:rPr>
        <w:t>Regolament dwar ir-Rikonoxximent Reċiproku</w:t>
      </w:r>
      <w:r>
        <w:rPr>
          <w:rStyle w:val="FootnoteReference"/>
          <w:b/>
          <w:noProof/>
        </w:rPr>
        <w:footnoteReference w:id="26"/>
      </w:r>
      <w:r>
        <w:rPr>
          <w:b/>
          <w:noProof/>
        </w:rPr>
        <w:t xml:space="preserve"> b’Regolament ġdid </w:t>
      </w:r>
      <w:r>
        <w:rPr>
          <w:noProof/>
        </w:rPr>
        <w:t>li jikkjarifika u jissimplifika l-proċeduri li għandhom jiġu segwiti min-negozji u l-amministrazzjonijiet pubbliċi.</w:t>
      </w:r>
    </w:p>
    <w:p>
      <w:pPr>
        <w:pStyle w:val="Text1"/>
        <w:rPr>
          <w:noProof/>
        </w:rPr>
      </w:pPr>
      <w:r>
        <w:rPr>
          <w:noProof/>
        </w:rPr>
        <w:t xml:space="preserve">L-aċċess għas-suq abbażi tar-rikonoxximent reċiproku għandu jiġi rifjutat biss jekk ikun hemm involut interess pubbliku leġittimu u proporzjonat. Illum, jekk ir-rifjut ikun illeġittimu jew sproporzjonat, l-uniku mod biex tiġi kkontestata d-deċiżjoni huwa permezz tal-qrati nazzjonali. Proċessi bħal dawn huma twal u jqumu l-flus, u ma jissodisfawx il-ħtiġijiet speċifiċi tar-rikonoxximent reċiproku. Il-kontestazzjoni ta’ deċiżjoni li tirrifjuta l-aċċess għas-suq tista’ tiswa bejn EUR 10 000 u EUR 100 000 għal kull prodott u għal kull suq. In-negozji jiddikjaraw li dan huwa l-akbar ostakolu biex ir-rikonoxximent reċiproku jaħdem mingħajr problemi. F’ħafna każijiet, aktar milli jiffaċċjaw eżiti inċerti, in-negozji jispiċċaw jadattaw il-prodotti tagħhom bi spiża addizzjonali — bi spejjeż korrispondenti għall-konsumaturi u telf għall-effiċjenza tal-ekonomija Ewropea. </w:t>
      </w:r>
    </w:p>
    <w:p>
      <w:pPr>
        <w:pStyle w:val="Text1"/>
        <w:rPr>
          <w:noProof/>
        </w:rPr>
      </w:pPr>
      <w:r>
        <w:rPr>
          <w:noProof/>
        </w:rPr>
        <w:t xml:space="preserve">Il-proposta l-ġdida għar-rikonoxximent reċiproku tintroduċi </w:t>
      </w:r>
      <w:r>
        <w:rPr>
          <w:b/>
          <w:noProof/>
        </w:rPr>
        <w:t>proċedura ta’ soluzzjoni tal-problemi</w:t>
      </w:r>
      <w:r>
        <w:rPr>
          <w:noProof/>
        </w:rPr>
        <w:t xml:space="preserve"> sabiex tipprovdi rimedji effettivi u terġa’ tistabbilixxi l-fiduċja fir-rikonoxximent reċiproku. L-ewwel, se jitfittxu soluzzjonijiet bonarji u prattiċi billi </w:t>
      </w:r>
      <w:r>
        <w:rPr>
          <w:b/>
          <w:noProof/>
        </w:rPr>
        <w:t>jintużaw il-mekkaniżmi eżistenti ta’ SOLVIT</w:t>
      </w:r>
      <w:r>
        <w:rPr>
          <w:noProof/>
        </w:rPr>
        <w:t>.</w:t>
      </w:r>
      <w:r>
        <w:rPr>
          <w:b/>
          <w:noProof/>
        </w:rPr>
        <w:t xml:space="preserve"> </w:t>
      </w:r>
      <w:r>
        <w:rPr>
          <w:noProof/>
        </w:rPr>
        <w:t xml:space="preserve">Jekk id-djalogu jfalli, il-Kummissjoni tista’ tintervjenti fil-kwistjoni billi toħroġ Opinjoni, u fejn xieraq, tagħmel rakkomandazzjonijiet biex tassisti lill-partijiet biex isolvu l-każ. B’dan il-mod, in-negozji u l-Istati Membri esportaturi, minflok ma jistennew is-snin biex il-prodotti u l-liġijiet tagħhom jiġu rikonoxxuti minn Stati Membri oħra, se jkunu jafu x’għandhom jistennew fi ftit ġimgħat jew xhur. Barra minn hekk, il-Kummissjoni se tkun kapaċi li b’mod strateġiku timplimenta s-setgħat ta’ infurzar tagħha skont l-Artikolu 258 TFUE meta jiġu identifikati problemi sistematiċi f’setturi speċifiċi. </w:t>
      </w:r>
    </w:p>
    <w:p>
      <w:pPr>
        <w:pStyle w:val="Text1"/>
        <w:rPr>
          <w:noProof/>
        </w:rPr>
      </w:pPr>
      <w:r>
        <w:rPr>
          <w:noProof/>
        </w:rPr>
        <w:t xml:space="preserve">Fil-preżent, in-negozji jridu jippruvaw li l-prodott tagħhom diġà jkun qiegħed jinbiegħ xi mkien ieħor fl-UE jekk ikunu jridu jiksbu rikonoxximent reċiproku. Il-firxa ta’ evidenza meħtieġa mill-awtoritajiet tvarja minn sempliċi fattura sa dikjarazzjoni tal-Istat Membru li l-prodott ġie legalment kummerċjalizzat. Biex ngħinu lin-negozji juru li l-prodott tagħhom diġà jissodisfa r-rekwiżiti ta’ Stat Membru ieħor, biex inserrħu moħħ l-awtoritajiet u niffaċilitaw il-kooperazzjoni transfruntiera, aħna nipproponu </w:t>
      </w:r>
      <w:r>
        <w:rPr>
          <w:b/>
          <w:noProof/>
        </w:rPr>
        <w:t>“dikjarazzjoni ta’ rikonoxximent reċiproku”</w:t>
      </w:r>
      <w:r>
        <w:rPr>
          <w:noProof/>
        </w:rPr>
        <w:t xml:space="preserve"> sempliċi ġdida volontarja li trid timtela mill-operaturi ekonomiċi, u li se tnaqqas il-piż amministrattiv.</w:t>
      </w:r>
    </w:p>
    <w:p>
      <w:pPr>
        <w:pStyle w:val="Text1"/>
        <w:rPr>
          <w:noProof/>
        </w:rPr>
      </w:pPr>
      <w:r>
        <w:rPr>
          <w:noProof/>
        </w:rPr>
        <w:t xml:space="preserve">Dawk involuti fir-rikonoxximent reċiproku ma jikkomunikawx tajjeb biżżejjed ma’ xulxin. Ta’ sikwit dan jiġri minħabba li s-setgħat u r-responsabbiltajiet għal regolamenti speċifiċi huma mifruxa, xi ħaġa li tikkumplika n-navigazzjoni madwar dawn il-kwistjonijiet ħafna drabi tekniċi ħafna. Għalhekk, qed nimmiraw li nsaħħu </w:t>
      </w:r>
      <w:r>
        <w:rPr>
          <w:b/>
          <w:noProof/>
        </w:rPr>
        <w:t>l-punti ta’ kuntatt għall-prodotti bħala kanal ta’ komunikazzjoni għar-rikonoxximent reċiproku</w:t>
      </w:r>
      <w:r>
        <w:rPr>
          <w:rStyle w:val="FootnoteReference"/>
          <w:noProof/>
        </w:rPr>
        <w:footnoteReference w:id="27"/>
      </w:r>
      <w:r>
        <w:rPr>
          <w:noProof/>
        </w:rPr>
        <w:t>. Biex dawn il-punti ta’ kuntatt jingħarfu faċilment, tista’ tiġi żviluppata identità viżwali komuni. Il-</w:t>
      </w:r>
      <w:r>
        <w:rPr>
          <w:b/>
          <w:noProof/>
        </w:rPr>
        <w:t>kooperazzjoni transfruntiera bejn il-punti ta’ kuntatt</w:t>
      </w:r>
      <w:r>
        <w:rPr>
          <w:noProof/>
        </w:rPr>
        <w:t xml:space="preserve"> se tissaħħaħ. Pjattaforma online se tippermetti lill-awtoritajiet li jikkonnettjaw ma’ xulxin.</w:t>
      </w:r>
    </w:p>
    <w:p>
      <w:pPr>
        <w:pStyle w:val="Text1"/>
        <w:ind w:left="1200" w:hanging="720"/>
        <w:rPr>
          <w:b/>
          <w:noProof/>
        </w:rPr>
      </w:pPr>
      <w:r>
        <w:rPr>
          <w:b/>
          <w:noProof/>
        </w:rPr>
        <w:t>b)</w:t>
      </w:r>
      <w:r>
        <w:rPr>
          <w:noProof/>
        </w:rPr>
        <w:tab/>
      </w:r>
      <w:r>
        <w:rPr>
          <w:b/>
          <w:noProof/>
          <w:u w:val="single"/>
        </w:rPr>
        <w:t>Aktar kooperazzjoni u fiduċja aktar profonda</w:t>
      </w:r>
    </w:p>
    <w:p>
      <w:pPr>
        <w:pStyle w:val="Text1"/>
        <w:rPr>
          <w:noProof/>
        </w:rPr>
      </w:pPr>
      <w:r>
        <w:rPr>
          <w:noProof/>
        </w:rPr>
        <w:t xml:space="preserve">Biex ir-rikonoxximent reċiproku jaħdem tajjeb huma meħtieġa l-kooperazzjoni u l-fiduċja. Dawn jgħinu sabiex jinbena fehim reċiproku tal-approċċi u t-tħassib nazzjonali differenti. Dan se jiġi promoss permezz ta’ </w:t>
      </w:r>
      <w:r>
        <w:rPr>
          <w:b/>
          <w:noProof/>
        </w:rPr>
        <w:t>skambji ta’ uffiċjali</w:t>
      </w:r>
      <w:r>
        <w:rPr>
          <w:noProof/>
        </w:rPr>
        <w:t xml:space="preserve"> li jaħdmu f’setturi partikolarment problematiċi bħall-prodotti tal-kostruzzjoni. B’mod daqstant importanti, il-Kummissjoni se taħdem aktar mill-qrib ma’ </w:t>
      </w:r>
      <w:r>
        <w:rPr>
          <w:b/>
          <w:noProof/>
        </w:rPr>
        <w:t>pajjiżi u setturi speċifiċi</w:t>
      </w:r>
      <w:r>
        <w:rPr>
          <w:noProof/>
        </w:rPr>
        <w:t xml:space="preserve"> biex ir-rikonoxximent reċiproku jaħdem. </w:t>
      </w:r>
    </w:p>
    <w:p>
      <w:pPr>
        <w:pStyle w:val="Text1"/>
        <w:rPr>
          <w:noProof/>
        </w:rPr>
      </w:pPr>
      <w:r>
        <w:rPr>
          <w:noProof/>
        </w:rPr>
        <w:t>Il-Kummissjoni se tivvaluta wkoll il-benefiċċji possibbli għan-negozji u l-awtoritajiet pubbliċi jekk tiġi żviluppata ulterjorment il-</w:t>
      </w:r>
      <w:r>
        <w:rPr>
          <w:b/>
          <w:noProof/>
        </w:rPr>
        <w:t>lista ta’</w:t>
      </w:r>
      <w:r>
        <w:rPr>
          <w:noProof/>
        </w:rPr>
        <w:t xml:space="preserve"> </w:t>
      </w:r>
      <w:r>
        <w:rPr>
          <w:b/>
          <w:noProof/>
        </w:rPr>
        <w:t>prodotti eżistenti għar-rikonoxximent reċiproku</w:t>
      </w:r>
      <w:r>
        <w:rPr>
          <w:rStyle w:val="FootnoteReference"/>
          <w:b/>
          <w:noProof/>
        </w:rPr>
        <w:footnoteReference w:id="28"/>
      </w:r>
      <w:r>
        <w:rPr>
          <w:noProof/>
        </w:rPr>
        <w:t>.</w:t>
      </w:r>
    </w:p>
    <w:p>
      <w:pPr>
        <w:pStyle w:val="Text1"/>
        <w:rPr>
          <w:noProof/>
        </w:rPr>
      </w:pPr>
      <w:r>
        <w:rPr>
          <w:noProof/>
        </w:rPr>
        <w:t xml:space="preserve">Sabiex iżżid id-dipendenza u l-fiduċja tal-awtoritajiet nazzjonali fir-rikonoxximent reċiproku, il-Kummissjoni se tipprova tqajjem għarfien tal-awtoritajiet nazzjonali wkoll dwar kif jaħdem ir-rikonoxximent reċiproku permezz ta’ sforzi ta’taħriġ apposta. Dan se jkun immirat prinċipalment għall-amministrazzjonijiet nazzjonali (eż. fil-punti ta’ kuntatt għall-prodotti, id-dipartimenti responsabbli għal oqsma ta’ prodotti problematiċi, il-qrati nazzjonali, l-awtoritajiet tas-sorveljanza tas-suq u l-persunal ta’ SOLVIT) u n-negozji. Pakkett immirat ta’ </w:t>
      </w:r>
      <w:r>
        <w:rPr>
          <w:b/>
          <w:noProof/>
        </w:rPr>
        <w:t>“ħarreġ lil min iħarreġ”</w:t>
      </w:r>
      <w:r>
        <w:rPr>
          <w:noProof/>
        </w:rPr>
        <w:t xml:space="preserve"> dwar ir-rikonoxximent reċiproku għall-awtoritajiet u n-negozji u “</w:t>
      </w:r>
      <w:r>
        <w:rPr>
          <w:b/>
          <w:noProof/>
        </w:rPr>
        <w:t>ġabra ta’ regoli dwar ir-rikonoxximent reċiproku</w:t>
      </w:r>
      <w:r>
        <w:rPr>
          <w:noProof/>
        </w:rPr>
        <w:t>” se jagħtu gwida komprensiva dwar kif għandu jiġi applikat ir-rikonoxximent reċiproku.</w:t>
      </w:r>
    </w:p>
    <w:p>
      <w:pPr>
        <w:pStyle w:val="Text1"/>
        <w:rPr>
          <w:noProof/>
        </w:rPr>
      </w:pPr>
      <w:r>
        <w:rPr>
          <w:noProof/>
        </w:rPr>
        <w:t xml:space="preserve">Fl-aħħar nett, l-Istati Membri għandhom ikomplu jipprovdu espliċitament għar-rikonoxximent reċiproku fir-regoli tekniċi nazzjonali tagħhom, iżda għandhom jagħmlu dan b’mod li jinftiehem. Il-Kummissjoni għalhekk tħeġġeġ lill-Istati Membri sabiex idaħħlu </w:t>
      </w:r>
      <w:r>
        <w:rPr>
          <w:b/>
          <w:noProof/>
        </w:rPr>
        <w:t>“klawsola dwar is-suq uniku” ċara u mhux ambigwa</w:t>
      </w:r>
      <w:r>
        <w:rPr>
          <w:rStyle w:val="FootnoteReference"/>
          <w:noProof/>
        </w:rPr>
        <w:footnoteReference w:id="29"/>
      </w:r>
      <w:r>
        <w:rPr>
          <w:b/>
          <w:noProof/>
        </w:rPr>
        <w:t xml:space="preserve"> </w:t>
      </w:r>
      <w:r>
        <w:rPr>
          <w:noProof/>
        </w:rPr>
        <w:t xml:space="preserve">fir-regolamenti tekniċi nazzjonali, u se tiżviluppa gwida speċifika għall-użu tagħha: </w:t>
      </w:r>
    </w:p>
    <w:p>
      <w:pPr>
        <w:pStyle w:val="BlockText"/>
        <w:spacing w:after="240"/>
        <w:rPr>
          <w:noProof/>
        </w:rPr>
      </w:pPr>
      <w:r>
        <w:rPr>
          <w:noProof/>
        </w:rPr>
        <w:t>“Il-prodotti legalment kummerċjalizzati fi Stat Membru ieħor tal-Unjoni Ewropea jew fit-Turkija, jew li joriġinaw u jkunu legalment kummerċjalizzati fi Stat tal-EFTA li jkun parti kontraenti għall-ftehim ŻEE huma preżunti kompatibbli ma’ din il-miżura. L-applikazzjoni ta’ din il-miżura hija soġġetta għar-Regolament [referenza].”</w:t>
      </w:r>
    </w:p>
    <w:p>
      <w:pPr>
        <w:pStyle w:val="Heading1"/>
        <w:rPr>
          <w:noProof/>
        </w:rPr>
      </w:pPr>
      <w:r>
        <w:rPr>
          <w:noProof/>
        </w:rPr>
        <w:t>Konklużjoni</w:t>
      </w:r>
    </w:p>
    <w:p>
      <w:pPr>
        <w:pStyle w:val="Text1"/>
        <w:rPr>
          <w:noProof/>
        </w:rPr>
      </w:pPr>
      <w:r>
        <w:rPr>
          <w:noProof/>
        </w:rPr>
        <w:t>Is-suq uniku għall-prodotti huwa wieħed mill-aqwa assi tal-UE. Huwa jagħti lill-UE vantaġġ kompetittiv biex tilħaq l-isfidi tal-flussi tal-kummerċ u tal-ktajjen tal-valur globalizzati. Biex nilħqu dawn l-isfidi, jeħtieġ li nassiguraw li s-Suq Uniku jiffunzjona b’suċċess, billi joffri l-opportunitajiet ta’ suq għan-negozji u livell għoli ta’ protezzjoni lil kulħadd. Dawk kollha involuti — il-pubbliku ġenerali, il-ħaddiema, il-konsumaturi, in-negozji u l-awtoritajiet — jeħtieġ li jiġu assigurati li jistgħu jaġixxu u jakkwistaw prodotti sikuri f’ambjent trasparenti u ġust fejn ir-regoli japplikaw b’mod ugwali għal kulħadd. Huma jridu jkunu kapaċi jafdaw li l-prodotti huma sikuri u konformi mal-liġi.</w:t>
      </w:r>
    </w:p>
    <w:p>
      <w:pPr>
        <w:pStyle w:val="Text1"/>
        <w:rPr>
          <w:noProof/>
        </w:rPr>
      </w:pPr>
      <w:r>
        <w:rPr>
          <w:noProof/>
        </w:rPr>
        <w:t>L-għan ta’ dan il-Pakkett huwa l-garanzija li nistabbilixxu dan is-suq uniku trasparenti u ġust ta’ prodotti sikuri għal kulħadd. L-awtoritajiet u n-negozji se jiksbu fiduċja fir-rikonoxximent reċiproku bħala prinċipju li jipproteġi l-interess pubbliku għal kulħadd u jiftaħ aktar is-Suq Uniku. Konformità u infurzar imtejba se jsaħħu l-fiduċja tal-konsumaturi fis-sikurezza tal-prodotti mqiegħda fis-Suq Uniku. Dan huwa saħansitra aktar importanti f’dinja li b’pass mgħaġġel qiegħdha dejjem tinbidel u tintegra ruħha.</w:t>
      </w:r>
    </w:p>
    <w:p>
      <w:pPr>
        <w:pStyle w:val="Text1"/>
        <w:rPr>
          <w:noProof/>
        </w:rPr>
      </w:pPr>
      <w:r>
        <w:rPr>
          <w:noProof/>
        </w:rPr>
        <w:t>Flimkien mal-proposti leġiżlattiv ta’ dan il-Pakkett, se naħdmu mill-qrib ukoll mal-awtoritajiet kompetenti u l-partijiet ikkonċernati, billi nieħdu l-passi neċessarji biex nibnu din il-fiduċja. Dan se jiżgura li diġà mil-lum stess, impatt u benefiċċji reali għal kulħadd jistgħu jagħmlu differenza fis-Suq Uniku għall-oġġetti ta’ għada.</w:t>
      </w:r>
    </w:p>
    <w:p>
      <w:pPr>
        <w:spacing w:after="0"/>
        <w:jc w:val="left"/>
        <w:rPr>
          <w:b/>
          <w:noProof/>
        </w:rPr>
      </w:pPr>
      <w:r>
        <w:rPr>
          <w:noProof/>
        </w:rPr>
        <w:br w:type="page"/>
      </w:r>
    </w:p>
    <w:p>
      <w:pPr>
        <w:rPr>
          <w:noProof/>
        </w:rPr>
      </w:pPr>
      <w:r>
        <w:rPr>
          <w:b/>
          <w:noProof/>
        </w:rPr>
        <w:t>Appendiċi:</w:t>
      </w:r>
      <w:r>
        <w:rPr>
          <w:noProof/>
        </w:rPr>
        <w:tab/>
      </w:r>
      <w:r>
        <w:rPr>
          <w:b/>
          <w:noProof/>
        </w:rPr>
        <w:t>Skeda ta’ żmien proposta għall-miżuri “legali nonvinkolanti”</w:t>
      </w:r>
    </w:p>
    <w:tbl>
      <w:tblPr>
        <w:tblStyle w:val="TableGrid"/>
        <w:tblW w:w="7229" w:type="dxa"/>
        <w:tblInd w:w="1526" w:type="dxa"/>
        <w:tblLook w:val="04A0" w:firstRow="1" w:lastRow="0" w:firstColumn="1" w:lastColumn="0" w:noHBand="0" w:noVBand="1"/>
      </w:tblPr>
      <w:tblGrid>
        <w:gridCol w:w="7229"/>
      </w:tblGrid>
      <w:tr>
        <w:tc>
          <w:tcPr>
            <w:tcW w:w="7229" w:type="dxa"/>
          </w:tcPr>
          <w:p>
            <w:pPr>
              <w:rPr>
                <w:i/>
                <w:noProof/>
                <w:szCs w:val="24"/>
              </w:rPr>
            </w:pPr>
            <w:r>
              <w:rPr>
                <w:i/>
                <w:noProof/>
              </w:rPr>
              <w:t>2018:</w:t>
            </w:r>
          </w:p>
          <w:p>
            <w:pPr>
              <w:pStyle w:val="ListParagraph"/>
              <w:numPr>
                <w:ilvl w:val="0"/>
                <w:numId w:val="31"/>
              </w:numPr>
              <w:rPr>
                <w:noProof/>
              </w:rPr>
            </w:pPr>
            <w:r>
              <w:rPr>
                <w:noProof/>
              </w:rPr>
              <w:t>Klawsola dwar is-suq uniku</w:t>
            </w:r>
          </w:p>
          <w:p>
            <w:pPr>
              <w:pStyle w:val="ListParagraph"/>
              <w:numPr>
                <w:ilvl w:val="0"/>
                <w:numId w:val="31"/>
              </w:numPr>
              <w:rPr>
                <w:noProof/>
              </w:rPr>
            </w:pPr>
            <w:r>
              <w:rPr>
                <w:noProof/>
              </w:rPr>
              <w:t xml:space="preserve">Għaddejjin: Ottimizzazzjoni tal-konverġenza tal-għodod tal-IT għas-sorveljanza tas-suq (bħal RAPEX u ICSMS) f’konformità mal-bażi legali applikabbli.  </w:t>
            </w:r>
          </w:p>
          <w:p>
            <w:pPr>
              <w:pStyle w:val="ListParagraph"/>
              <w:numPr>
                <w:ilvl w:val="0"/>
                <w:numId w:val="31"/>
              </w:numPr>
              <w:rPr>
                <w:noProof/>
              </w:rPr>
            </w:pPr>
            <w:r>
              <w:rPr>
                <w:noProof/>
              </w:rPr>
              <w:t>Applikazzjoni tal-indikaturi tas-sorveljanza tas-suq</w:t>
            </w:r>
          </w:p>
          <w:p>
            <w:pPr>
              <w:pStyle w:val="ListParagraph"/>
              <w:numPr>
                <w:ilvl w:val="0"/>
                <w:numId w:val="31"/>
              </w:numPr>
              <w:rPr>
                <w:noProof/>
              </w:rPr>
            </w:pPr>
            <w:r>
              <w:rPr>
                <w:noProof/>
              </w:rPr>
              <w:t>Tħejjija tal-kampanja ta’ sensibilizzazzjoni dwar ir-rikonoxximent reċiproku</w:t>
            </w:r>
          </w:p>
          <w:p>
            <w:pPr>
              <w:pStyle w:val="ListParagraph"/>
              <w:numPr>
                <w:ilvl w:val="0"/>
                <w:numId w:val="31"/>
              </w:numPr>
              <w:rPr>
                <w:noProof/>
              </w:rPr>
            </w:pPr>
            <w:r>
              <w:rPr>
                <w:noProof/>
              </w:rPr>
              <w:t>Elaborazzjoni tal-programm “ħarreġ lil min iħarreġ” għar-rikonoxximent reċiproku</w:t>
            </w:r>
          </w:p>
          <w:p>
            <w:pPr>
              <w:pStyle w:val="ListParagraph"/>
              <w:numPr>
                <w:ilvl w:val="0"/>
                <w:numId w:val="31"/>
              </w:numPr>
              <w:rPr>
                <w:noProof/>
              </w:rPr>
            </w:pPr>
            <w:r>
              <w:rPr>
                <w:noProof/>
              </w:rPr>
              <w:t>Approċċ kooperattiv għal setturi speċifiċi skont id-Direttiva dwar it-Trasparenza tas-Suq Uniku</w:t>
            </w:r>
          </w:p>
          <w:p>
            <w:pPr>
              <w:rPr>
                <w:i/>
                <w:noProof/>
                <w:szCs w:val="24"/>
              </w:rPr>
            </w:pPr>
            <w:r>
              <w:rPr>
                <w:i/>
                <w:noProof/>
                <w:szCs w:val="24"/>
              </w:rPr>
              <w:br/>
            </w:r>
            <w:r>
              <w:rPr>
                <w:i/>
                <w:noProof/>
              </w:rPr>
              <w:t>2019:</w:t>
            </w:r>
          </w:p>
          <w:p>
            <w:pPr>
              <w:pStyle w:val="ListParagraph"/>
              <w:numPr>
                <w:ilvl w:val="0"/>
                <w:numId w:val="32"/>
              </w:numPr>
              <w:rPr>
                <w:noProof/>
              </w:rPr>
            </w:pPr>
            <w:r>
              <w:rPr>
                <w:noProof/>
              </w:rPr>
              <w:t>Ġabra ta’ regoli dwar ir-rikonoxximent reċiproku</w:t>
            </w:r>
          </w:p>
          <w:p>
            <w:pPr>
              <w:pStyle w:val="ListParagraph"/>
              <w:numPr>
                <w:ilvl w:val="0"/>
                <w:numId w:val="32"/>
              </w:numPr>
              <w:rPr>
                <w:noProof/>
              </w:rPr>
            </w:pPr>
            <w:r>
              <w:rPr>
                <w:noProof/>
              </w:rPr>
              <w:t>Skambju ta’ uffiċjali</w:t>
            </w:r>
          </w:p>
          <w:p>
            <w:pPr>
              <w:pStyle w:val="ListParagraph"/>
              <w:numPr>
                <w:ilvl w:val="0"/>
                <w:numId w:val="32"/>
              </w:numPr>
              <w:rPr>
                <w:noProof/>
              </w:rPr>
            </w:pPr>
            <w:r>
              <w:rPr>
                <w:noProof/>
              </w:rPr>
              <w:t>Jiġi eżaminat l-iżvilupp ulterjuri tal-lista ta’ prodotti eżistenti għar-rikonoxximent reċiproku</w:t>
            </w:r>
          </w:p>
          <w:p>
            <w:pPr>
              <w:pStyle w:val="ListParagraph"/>
              <w:rPr>
                <w:noProof/>
              </w:rPr>
            </w:pPr>
          </w:p>
        </w:tc>
      </w:tr>
    </w:tbl>
    <w:p>
      <w:pPr>
        <w:pStyle w:val="Text1"/>
        <w:ind w:left="0"/>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377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10</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69306"/>
      <w:docPartObj>
        <w:docPartGallery w:val="Page Numbers (Bottom of Page)"/>
        <w:docPartUnique/>
      </w:docPartObj>
    </w:sdtPr>
    <w:sdtEndPr>
      <w:rPr>
        <w:noProof/>
      </w:rPr>
    </w:sdtEndPr>
    <w:sdtContent>
      <w:p>
        <w:pPr>
          <w:pStyle w:val="Footer"/>
          <w:spacing w:before="24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 xml:space="preserve"> </w:t>
      </w:r>
      <w:r>
        <w:tab/>
        <w:t>Sors Eurostat (Iċ-ċifri tal-2016 huma proviżorji). Dawn iċ-ċifri jinkludu l-industriji tal-manifattura, tal-estrazzjoni u tal-utilitajiet. Huma jeskludu s-servizzi għan-negozju u l-kostruzzjoni, li madankollu huma marbutin mill-qrib mal-industrija tal-UE, mhux l-anqas fl-isfond tar-rwol dejjem jikber tal-ktajjen tal-valur u tas-servitizzazzjoni.</w:t>
      </w:r>
    </w:p>
  </w:footnote>
  <w:footnote w:id="3">
    <w:p>
      <w:pPr>
        <w:pStyle w:val="FootnoteText"/>
        <w:spacing w:after="0"/>
      </w:pPr>
      <w:r>
        <w:rPr>
          <w:rStyle w:val="FootnoteReference"/>
        </w:rPr>
        <w:footnoteRef/>
      </w:r>
      <w:r>
        <w:t xml:space="preserve"> </w:t>
      </w:r>
      <w:r>
        <w:tab/>
        <w:t>COM (2015) 550 final, Naġġornaw is-Suq Uniku: opportunitajiet aktar għaċ-ċittadini u għan-negozji”, 28.10.2015.</w:t>
      </w:r>
    </w:p>
  </w:footnote>
  <w:footnote w:id="4">
    <w:p>
      <w:pPr>
        <w:pStyle w:val="FootnoteText"/>
        <w:spacing w:after="0"/>
      </w:pPr>
      <w:r>
        <w:rPr>
          <w:rStyle w:val="FootnoteReference"/>
        </w:rPr>
        <w:footnoteRef/>
      </w:r>
      <w:r>
        <w:t xml:space="preserve"> </w:t>
      </w:r>
      <w:r>
        <w:tab/>
        <w:t xml:space="preserve">Parlament Ewropew, Riżoluzzjoni dwar l-Istrateġija għal Suq Uniku, 26 ta’ Mejju 2016, P8_TA(2016)0237; Kunsill Ewropew, Konklużjonijiet, 15 ta’ Diċembru 2015. </w:t>
      </w:r>
    </w:p>
  </w:footnote>
  <w:footnote w:id="5">
    <w:p>
      <w:pPr>
        <w:pStyle w:val="FootnoteText"/>
        <w:spacing w:after="0"/>
      </w:pPr>
      <w:r>
        <w:rPr>
          <w:rStyle w:val="FootnoteReference"/>
        </w:rPr>
        <w:footnoteRef/>
      </w:r>
      <w:r>
        <w:t xml:space="preserve"> </w:t>
      </w:r>
      <w:r>
        <w:tab/>
        <w:t xml:space="preserve">Kunsill Ewropew, l-Aġenda tal-Mexxejja, </w:t>
      </w:r>
      <w:hyperlink r:id="rId1">
        <w:r>
          <w:rPr>
            <w:rStyle w:val="Hyperlink"/>
          </w:rPr>
          <w:t>http://www.consilium.europa.eu/media/21594/leaders-agenda.pdf</w:t>
        </w:r>
      </w:hyperlink>
      <w:r>
        <w:t>, Ottubru 2017.</w:t>
      </w:r>
    </w:p>
  </w:footnote>
  <w:footnote w:id="6">
    <w:p>
      <w:pPr>
        <w:pStyle w:val="FootnoteText"/>
        <w:spacing w:after="0"/>
      </w:pPr>
      <w:r>
        <w:rPr>
          <w:rStyle w:val="FootnoteReference"/>
        </w:rPr>
        <w:footnoteRef/>
      </w:r>
      <w:r>
        <w:t xml:space="preserve"> </w:t>
      </w:r>
      <w:r>
        <w:tab/>
        <w:t>Ara l-pakkett dwar il-Proprjetà Intellettwali adotta mill-Kummissjoni fid-29. 11. 2017 li jinkludi diversi miżuri u notevolment Komunikazzjoni dwar</w:t>
      </w:r>
      <w:r>
        <w:rPr>
          <w:color w:val="333333"/>
        </w:rPr>
        <w:t xml:space="preserve"> sistema ta’ infurzar tal-Proprjetà Intellettwali bilanċjata li twieġeb għall-isfidi soċjetali tal-lum (</w:t>
      </w:r>
      <w:r>
        <w:t>SWD(2017) 430 final).</w:t>
      </w:r>
    </w:p>
  </w:footnote>
  <w:footnote w:id="7">
    <w:p>
      <w:pPr>
        <w:pStyle w:val="FootnoteText"/>
        <w:spacing w:after="0"/>
      </w:pPr>
      <w:r>
        <w:rPr>
          <w:rStyle w:val="FootnoteReference"/>
        </w:rPr>
        <w:footnoteRef/>
      </w:r>
      <w:r>
        <w:t xml:space="preserve"> </w:t>
      </w:r>
      <w:r>
        <w:tab/>
        <w:t>Proposta għal Regolament tal-Parlament Ewropew u tal-Kunsill li jistabbilixxi regoli u proċeduri għall-konformità mal-leġiżlazzjoni tal-Unjoni dwar l-armonizzazzjoni fir-rigward tal-prodotti u l-infurzar tagħha u li jemenda r-Regolamenti (UE) Nru 305/2011, (UE) Nru 528/2012, (UE) Nru 2016/424, (UE) Nru 2016/425, (UE) Nru 2016/426 u (UE) Nru 2017/1369 tal-Parlament Ewropew u tal-Kunsill, u d-Direttivi 2004/42/KE, 2009/48/KE, 2010/35/UE, 2013/29/UE, 2013/53/UE, 2014/28/UE, 2014/29/UE, 2014/30/UE, 2014/31/UE, 2014/32/UE, 2014/33/UE, 2014/34/UE, 2014/35/UE, 2014/53/UE, 2014/68/UE u 2014/90/UE tal-Parlament Ewropew u tal-Kunsill. (COM(2017)795).</w:t>
      </w:r>
    </w:p>
  </w:footnote>
  <w:footnote w:id="8">
    <w:p>
      <w:pPr>
        <w:pStyle w:val="FootnoteText"/>
        <w:spacing w:after="0"/>
      </w:pPr>
      <w:r>
        <w:rPr>
          <w:rStyle w:val="FootnoteReference"/>
        </w:rPr>
        <w:footnoteRef/>
      </w:r>
      <w:r>
        <w:t xml:space="preserve"> </w:t>
      </w:r>
      <w:r>
        <w:tab/>
        <w:t>Regolament tal-Parlament Ewropew u tal-Kunsill fuq ir-rikonoxximent reċiproku tal-oġġetti kummerċjalizzati legalment fi Stat Membru ieħor (COM(2017)796).</w:t>
      </w:r>
    </w:p>
  </w:footnote>
  <w:footnote w:id="9">
    <w:p>
      <w:pPr>
        <w:pStyle w:val="FootnoteText"/>
        <w:spacing w:after="0"/>
      </w:pPr>
      <w:r>
        <w:rPr>
          <w:rStyle w:val="FootnoteReference"/>
        </w:rPr>
        <w:footnoteRef/>
      </w:r>
      <w:r>
        <w:t xml:space="preserve"> </w:t>
      </w:r>
      <w:r>
        <w:tab/>
        <w:t>Rapport mill-Kummissjoni lill-Parlament Ewropew, il-Kunsill u l-Kumitat Ekonomiku u Soċjali Ewropew dwar it-tħaddim tad-Direttiva (UE) 2015/1535 mill-2014 sal-2015 (COM(2017)788).</w:t>
      </w:r>
    </w:p>
  </w:footnote>
  <w:footnote w:id="10">
    <w:p>
      <w:pPr>
        <w:pStyle w:val="FootnoteText"/>
        <w:spacing w:after="0"/>
      </w:pPr>
      <w:r>
        <w:rPr>
          <w:rStyle w:val="FootnoteReference"/>
        </w:rPr>
        <w:footnoteRef/>
      </w:r>
      <w:r>
        <w:t xml:space="preserve">     </w:t>
      </w:r>
      <w:r>
        <w:tab/>
        <w:t>Rapport mill-Kummissjoni lill-Parlament Ewropew, il-Kunsill u l-Kumitat Ekonomiku u Soċjali Ewropew dwar l-implimentazzjoni tar-Regolament (KE) 765/2008 tal-Parlament Ewropew u tal-Kunsill tad-9 ta' Lulju 2008 li jistabbilixxi r-rekwiżiti għall-akkreditament u għas-sorveljanza tas-suq relatati mal-kummerċjalizzazzjoni ta' prodotti, u li jħassar ir-Regolament (KEE) Nru 339/93 (COM(2017)789).</w:t>
      </w:r>
    </w:p>
  </w:footnote>
  <w:footnote w:id="11">
    <w:p>
      <w:pPr>
        <w:pStyle w:val="FootnoteText"/>
        <w:spacing w:after="0"/>
      </w:pPr>
      <w:r>
        <w:rPr>
          <w:rStyle w:val="FootnoteReference"/>
        </w:rPr>
        <w:footnoteRef/>
      </w:r>
      <w:r>
        <w:t xml:space="preserve"> </w:t>
      </w:r>
      <w:r>
        <w:tab/>
        <w:t>Sors: RAPEX. Dan l-għadd ikopri biss prodotti li huma soġġetti għal-leġiżlazzjoni tal-UE dwar l-armonizzazzjoni.</w:t>
      </w:r>
    </w:p>
  </w:footnote>
  <w:footnote w:id="12">
    <w:p>
      <w:pPr>
        <w:pStyle w:val="FootnoteText"/>
        <w:spacing w:after="0"/>
      </w:pPr>
      <w:r>
        <w:rPr>
          <w:rStyle w:val="FootnoteReference"/>
        </w:rPr>
        <w:footnoteRef/>
      </w:r>
      <w:r>
        <w:t xml:space="preserve"> </w:t>
      </w:r>
      <w:r>
        <w:tab/>
        <w:t>COM(2017) 479 final, Ninvestu f’Industrija intelliġenti, innovattiva u sostenibbli: Strateġija mġedda għall-Politika Industrijali tal-UE.</w:t>
      </w:r>
    </w:p>
  </w:footnote>
  <w:footnote w:id="13">
    <w:p>
      <w:pPr>
        <w:pStyle w:val="FootnoteText"/>
        <w:spacing w:after="0"/>
      </w:pPr>
      <w:r>
        <w:rPr>
          <w:rStyle w:val="FootnoteReference"/>
        </w:rPr>
        <w:footnoteRef/>
      </w:r>
      <w:r>
        <w:t xml:space="preserve"> </w:t>
      </w:r>
      <w:r>
        <w:tab/>
        <w:t>COM(2015) 192 final, Strateġija għal Suq Uniku Diġitali għall-Ewropa.</w:t>
      </w:r>
    </w:p>
  </w:footnote>
  <w:footnote w:id="14">
    <w:p>
      <w:pPr>
        <w:pStyle w:val="FootnoteText"/>
        <w:spacing w:after="0"/>
      </w:pPr>
      <w:r>
        <w:rPr>
          <w:rStyle w:val="FootnoteReference"/>
        </w:rPr>
        <w:footnoteRef/>
      </w:r>
      <w:r>
        <w:t xml:space="preserve"> </w:t>
      </w:r>
      <w:r>
        <w:tab/>
        <w:t>https://ec.europa.eu/digital-single-market/en/news/digital-single-market-mid-term-review.</w:t>
      </w:r>
    </w:p>
  </w:footnote>
  <w:footnote w:id="15">
    <w:p>
      <w:pPr>
        <w:pStyle w:val="FootnoteText"/>
        <w:spacing w:after="0"/>
      </w:pPr>
      <w:r>
        <w:rPr>
          <w:rStyle w:val="FootnoteReference"/>
        </w:rPr>
        <w:footnoteRef/>
      </w:r>
      <w:r>
        <w:t xml:space="preserve"> </w:t>
      </w:r>
      <w:r>
        <w:tab/>
        <w:t>COM(2014) 527 final, l-Istrateġija u l-Pjan ta’ Azzjoni tal-UE għall-ġestjoni tar-riskju doganali: L-indirizzar ta’ riskji, it-tisħiħ tas-sigurtà tal-katina tal-provvista u l-iffaċilitar tal-kummerċ.</w:t>
      </w:r>
    </w:p>
  </w:footnote>
  <w:footnote w:id="16">
    <w:p>
      <w:pPr>
        <w:pStyle w:val="FootnoteText"/>
        <w:spacing w:after="0"/>
      </w:pPr>
      <w:r>
        <w:rPr>
          <w:rStyle w:val="FootnoteReference"/>
        </w:rPr>
        <w:footnoteRef/>
      </w:r>
      <w:r>
        <w:t xml:space="preserve">    Kummissjoni Ewropea, </w:t>
      </w:r>
      <w:r>
        <w:rPr>
          <w:i/>
        </w:rPr>
        <w:t>Dokument ta’ riflessjoni dwar il-ġestjoni tal-globalizzazzjoni</w:t>
      </w:r>
      <w:r>
        <w:t>, 10 ta’ Mejju 2017.</w:t>
      </w:r>
    </w:p>
  </w:footnote>
  <w:footnote w:id="17">
    <w:p>
      <w:pPr>
        <w:pStyle w:val="FootnoteText"/>
      </w:pPr>
      <w:r>
        <w:rPr>
          <w:rStyle w:val="FootnoteReference"/>
        </w:rPr>
        <w:footnoteRef/>
      </w:r>
      <w:r>
        <w:t xml:space="preserve"> </w:t>
      </w:r>
      <w:r>
        <w:tab/>
        <w:t>B’konformità mal-prinċipju tal-</w:t>
      </w:r>
      <w:r>
        <w:rPr>
          <w:i/>
        </w:rPr>
        <w:t>lex specialis</w:t>
      </w:r>
      <w:r>
        <w:t xml:space="preserve">, il-proposta għal-Regolament ta’ infurzar għandha tapplika biss u sa fejn ma jeżistu ebda dispożizzjonijiet speċifiċi bl-istess għan, natura jew effett f’regoli eżistenti jew futuri oħra ta’ leġiżlazzjoni tal-Unjoni dwar l-armonizzazzjoni. Dan huwa partikolarment rilevanti għal-leġiżlazzjoni tal-Unjoni li tkopri l-prekursuri tad-droga, apparat medikju, apparat mediku dijanjostiku </w:t>
      </w:r>
      <w:r>
        <w:rPr>
          <w:i/>
        </w:rPr>
        <w:t>in vitro</w:t>
      </w:r>
      <w:r>
        <w:t>; eċċ.</w:t>
      </w:r>
    </w:p>
  </w:footnote>
  <w:footnote w:id="18">
    <w:p>
      <w:pPr>
        <w:pStyle w:val="FootnoteText"/>
        <w:spacing w:after="0"/>
      </w:pPr>
      <w:r>
        <w:rPr>
          <w:rStyle w:val="FootnoteReference"/>
        </w:rPr>
        <w:footnoteRef/>
      </w:r>
      <w:r>
        <w:t xml:space="preserve"> </w:t>
      </w:r>
      <w:r>
        <w:tab/>
        <w:t>Prodott jista’ biss isir disponibbli fis-suq jekk il-persuna li hija responsabbli mill-informazzjoni ta’ konformità hija stabbilità fl-Unjoni u tista’ tkun interlokutur dirett għall-awtoritajiet tas-sorveljanza tas-suq. Din il-persuna tista’ tkun il-manifattur, l-importatur jew kwalunkwe operatur ekonomiku ieħor li jkun ingħata mandat mill-manifattur u għandha żżomm id-dokumentazzjoni teknika rilevanti meħtieġa, inkluża d-dikjarazzjoni ta’ konformità tal-UE, meta jkun applikabbli, tal-prodott u tikkondividiha mal-awtoritajiet tas-sorveljanza tas-suq meta tintalab.</w:t>
      </w:r>
    </w:p>
  </w:footnote>
  <w:footnote w:id="19">
    <w:p>
      <w:pPr>
        <w:pStyle w:val="FootnoteText"/>
        <w:spacing w:after="0"/>
      </w:pPr>
      <w:r>
        <w:rPr>
          <w:rStyle w:val="FootnoteReference"/>
        </w:rPr>
        <w:footnoteRef/>
      </w:r>
      <w:r>
        <w:t xml:space="preserve"> </w:t>
      </w:r>
      <w:r>
        <w:tab/>
        <w:t>Fil-kuntest ta’ ksur tad-drittijiet tal-proprjetà intellettwali, jintużaw Memoranda ta’ Qbil bejn is-sħab industrijali, ara l-Komunikazzjoni tal-Kummissjoni dwar</w:t>
      </w:r>
      <w:r>
        <w:rPr>
          <w:color w:val="333333"/>
        </w:rPr>
        <w:t xml:space="preserve"> sistema ta’ infurzar tal-Proprjetà Intellettwali bilanċjata li twieġeb għall-isfidi soċjetali tal-lum (</w:t>
      </w:r>
      <w:r>
        <w:t xml:space="preserve">SWD(2017) 430 final), p. 8-9. </w:t>
      </w:r>
    </w:p>
  </w:footnote>
  <w:footnote w:id="20">
    <w:p>
      <w:pPr>
        <w:pStyle w:val="FootnoteText"/>
        <w:spacing w:after="0"/>
      </w:pPr>
      <w:r>
        <w:rPr>
          <w:rStyle w:val="FootnoteReference"/>
        </w:rPr>
        <w:footnoteRef/>
      </w:r>
      <w:r>
        <w:t xml:space="preserve"> </w:t>
      </w:r>
      <w:r>
        <w:tab/>
        <w:t>https://ec.europa.eu/growth/single-market/goods/free-movement-sectors/mutual-recognition/contacts-list_fr.</w:t>
      </w:r>
    </w:p>
  </w:footnote>
  <w:footnote w:id="21">
    <w:p>
      <w:pPr>
        <w:pStyle w:val="FootnoteText"/>
        <w:spacing w:after="0"/>
      </w:pPr>
      <w:r>
        <w:rPr>
          <w:rStyle w:val="FootnoteReference"/>
        </w:rPr>
        <w:footnoteRef/>
      </w:r>
      <w:r>
        <w:t xml:space="preserve"> </w:t>
      </w:r>
      <w:r>
        <w:tab/>
        <w:t>SWD(2017)466 — Dokument ta’ ħidma tal-persunal tas-servizzi tal-Kummissjoni, Valutazzjoni tal-Impatt li takkumpanja d-dokument Proposta għal Regolament tal-Parlament Ewropew u tal-Kunsill li jistabbilixxi regoli u proċeduri għall-konformità mal-leġiżlazzjoni tal-Unjoni dwar l-armonizzazzjoni fir-rigward tal-prodotti u l-infurzar tagħha u li jemenda r-Regolamenti (UE) Nru 305/2011, (UE) 2016/424, (UE) 2016/425, (UE) 2016/426 u (UE) Nru 2017/1369 tal-Parlament Ewropew u tal-Kunsill, u d-Direttivi 2009/48/KE, 2010/35/UE, 2013/29/UE, 2013/53/UE, 2014/28/UE, 2014/29/UE, 2014/30/UE, 2014/31/UE, 2014/32/UE, 2014/33/UE, 2014/34/UE, 2014/35/UE, 2014/53/UE, 2014/68/UE u 2014/90/UE tal-Parlament Ewropew u tal-Kunsill.</w:t>
      </w:r>
    </w:p>
  </w:footnote>
  <w:footnote w:id="22">
    <w:p>
      <w:pPr>
        <w:pStyle w:val="FootnoteText"/>
        <w:spacing w:after="0"/>
      </w:pPr>
      <w:r>
        <w:rPr>
          <w:rStyle w:val="FootnoteReference"/>
        </w:rPr>
        <w:footnoteRef/>
      </w:r>
      <w:r>
        <w:t xml:space="preserve"> </w:t>
      </w:r>
      <w:r>
        <w:tab/>
        <w:t>Dawn l-interessi jinkludu pereżempju: il-moralità pubblika, l-ordni pubbliku jew is-sigurtà pubblika; il-protezzjoni tas-saħħa u l-ħajja ta’ bnedmin, annimali jew pjanti; il-protezzjoni tal-patrimonju nazzjonali ta’ valur artistiku, storiku jew arkeoloġiku; jew il-protezzjoni ta’ proprjetà industrijali u kummerċjali.</w:t>
      </w:r>
    </w:p>
  </w:footnote>
  <w:footnote w:id="23">
    <w:p>
      <w:pPr>
        <w:pStyle w:val="FootnoteText"/>
        <w:spacing w:after="0"/>
      </w:pPr>
      <w:r>
        <w:rPr>
          <w:rStyle w:val="FootnoteReference"/>
        </w:rPr>
        <w:footnoteRef/>
      </w:r>
      <w:r>
        <w:t xml:space="preserve">  </w:t>
      </w:r>
      <w:r>
        <w:tab/>
        <w:t xml:space="preserve">Ara wkoll: "The Cost of Non- Europe in the Single Market, 'Cecchini Revisited', An overview of the potential economic gains from further completion of the European Single Market," http://www.europarl.europa.eu/RegData/etudes/STUD/2014/510981 /EPRS STU(2014)510981 REVl_EN.pdf.  </w:t>
      </w:r>
    </w:p>
  </w:footnote>
  <w:footnote w:id="24">
    <w:p>
      <w:pPr>
        <w:pStyle w:val="FootnoteText"/>
        <w:spacing w:after="0"/>
      </w:pPr>
      <w:r>
        <w:rPr>
          <w:rStyle w:val="FootnoteReference"/>
        </w:rPr>
        <w:footnoteRef/>
      </w:r>
      <w:r>
        <w:t xml:space="preserve">  </w:t>
      </w:r>
      <w:r>
        <w:tab/>
        <w:t>Idem.</w:t>
      </w:r>
    </w:p>
  </w:footnote>
  <w:footnote w:id="25">
    <w:p>
      <w:pPr>
        <w:pStyle w:val="FootnoteText"/>
        <w:spacing w:after="0"/>
      </w:pPr>
      <w:r>
        <w:rPr>
          <w:rStyle w:val="FootnoteReference"/>
        </w:rPr>
        <w:footnoteRef/>
      </w:r>
      <w:r>
        <w:t xml:space="preserve">    L-Artikoli 34 u 36 tat-Trattat tal-KE.</w:t>
      </w:r>
    </w:p>
  </w:footnote>
  <w:footnote w:id="26">
    <w:p>
      <w:pPr>
        <w:pStyle w:val="FootnoteText"/>
        <w:spacing w:after="0"/>
      </w:pPr>
      <w:r>
        <w:rPr>
          <w:rStyle w:val="FootnoteReference"/>
        </w:rPr>
        <w:footnoteRef/>
      </w:r>
      <w:r>
        <w:t xml:space="preserve"> </w:t>
      </w:r>
      <w:r>
        <w:tab/>
        <w:t>Ir-Regolament (KE) Nru 764/2008 tal-Parlament Ewropew u tal-Kunsill tad-9 ta’ Lulju 2008 li jistabbilixxi l-proċeduri relatati mal-applikazzjoni ta’ ċerti regoli tekniċi nazzjonali għal prodotti legalment kummerċjalizzati fi Stat Membru ieħor u li jħassar id-Deċiżjoni Nru 3052/95/KE, ĠU L 218, 13.8.2008, p. 21.</w:t>
      </w:r>
    </w:p>
  </w:footnote>
  <w:footnote w:id="27">
    <w:p>
      <w:pPr>
        <w:pStyle w:val="FootnoteText"/>
        <w:spacing w:after="0"/>
        <w:rPr>
          <w:rStyle w:val="FootnoteReference"/>
        </w:rPr>
      </w:pPr>
      <w:r>
        <w:rPr>
          <w:rStyle w:val="FootnoteReference"/>
        </w:rPr>
        <w:footnoteRef/>
      </w:r>
      <w:r>
        <w:rPr>
          <w:rStyle w:val="FootnoteReference"/>
        </w:rPr>
        <w:t xml:space="preserve"> </w:t>
      </w:r>
      <w:r>
        <w:tab/>
        <w:t>“</w:t>
      </w:r>
      <w:r>
        <w:rPr>
          <w:rStyle w:val="FootnoteReference"/>
          <w:vertAlign w:val="baseline"/>
        </w:rPr>
        <w:t xml:space="preserve">Il-punti ta’ </w:t>
      </w:r>
      <w:r>
        <w:t>k</w:t>
      </w:r>
      <w:r>
        <w:rPr>
          <w:rStyle w:val="FootnoteReference"/>
          <w:vertAlign w:val="baseline"/>
        </w:rPr>
        <w:t>untatt għall-</w:t>
      </w:r>
      <w:r>
        <w:t>p</w:t>
      </w:r>
      <w:r>
        <w:rPr>
          <w:rStyle w:val="FootnoteReference"/>
          <w:vertAlign w:val="baseline"/>
        </w:rPr>
        <w:t xml:space="preserve">rodotti” huma l-interfaċċja bejn in-negozju u l-amministrazzjonijiet nazzjonali </w:t>
      </w:r>
      <w:r>
        <w:t xml:space="preserve">u </w:t>
      </w:r>
      <w:r>
        <w:rPr>
          <w:rStyle w:val="FootnoteReference"/>
          <w:vertAlign w:val="baseline"/>
        </w:rPr>
        <w:t xml:space="preserve">l-post sabiex wieħed isib informazzjoni dwar ir-regoli nazzjonali applikabbli kollha. </w:t>
      </w:r>
    </w:p>
  </w:footnote>
  <w:footnote w:id="28">
    <w:p>
      <w:pPr>
        <w:pStyle w:val="FootnoteText"/>
        <w:spacing w:after="0"/>
      </w:pPr>
      <w:r>
        <w:rPr>
          <w:rStyle w:val="FootnoteReference"/>
        </w:rPr>
        <w:footnoteRef/>
      </w:r>
      <w:r>
        <w:tab/>
      </w:r>
      <w:hyperlink r:id="rId2">
        <w:r>
          <w:rPr>
            <w:rStyle w:val="Hyperlink"/>
          </w:rPr>
          <w:t>http://ec.europa.eu/growth/single-market/goods/free-movement-sectors/mutual-recognition/products-list_en</w:t>
        </w:r>
      </w:hyperlink>
      <w:r>
        <w:t xml:space="preserve">. </w:t>
      </w:r>
    </w:p>
  </w:footnote>
  <w:footnote w:id="29">
    <w:p>
      <w:pPr>
        <w:spacing w:after="0"/>
        <w:ind w:left="357" w:hanging="357"/>
        <w:rPr>
          <w:i/>
          <w:sz w:val="20"/>
        </w:rPr>
      </w:pPr>
      <w:r>
        <w:rPr>
          <w:rStyle w:val="FootnoteReference"/>
          <w:sz w:val="20"/>
        </w:rPr>
        <w:footnoteRef/>
      </w:r>
      <w:r>
        <w:rPr>
          <w:rStyle w:val="FootnoteReference"/>
          <w:sz w:val="20"/>
        </w:rPr>
        <w:t xml:space="preserve"> </w:t>
      </w:r>
      <w:r>
        <w:tab/>
      </w:r>
      <w:r>
        <w:rPr>
          <w:sz w:val="20"/>
        </w:rPr>
        <w:t>Din ma tapplikax għal prodotti li joriġinaw minn Stati tal-EFTA u t-Turkija li ġew esklużi mill-ftehim ŻEE jew mill-unjoni doganali mat-Turkija (eż. ħut u prodotti tal-ħut).</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201743"/>
    <w:multiLevelType w:val="hybridMultilevel"/>
    <w:tmpl w:val="106A2184"/>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530A4"/>
    <w:multiLevelType w:val="multilevel"/>
    <w:tmpl w:val="F726392E"/>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BC186E2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3556"/>
        </w:tabs>
        <w:ind w:left="3556"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E44180"/>
    <w:multiLevelType w:val="multilevel"/>
    <w:tmpl w:val="0A887394"/>
    <w:lvl w:ilvl="0">
      <w:start w:val="1"/>
      <w:numFmt w:val="decimal"/>
      <w:lvlRestart w:val="0"/>
      <w:lvlText w:val="%1."/>
      <w:lvlJc w:val="left"/>
      <w:pPr>
        <w:tabs>
          <w:tab w:val="num" w:pos="850"/>
        </w:tabs>
        <w:ind w:left="850" w:hanging="850"/>
      </w:pPr>
      <w:rPr>
        <w:i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78351F"/>
    <w:multiLevelType w:val="hybridMultilevel"/>
    <w:tmpl w:val="4698BDB8"/>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F72E2E"/>
    <w:multiLevelType w:val="hybridMultilevel"/>
    <w:tmpl w:val="A0B865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D74D0F"/>
    <w:multiLevelType w:val="hybridMultilevel"/>
    <w:tmpl w:val="0B287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3E28334E"/>
    <w:multiLevelType w:val="hybridMultilevel"/>
    <w:tmpl w:val="6844566E"/>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B5A4B9D"/>
    <w:multiLevelType w:val="hybridMultilevel"/>
    <w:tmpl w:val="3B7EB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5F464186"/>
    <w:multiLevelType w:val="hybridMultilevel"/>
    <w:tmpl w:val="7E56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2A632C"/>
    <w:multiLevelType w:val="hybridMultilevel"/>
    <w:tmpl w:val="EEE4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nsid w:val="6A1B4EB0"/>
    <w:multiLevelType w:val="hybridMultilevel"/>
    <w:tmpl w:val="C59C792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0B4455"/>
    <w:multiLevelType w:val="hybridMultilevel"/>
    <w:tmpl w:val="52249FF6"/>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1">
    <w:nsid w:val="757D1A09"/>
    <w:multiLevelType w:val="hybridMultilevel"/>
    <w:tmpl w:val="F6663F6A"/>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2">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7"/>
  </w:num>
  <w:num w:numId="5">
    <w:abstractNumId w:val="8"/>
  </w:num>
  <w:num w:numId="6">
    <w:abstractNumId w:val="16"/>
  </w:num>
  <w:num w:numId="7">
    <w:abstractNumId w:val="26"/>
  </w:num>
  <w:num w:numId="8">
    <w:abstractNumId w:val="28"/>
  </w:num>
  <w:num w:numId="9">
    <w:abstractNumId w:val="13"/>
  </w:num>
  <w:num w:numId="10">
    <w:abstractNumId w:val="25"/>
  </w:num>
  <w:num w:numId="11">
    <w:abstractNumId w:val="22"/>
  </w:num>
  <w:num w:numId="12">
    <w:abstractNumId w:val="19"/>
  </w:num>
  <w:num w:numId="13">
    <w:abstractNumId w:val="20"/>
  </w:num>
  <w:num w:numId="14">
    <w:abstractNumId w:val="6"/>
  </w:num>
  <w:num w:numId="15">
    <w:abstractNumId w:val="14"/>
  </w:num>
  <w:num w:numId="16">
    <w:abstractNumId w:val="4"/>
  </w:num>
  <w:num w:numId="17">
    <w:abstractNumId w:val="10"/>
  </w:num>
  <w:num w:numId="18">
    <w:abstractNumId w:val="29"/>
  </w:num>
  <w:num w:numId="19">
    <w:abstractNumId w:val="12"/>
  </w:num>
  <w:num w:numId="20">
    <w:abstractNumId w:val="32"/>
  </w:num>
  <w:num w:numId="21">
    <w:abstractNumId w:val="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3"/>
  </w:num>
  <w:num w:numId="33">
    <w:abstractNumId w:val="2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9"/>
  </w:num>
  <w:num w:numId="41">
    <w:abstractNumId w:val="2"/>
  </w:num>
  <w:num w:numId="42">
    <w:abstractNumId w:val="30"/>
  </w:num>
  <w:num w:numId="43">
    <w:abstractNumId w:val="18"/>
  </w:num>
  <w:num w:numId="44">
    <w:abstractNumId w:val="27"/>
  </w:num>
  <w:num w:numId="45">
    <w:abstractNumId w:val="5"/>
  </w:num>
  <w:num w:numId="46">
    <w:abstractNumId w:val="27"/>
  </w:num>
  <w:num w:numId="47">
    <w:abstractNumId w:val="11"/>
  </w:num>
  <w:num w:numId="48">
    <w:abstractNumId w:val="5"/>
  </w:num>
  <w:num w:numId="49">
    <w:abstractNumId w:val="5"/>
  </w:num>
  <w:num w:numId="5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37421F3A-7768-4639-BDBC-4D28AC2BC686"/>
    <w:docVar w:name="LW_COVERPAGE_TYPE" w:val="1"/>
    <w:docVar w:name="LW_CROSSREFERENCE" w:val="&lt;UNUSED&gt;"/>
    <w:docVar w:name="LW_DocType" w:val="REP"/>
    <w:docVar w:name="LW_EMISSION" w:val="19.12.2017"/>
    <w:docVar w:name="LW_EMISSION_ISODATE" w:val="2017-12-19"/>
    <w:docVar w:name="LW_EMISSION_LOCATION" w:val="BRX"/>
    <w:docVar w:name="LW_EMISSION_PREFIX" w:val="Brussell, "/>
    <w:docVar w:name="LW_EMISSION_SUFFIX" w:val="&lt;EMPTY&gt;"/>
    <w:docVar w:name="LW_ID_DOCTYPE_NONLW" w:val="CP-013"/>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17) 7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Font=Times New Roman ,Highlight=0&gt;Il-pakkett dwar il-prodotti: Insa\u295?\u295?u l-fidu\u267?ja fis-Suq Uniku&lt;/FMT&gt;_x000b_"/>
    <w:docVar w:name="LW_TYPE.DOC.CP" w:val="KOMUNIKAZZJONI TAL-KUMMISSJONI LILL-PARLAMENT EWROPEW, LILL-KUNSILL U LILL-KUMITAT EKONOMIKU U SO\u266?JALI EWROPEW"/>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t-MT" w:eastAsia="mt-MT" w:bidi="mt-M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qFormat="1"/>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aliases w:val="M Caption,Char Char Char,Caption1 Char Char Char Char Char Char Char Char Tegn Tegn Tegn Tegn Tegn,Caption1 Char Char Char Char Char Char Char Char Tegn Tegn Tegn,Caption1 Char Char Char Char Char Char Char Char Tegn Tegn,Ch,Inscription,C,label"/>
    <w:basedOn w:val="Normal"/>
    <w:next w:val="Normal"/>
    <w:link w:val="CaptionChar"/>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eastAsiaTheme="minorHAnsi"/>
      <w:sz w:val="24"/>
      <w:szCs w:val="22"/>
      <w:lang w:eastAsia="mt-MT"/>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mt-M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Manu">
    <w:name w:val="Manu"/>
    <w:basedOn w:val="ListNumber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mt-MT"/>
    </w:rPr>
  </w:style>
  <w:style w:type="paragraph" w:customStyle="1" w:styleId="Ann">
    <w:name w:val="Ann"/>
    <w:basedOn w:val="Text1"/>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R,F"/>
    <w:basedOn w:val="DefaultParagraphFont"/>
    <w:link w:val="FootnotesymbolCarZchn"/>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mt-MT"/>
    </w:rPr>
  </w:style>
  <w:style w:type="character" w:customStyle="1" w:styleId="CommentSubjectChar">
    <w:name w:val="Comment Subject Char"/>
    <w:basedOn w:val="CommentTextChar"/>
    <w:link w:val="CommentSubject"/>
    <w:uiPriority w:val="99"/>
    <w:semiHidden/>
    <w:rPr>
      <w:b/>
      <w:bCs/>
      <w:lang w:eastAsia="mt-MT"/>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rPr>
      <w:lang w:eastAsia="mt-MT"/>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ListParagraph">
    <w:name w:val="List Paragraph"/>
    <w:basedOn w:val="Normal"/>
    <w:uiPriority w:val="34"/>
    <w:qFormat/>
    <w:pPr>
      <w:spacing w:after="0"/>
      <w:ind w:left="720"/>
      <w:jc w:val="left"/>
    </w:pPr>
    <w:rPr>
      <w:rFonts w:eastAsiaTheme="minorHAnsi"/>
      <w:szCs w:val="24"/>
    </w:rPr>
  </w:style>
  <w:style w:type="character" w:customStyle="1" w:styleId="Heading2Char">
    <w:name w:val="Heading 2 Char"/>
    <w:basedOn w:val="DefaultParagraphFont"/>
    <w:link w:val="Heading2"/>
    <w:rPr>
      <w:b/>
      <w:sz w:val="24"/>
      <w:lang w:eastAsia="mt-M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rPr>
      <w:sz w:val="24"/>
      <w:lang w:eastAsia="mt-MT"/>
    </w:rPr>
  </w:style>
  <w:style w:type="character" w:customStyle="1" w:styleId="CaptionChar">
    <w:name w:val="Caption Char"/>
    <w:aliases w:val="M Caption Char,Char Char Char Char,Caption1 Char Char Char Char Char Char Char Char Tegn Tegn Tegn Tegn Tegn Char,Caption1 Char Char Char Char Char Char Char Char Tegn Tegn Tegn Char,Ch Char,Inscription Char,C Char,label Char"/>
    <w:basedOn w:val="DefaultParagraphFont"/>
    <w:link w:val="Caption"/>
    <w:rPr>
      <w:b/>
      <w:sz w:val="24"/>
      <w:lang w:eastAsia="mt-MT"/>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Cs/>
      <w:color w:val="595959" w:themeColor="text1" w:themeTint="A6"/>
      <w:sz w:val="18"/>
    </w:rPr>
  </w:style>
  <w:style w:type="paragraph" w:styleId="Revision">
    <w:name w:val="Revision"/>
    <w:hidden/>
    <w:uiPriority w:val="99"/>
    <w:semiHidden/>
    <w:rPr>
      <w:sz w:val="24"/>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t-MT" w:eastAsia="mt-MT" w:bidi="mt-M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qFormat="1"/>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aliases w:val="M Caption,Char Char Char,Caption1 Char Char Char Char Char Char Char Char Tegn Tegn Tegn Tegn Tegn,Caption1 Char Char Char Char Char Char Char Char Tegn Tegn Tegn,Caption1 Char Char Char Char Char Char Char Char Tegn Tegn,Ch,Inscription,C,label"/>
    <w:basedOn w:val="Normal"/>
    <w:next w:val="Normal"/>
    <w:link w:val="CaptionChar"/>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eastAsiaTheme="minorHAnsi"/>
      <w:sz w:val="24"/>
      <w:szCs w:val="22"/>
      <w:lang w:eastAsia="mt-MT"/>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mt-M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Manu">
    <w:name w:val="Manu"/>
    <w:basedOn w:val="ListNumber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mt-MT"/>
    </w:rPr>
  </w:style>
  <w:style w:type="paragraph" w:customStyle="1" w:styleId="Ann">
    <w:name w:val="Ann"/>
    <w:basedOn w:val="Text1"/>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R,F"/>
    <w:basedOn w:val="DefaultParagraphFont"/>
    <w:link w:val="FootnotesymbolCarZchn"/>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mt-MT"/>
    </w:rPr>
  </w:style>
  <w:style w:type="character" w:customStyle="1" w:styleId="CommentSubjectChar">
    <w:name w:val="Comment Subject Char"/>
    <w:basedOn w:val="CommentTextChar"/>
    <w:link w:val="CommentSubject"/>
    <w:uiPriority w:val="99"/>
    <w:semiHidden/>
    <w:rPr>
      <w:b/>
      <w:bCs/>
      <w:lang w:eastAsia="mt-MT"/>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rPr>
      <w:lang w:eastAsia="mt-MT"/>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ListParagraph">
    <w:name w:val="List Paragraph"/>
    <w:basedOn w:val="Normal"/>
    <w:uiPriority w:val="34"/>
    <w:qFormat/>
    <w:pPr>
      <w:spacing w:after="0"/>
      <w:ind w:left="720"/>
      <w:jc w:val="left"/>
    </w:pPr>
    <w:rPr>
      <w:rFonts w:eastAsiaTheme="minorHAnsi"/>
      <w:szCs w:val="24"/>
    </w:rPr>
  </w:style>
  <w:style w:type="character" w:customStyle="1" w:styleId="Heading2Char">
    <w:name w:val="Heading 2 Char"/>
    <w:basedOn w:val="DefaultParagraphFont"/>
    <w:link w:val="Heading2"/>
    <w:rPr>
      <w:b/>
      <w:sz w:val="24"/>
      <w:lang w:eastAsia="mt-M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rPr>
      <w:sz w:val="24"/>
      <w:lang w:eastAsia="mt-MT"/>
    </w:rPr>
  </w:style>
  <w:style w:type="character" w:customStyle="1" w:styleId="CaptionChar">
    <w:name w:val="Caption Char"/>
    <w:aliases w:val="M Caption Char,Char Char Char Char,Caption1 Char Char Char Char Char Char Char Char Tegn Tegn Tegn Tegn Tegn Char,Caption1 Char Char Char Char Char Char Char Char Tegn Tegn Tegn Char,Ch Char,Inscription Char,C Char,label Char"/>
    <w:basedOn w:val="DefaultParagraphFont"/>
    <w:link w:val="Caption"/>
    <w:rPr>
      <w:b/>
      <w:sz w:val="24"/>
      <w:lang w:eastAsia="mt-MT"/>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Cs/>
      <w:color w:val="595959" w:themeColor="text1" w:themeTint="A6"/>
      <w:sz w:val="18"/>
    </w:rPr>
  </w:style>
  <w:style w:type="paragraph" w:styleId="Revision">
    <w:name w:val="Revision"/>
    <w:hidden/>
    <w:uiPriority w:val="99"/>
    <w:semiHidden/>
    <w:rPr>
      <w:sz w:val="24"/>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3595">
      <w:bodyDiv w:val="1"/>
      <w:marLeft w:val="0"/>
      <w:marRight w:val="0"/>
      <w:marTop w:val="0"/>
      <w:marBottom w:val="0"/>
      <w:divBdr>
        <w:top w:val="none" w:sz="0" w:space="0" w:color="auto"/>
        <w:left w:val="none" w:sz="0" w:space="0" w:color="auto"/>
        <w:bottom w:val="none" w:sz="0" w:space="0" w:color="auto"/>
        <w:right w:val="none" w:sz="0" w:space="0" w:color="auto"/>
      </w:divBdr>
    </w:div>
    <w:div w:id="342634975">
      <w:bodyDiv w:val="1"/>
      <w:marLeft w:val="0"/>
      <w:marRight w:val="0"/>
      <w:marTop w:val="0"/>
      <w:marBottom w:val="0"/>
      <w:divBdr>
        <w:top w:val="none" w:sz="0" w:space="0" w:color="auto"/>
        <w:left w:val="none" w:sz="0" w:space="0" w:color="auto"/>
        <w:bottom w:val="none" w:sz="0" w:space="0" w:color="auto"/>
        <w:right w:val="none" w:sz="0" w:space="0" w:color="auto"/>
      </w:divBdr>
    </w:div>
    <w:div w:id="373701993">
      <w:bodyDiv w:val="1"/>
      <w:marLeft w:val="0"/>
      <w:marRight w:val="0"/>
      <w:marTop w:val="0"/>
      <w:marBottom w:val="0"/>
      <w:divBdr>
        <w:top w:val="none" w:sz="0" w:space="0" w:color="auto"/>
        <w:left w:val="none" w:sz="0" w:space="0" w:color="auto"/>
        <w:bottom w:val="none" w:sz="0" w:space="0" w:color="auto"/>
        <w:right w:val="none" w:sz="0" w:space="0" w:color="auto"/>
      </w:divBdr>
    </w:div>
    <w:div w:id="634913740">
      <w:bodyDiv w:val="1"/>
      <w:marLeft w:val="0"/>
      <w:marRight w:val="0"/>
      <w:marTop w:val="0"/>
      <w:marBottom w:val="0"/>
      <w:divBdr>
        <w:top w:val="none" w:sz="0" w:space="0" w:color="auto"/>
        <w:left w:val="none" w:sz="0" w:space="0" w:color="auto"/>
        <w:bottom w:val="none" w:sz="0" w:space="0" w:color="auto"/>
        <w:right w:val="none" w:sz="0" w:space="0" w:color="auto"/>
      </w:divBdr>
    </w:div>
    <w:div w:id="1244992908">
      <w:bodyDiv w:val="1"/>
      <w:marLeft w:val="0"/>
      <w:marRight w:val="0"/>
      <w:marTop w:val="0"/>
      <w:marBottom w:val="0"/>
      <w:divBdr>
        <w:top w:val="none" w:sz="0" w:space="0" w:color="auto"/>
        <w:left w:val="none" w:sz="0" w:space="0" w:color="auto"/>
        <w:bottom w:val="none" w:sz="0" w:space="0" w:color="auto"/>
        <w:right w:val="none" w:sz="0" w:space="0" w:color="auto"/>
      </w:divBdr>
    </w:div>
    <w:div w:id="1284265687">
      <w:bodyDiv w:val="1"/>
      <w:marLeft w:val="0"/>
      <w:marRight w:val="0"/>
      <w:marTop w:val="0"/>
      <w:marBottom w:val="0"/>
      <w:divBdr>
        <w:top w:val="none" w:sz="0" w:space="0" w:color="auto"/>
        <w:left w:val="none" w:sz="0" w:space="0" w:color="auto"/>
        <w:bottom w:val="none" w:sz="0" w:space="0" w:color="auto"/>
        <w:right w:val="none" w:sz="0" w:space="0" w:color="auto"/>
      </w:divBdr>
    </w:div>
    <w:div w:id="1298757890">
      <w:bodyDiv w:val="1"/>
      <w:marLeft w:val="0"/>
      <w:marRight w:val="0"/>
      <w:marTop w:val="0"/>
      <w:marBottom w:val="0"/>
      <w:divBdr>
        <w:top w:val="none" w:sz="0" w:space="0" w:color="auto"/>
        <w:left w:val="none" w:sz="0" w:space="0" w:color="auto"/>
        <w:bottom w:val="none" w:sz="0" w:space="0" w:color="auto"/>
        <w:right w:val="none" w:sz="0" w:space="0" w:color="auto"/>
      </w:divBdr>
    </w:div>
    <w:div w:id="178634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growth/single-market/goods/free-movement-sectors/mutual-recognition/products-list_mt" TargetMode="External"/><Relationship Id="rId1" Type="http://schemas.openxmlformats.org/officeDocument/2006/relationships/hyperlink" Target="http://www.consilium.europa.eu/media/21594/leaders-age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0E7C-370D-4817-B1FE-F9A4DE54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3389</Words>
  <Characters>24375</Characters>
  <Application>Microsoft Office Word</Application>
  <DocSecurity>0</DocSecurity>
  <PresentationFormat>Microsoft Word 14.0</PresentationFormat>
  <Lines>353</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2017-12-15T16:01:00Z</dcterms:created>
  <dcterms:modified xsi:type="dcterms:W3CDTF">2018-01-03T13:03:00Z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