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B83F6EE-AC6A-4B1A-9E5C-19D157F4086E" style="width:450.8pt;height:307.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En stärkt inre marknad för varor</w:t>
      </w:r>
    </w:p>
    <w:p>
      <w:pPr>
        <w:pStyle w:val="Text1"/>
        <w:rPr>
          <w:noProof/>
        </w:rPr>
      </w:pPr>
      <w:r>
        <w:rPr>
          <w:noProof/>
        </w:rPr>
        <w:t>Den inre marknaden för varor är en av Europeiska unionens största framgångar. Den firar 25-årsdag 2018. Den bygger på förtroende mellan konsumenter, företag och myndigheter. Konsumenterna måste kunna känna förtroende för att de varor de köper och använder är säkra. Företagen måste kunna känna förtroende för att det råder lika spelregler som gäller för alla och skyddar alla lika. Särskilt bör de små och medelstora företagen slippa byråkrati för att främja entreprenörskap och jobbskapande. Förtroendet har möjliggjort en rekordstor integration av marknaderna i EU, och har varit och fortsätter att vara en av hörnstenarna för den ekonomiska tillväxten. Enbart industrins förädlingsvärde har ökat med 25 % i EU-27 (23 % i EU-28) i reala tal sedan 2009. Dess andel av ekonomin har således ökat betydligt sedan 2009 från 15,5 % (14,7 % i EU-28) till 17,1 % (16,1 % i EU-28) i dag</w:t>
      </w:r>
      <w:r>
        <w:rPr>
          <w:rStyle w:val="FootnoteReference"/>
          <w:noProof/>
        </w:rPr>
        <w:footnoteReference w:id="2"/>
      </w:r>
      <w:r>
        <w:rPr>
          <w:noProof/>
        </w:rPr>
        <w:t>.</w:t>
      </w:r>
    </w:p>
    <w:p>
      <w:pPr>
        <w:pStyle w:val="Text1"/>
        <w:rPr>
          <w:noProof/>
        </w:rPr>
      </w:pPr>
      <w:r>
        <w:rPr>
          <w:noProof/>
        </w:rPr>
        <w:t>Men som sägs i strategin för den inre marknaden</w:t>
      </w:r>
      <w:r>
        <w:rPr>
          <w:rStyle w:val="FootnoteReference"/>
          <w:noProof/>
        </w:rPr>
        <w:footnoteReference w:id="3"/>
      </w:r>
      <w:r>
        <w:rPr>
          <w:noProof/>
        </w:rPr>
        <w:t xml:space="preserve"> måste EU och den inre marknaden anpassa sig till en föränderlig verklighet. Hinder på varu- och tjänstemarknaderna bromsar den europeiska ekonomins effektivitet, produktivitet och konkurrenskraft. Företagen känner sig ofta kvävda av föråldrade och alltför betungande bestämmelser och de har svårt att hitta den information de behöver. Bristande efterlevnad av EU:s regler för varor hindrar dessutom lika spelregler. </w:t>
      </w:r>
    </w:p>
    <w:p>
      <w:pPr>
        <w:pStyle w:val="Text1"/>
        <w:rPr>
          <w:noProof/>
        </w:rPr>
      </w:pPr>
      <w:r>
        <w:rPr>
          <w:noProof/>
        </w:rPr>
        <w:t>Både Europaparlamentet och rådet har ställt sig bakom syftet med strategin för den inre marknaden och har uppmanat kommissionen att undanröja återstående hinder och underlätta lösningar</w:t>
      </w:r>
      <w:r>
        <w:rPr>
          <w:rStyle w:val="FootnoteReference"/>
          <w:noProof/>
        </w:rPr>
        <w:footnoteReference w:id="4"/>
      </w:r>
      <w:r>
        <w:rPr>
          <w:noProof/>
        </w:rPr>
        <w:t>. Enligt ledaragendan ska Europeiska rådet i mars 2018</w:t>
      </w:r>
      <w:r>
        <w:rPr>
          <w:rStyle w:val="FootnoteReference"/>
          <w:noProof/>
        </w:rPr>
        <w:footnoteReference w:id="5"/>
      </w:r>
      <w:r>
        <w:rPr>
          <w:noProof/>
        </w:rPr>
        <w:t xml:space="preserve"> se över framstegen med strategierna för den inre marknaden och tidsfristerna i dem.</w:t>
      </w:r>
    </w:p>
    <w:p>
      <w:pPr>
        <w:pStyle w:val="Text1"/>
        <w:rPr>
          <w:noProof/>
        </w:rPr>
      </w:pPr>
      <w:r>
        <w:rPr>
          <w:noProof/>
        </w:rPr>
        <w:t xml:space="preserve">På den inre marknaden för varor behöver framför allt två kvarstående strukturella svagheter åtgärdas snabbt för att den ska kunna uppnå sin fulla potential och skapa förtroende. Potentialen finns, konsumenter, företag och myndigheter är redo. Vi behöver bara skapa förutsättningarna för att det ska fungera. </w:t>
      </w:r>
    </w:p>
    <w:p>
      <w:pPr>
        <w:pStyle w:val="Text1"/>
        <w:rPr>
          <w:noProof/>
        </w:rPr>
      </w:pPr>
      <w:r>
        <w:rPr>
          <w:noProof/>
        </w:rPr>
        <w:t>Den inre varumarknadens första strukturella svaghet är genomdrivandet av EU:s harmoniserade produktsäkerhetsregler. Trots omfattande säkerhetsregler finns det fortfarande alltför många farliga och olagliga varor på marknaden. De varorna medför stora risker för konsumenterna. De får inte valuta för pengarna och kan riskera sin hälsa. Bristande genomdrivande av EU:s produktsäkerhetstregler får inte leda till en orättvis fördel för dem som avsiktligt försöker kringgå de väsentliga säkerhetsreglerna. Kommissionen har nyligen antagit åtgärder för att förbättra bekämpningen av intrång i immateriella rättigheter</w:t>
      </w:r>
      <w:r>
        <w:rPr>
          <w:rStyle w:val="FootnoteReference"/>
          <w:noProof/>
        </w:rPr>
        <w:footnoteReference w:id="6"/>
      </w:r>
      <w:r>
        <w:rPr>
          <w:noProof/>
        </w:rPr>
        <w:t xml:space="preserve">. Men det är dags att göra mer för att säkerställa överensstämmelsen. På en marknad av den inre marknadens storlek behöver medlemsstaternas myndigheter samarbeta smidigt med varandra för att effektivt och snabbt avlägsna osäkra produkter från marknaden. </w:t>
      </w:r>
    </w:p>
    <w:p>
      <w:pPr>
        <w:pStyle w:val="Text1"/>
        <w:rPr>
          <w:noProof/>
        </w:rPr>
      </w:pPr>
      <w:r>
        <w:rPr>
          <w:noProof/>
        </w:rPr>
        <w:t>Den andra strukturella svagheten är produkter som helt eller delvis inte täcks av EU:s harmoniserade säkerhetsregler, till exempel möbler, bestick och vissa byggprodukter. Sådana produkter kan anses vara säkra och förenliga med allmänintresset i ett EU-land men ha svårt att få tillträde till marknaden i ett annat.  Det kan finnas legitima skillnader till följd av nationella särdrag. Emellertid bör avslag motiveras och förklaras med hänvisning till allmänintresset. Man bör erbjuda stöd för att bättre förstå och till sist övervinna hinder för marknadstillträde för dessa produkter. Affärsmöjligheterna behöver förbättras, vilket är särskilt relevant för små och medelstora företag.</w:t>
      </w:r>
    </w:p>
    <w:p>
      <w:pPr>
        <w:pStyle w:val="Text1"/>
        <w:rPr>
          <w:noProof/>
        </w:rPr>
      </w:pPr>
      <w:r>
        <w:rPr>
          <w:noProof/>
        </w:rPr>
        <w:t>Därför föreslår kommissionen i dag ett varupaketet för att ta ett helhetsgrepp på dessa svagheter och ordna en bättre fungerande inre marknad för varor. Det innehåller två långtgående lagstiftningsförslag. Det första går ut på bättre överensstämmelse med och genomdrivande av EU:s produktregler</w:t>
      </w:r>
      <w:r>
        <w:rPr>
          <w:noProof/>
          <w:vertAlign w:val="superscript"/>
        </w:rPr>
        <w:footnoteReference w:id="7"/>
      </w:r>
      <w:r>
        <w:rPr>
          <w:noProof/>
        </w:rPr>
        <w:t>. Det andra syftar till en modernare och enklare tillämpning av ömsesidigt erkännande på den inre marknaden</w:t>
      </w:r>
      <w:r>
        <w:rPr>
          <w:noProof/>
          <w:vertAlign w:val="superscript"/>
        </w:rPr>
        <w:footnoteReference w:id="8"/>
      </w:r>
      <w:r>
        <w:rPr>
          <w:noProof/>
        </w:rPr>
        <w:t>. Varupaketet kompletteras av en rapport om tillämpningen av direktiv (EU) 2015/1535 om ett informationsförfarande beträffande tekniska föreskrifter och beträffande föreskrifter för informationssamhällets tjänster under 2014 och 2015</w:t>
      </w:r>
      <w:r>
        <w:rPr>
          <w:noProof/>
          <w:vertAlign w:val="superscript"/>
        </w:rPr>
        <w:footnoteReference w:id="9"/>
      </w:r>
      <w:r>
        <w:rPr>
          <w:noProof/>
        </w:rPr>
        <w:t>, en rapport om tillämpningen av förordning (EG) nr 765/2008</w:t>
      </w:r>
      <w:r>
        <w:rPr>
          <w:noProof/>
          <w:vertAlign w:val="superscript"/>
        </w:rPr>
        <w:footnoteReference w:id="10"/>
      </w:r>
      <w:r>
        <w:rPr>
          <w:noProof/>
        </w:rPr>
        <w:t xml:space="preserve"> samt mjuk lagstiftning enligt detta meddelande med målet att bygga upp förtroendet för den inre marknaden.</w:t>
      </w:r>
    </w:p>
    <w:p>
      <w:pPr>
        <w:pStyle w:val="Heading1"/>
        <w:rPr>
          <w:noProof/>
        </w:rPr>
      </w:pPr>
      <w:r>
        <w:rPr>
          <w:noProof/>
        </w:rPr>
        <w:t>Förtroende för genomdrivningen av EU:s produktregler</w:t>
      </w:r>
    </w:p>
    <w:p>
      <w:pPr>
        <w:pStyle w:val="Text1"/>
        <w:rPr>
          <w:noProof/>
        </w:rPr>
      </w:pPr>
      <w:r>
        <w:rPr>
          <w:noProof/>
        </w:rPr>
        <w:t>Konsument- och miljöskyddet utgör hörnstenarna för den inre marknaden för varor. I hela EU har vi enats om gemensamma säkerhets- och miljöregler för att skydda oss mot säkerhetsrisker, föroreningar och miljöskador. Trots det blev många konsumenter medvetet och avsiktligt vilseledda när de köpte dieselbilar. Tyvärr är bilar inte den enda produkt som har drabbats av illojal konkurrens genom att reglerna kringgåtts. Stora mängder farliga produkter säljs i Europa varje dag. Det är fråga om allt från felmärkta produkter till produkter som innebär allvarliga risker för hälsa eller miljö.</w:t>
      </w:r>
      <w:r>
        <w:rPr>
          <w:rStyle w:val="FootnoteReference"/>
          <w:noProof/>
        </w:rPr>
        <w:t xml:space="preserve"> </w:t>
      </w:r>
      <w:r>
        <w:rPr>
          <w:noProof/>
        </w:rPr>
        <w:t>Mellan 2011 och 2017 skedde omkring 2 500 incidenter där olagliga produkter fick dras tillbaka från marknaden</w:t>
      </w:r>
      <w:r>
        <w:rPr>
          <w:rStyle w:val="FootnoteReference"/>
          <w:noProof/>
        </w:rPr>
        <w:footnoteReference w:id="11"/>
      </w:r>
      <w:r>
        <w:rPr>
          <w:noProof/>
        </w:rPr>
        <w:t>. Och detta är antagligen bara toppen på isberget.</w:t>
      </w:r>
    </w:p>
    <w:p>
      <w:pPr>
        <w:pStyle w:val="Text1"/>
        <w:rPr>
          <w:noProof/>
        </w:rPr>
      </w:pPr>
      <w:r>
        <w:rPr>
          <w:noProof/>
        </w:rPr>
        <w:t>EU:s produktregler täcker en stor del av alla tillverkade produkter i EU. De är värda 2 400 miljarder euro och tillverkas eller distribueras av cirka 5 miljoner företag. EU:s bestämmelser låter produkter röra sig fritt i hela unionen, och säkerställer samtidigt en hög skyddsnivå för miljö, folkhälsan och säkerheten. För många sektorer, som leksaker och elektrisk utrustning, har EU enkla, obyråkratiska sätt att tillåta marknadstillträde. Lika konkurrensvillkor för företagen, med tydliga regler och ett starkt konsumentskydd, behövs för att den inre marknaden ska fungera.</w:t>
      </w:r>
      <w:r>
        <w:rPr>
          <w:rStyle w:val="FootnoteReference"/>
          <w:noProof/>
        </w:rPr>
        <w:t xml:space="preserve"> </w:t>
      </w:r>
      <w:r>
        <w:rPr>
          <w:noProof/>
        </w:rPr>
        <w:t>Förtroende och lika villkor har redan uppnåtts i andra sektorer som livsmedel, växthälsa och djurskydd, på grundval av stränga regler som man enats om på EU-nivå.</w:t>
      </w:r>
    </w:p>
    <w:p>
      <w:pPr>
        <w:pStyle w:val="Text1"/>
        <w:rPr>
          <w:noProof/>
        </w:rPr>
      </w:pPr>
      <w:r>
        <w:rPr>
          <w:noProof/>
        </w:rPr>
        <w:t>Vi lever också i en värld som i allt högre grad påverkas av samhällsförändringar som globalisering och digitalisering. Produkterna och distributionskedjorna i EU är allt mer sammankopplade med varandra. Däremot saknar de nationella marknadskontrollmyndigheterna resurser och är begränsade till sitt nationella territorium. Vi behöver ett EU-perspektiv på efterlevnaden av reglerna. Alltför ofta slutar utredningar som inleds i ett EU-land vid nationsgränserna. För att råda bot på det måste marknadskontrollen vara enhetlig, oavsett om produkten är tillverkad i eller utanför EU, och oavsett om den är köpt på nätet eller i butik.</w:t>
      </w:r>
    </w:p>
    <w:p>
      <w:pPr>
        <w:pStyle w:val="Text1"/>
        <w:rPr>
          <w:noProof/>
        </w:rPr>
      </w:pPr>
      <w:r>
        <w:rPr>
          <w:noProof/>
        </w:rPr>
        <w:t>I överensstämmelse med andra EU-initiativ som den industripolitiska strategin</w:t>
      </w:r>
      <w:r>
        <w:rPr>
          <w:rStyle w:val="FootnoteReference"/>
          <w:noProof/>
        </w:rPr>
        <w:footnoteReference w:id="12"/>
      </w:r>
      <w:r>
        <w:rPr>
          <w:noProof/>
        </w:rPr>
        <w:t>, strategin för den digitala inre marknaden</w:t>
      </w:r>
      <w:r>
        <w:rPr>
          <w:rStyle w:val="FootnoteReference"/>
          <w:noProof/>
        </w:rPr>
        <w:footnoteReference w:id="13"/>
      </w:r>
      <w:r>
        <w:rPr>
          <w:noProof/>
        </w:rPr>
        <w:t xml:space="preserve"> och halvtidsöversynen av den</w:t>
      </w:r>
      <w:r>
        <w:rPr>
          <w:rStyle w:val="FootnoteReference"/>
          <w:noProof/>
        </w:rPr>
        <w:footnoteReference w:id="14"/>
      </w:r>
      <w:r>
        <w:rPr>
          <w:noProof/>
        </w:rPr>
        <w:t xml:space="preserve"> samt handlingsplanen på tullområdet</w:t>
      </w:r>
      <w:r>
        <w:rPr>
          <w:rStyle w:val="FootnoteReference"/>
          <w:noProof/>
        </w:rPr>
        <w:footnoteReference w:id="15"/>
      </w:r>
      <w:r>
        <w:rPr>
          <w:noProof/>
        </w:rPr>
        <w:t xml:space="preserve"> vill därför kommissionen skärpa </w:t>
      </w:r>
      <w:r>
        <w:rPr>
          <w:b/>
          <w:noProof/>
        </w:rPr>
        <w:t>genomdrivandet av EU:s gemensamma säkerhetsregler</w:t>
      </w:r>
      <w:r>
        <w:rPr>
          <w:noProof/>
        </w:rPr>
        <w:t>. Konsumenterna måste få tillbaka förtroendet för att de varor de köper på nätet eller i butik är säkra. Om problem uppstår behöver vi ha rätt verktygslåda för att hantera riskerna och återställa lika villkor för alla.</w:t>
      </w:r>
    </w:p>
    <w:p>
      <w:pPr>
        <w:pStyle w:val="Text1"/>
        <w:rPr>
          <w:noProof/>
        </w:rPr>
      </w:pPr>
      <w:r>
        <w:rPr>
          <w:noProof/>
        </w:rPr>
        <w:t>Den inre marknaden för varor går ut på att skapa ekonomiska möjligheter, stärka konkurrenskraften och göra EU rustat för att hantera den globala ekonomins utmaningar. Samtidigt, vilket nämns i kommissionens diskussionsunderlag om att möta globaliseringen, behöver EU agera för att återupprätta lika villkor med skärpta kontroller av att EU:s regler följs</w:t>
      </w:r>
      <w:r>
        <w:rPr>
          <w:rStyle w:val="FootnoteReference"/>
          <w:noProof/>
        </w:rPr>
        <w:footnoteReference w:id="16"/>
      </w:r>
      <w:r>
        <w:rPr>
          <w:noProof/>
        </w:rPr>
        <w:t>. På en öppen inre marknad finns reglerna till för att skydda EU-medborgarnas säkerhet. Den kan bara fungera om alla kan lita på att skyddet kan garanteras. Att reglerna grnomdrivs är avgörande för att konkurrensen ska råda mellan varor som uppfyller kraven, inte mellan varor som uppfyller respektive inte uppfyller kraven.</w:t>
      </w:r>
    </w:p>
    <w:p>
      <w:pPr>
        <w:pStyle w:val="Text1"/>
        <w:ind w:left="1200" w:hanging="718"/>
        <w:rPr>
          <w:b/>
          <w:noProof/>
        </w:rPr>
      </w:pPr>
      <w:r>
        <w:rPr>
          <w:b/>
          <w:noProof/>
        </w:rPr>
        <w:t>a)</w:t>
      </w:r>
      <w:r>
        <w:rPr>
          <w:noProof/>
        </w:rPr>
        <w:tab/>
      </w:r>
      <w:r>
        <w:rPr>
          <w:b/>
          <w:noProof/>
          <w:u w:val="single"/>
        </w:rPr>
        <w:t>Smart genomdrivande på en gränslös inre marknad</w:t>
      </w:r>
      <w:r>
        <w:rPr>
          <w:b/>
          <w:noProof/>
        </w:rPr>
        <w:t xml:space="preserve"> </w:t>
      </w:r>
    </w:p>
    <w:p>
      <w:pPr>
        <w:pStyle w:val="Text1"/>
        <w:rPr>
          <w:noProof/>
        </w:rPr>
      </w:pPr>
      <w:r>
        <w:rPr>
          <w:noProof/>
        </w:rPr>
        <w:t>Marknadskontrollen sköts av medlemsstaterna, och det med rätta. De är bäst placerade för att övervaka sina marknader och påföra sanktioner om det behövs, eftersom det är de som är närmast eventuella incidenter, de första som reagerar och de som bäst känner till sin nationella ekonomi.</w:t>
      </w:r>
    </w:p>
    <w:p>
      <w:pPr>
        <w:pStyle w:val="Text1"/>
        <w:rPr>
          <w:noProof/>
        </w:rPr>
      </w:pPr>
      <w:r>
        <w:rPr>
          <w:noProof/>
        </w:rPr>
        <w:t>Rent nationellt genomdrivande räcker dock inte. Det finns över 500 olika marknadskontrollmyndigheter (från 1 till över 200 per medlemsstat) som övervakar samma inre marknad för olika produkter. Företagen är oftast baserade någon annanstans än den marknadskontrollmyndighet som upptäcker ett problem. Detta leder till svårigheter när det gäller att bestämma vilken lag som gäller och vilken domstol som är behörig, och hur man får tillgång till rättslig prövning och får beslut verkställda. Oseriösa leverantörer missbrukar i dag denna fragmentering av marknaden, på konsumentskyddets och produktsäkerhetens bekostnad.</w:t>
      </w:r>
    </w:p>
    <w:p>
      <w:pPr>
        <w:pStyle w:val="Text1"/>
        <w:rPr>
          <w:noProof/>
        </w:rPr>
      </w:pPr>
      <w:r>
        <w:rPr>
          <w:noProof/>
        </w:rPr>
        <w:t>Trots en vilja att agera på nationell nivå hindras genomdrivandet av reglerna på den inre marknaden för varor ofta av brist på resurser (personal, budget, laboratoriekapacitet), samordning och samverkan. Oseriösa aktörer kan tjäna pengar på att släppa ut osäkra produkter på marknaden, men det är myndigheterna som får stå för notan, t.ex. destruktion av farliga produkter. På en integrerad inre marknad för varor behöver därför de nationella myndigheternas arbete med att kontrollera farliga produkter samordnas bättre, så att oseriösa aktörer inte kan gömma sig bakom gränserna och reaktionen på produkter som inte följer EU-reglerna är densamma i hela EU.</w:t>
      </w:r>
    </w:p>
    <w:p>
      <w:pPr>
        <w:pStyle w:val="Text1"/>
        <w:rPr>
          <w:noProof/>
        </w:rPr>
      </w:pPr>
      <w:r>
        <w:rPr>
          <w:noProof/>
        </w:rPr>
        <w:t>Det här paketet är därför ett stort steg mot smartare genomdrivande som kompletterar och vid behov stärker dagens och morgondagens EU-lagstiftning om harmonisering</w:t>
      </w:r>
      <w:r>
        <w:rPr>
          <w:rStyle w:val="FootnoteReference"/>
          <w:noProof/>
        </w:rPr>
        <w:footnoteReference w:id="17"/>
      </w:r>
      <w:r>
        <w:rPr>
          <w:noProof/>
        </w:rPr>
        <w:t xml:space="preserve">: </w:t>
      </w:r>
    </w:p>
    <w:p>
      <w:pPr>
        <w:pStyle w:val="Text1"/>
        <w:rPr>
          <w:noProof/>
        </w:rPr>
      </w:pPr>
      <w:r>
        <w:rPr>
          <w:noProof/>
        </w:rPr>
        <w:t xml:space="preserve">Myndigheterna ska samarbeta närmare med hjälp av </w:t>
      </w:r>
      <w:r>
        <w:rPr>
          <w:b/>
          <w:noProof/>
        </w:rPr>
        <w:t>centrala kontaktpunkter</w:t>
      </w:r>
      <w:r>
        <w:rPr>
          <w:noProof/>
        </w:rPr>
        <w:t>. Det ska bli lättare att använda en annan medlemsstats bevis, provningsrapporter och beslut. Man ska utgå från att om en vara inte följer EU:s produktregler i en medlemsstat kan bevis och beslut tillämpas i andra medlemsstater, så att genomdrivandet i hela EU underlättas.</w:t>
      </w:r>
    </w:p>
    <w:p>
      <w:pPr>
        <w:pStyle w:val="Text1"/>
        <w:rPr>
          <w:noProof/>
        </w:rPr>
      </w:pPr>
      <w:r>
        <w:rPr>
          <w:noProof/>
        </w:rPr>
        <w:t xml:space="preserve">Åtgärder mot produkter som inte överensstämer med kraven får endast avsedd verkan om myndigheterna </w:t>
      </w:r>
      <w:r>
        <w:rPr>
          <w:b/>
          <w:noProof/>
        </w:rPr>
        <w:t>delar mer information om utredningar och olagliga produkter</w:t>
      </w:r>
      <w:r>
        <w:rPr>
          <w:noProof/>
        </w:rPr>
        <w:t>. Kommissionen kommer att arbeta mer intensivt för gemensam kunskapsinsamling mellan marknadskontrollmyndigheterna och samverkan mellan olika it-verktyg, t.ex. systemet för snabb varning för farliga konsumentprodukter (Rapex) och informations- och kommunikationssystemet för marknadskontroll (ICSMS), för att underlätta myndigheternas arbete.</w:t>
      </w:r>
    </w:p>
    <w:p>
      <w:pPr>
        <w:pStyle w:val="Text1"/>
        <w:rPr>
          <w:noProof/>
        </w:rPr>
      </w:pPr>
      <w:r>
        <w:rPr>
          <w:noProof/>
        </w:rPr>
        <w:t xml:space="preserve">Dessutom torde tillförlitliga </w:t>
      </w:r>
      <w:r>
        <w:rPr>
          <w:b/>
          <w:noProof/>
        </w:rPr>
        <w:t>marknadskontrollindikatorer</w:t>
      </w:r>
      <w:r>
        <w:rPr>
          <w:noProof/>
        </w:rPr>
        <w:t xml:space="preserve"> leda till en gemensam uppfattning om vad som är problemområdena inom marknadkontroller.</w:t>
      </w:r>
    </w:p>
    <w:p>
      <w:pPr>
        <w:pStyle w:val="Text1"/>
        <w:rPr>
          <w:noProof/>
        </w:rPr>
      </w:pPr>
      <w:r>
        <w:rPr>
          <w:noProof/>
        </w:rPr>
        <w:t xml:space="preserve">De nationella myndigheterna får mer stöd för att samordna och genomföra sin verksamhet. Ett </w:t>
      </w:r>
      <w:r>
        <w:rPr>
          <w:b/>
          <w:noProof/>
        </w:rPr>
        <w:t>unionsnätverk för produktöverensstämmelse</w:t>
      </w:r>
      <w:r>
        <w:rPr>
          <w:noProof/>
        </w:rPr>
        <w:t xml:space="preserve"> ska inrättas. Nätverket ska tillhandahålla administrativt stöd till gemensamma utredningar och samordna genomdrivandeverksamheten vid över 500 nationella myndigheter. Nätverket gör det möjligt för myndigheterna att dela med sig av kunskap, organisera utbyten av tjänstemän, utarbeta en gemensam lägesbild och ta fram effektiva metoder för mer riktade och riskbaserade kontroller. Det ska också tillhandahålla standardiserad utbildning för inspektörer och bistå vid gemensam upphandling av produktprovningskapacitet. Nätverket ska ge marknadskontrollen det gemensamma europeiska perspektiv som krävs på en europeisk inre marknad. Subsidiaritetsprincipen kommer dock att respekteras fullständigt. Det är bara de nationella marknadskontrollmyndigheterna som genomdriver de faktiska besluten hos näringsidkarna. </w:t>
      </w:r>
    </w:p>
    <w:p>
      <w:pPr>
        <w:pStyle w:val="Text1"/>
        <w:rPr>
          <w:noProof/>
        </w:rPr>
      </w:pPr>
      <w:r>
        <w:rPr>
          <w:b/>
          <w:noProof/>
        </w:rPr>
        <w:t>Närmare samarbete mellan företag och myndigheter</w:t>
      </w:r>
      <w:r>
        <w:rPr>
          <w:noProof/>
        </w:rPr>
        <w:t xml:space="preserve"> är också viktigt. Bägge parter behöver lita på varandra. Följande inslag i detta närmare samarbete planeras:</w:t>
      </w:r>
    </w:p>
    <w:p>
      <w:pPr>
        <w:pStyle w:val="Text1"/>
        <w:numPr>
          <w:ilvl w:val="0"/>
          <w:numId w:val="39"/>
        </w:numPr>
        <w:rPr>
          <w:noProof/>
        </w:rPr>
      </w:pPr>
      <w:r>
        <w:rPr>
          <w:noProof/>
        </w:rPr>
        <w:t>Information om överensstämmelse: Tillverkarna anser att de bör vara de som i första hand kontaktas om det misstänks att deras produkter inte följer reglerna. På så sätt kan de ingripa omedelbart, reda ut missförstånd och vidta eventuella korrigerande åtgärder. De vet också om produkten säljs någon annanstans. De flesta tillverkare som säljer i EU har redan en representant som lätt kan kontaktas. Denna goda praxis kommer att bli obligatorisk</w:t>
      </w:r>
      <w:r>
        <w:rPr>
          <w:rStyle w:val="FootnoteReference"/>
          <w:noProof/>
        </w:rPr>
        <w:footnoteReference w:id="18"/>
      </w:r>
      <w:r>
        <w:rPr>
          <w:noProof/>
        </w:rPr>
        <w:t>.</w:t>
      </w:r>
    </w:p>
    <w:p>
      <w:pPr>
        <w:pStyle w:val="Text1"/>
        <w:numPr>
          <w:ilvl w:val="0"/>
          <w:numId w:val="39"/>
        </w:numPr>
        <w:rPr>
          <w:noProof/>
        </w:rPr>
      </w:pPr>
      <w:r>
        <w:rPr>
          <w:noProof/>
        </w:rPr>
        <w:t xml:space="preserve">Partnerskap för överensstämmelse med lokala myndigheter gör det möjligt för företag att få rådgivning kring frågor om överensstämmelse. </w:t>
      </w:r>
    </w:p>
    <w:p>
      <w:pPr>
        <w:pStyle w:val="Text1"/>
        <w:numPr>
          <w:ilvl w:val="0"/>
          <w:numId w:val="39"/>
        </w:numPr>
        <w:rPr>
          <w:noProof/>
        </w:rPr>
      </w:pPr>
      <w:r>
        <w:rPr>
          <w:noProof/>
        </w:rPr>
        <w:t>Företag och myndigheter kan ingå samförståndsavtal om gemensamma projekt för att spåra produkter som inte följer reglerna</w:t>
      </w:r>
      <w:r>
        <w:rPr>
          <w:rStyle w:val="FootnoteReference"/>
          <w:noProof/>
        </w:rPr>
        <w:footnoteReference w:id="19"/>
      </w:r>
      <w:r>
        <w:rPr>
          <w:noProof/>
        </w:rPr>
        <w:t>.</w:t>
      </w:r>
    </w:p>
    <w:p>
      <w:pPr>
        <w:pStyle w:val="Text1"/>
        <w:numPr>
          <w:ilvl w:val="0"/>
          <w:numId w:val="39"/>
        </w:numPr>
        <w:rPr>
          <w:noProof/>
        </w:rPr>
      </w:pPr>
      <w:r>
        <w:rPr>
          <w:noProof/>
        </w:rPr>
        <w:t>Eftersom förebyggande och genomdrivande går hand i hand kan företag i EU och omvärlden söka rättslig rådgivning från nationella produktkontaktpunkter</w:t>
      </w:r>
      <w:r>
        <w:rPr>
          <w:rStyle w:val="FootnoteReference"/>
          <w:noProof/>
        </w:rPr>
        <w:footnoteReference w:id="20"/>
      </w:r>
      <w:r>
        <w:rPr>
          <w:noProof/>
        </w:rPr>
        <w:t xml:space="preserve">. </w:t>
      </w:r>
    </w:p>
    <w:p>
      <w:pPr>
        <w:pStyle w:val="Text1"/>
        <w:rPr>
          <w:noProof/>
        </w:rPr>
      </w:pPr>
      <w:r>
        <w:rPr>
          <w:noProof/>
        </w:rPr>
        <w:t xml:space="preserve">För en säker och välfungerande inre marknad måste näringsliv och konsumenter känna till reglerna och ha den information de behöver för att reagera och anpassa sig. </w:t>
      </w:r>
      <w:r>
        <w:rPr>
          <w:b/>
          <w:noProof/>
        </w:rPr>
        <w:t>Marknadskontrollmyndigheterna ska offentliggöra sina resultat</w:t>
      </w:r>
      <w:r>
        <w:rPr>
          <w:noProof/>
        </w:rPr>
        <w:t>, särskilt när de begränsar saluföringen av vissa produkter.</w:t>
      </w:r>
    </w:p>
    <w:p>
      <w:pPr>
        <w:pStyle w:val="Text1"/>
        <w:ind w:left="1200" w:hanging="718"/>
        <w:rPr>
          <w:b/>
          <w:noProof/>
        </w:rPr>
      </w:pPr>
      <w:r>
        <w:rPr>
          <w:b/>
          <w:noProof/>
        </w:rPr>
        <w:t>b)</w:t>
      </w:r>
      <w:r>
        <w:rPr>
          <w:noProof/>
        </w:rPr>
        <w:tab/>
      </w:r>
      <w:r>
        <w:rPr>
          <w:b/>
          <w:noProof/>
          <w:u w:val="single"/>
        </w:rPr>
        <w:t>Tillsyn vid de yttre gränserna</w:t>
      </w:r>
    </w:p>
    <w:p>
      <w:pPr>
        <w:pStyle w:val="Text1"/>
        <w:rPr>
          <w:noProof/>
        </w:rPr>
      </w:pPr>
      <w:r>
        <w:rPr>
          <w:noProof/>
        </w:rPr>
        <w:t>Konsumenterna bör kunna räkna med samma skyddsnivå för varor som tillverkas både i och utanför EU. I en globaliserad värld är det fortfarande en utmaning att se till att importerade produkter uppfyller EU:s krav och inte konkurrerar orättvist genom att bryta mot EU:s regler. I princip ska importerade produkters kontrolleras när de förs in på den inre marknaden. Men den enorma volymen av importvaror gör det omöjligt att kontrollera alla partier. Under 2015 var mer än 30 % av alla varor på marknaderna i EU importvaror. De var värda uppskattningsvis nästan 750 miljarder euro</w:t>
      </w:r>
      <w:r>
        <w:rPr>
          <w:rStyle w:val="FootnoteReference"/>
          <w:noProof/>
        </w:rPr>
        <w:footnoteReference w:id="21"/>
      </w:r>
      <w:r>
        <w:rPr>
          <w:noProof/>
        </w:rPr>
        <w:t>.</w:t>
      </w:r>
    </w:p>
    <w:p>
      <w:pPr>
        <w:pStyle w:val="Text1"/>
        <w:rPr>
          <w:noProof/>
        </w:rPr>
      </w:pPr>
    </w:p>
    <w:p>
      <w:pPr>
        <w:pStyle w:val="Text1"/>
        <w:rPr>
          <w:noProof/>
        </w:rPr>
      </w:pPr>
    </w:p>
    <w:p>
      <w:pPr>
        <w:pStyle w:val="Text1"/>
        <w:keepNext/>
        <w:spacing w:after="0"/>
        <w:rPr>
          <w:b/>
          <w:noProof/>
        </w:rPr>
      </w:pPr>
      <w:r>
        <w:rPr>
          <w:b/>
          <w:noProof/>
        </w:rPr>
        <w:t>Handel med harmoniserade produkter: såld produktion och handel med länder utanför EU (2008–2015, EU-28), miljarder euro</w:t>
      </w:r>
    </w:p>
    <w:p>
      <w:pPr>
        <w:spacing w:after="0"/>
        <w:ind w:left="720"/>
        <w:jc w:val="center"/>
        <w:rPr>
          <w:noProof/>
        </w:rPr>
      </w:pPr>
    </w:p>
    <w:p>
      <w:pPr>
        <w:spacing w:after="0"/>
        <w:ind w:left="720"/>
        <w:jc w:val="center"/>
        <w:rPr>
          <w:noProof/>
          <w:lang w:bidi="ar-SA"/>
        </w:rPr>
      </w:pPr>
      <w:r>
        <w:rPr>
          <w:noProof/>
          <w:lang w:val="en-US" w:eastAsia="en-US" w:bidi="ar-SA"/>
        </w:rPr>
        <w:drawing>
          <wp:inline distT="0" distB="0" distL="0" distR="0">
            <wp:extent cx="5406887" cy="318847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8764" cy="3189580"/>
                    </a:xfrm>
                    <a:prstGeom prst="rect">
                      <a:avLst/>
                    </a:prstGeom>
                    <a:noFill/>
                    <a:ln>
                      <a:noFill/>
                    </a:ln>
                  </pic:spPr>
                </pic:pic>
              </a:graphicData>
            </a:graphic>
          </wp:inline>
        </w:drawing>
      </w:r>
    </w:p>
    <w:p>
      <w:pPr>
        <w:spacing w:after="0"/>
        <w:ind w:left="720"/>
        <w:jc w:val="center"/>
        <w:rPr>
          <w:noProof/>
          <w:lang w:bidi="ar-SA"/>
        </w:rPr>
      </w:pPr>
    </w:p>
    <w:p>
      <w:pPr>
        <w:spacing w:after="0"/>
        <w:ind w:left="720"/>
        <w:jc w:val="center"/>
        <w:rPr>
          <w:noProof/>
        </w:rPr>
      </w:pPr>
    </w:p>
    <w:p>
      <w:pPr>
        <w:keepNext/>
        <w:jc w:val="center"/>
        <w:rPr>
          <w:noProof/>
        </w:rPr>
      </w:pPr>
      <w:r>
        <w:rPr>
          <w:rStyle w:val="SubtleEmphasis"/>
          <w:noProof/>
        </w:rPr>
        <w:t>Källa: Prodcom — produktstatistik, Eurostat (2016)</w:t>
      </w:r>
    </w:p>
    <w:p>
      <w:pPr>
        <w:pStyle w:val="Text1"/>
        <w:rPr>
          <w:noProof/>
        </w:rPr>
      </w:pPr>
      <w:r>
        <w:rPr>
          <w:noProof/>
        </w:rPr>
        <w:t>Bestämmelserna om genomdrivande av regler vid de yttre gränserna behöver anpassas till tjugohundratalets nya förhållanden, bl.a. det ökande antalet nätköp, och unionens nya tullkodex.</w:t>
      </w:r>
    </w:p>
    <w:p>
      <w:pPr>
        <w:pStyle w:val="Text1"/>
        <w:rPr>
          <w:noProof/>
        </w:rPr>
      </w:pPr>
      <w:r>
        <w:rPr>
          <w:b/>
          <w:noProof/>
        </w:rPr>
        <w:t>Genom det nya förslaget anpassas dagens regler till de nya tullreglerna</w:t>
      </w:r>
      <w:r>
        <w:rPr>
          <w:noProof/>
        </w:rPr>
        <w:t>. Det skapar klarhet kring kontroller av produkter på väg in i EU, och kring samordning av och samarbete mellan tullmyndigheterna och marknadskontrollmyndigheterna.</w:t>
      </w:r>
    </w:p>
    <w:p>
      <w:pPr>
        <w:pStyle w:val="Text1"/>
        <w:rPr>
          <w:b/>
          <w:noProof/>
        </w:rPr>
      </w:pPr>
      <w:r>
        <w:rPr>
          <w:b/>
          <w:noProof/>
        </w:rPr>
        <w:t xml:space="preserve">Dessutom förenklas administrationen för importörerna. </w:t>
      </w:r>
      <w:r>
        <w:rPr>
          <w:noProof/>
        </w:rPr>
        <w:t>Betrodda företag gynnas med lindrigare kontroller så att myndigheterna kan koncentrera sina insatser där riskerna för produktsäkerheten är störst.</w:t>
      </w:r>
      <w:r>
        <w:rPr>
          <w:b/>
          <w:noProof/>
        </w:rPr>
        <w:t xml:space="preserve"> </w:t>
      </w:r>
    </w:p>
    <w:p>
      <w:pPr>
        <w:pStyle w:val="Text1"/>
        <w:rPr>
          <w:b/>
          <w:noProof/>
        </w:rPr>
      </w:pPr>
      <w:r>
        <w:rPr>
          <w:noProof/>
        </w:rPr>
        <w:t xml:space="preserve">När myndigheterna tvivlar på att en produkt är laglig, kan de </w:t>
      </w:r>
      <w:r>
        <w:rPr>
          <w:b/>
          <w:noProof/>
        </w:rPr>
        <w:t>vänta med att låta produkten gå över till fri omsättning</w:t>
      </w:r>
      <w:r>
        <w:rPr>
          <w:noProof/>
        </w:rPr>
        <w:t xml:space="preserve"> i EU tills de fått tillräckliga bevis på att produkten är tjänlig att säljas i EU.</w:t>
      </w:r>
    </w:p>
    <w:p>
      <w:pPr>
        <w:pStyle w:val="Text1"/>
        <w:ind w:left="1200" w:hanging="718"/>
        <w:rPr>
          <w:b/>
          <w:noProof/>
        </w:rPr>
      </w:pPr>
      <w:r>
        <w:rPr>
          <w:b/>
          <w:noProof/>
        </w:rPr>
        <w:t>c)</w:t>
      </w:r>
      <w:r>
        <w:rPr>
          <w:noProof/>
        </w:rPr>
        <w:tab/>
      </w:r>
      <w:r>
        <w:rPr>
          <w:b/>
          <w:noProof/>
          <w:u w:val="single"/>
        </w:rPr>
        <w:t>Ackreditering och CE-märkning</w:t>
      </w:r>
    </w:p>
    <w:p>
      <w:pPr>
        <w:pStyle w:val="Text1"/>
        <w:rPr>
          <w:noProof/>
        </w:rPr>
      </w:pPr>
      <w:r>
        <w:rPr>
          <w:noProof/>
        </w:rPr>
        <w:t>De nuvarande reglerna om marknadskontroll behöver förbättras, men EU:s regler för ackreditering och CE-märkning har däremot visat sig fungera ganska bra. Det här meddelandet åtföljs av en rapport som visar på vikten av ett välskött och tillförlitligt system för ackreditering och bedömning av överensstämmelse som ligger till grund för EU:s politik och stärker förtroendet för produktsäkerheten.</w:t>
      </w:r>
    </w:p>
    <w:p>
      <w:pPr>
        <w:pStyle w:val="Heading1"/>
        <w:rPr>
          <w:noProof/>
        </w:rPr>
      </w:pPr>
      <w:r>
        <w:rPr>
          <w:noProof/>
        </w:rPr>
        <w:t>Förenade i mångfalden på den inre marknaden för varor: ömsesidigt erkännande</w:t>
      </w:r>
    </w:p>
    <w:p>
      <w:pPr>
        <w:pStyle w:val="Text1"/>
        <w:rPr>
          <w:noProof/>
        </w:rPr>
      </w:pPr>
      <w:r>
        <w:rPr>
          <w:noProof/>
        </w:rPr>
        <w:t>Om det inte finns några gemensam EU-produktregler, t.ex. för barnavårdsartiklar eller kassaapparater, bör principen om ömsesidigt erkännande innebära att en produkt som lagligen saluförs i en medlemsstat också får säljas i en annan medlemsstat – så länge den är säker och överensstämmer med allmänintresset</w:t>
      </w:r>
      <w:r>
        <w:rPr>
          <w:rStyle w:val="FootnoteReference"/>
          <w:noProof/>
        </w:rPr>
        <w:footnoteReference w:id="22"/>
      </w:r>
      <w:r>
        <w:rPr>
          <w:noProof/>
        </w:rPr>
        <w:t>. Alltför ofta kan dock företagen inte lita på ömsesidigt erkännande för att få tillgång till andra marknader i EU. Särskilt små och medelstora företag uppger sig ha allvarliga svårigheter med ömsesidigt erkännande för att sälja sina produkter i en annan medlemsstat. Medlemsstaterna inför ytterligare krav och kräver nya provningar, och ökar därmed byråkratin och kostnaderna i onödan. Då går de ekonomiska aktörerna miste om effektivitetsvinsterna med den inre marknaden, medan priserna ökar för konsumenterna och handeln minskar, till nackdel för alla</w:t>
      </w:r>
      <w:r>
        <w:rPr>
          <w:rStyle w:val="FootnoteReference"/>
          <w:noProof/>
        </w:rPr>
        <w:footnoteReference w:id="23"/>
      </w:r>
      <w:r>
        <w:rPr>
          <w:noProof/>
        </w:rPr>
        <w:t>.</w:t>
      </w:r>
    </w:p>
    <w:p>
      <w:pPr>
        <w:pStyle w:val="Text1"/>
        <w:rPr>
          <w:noProof/>
        </w:rPr>
      </w:pPr>
      <w:r>
        <w:rPr>
          <w:noProof/>
        </w:rPr>
        <w:t xml:space="preserve">De nationella myndigheterna litar ofta inte på omdömet hos andra länders myndigheter, vilket kan leda till fler krav och provningar, och därmed i onödan till mer byråkrati och högre kostnader. Dessutom är det dyrt och tar lång tid för näringsidkarna att rättsvägen angripa beslut som stoppar eller begränsar marknadstillträdet. Följaktligen drabbas företagen av omotiverade kostnader eftersom de måste </w:t>
      </w:r>
      <w:r>
        <w:rPr>
          <w:b/>
          <w:noProof/>
        </w:rPr>
        <w:t>anpassa sina produkter</w:t>
      </w:r>
      <w:r>
        <w:rPr>
          <w:noProof/>
        </w:rPr>
        <w:t xml:space="preserve"> till kraven på flera nationella marknader, och de får </w:t>
      </w:r>
      <w:r>
        <w:rPr>
          <w:b/>
          <w:noProof/>
        </w:rPr>
        <w:t>marknadstillträdet försenat</w:t>
      </w:r>
      <w:r>
        <w:rPr>
          <w:noProof/>
        </w:rPr>
        <w:t xml:space="preserve"> och </w:t>
      </w:r>
      <w:r>
        <w:rPr>
          <w:b/>
          <w:noProof/>
        </w:rPr>
        <w:t>går miste om möjligheter</w:t>
      </w:r>
      <w:r>
        <w:rPr>
          <w:noProof/>
        </w:rPr>
        <w:t>. Detta drabbar särskilt de små och medelstora företagen</w:t>
      </w:r>
      <w:r>
        <w:rPr>
          <w:rStyle w:val="FootnoteReference"/>
          <w:noProof/>
        </w:rPr>
        <w:footnoteReference w:id="24"/>
      </w:r>
      <w:r>
        <w:rPr>
          <w:noProof/>
        </w:rPr>
        <w:t xml:space="preserve">. </w:t>
      </w:r>
    </w:p>
    <w:p>
      <w:pPr>
        <w:pStyle w:val="Text1"/>
        <w:rPr>
          <w:noProof/>
        </w:rPr>
      </w:pPr>
      <w:r>
        <w:rPr>
          <w:noProof/>
        </w:rPr>
        <w:t>Det måste bli en ändring på det. Det nuvarande systemet kan och måste förbättras. Kommissionen vill därför stärka och förtydliga de befintliga möjligheterna och underlätta marknadstillträdet.</w:t>
      </w:r>
    </w:p>
    <w:p>
      <w:pPr>
        <w:pStyle w:val="Text1"/>
        <w:rPr>
          <w:noProof/>
        </w:rPr>
      </w:pPr>
      <w:r>
        <w:rPr>
          <w:noProof/>
        </w:rPr>
        <w:t>En målmedveten och samarbetsinriktad modell kommer därför att användas när direktivet om insyn på den inre marknaden, direktiv (EU) 2015/1535, ska genomföras. Det direktivet är ett viktigt verktyg för att förebygga hinder för produkter som helt eller delvis inte är harmoniserade. Medlemsstaterna är skyldiga att anmäla alla utkast till lagstiftning som rör sådana produkter så att hinder kan förebyggas på förhand. Enligt rapporten om genomförandet av direktivet, som också läggs fram i dag, måste kommissionen och medlemsstaterna lösa svårigheter tidigare, och fokusera på de vanligaste problemen och de ekonomiskt mest betydelsefulla områdena i medlemsstaterna.</w:t>
      </w:r>
    </w:p>
    <w:p>
      <w:pPr>
        <w:pStyle w:val="Text1"/>
        <w:ind w:left="1200" w:hanging="718"/>
        <w:rPr>
          <w:b/>
          <w:noProof/>
        </w:rPr>
      </w:pPr>
      <w:r>
        <w:rPr>
          <w:b/>
          <w:noProof/>
        </w:rPr>
        <w:t>a)</w:t>
      </w:r>
      <w:r>
        <w:rPr>
          <w:noProof/>
        </w:rPr>
        <w:tab/>
      </w:r>
      <w:r>
        <w:rPr>
          <w:b/>
          <w:noProof/>
          <w:u w:val="single"/>
        </w:rPr>
        <w:t>Få det att fungera</w:t>
      </w:r>
    </w:p>
    <w:p>
      <w:pPr>
        <w:pStyle w:val="Text1"/>
        <w:rPr>
          <w:noProof/>
        </w:rPr>
      </w:pPr>
      <w:r>
        <w:rPr>
          <w:noProof/>
        </w:rPr>
        <w:t>Principen om ömsesidigt erkännande av varor är härledd ur fördraget om Europeiska unionens funktionssätt (EUF-fördraget)</w:t>
      </w:r>
      <w:r>
        <w:rPr>
          <w:rStyle w:val="FootnoteReference"/>
          <w:noProof/>
        </w:rPr>
        <w:footnoteReference w:id="25"/>
      </w:r>
      <w:r>
        <w:rPr>
          <w:noProof/>
        </w:rPr>
        <w:t xml:space="preserve">. Det har konsekvent bekräftats och stärkts av Europeiska unionens domstol. Det nuvarande regelverket har dock inte visat sig vara tillräckligt för att säkerställa en enhetlig och effektiv tillämpning. Därför föreslås att </w:t>
      </w:r>
      <w:r>
        <w:rPr>
          <w:b/>
          <w:noProof/>
        </w:rPr>
        <w:t>förordningen om ömsesidigt erkännande</w:t>
      </w:r>
      <w:r>
        <w:rPr>
          <w:rStyle w:val="FootnoteReference"/>
          <w:b/>
          <w:noProof/>
        </w:rPr>
        <w:footnoteReference w:id="26"/>
      </w:r>
      <w:r>
        <w:rPr>
          <w:noProof/>
        </w:rPr>
        <w:t xml:space="preserve"> ersätts med en </w:t>
      </w:r>
      <w:r>
        <w:rPr>
          <w:b/>
          <w:noProof/>
        </w:rPr>
        <w:t>ny förordning</w:t>
      </w:r>
      <w:r>
        <w:rPr>
          <w:noProof/>
        </w:rPr>
        <w:t xml:space="preserve"> som förtydligar och förenklar de förfaranden som företag och offentlig förvaltning ska följa.</w:t>
      </w:r>
    </w:p>
    <w:p>
      <w:pPr>
        <w:pStyle w:val="Text1"/>
        <w:rPr>
          <w:noProof/>
        </w:rPr>
      </w:pPr>
      <w:r>
        <w:rPr>
          <w:noProof/>
        </w:rPr>
        <w:t xml:space="preserve">Marknadstillträde baserat på ömsesidigt erkännande bör endast nekas om ett legitimt och proportionellt allmänintresse berörs. Om detta nekande är ogrundat eller oproportionerligt kan i dag ett sådant beslut bara angripas i nationella domstolar. Sådana processer är långa och dyra, och de är inte anpassade till särdragen i ömsesidigt erkännande. Att överklaga ett beslut om nekat marknadstillträde kan kosta 10 000–100 000 euro per produkt och marknad. Företagen uppger att detta är det största hindret för ett smidigt fungerande system för ömsesidigt erkännande. I många fall väljer företagen att i stället för att satsa på en oviss process anpassa sina produkter till extra kostnad, med motsvarande merkostnader för konsumenterna och effektivitetsförluster i den europeiska ekonomin. </w:t>
      </w:r>
    </w:p>
    <w:p>
      <w:pPr>
        <w:pStyle w:val="Text1"/>
        <w:rPr>
          <w:noProof/>
        </w:rPr>
      </w:pPr>
      <w:r>
        <w:rPr>
          <w:noProof/>
        </w:rPr>
        <w:t xml:space="preserve">Det nya förslaget om ömsesidigt erkännande inför ett </w:t>
      </w:r>
      <w:r>
        <w:rPr>
          <w:b/>
          <w:noProof/>
        </w:rPr>
        <w:t>förfarande för problemlösning</w:t>
      </w:r>
      <w:r>
        <w:rPr>
          <w:noProof/>
        </w:rPr>
        <w:t xml:space="preserve"> för att tillhandahålla effektiva rättsmedel och återupprätta förtroendet för ömsesidigt erkännande. För det första ska praktiska lösningar i godo eftersträvas genom </w:t>
      </w:r>
      <w:r>
        <w:rPr>
          <w:b/>
          <w:noProof/>
        </w:rPr>
        <w:t>användning av befintliga Solvit-mekanismer</w:t>
      </w:r>
      <w:r>
        <w:rPr>
          <w:noProof/>
        </w:rPr>
        <w:t>.</w:t>
      </w:r>
      <w:r>
        <w:rPr>
          <w:b/>
          <w:noProof/>
        </w:rPr>
        <w:t xml:space="preserve"> </w:t>
      </w:r>
      <w:r>
        <w:rPr>
          <w:noProof/>
        </w:rPr>
        <w:t xml:space="preserve">Om dialogen inte ger resultat kan kommissionen gripa in genom att avge ett yttrande, om det behövs med rekommendationer för att hjälpa parterna att lösa tvisten. På detta sätt kan företag och exporterande medlemsstater, i stället för att vänta i åratal på att få sina produkter och lagar erkända av de andra medlemsstaterna, veta vad de kan förvänta sig inom några veckor eller månader. Dessutom kommer kommissionen att kunna strategiskt utnyttja sina befogenheter enligt artikel 258 i EUF-fördraget om återkommande problem i specifika sektorer dyker upp. </w:t>
      </w:r>
    </w:p>
    <w:p>
      <w:pPr>
        <w:pStyle w:val="Text1"/>
        <w:rPr>
          <w:noProof/>
        </w:rPr>
      </w:pPr>
      <w:r>
        <w:rPr>
          <w:noProof/>
        </w:rPr>
        <w:t xml:space="preserve">För närvarande måste företagen bevisa att produkten redan saluförs någon annanstans i EU om de vill erhålla ett ömsesidigt erkännande. Vilka bevis som krävs av myndigheterna varierar från bara en faktura till en medlemsstats förklaring att produkten har saluförts lagligen. För att hjälpa företag att visa att deras produkt som redan uppfyller kraven i en annan medlemsstat, för att tillfredsställa myndigheterna och underlätta gränsöverskridande samarbete föreslår vi en ny och enklare frivillig </w:t>
      </w:r>
      <w:r>
        <w:rPr>
          <w:b/>
          <w:noProof/>
        </w:rPr>
        <w:t>förklaring om ömsesidigt erkännande</w:t>
      </w:r>
      <w:r>
        <w:rPr>
          <w:noProof/>
        </w:rPr>
        <w:t xml:space="preserve"> som fylls i av de ekonomiska aktörerna, vilket kommer att minska den administrativa bördan.</w:t>
      </w:r>
    </w:p>
    <w:p>
      <w:pPr>
        <w:pStyle w:val="Text1"/>
        <w:rPr>
          <w:noProof/>
        </w:rPr>
      </w:pPr>
      <w:r>
        <w:rPr>
          <w:noProof/>
        </w:rPr>
        <w:t xml:space="preserve">De som sysslar med ömsesidigt erkännande kommunicerar inte tillräckligt bra med varandra. Detta beror ofta på att befogenheter och ansvarsområden för särskilda regleringar är splittrade, vilket försvårar verksamheten i dessa ofta mycket tekniska frågor. Därför vill vi stärka </w:t>
      </w:r>
      <w:r>
        <w:rPr>
          <w:b/>
          <w:noProof/>
        </w:rPr>
        <w:t>produktkontaktpunkterna som kommunikationskanal för ömsesidigt erkännande</w:t>
      </w:r>
      <w:r>
        <w:rPr>
          <w:rStyle w:val="FootnoteReference"/>
          <w:noProof/>
        </w:rPr>
        <w:footnoteReference w:id="27"/>
      </w:r>
      <w:r>
        <w:rPr>
          <w:noProof/>
        </w:rPr>
        <w:t xml:space="preserve">. För att göra dessa kontaktpunkter lätta att identifiera kan en gemensam visuell identitet utvecklas. Det </w:t>
      </w:r>
      <w:r>
        <w:rPr>
          <w:b/>
          <w:noProof/>
        </w:rPr>
        <w:t>gränsöverskridande samarbetet mellan kontaktpunkterna</w:t>
      </w:r>
      <w:r>
        <w:rPr>
          <w:noProof/>
        </w:rPr>
        <w:t xml:space="preserve"> kommer att stärkas. En nätplattform ska göra det möjligt för myndigheterna att ta kontakt med varandra.</w:t>
      </w:r>
    </w:p>
    <w:p>
      <w:pPr>
        <w:pStyle w:val="Text1"/>
        <w:ind w:left="1200" w:hanging="720"/>
        <w:rPr>
          <w:b/>
          <w:noProof/>
        </w:rPr>
      </w:pPr>
      <w:r>
        <w:rPr>
          <w:b/>
          <w:noProof/>
        </w:rPr>
        <w:t>b)</w:t>
      </w:r>
      <w:r>
        <w:rPr>
          <w:noProof/>
        </w:rPr>
        <w:tab/>
      </w:r>
      <w:r>
        <w:rPr>
          <w:b/>
          <w:noProof/>
          <w:u w:val="single"/>
        </w:rPr>
        <w:t>Mer samarbete och djupare förtroende</w:t>
      </w:r>
    </w:p>
    <w:p>
      <w:pPr>
        <w:pStyle w:val="Text1"/>
        <w:rPr>
          <w:noProof/>
        </w:rPr>
      </w:pPr>
      <w:r>
        <w:rPr>
          <w:noProof/>
        </w:rPr>
        <w:t xml:space="preserve">Samarbete och förtroende är en förutsättning för att det ömsesidiga erkännandet ska fungera väl. Det bidrar till att bygga upp en ömsesidig förståelse för olika nationella strategier och problem. Detta kommer att främjas genom </w:t>
      </w:r>
      <w:r>
        <w:rPr>
          <w:b/>
          <w:noProof/>
        </w:rPr>
        <w:t>utbyten av tjänstemän</w:t>
      </w:r>
      <w:r>
        <w:rPr>
          <w:noProof/>
        </w:rPr>
        <w:t xml:space="preserve"> inom särskilt problematiska sektorer, t.ex. byggprodukter. Av lika stor betydelse är att kommissionen kommer att samarbeta närmare med </w:t>
      </w:r>
      <w:r>
        <w:rPr>
          <w:b/>
          <w:noProof/>
        </w:rPr>
        <w:t>enskilda länder och branscher</w:t>
      </w:r>
      <w:r>
        <w:rPr>
          <w:noProof/>
        </w:rPr>
        <w:t xml:space="preserve"> för att det ömsesidiga erkännandet ska fungera. </w:t>
      </w:r>
    </w:p>
    <w:p>
      <w:pPr>
        <w:pStyle w:val="Text1"/>
        <w:rPr>
          <w:noProof/>
        </w:rPr>
      </w:pPr>
      <w:r>
        <w:rPr>
          <w:noProof/>
        </w:rPr>
        <w:t xml:space="preserve">Kommissionen kommer också att bedöma den eventuella nyttan för företag och myndigheter med att vidareutveckla </w:t>
      </w:r>
      <w:r>
        <w:rPr>
          <w:b/>
          <w:noProof/>
        </w:rPr>
        <w:t>de befintliga produktlistorna för ömsesidigt erkännande</w:t>
      </w:r>
      <w:r>
        <w:rPr>
          <w:rStyle w:val="FootnoteReference"/>
          <w:b/>
          <w:noProof/>
        </w:rPr>
        <w:footnoteReference w:id="28"/>
      </w:r>
      <w:r>
        <w:rPr>
          <w:noProof/>
        </w:rPr>
        <w:t>.</w:t>
      </w:r>
    </w:p>
    <w:p>
      <w:pPr>
        <w:pStyle w:val="Text1"/>
        <w:rPr>
          <w:noProof/>
        </w:rPr>
      </w:pPr>
      <w:r>
        <w:rPr>
          <w:noProof/>
        </w:rPr>
        <w:t xml:space="preserve">För att öka de nationella myndigheternas användning av och förtroende för ömsesidigt erkännande kommer kommissionen också att sträva efter att öka medvetenheten bland de nationella myndigheterna om hur ömsesidigt erkännande fungerar via särskilda utbildningsinsatser. Detta riktas främst till nationella myndigheter (t.ex. produktkontaktpunkterna, myndigheterna som ansvarar för problematiska produktområden, de nationella domstolarna, marknadskontrollmyndigheter och Solvits personal) och företag. Ett särskilt paket för att </w:t>
      </w:r>
      <w:r>
        <w:rPr>
          <w:b/>
          <w:noProof/>
        </w:rPr>
        <w:t>utbilda utbildare</w:t>
      </w:r>
      <w:r>
        <w:rPr>
          <w:noProof/>
        </w:rPr>
        <w:t xml:space="preserve"> i ömsesidigt erkännande för myndigheter och företag och en </w:t>
      </w:r>
      <w:r>
        <w:rPr>
          <w:b/>
          <w:noProof/>
        </w:rPr>
        <w:t>regelbok för ömsesidigt erkännande</w:t>
      </w:r>
      <w:r>
        <w:rPr>
          <w:noProof/>
        </w:rPr>
        <w:t xml:space="preserve"> ska ge heltäckande vägledning om hur ömsesidigt erkännande ska fungera.</w:t>
      </w:r>
    </w:p>
    <w:p>
      <w:pPr>
        <w:pStyle w:val="Text1"/>
        <w:rPr>
          <w:noProof/>
        </w:rPr>
      </w:pPr>
      <w:r>
        <w:rPr>
          <w:noProof/>
        </w:rPr>
        <w:t xml:space="preserve">Slutligen bör medlemsstaterna fortsätta att uttryckligen stadga om ömsesidigt erkännande i sina nationella tekniska föreskrifter, men göra detta på ett begripligt sätt. Kommissionen uppmuntrar därför medlemsstaterna att införa </w:t>
      </w:r>
      <w:r>
        <w:rPr>
          <w:b/>
          <w:noProof/>
        </w:rPr>
        <w:t>klara och otvetydiga inremarknadsklausuler</w:t>
      </w:r>
      <w:r>
        <w:rPr>
          <w:rStyle w:val="FootnoteReference"/>
          <w:noProof/>
        </w:rPr>
        <w:footnoteReference w:id="29"/>
      </w:r>
      <w:r>
        <w:rPr>
          <w:noProof/>
        </w:rPr>
        <w:t xml:space="preserve"> i nationella tekniska föreskrifter, och kommer att ta fram riktlinjer om det: </w:t>
      </w:r>
    </w:p>
    <w:p>
      <w:pPr>
        <w:pStyle w:val="BlockText"/>
        <w:spacing w:after="240"/>
        <w:rPr>
          <w:noProof/>
        </w:rPr>
      </w:pPr>
      <w:r>
        <w:rPr>
          <w:noProof/>
        </w:rPr>
        <w:t>”Varor som lagligen saluförs i en annan medlemsstat i Europeiska unionen eller i Turkiet, eller som har sitt ursprung i och som lagligen saluförs i en Eftastat som är part i EES-avtalet förutsätts vara förenliga med denna åtgärd. Tillämpningen av denna åtgärd omfattas av förordning [referens].”</w:t>
      </w:r>
    </w:p>
    <w:p>
      <w:pPr>
        <w:pStyle w:val="Heading1"/>
        <w:rPr>
          <w:noProof/>
        </w:rPr>
      </w:pPr>
      <w:r>
        <w:rPr>
          <w:noProof/>
        </w:rPr>
        <w:t>Slutsatser</w:t>
      </w:r>
    </w:p>
    <w:p>
      <w:pPr>
        <w:pStyle w:val="Text1"/>
        <w:rPr>
          <w:noProof/>
        </w:rPr>
      </w:pPr>
      <w:r>
        <w:rPr>
          <w:noProof/>
        </w:rPr>
        <w:t>Den inre marknaden för varor är en av EU:s främsta tillgångar. Den ger EU en konkurrensfördel när det gäller att möta de utmaningar som globaliserade handelsflöden och värdekedjor innebär. För att möta dessa utmaningar måste vi se till att den inre marknaden ger resultat genom att erbjuda marknadsmöjligheter för företagen och en hög skyddsnivå för alla. Alla berörda parter – allmänheten, arbetstagarna, konsumenterna, företagen och myndigheterna – måste känna sig säkra på att de kan agera och köpa säkra produkter i ett öppet och rättvist klimat där reglerna är lika för alla. De måste kunna lita på att produkterna är säkra och följer lagen.</w:t>
      </w:r>
    </w:p>
    <w:p>
      <w:pPr>
        <w:pStyle w:val="Text1"/>
        <w:rPr>
          <w:noProof/>
        </w:rPr>
      </w:pPr>
      <w:r>
        <w:rPr>
          <w:noProof/>
        </w:rPr>
        <w:t>Detta paket går ut på att se till att vi upprättar en sådan öppen och rättvis inre marknad för säkra produkter för alla. Myndigheter och företag kommer att få ökat förtroende för ömsesidigt erkännande som en princip som skyddar allmänintresset för alla och öppnar den inre marknaden. Bättre överensstämmelse och verkställighet kommer att stärka konsumenternas förtroende för säkerheten hos de produkter som släpps ut på den inre marknaden. Detta är ännu viktigare i en allt snabbrörligare och mer integrerad värld.</w:t>
      </w:r>
    </w:p>
    <w:p>
      <w:pPr>
        <w:pStyle w:val="Text1"/>
        <w:rPr>
          <w:noProof/>
        </w:rPr>
      </w:pPr>
      <w:r>
        <w:rPr>
          <w:noProof/>
        </w:rPr>
        <w:t>Parallellt med lagförslagen i det här paketet kommer vi att inleda ett nära samarbete med de behöriga myndigheterna och de berörda aktörerna, och vidta de åtgärder som krävs för att bygga upp detta förtroende. På så sätt kan vi redan i dag få konkreta fördelar för alla som har verklig betydelse för morgondagens inre marknad för varor.</w:t>
      </w:r>
    </w:p>
    <w:p>
      <w:pPr>
        <w:spacing w:after="0"/>
        <w:jc w:val="left"/>
        <w:rPr>
          <w:b/>
          <w:noProof/>
        </w:rPr>
      </w:pPr>
      <w:r>
        <w:rPr>
          <w:noProof/>
        </w:rPr>
        <w:br w:type="page"/>
      </w:r>
    </w:p>
    <w:p>
      <w:pPr>
        <w:rPr>
          <w:noProof/>
        </w:rPr>
      </w:pPr>
      <w:r>
        <w:rPr>
          <w:b/>
          <w:noProof/>
        </w:rPr>
        <w:t>Tillägg:</w:t>
      </w:r>
      <w:r>
        <w:rPr>
          <w:noProof/>
        </w:rPr>
        <w:tab/>
      </w:r>
      <w:r>
        <w:rPr>
          <w:b/>
          <w:noProof/>
        </w:rPr>
        <w:t>Föreslagen tidsplan för mjuk lagstiftning</w:t>
      </w:r>
    </w:p>
    <w:tbl>
      <w:tblPr>
        <w:tblStyle w:val="TableGrid"/>
        <w:tblW w:w="7229" w:type="dxa"/>
        <w:tblInd w:w="1526" w:type="dxa"/>
        <w:tblLook w:val="04A0" w:firstRow="1" w:lastRow="0" w:firstColumn="1" w:lastColumn="0" w:noHBand="0" w:noVBand="1"/>
      </w:tblPr>
      <w:tblGrid>
        <w:gridCol w:w="7229"/>
      </w:tblGrid>
      <w:tr>
        <w:tc>
          <w:tcPr>
            <w:tcW w:w="7229" w:type="dxa"/>
          </w:tcPr>
          <w:p>
            <w:pPr>
              <w:rPr>
                <w:i/>
                <w:noProof/>
                <w:szCs w:val="24"/>
              </w:rPr>
            </w:pPr>
            <w:r>
              <w:rPr>
                <w:i/>
                <w:noProof/>
              </w:rPr>
              <w:t>2018:</w:t>
            </w:r>
          </w:p>
          <w:p>
            <w:pPr>
              <w:pStyle w:val="ListParagraph"/>
              <w:numPr>
                <w:ilvl w:val="0"/>
                <w:numId w:val="31"/>
              </w:numPr>
              <w:rPr>
                <w:noProof/>
              </w:rPr>
            </w:pPr>
            <w:r>
              <w:rPr>
                <w:noProof/>
              </w:rPr>
              <w:t>Inremarknadsklausul</w:t>
            </w:r>
          </w:p>
          <w:p>
            <w:pPr>
              <w:pStyle w:val="ListParagraph"/>
              <w:numPr>
                <w:ilvl w:val="0"/>
                <w:numId w:val="31"/>
              </w:numPr>
              <w:rPr>
                <w:noProof/>
              </w:rPr>
            </w:pPr>
            <w:r>
              <w:rPr>
                <w:noProof/>
              </w:rPr>
              <w:t xml:space="preserve">Löpande: Anpassa it-verktyg för marknadskontroll (t.ex. Rapex och ICSMS) i enlighet med den tillämpliga rättsliga grunden  </w:t>
            </w:r>
          </w:p>
          <w:p>
            <w:pPr>
              <w:pStyle w:val="ListParagraph"/>
              <w:numPr>
                <w:ilvl w:val="0"/>
                <w:numId w:val="31"/>
              </w:numPr>
              <w:rPr>
                <w:noProof/>
              </w:rPr>
            </w:pPr>
            <w:r>
              <w:rPr>
                <w:noProof/>
              </w:rPr>
              <w:t>Indikatorer för marknadskontroll</w:t>
            </w:r>
          </w:p>
          <w:p>
            <w:pPr>
              <w:pStyle w:val="ListParagraph"/>
              <w:numPr>
                <w:ilvl w:val="0"/>
                <w:numId w:val="31"/>
              </w:numPr>
              <w:rPr>
                <w:noProof/>
              </w:rPr>
            </w:pPr>
            <w:r>
              <w:rPr>
                <w:noProof/>
              </w:rPr>
              <w:t>Utarbeta informationskampanjer om ömsesidigt erkännande</w:t>
            </w:r>
          </w:p>
          <w:p>
            <w:pPr>
              <w:pStyle w:val="ListParagraph"/>
              <w:numPr>
                <w:ilvl w:val="0"/>
                <w:numId w:val="31"/>
              </w:numPr>
              <w:rPr>
                <w:noProof/>
              </w:rPr>
            </w:pPr>
            <w:r>
              <w:rPr>
                <w:noProof/>
              </w:rPr>
              <w:t>Utarbeta program för utbildning av utbildare i ömsesidigt erkännande</w:t>
            </w:r>
          </w:p>
          <w:p>
            <w:pPr>
              <w:pStyle w:val="ListParagraph"/>
              <w:numPr>
                <w:ilvl w:val="0"/>
                <w:numId w:val="31"/>
              </w:numPr>
              <w:rPr>
                <w:noProof/>
              </w:rPr>
            </w:pPr>
            <w:r>
              <w:rPr>
                <w:noProof/>
              </w:rPr>
              <w:t>Samarbetsstrategi för specifika sektorer enligt direktivet om insyn på den inre marknaden</w:t>
            </w:r>
          </w:p>
          <w:p>
            <w:pPr>
              <w:rPr>
                <w:i/>
                <w:noProof/>
                <w:szCs w:val="24"/>
              </w:rPr>
            </w:pPr>
            <w:r>
              <w:rPr>
                <w:i/>
                <w:noProof/>
                <w:szCs w:val="24"/>
              </w:rPr>
              <w:br/>
            </w:r>
            <w:r>
              <w:rPr>
                <w:i/>
                <w:noProof/>
              </w:rPr>
              <w:t>2019:</w:t>
            </w:r>
          </w:p>
          <w:p>
            <w:pPr>
              <w:pStyle w:val="ListParagraph"/>
              <w:numPr>
                <w:ilvl w:val="0"/>
                <w:numId w:val="32"/>
              </w:numPr>
              <w:rPr>
                <w:noProof/>
              </w:rPr>
            </w:pPr>
            <w:r>
              <w:rPr>
                <w:noProof/>
              </w:rPr>
              <w:t>Regelbok om ömsesidigt erkännande</w:t>
            </w:r>
          </w:p>
          <w:p>
            <w:pPr>
              <w:pStyle w:val="ListParagraph"/>
              <w:numPr>
                <w:ilvl w:val="0"/>
                <w:numId w:val="32"/>
              </w:numPr>
              <w:rPr>
                <w:noProof/>
              </w:rPr>
            </w:pPr>
            <w:r>
              <w:rPr>
                <w:noProof/>
              </w:rPr>
              <w:t>Utbyte av tjänstemän</w:t>
            </w:r>
          </w:p>
          <w:p>
            <w:pPr>
              <w:pStyle w:val="ListParagraph"/>
              <w:numPr>
                <w:ilvl w:val="0"/>
                <w:numId w:val="32"/>
              </w:numPr>
              <w:rPr>
                <w:noProof/>
              </w:rPr>
            </w:pPr>
            <w:r>
              <w:rPr>
                <w:noProof/>
              </w:rPr>
              <w:t>Undersöka vidareutveckling av den befintliga produktlistan för ömsesidigt erkännande</w:t>
            </w:r>
          </w:p>
          <w:p>
            <w:pPr>
              <w:pStyle w:val="ListParagraph"/>
              <w:rPr>
                <w:noProof/>
              </w:rPr>
            </w:pPr>
          </w:p>
        </w:tc>
      </w:tr>
    </w:tbl>
    <w:p>
      <w:pPr>
        <w:pStyle w:val="Text1"/>
        <w:ind w:left="0"/>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377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69306"/>
      <w:docPartObj>
        <w:docPartGallery w:val="Page Numbers (Bottom of Page)"/>
        <w:docPartUnique/>
      </w:docPartObj>
    </w:sdtPr>
    <w:sdtEndPr>
      <w:rPr>
        <w:noProof/>
      </w:rPr>
    </w:sdtEndPr>
    <w:sdtContent>
      <w:p>
        <w:pPr>
          <w:pStyle w:val="Footer"/>
          <w:spacing w:before="24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 xml:space="preserve"> </w:t>
      </w:r>
      <w:r>
        <w:tab/>
        <w:t>Källa: Eurostat (uppgifterna för 2016 är preliminära). Dessa uppgifter omfattar tillverkningsindustrin, utvinningsindustrin och allmännyttiga företag. De omfattar inte företagstjänster och byggindustri, som dock är nära kopplade till EU:s industri, inte minst mot bakgrund av den allt större roll som spelas av värdekedjor och tjänstefiering.</w:t>
      </w:r>
    </w:p>
  </w:footnote>
  <w:footnote w:id="3">
    <w:p>
      <w:pPr>
        <w:pStyle w:val="FootnoteText"/>
        <w:spacing w:after="0"/>
      </w:pPr>
      <w:r>
        <w:rPr>
          <w:rStyle w:val="FootnoteReference"/>
        </w:rPr>
        <w:footnoteRef/>
      </w:r>
      <w:r>
        <w:t xml:space="preserve"> </w:t>
      </w:r>
      <w:r>
        <w:tab/>
      </w:r>
      <w:r>
        <w:rPr>
          <w:i/>
        </w:rPr>
        <w:t>Att förbättra den inre marknaden – bättre möjligheter för individer och företag</w:t>
      </w:r>
      <w:r>
        <w:t>, COM(2015) 550 final, 28.10.2015.</w:t>
      </w:r>
    </w:p>
  </w:footnote>
  <w:footnote w:id="4">
    <w:p>
      <w:pPr>
        <w:pStyle w:val="FootnoteText"/>
        <w:spacing w:after="0"/>
      </w:pPr>
      <w:r>
        <w:rPr>
          <w:rStyle w:val="FootnoteReference"/>
        </w:rPr>
        <w:footnoteRef/>
      </w:r>
      <w:r>
        <w:t xml:space="preserve"> </w:t>
      </w:r>
      <w:r>
        <w:tab/>
        <w:t xml:space="preserve">Europaparlamentets resolution om strategin för den inre marknaden, 26 maj 2016 (P8_TA(2016)0237). Europeiska rådets slutsatser, 15 december 2015. </w:t>
      </w:r>
    </w:p>
  </w:footnote>
  <w:footnote w:id="5">
    <w:p>
      <w:pPr>
        <w:pStyle w:val="FootnoteText"/>
        <w:spacing w:after="0"/>
      </w:pPr>
      <w:r>
        <w:rPr>
          <w:rStyle w:val="FootnoteReference"/>
        </w:rPr>
        <w:footnoteRef/>
      </w:r>
      <w:r>
        <w:t xml:space="preserve"> </w:t>
      </w:r>
      <w:r>
        <w:tab/>
        <w:t xml:space="preserve">Europeiska rådets ledaragenda, </w:t>
      </w:r>
      <w:hyperlink r:id="rId1">
        <w:r>
          <w:rPr>
            <w:rStyle w:val="Hyperlink"/>
          </w:rPr>
          <w:t>http://www.consilium.europa.eu/media/21594/leaders-agenda.pdf</w:t>
        </w:r>
      </w:hyperlink>
      <w:r>
        <w:t>, oktober 2017.</w:t>
      </w:r>
    </w:p>
  </w:footnote>
  <w:footnote w:id="6">
    <w:p>
      <w:pPr>
        <w:pStyle w:val="FootnoteText"/>
        <w:spacing w:after="0"/>
      </w:pPr>
      <w:r>
        <w:rPr>
          <w:rStyle w:val="FootnoteReference"/>
        </w:rPr>
        <w:footnoteRef/>
      </w:r>
      <w:r>
        <w:t xml:space="preserve"> </w:t>
      </w:r>
      <w:r>
        <w:tab/>
        <w:t>Se paketet om immaterialrätt som kommissionen antog den 29 november 2017, med ett antal åtgärder, bl.a. meddelandet</w:t>
      </w:r>
      <w:r>
        <w:rPr>
          <w:color w:val="333333"/>
        </w:rPr>
        <w:t xml:space="preserve"> </w:t>
      </w:r>
      <w:r>
        <w:rPr>
          <w:i/>
          <w:color w:val="333333"/>
        </w:rPr>
        <w:t>A balanced IP enforcement system responding to today's societal challenges</w:t>
      </w:r>
      <w:r>
        <w:rPr>
          <w:color w:val="333333"/>
        </w:rPr>
        <w:t xml:space="preserve"> (</w:t>
      </w:r>
      <w:r>
        <w:t>SWD(2017) 430 final).</w:t>
      </w:r>
    </w:p>
  </w:footnote>
  <w:footnote w:id="7">
    <w:p>
      <w:pPr>
        <w:pStyle w:val="FootnoteText"/>
        <w:spacing w:after="0"/>
      </w:pPr>
      <w:r>
        <w:rPr>
          <w:rStyle w:val="FootnoteReference"/>
        </w:rPr>
        <w:footnoteRef/>
      </w:r>
      <w:r>
        <w:t xml:space="preserve"> </w:t>
      </w:r>
      <w:r>
        <w:tab/>
        <w:t>Förslag till Europaparlamentets och rådets förordning om fastställande av regler och förfaranden för överensstämmelse med och genomdrivande av unionens harmoniseringslagstiftning för produkter och om ändring av Europaparlamentets och rådets förordningar (EU) nr 305/2011, (EU) nr 528/2012, (EU) 2016/424, (EU) 2016/425, (EU) 2016/426 och (EU) 2017/1369 och Europaparlamentets och rådets direktiv 2004/42/EG, 2009/48/EG, 2010/35/EU, 2013/29/EU, 2013/53/EU, 2014/28/EU, 2014/29/EU, 2014/30/EU, 2014/31/EU, 2014/32/EU, 2014/33/EU, 2014/34/EU, 2014/35/EU, 2014/53/EU, 2014/68/EU och 2014/90/EU (COM(2017) 795).</w:t>
      </w:r>
    </w:p>
  </w:footnote>
  <w:footnote w:id="8">
    <w:p>
      <w:pPr>
        <w:pStyle w:val="FootnoteText"/>
        <w:spacing w:after="0"/>
      </w:pPr>
      <w:r>
        <w:rPr>
          <w:rStyle w:val="FootnoteReference"/>
        </w:rPr>
        <w:footnoteRef/>
      </w:r>
      <w:r>
        <w:t xml:space="preserve"> </w:t>
      </w:r>
      <w:r>
        <w:tab/>
        <w:t>Europaparlamentets och rådets förordning om ömsesidigt erkännande av varor som lagligen saluförs i en annan medlemsstat (COM(2017) 796).</w:t>
      </w:r>
    </w:p>
  </w:footnote>
  <w:footnote w:id="9">
    <w:p>
      <w:pPr>
        <w:pStyle w:val="FootnoteText"/>
        <w:spacing w:after="0"/>
      </w:pPr>
      <w:r>
        <w:rPr>
          <w:rStyle w:val="FootnoteReference"/>
        </w:rPr>
        <w:footnoteRef/>
      </w:r>
      <w:r>
        <w:t xml:space="preserve"> </w:t>
      </w:r>
      <w:r>
        <w:tab/>
        <w:t>Rapport från kommissionen till Europaparlamentet, rådet och Europeiska ekonomiska och sociala kommittén om tillämpningen av direktiv (EU) 2015/1535 åren 2014–2015 (COM(2017) 788).</w:t>
      </w:r>
    </w:p>
  </w:footnote>
  <w:footnote w:id="10">
    <w:p>
      <w:pPr>
        <w:pStyle w:val="FootnoteText"/>
        <w:spacing w:after="0"/>
      </w:pPr>
      <w:r>
        <w:rPr>
          <w:rStyle w:val="FootnoteReference"/>
        </w:rPr>
        <w:footnoteRef/>
      </w:r>
      <w:r>
        <w:t xml:space="preserve">     </w:t>
      </w:r>
      <w:r>
        <w:tab/>
        <w:t>Rapport från kommissionen till Europaparlamentet, rådet och Europeiska ekonomiska och sociala kommittén om genomförandet av Europaparlamentets och rådets förordning (EG) nr 765/2008 av den 9 juli 2008 om krav för ackreditering och marknadskontroll i samband med saluföring av produkter och upphävande av förordning (EEG) nr 339/93 (COM(2017) 789).</w:t>
      </w:r>
    </w:p>
  </w:footnote>
  <w:footnote w:id="11">
    <w:p>
      <w:pPr>
        <w:pStyle w:val="FootnoteText"/>
        <w:spacing w:after="0"/>
      </w:pPr>
      <w:r>
        <w:rPr>
          <w:rStyle w:val="FootnoteReference"/>
        </w:rPr>
        <w:footnoteRef/>
      </w:r>
      <w:r>
        <w:t xml:space="preserve"> </w:t>
      </w:r>
      <w:r>
        <w:tab/>
        <w:t>Källa: Rapex. Antalet omfattar endast produkter som omfattas av EU:s harmoniseringslagstiftning.</w:t>
      </w:r>
    </w:p>
  </w:footnote>
  <w:footnote w:id="12">
    <w:p>
      <w:pPr>
        <w:pStyle w:val="FootnoteText"/>
        <w:spacing w:after="0"/>
      </w:pPr>
      <w:r>
        <w:rPr>
          <w:rStyle w:val="FootnoteReference"/>
        </w:rPr>
        <w:footnoteRef/>
      </w:r>
      <w:r>
        <w:t xml:space="preserve"> </w:t>
      </w:r>
      <w:r>
        <w:tab/>
        <w:t xml:space="preserve">COM(2017) 479 final, </w:t>
      </w:r>
      <w:r>
        <w:rPr>
          <w:i/>
        </w:rPr>
        <w:t>Investera i en smart, innovativ och hållbar industri En förnyad strategi för EU:s industripolitik</w:t>
      </w:r>
      <w:r>
        <w:t>.</w:t>
      </w:r>
    </w:p>
  </w:footnote>
  <w:footnote w:id="13">
    <w:p>
      <w:pPr>
        <w:pStyle w:val="FootnoteText"/>
        <w:spacing w:after="0"/>
      </w:pPr>
      <w:r>
        <w:rPr>
          <w:rStyle w:val="FootnoteReference"/>
        </w:rPr>
        <w:footnoteRef/>
      </w:r>
      <w:r>
        <w:t xml:space="preserve"> </w:t>
      </w:r>
      <w:r>
        <w:tab/>
        <w:t xml:space="preserve">COM(2015) 192 final, </w:t>
      </w:r>
      <w:r>
        <w:rPr>
          <w:i/>
        </w:rPr>
        <w:t>En strategi för en inre digital marknad i Europa</w:t>
      </w:r>
      <w:r>
        <w:t>.</w:t>
      </w:r>
    </w:p>
  </w:footnote>
  <w:footnote w:id="14">
    <w:p>
      <w:pPr>
        <w:pStyle w:val="FootnoteText"/>
        <w:spacing w:after="0"/>
      </w:pPr>
      <w:r>
        <w:rPr>
          <w:rStyle w:val="FootnoteReference"/>
        </w:rPr>
        <w:footnoteRef/>
      </w:r>
      <w:r>
        <w:t xml:space="preserve"> </w:t>
      </w:r>
      <w:r>
        <w:tab/>
        <w:t>https://ec.europa.eu/digital-single-market/en/news/digital-single-market-mid-term-review</w:t>
      </w:r>
    </w:p>
  </w:footnote>
  <w:footnote w:id="15">
    <w:p>
      <w:pPr>
        <w:pStyle w:val="FootnoteText"/>
        <w:spacing w:after="0"/>
      </w:pPr>
      <w:r>
        <w:rPr>
          <w:rStyle w:val="FootnoteReference"/>
        </w:rPr>
        <w:footnoteRef/>
      </w:r>
      <w:r>
        <w:t xml:space="preserve"> </w:t>
      </w:r>
      <w:r>
        <w:tab/>
        <w:t xml:space="preserve">COM(2014) 527 final, </w:t>
      </w:r>
      <w:r>
        <w:rPr>
          <w:i/>
        </w:rPr>
        <w:t>EU:s strategi och handlingsplan för riskhantering på tullområdet: Hantera risker, stärka säkerheten i leveranskedjan och underlätta handeln</w:t>
      </w:r>
      <w:r>
        <w:t>.</w:t>
      </w:r>
    </w:p>
  </w:footnote>
  <w:footnote w:id="16">
    <w:p>
      <w:pPr>
        <w:pStyle w:val="FootnoteText"/>
        <w:spacing w:after="0"/>
      </w:pPr>
      <w:r>
        <w:rPr>
          <w:rStyle w:val="FootnoteReference"/>
        </w:rPr>
        <w:footnoteRef/>
      </w:r>
      <w:r>
        <w:t xml:space="preserve">    Kommissionens diskussionsunderlag om att möta globaliseringen, 10 maj 2017.</w:t>
      </w:r>
    </w:p>
  </w:footnote>
  <w:footnote w:id="17">
    <w:p>
      <w:pPr>
        <w:pStyle w:val="FootnoteText"/>
      </w:pPr>
      <w:r>
        <w:rPr>
          <w:rStyle w:val="FootnoteReference"/>
        </w:rPr>
        <w:footnoteRef/>
      </w:r>
      <w:r>
        <w:t xml:space="preserve"> </w:t>
      </w:r>
      <w:r>
        <w:tab/>
        <w:t>Genomdrivandeförordningen bör emellertid enligt principen om lex specialis vara tillämplig endast i den mån det inte finns några särskilda bestämmelser med samma syfte, av samma natur eller med samma verkan som dem i annan, befintlig eller framtida, harmoniserad EU-lagstiftning. Detta är särskilt relevant för EU-lagstiftningen om bl.a. narkotikaprekursorer, medicintekniska produkter och produkter för in vitro-diagnostik.</w:t>
      </w:r>
    </w:p>
  </w:footnote>
  <w:footnote w:id="18">
    <w:p>
      <w:pPr>
        <w:pStyle w:val="FootnoteText"/>
        <w:spacing w:after="0"/>
      </w:pPr>
      <w:r>
        <w:rPr>
          <w:rStyle w:val="FootnoteReference"/>
        </w:rPr>
        <w:footnoteRef/>
      </w:r>
      <w:r>
        <w:t xml:space="preserve"> </w:t>
      </w:r>
      <w:r>
        <w:tab/>
        <w:t>En produkt får endast släppas ut på marknaden om en person som är ansvarig för informationen om överensstämmelse är etablerad i EU och kan kontaktas direkt av marknadskontrollmyndigheterna. Denna person kan vara tillverkaren, importören eller någon annan ekonomisk aktör som utsetts av tillverkaren, och personen ska ha den tekniska dokumentationen, inklusive EU-försäkran om överensstämmelse, för produkten tillgänglig och på begäran lämna den till marknadskontrollmyndigheterna.</w:t>
      </w:r>
    </w:p>
  </w:footnote>
  <w:footnote w:id="19">
    <w:p>
      <w:pPr>
        <w:pStyle w:val="FootnoteText"/>
        <w:spacing w:after="0"/>
      </w:pPr>
      <w:r>
        <w:rPr>
          <w:rStyle w:val="FootnoteReference"/>
        </w:rPr>
        <w:footnoteRef/>
      </w:r>
      <w:r>
        <w:t xml:space="preserve"> </w:t>
      </w:r>
      <w:r>
        <w:tab/>
        <w:t xml:space="preserve">Vid immaterialrättsintrång används samförståndsavtal mellan partner i näringslivet, se kommissionens meddelande </w:t>
      </w:r>
      <w:r>
        <w:rPr>
          <w:i/>
        </w:rPr>
        <w:t>A balanced IP enforcement system responding to today's societal challenges</w:t>
      </w:r>
      <w:r>
        <w:t xml:space="preserve"> (SWD(2017) 430 final), s. 8. </w:t>
      </w:r>
    </w:p>
  </w:footnote>
  <w:footnote w:id="20">
    <w:p>
      <w:pPr>
        <w:pStyle w:val="FootnoteText"/>
        <w:spacing w:after="0"/>
      </w:pPr>
      <w:r>
        <w:rPr>
          <w:rStyle w:val="FootnoteReference"/>
        </w:rPr>
        <w:footnoteRef/>
      </w:r>
      <w:r>
        <w:t xml:space="preserve"> </w:t>
      </w:r>
      <w:r>
        <w:tab/>
        <w:t>https://ec.europa.eu/growth/single-market/goods/free-movement-sectors/mutual-recognition/contacts-list_fr</w:t>
      </w:r>
    </w:p>
  </w:footnote>
  <w:footnote w:id="21">
    <w:p>
      <w:pPr>
        <w:pStyle w:val="FootnoteText"/>
        <w:spacing w:after="0"/>
      </w:pPr>
      <w:r>
        <w:rPr>
          <w:rStyle w:val="FootnoteReference"/>
        </w:rPr>
        <w:footnoteRef/>
      </w:r>
      <w:r>
        <w:t xml:space="preserve"> </w:t>
      </w:r>
      <w:r>
        <w:tab/>
        <w:t>SWD(2017) 466: Arbetsdokument från kommissionens avdelningar, konsekvensbedömning som åtföljer förslaget till Europaparlamentets och rådets förordning om fastställande av regler och förfaranden för överensstämmelse med och genomdrivande av unionens harmoniseringslagstiftning för produkter och om ändring av Europaparlamentets och rådets förordningar (EU) nr 305/2011, (EU) nr 528/2012, (EU) 2016/424, (EU) 2016/425, (EU) 2016/426 och (EU) 2017/1369 och Europaparlamentets och rådets direktiv 2004/42/EG, 2009/48/EG, 2010/35/EU, 2013/29/EU, 2013/53/EU, 2014/28/EU, 2014/29/EU, 2014/30/EU, 2014/31/EU, 2014/32/EU, 2014/33/EU, 2014/34/EU, 2014/35/EU, 2014/53/EU, 2014/68/EU och 2014/90/EU.</w:t>
      </w:r>
    </w:p>
  </w:footnote>
  <w:footnote w:id="22">
    <w:p>
      <w:pPr>
        <w:pStyle w:val="FootnoteText"/>
        <w:spacing w:after="0"/>
      </w:pPr>
      <w:r>
        <w:rPr>
          <w:rStyle w:val="FootnoteReference"/>
        </w:rPr>
        <w:footnoteRef/>
      </w:r>
      <w:r>
        <w:t xml:space="preserve"> </w:t>
      </w:r>
      <w:r>
        <w:tab/>
        <w:t>Dessa intressen är bl.a.  allmän moral, allmän ordning eller allmän säkerhet, skydd av människors och djurs hälsa och liv, växtskydd, skydd av nationella skatter av konstnärligt, historiskt eller arkeologiskt värde samt skydd av immateriella rättigheter.</w:t>
      </w:r>
    </w:p>
  </w:footnote>
  <w:footnote w:id="23">
    <w:p>
      <w:pPr>
        <w:pStyle w:val="FootnoteText"/>
        <w:spacing w:after="0"/>
      </w:pPr>
      <w:r>
        <w:rPr>
          <w:rStyle w:val="FootnoteReference"/>
        </w:rPr>
        <w:footnoteRef/>
      </w:r>
      <w:r>
        <w:t xml:space="preserve">  </w:t>
      </w:r>
      <w:r>
        <w:tab/>
        <w:t xml:space="preserve">Se även rapporten ”The Cost of Non- Europe in the Single Market, 'Cecchini Revisited', An overview of the potential economic gains from further completion of the European Single Market”, http://www.europarl.europa.eu/RegData/etudes/STUD/2014/510981 /EPRS STU(2014)510981 REVl_EN.pdf.  </w:t>
      </w:r>
    </w:p>
  </w:footnote>
  <w:footnote w:id="24">
    <w:p>
      <w:pPr>
        <w:pStyle w:val="FootnoteText"/>
        <w:spacing w:after="0"/>
      </w:pPr>
      <w:r>
        <w:rPr>
          <w:rStyle w:val="FootnoteReference"/>
        </w:rPr>
        <w:footnoteRef/>
      </w:r>
      <w:r>
        <w:t xml:space="preserve">  </w:t>
      </w:r>
      <w:r>
        <w:tab/>
        <w:t>Se föregående.</w:t>
      </w:r>
    </w:p>
  </w:footnote>
  <w:footnote w:id="25">
    <w:p>
      <w:pPr>
        <w:pStyle w:val="FootnoteText"/>
        <w:spacing w:after="0"/>
      </w:pPr>
      <w:r>
        <w:rPr>
          <w:rStyle w:val="FootnoteReference"/>
        </w:rPr>
        <w:footnoteRef/>
      </w:r>
      <w:r>
        <w:t xml:space="preserve">    Artiklarna 34 och 36 i fördraget.</w:t>
      </w:r>
    </w:p>
  </w:footnote>
  <w:footnote w:id="26">
    <w:p>
      <w:pPr>
        <w:pStyle w:val="FootnoteText"/>
        <w:spacing w:after="0"/>
      </w:pPr>
      <w:r>
        <w:rPr>
          <w:rStyle w:val="FootnoteReference"/>
        </w:rPr>
        <w:footnoteRef/>
      </w:r>
      <w:r>
        <w:t xml:space="preserve"> </w:t>
      </w:r>
      <w:r>
        <w:tab/>
        <w:t>Europaparlamentets och rådets förordning (EG) nr 764/2008 av den 9 juli 2008 om förfaranden för tillämpning av vissa nationella tekniska regler på produkter som lagligen saluförts i en annan medlemsstat och om upphävande av beslut nr 3052/95/EG (EUT L 218, 13.8.2008, s. 21).</w:t>
      </w:r>
    </w:p>
  </w:footnote>
  <w:footnote w:id="27">
    <w:p>
      <w:pPr>
        <w:pStyle w:val="FootnoteText"/>
        <w:spacing w:after="0"/>
        <w:rPr>
          <w:rStyle w:val="FootnoteReference"/>
        </w:rPr>
      </w:pPr>
      <w:r>
        <w:rPr>
          <w:rStyle w:val="FootnoteReference"/>
        </w:rPr>
        <w:footnoteRef/>
      </w:r>
      <w:r>
        <w:rPr>
          <w:rStyle w:val="FootnoteReference"/>
        </w:rPr>
        <w:t xml:space="preserve"> </w:t>
      </w:r>
      <w:r>
        <w:tab/>
        <w:t>Produktkontaktpunkter är gränssnittet mellan näringslivet och de nationella förvaltningarna och det ställe där man hittar information om alla tillämpliga nationella bestämmelser.</w:t>
      </w:r>
      <w:r>
        <w:rPr>
          <w:rStyle w:val="FootnoteReference"/>
          <w:vertAlign w:val="baseline"/>
        </w:rPr>
        <w:t xml:space="preserve"> </w:t>
      </w:r>
    </w:p>
  </w:footnote>
  <w:footnote w:id="28">
    <w:p>
      <w:pPr>
        <w:pStyle w:val="FootnoteText"/>
        <w:spacing w:after="0"/>
      </w:pPr>
      <w:r>
        <w:rPr>
          <w:rStyle w:val="FootnoteReference"/>
        </w:rPr>
        <w:footnoteRef/>
      </w:r>
      <w:r>
        <w:tab/>
      </w:r>
      <w:hyperlink r:id="rId2">
        <w:r>
          <w:rPr>
            <w:rStyle w:val="Hyperlink"/>
          </w:rPr>
          <w:t>http://ec.europa.eu/growth/single-market/goods/free-movement-sectors/mutual-recognition/products-list_en</w:t>
        </w:r>
      </w:hyperlink>
      <w:r>
        <w:t xml:space="preserve"> </w:t>
      </w:r>
    </w:p>
  </w:footnote>
  <w:footnote w:id="29">
    <w:p>
      <w:pPr>
        <w:spacing w:after="0"/>
        <w:ind w:left="357" w:hanging="357"/>
        <w:rPr>
          <w:i/>
          <w:sz w:val="20"/>
        </w:rPr>
      </w:pPr>
      <w:r>
        <w:rPr>
          <w:rStyle w:val="FootnoteReference"/>
          <w:sz w:val="20"/>
        </w:rPr>
        <w:footnoteRef/>
      </w:r>
      <w:r>
        <w:rPr>
          <w:rStyle w:val="FootnoteReference"/>
          <w:sz w:val="20"/>
        </w:rPr>
        <w:t xml:space="preserve"> </w:t>
      </w:r>
      <w:r>
        <w:tab/>
      </w:r>
      <w:r>
        <w:rPr>
          <w:sz w:val="20"/>
        </w:rPr>
        <w:t>Detta gäller inte produkter med ursprung i Eftastaterna och Turkiet som har undantagits från EES-avtalet eller från tullunionen med Turkiet (t.ex. fisk och fiskeriprodukter).</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201743"/>
    <w:multiLevelType w:val="hybridMultilevel"/>
    <w:tmpl w:val="106A2184"/>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530A4"/>
    <w:multiLevelType w:val="multilevel"/>
    <w:tmpl w:val="F726392E"/>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BC186E2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3556"/>
        </w:tabs>
        <w:ind w:left="3556"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E44180"/>
    <w:multiLevelType w:val="multilevel"/>
    <w:tmpl w:val="0A887394"/>
    <w:lvl w:ilvl="0">
      <w:start w:val="1"/>
      <w:numFmt w:val="decimal"/>
      <w:lvlRestart w:val="0"/>
      <w:lvlText w:val="%1."/>
      <w:lvlJc w:val="left"/>
      <w:pPr>
        <w:tabs>
          <w:tab w:val="num" w:pos="850"/>
        </w:tabs>
        <w:ind w:left="850" w:hanging="850"/>
      </w:pPr>
      <w:rPr>
        <w:i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78351F"/>
    <w:multiLevelType w:val="hybridMultilevel"/>
    <w:tmpl w:val="4698BDB8"/>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F72E2E"/>
    <w:multiLevelType w:val="hybridMultilevel"/>
    <w:tmpl w:val="A0B865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D74D0F"/>
    <w:multiLevelType w:val="hybridMultilevel"/>
    <w:tmpl w:val="0B287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3E28334E"/>
    <w:multiLevelType w:val="hybridMultilevel"/>
    <w:tmpl w:val="6844566E"/>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B5A4B9D"/>
    <w:multiLevelType w:val="hybridMultilevel"/>
    <w:tmpl w:val="3B7EB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5F464186"/>
    <w:multiLevelType w:val="hybridMultilevel"/>
    <w:tmpl w:val="7E56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2A632C"/>
    <w:multiLevelType w:val="hybridMultilevel"/>
    <w:tmpl w:val="EEE4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nsid w:val="6A1B4EB0"/>
    <w:multiLevelType w:val="hybridMultilevel"/>
    <w:tmpl w:val="C59C792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0B4455"/>
    <w:multiLevelType w:val="hybridMultilevel"/>
    <w:tmpl w:val="52249FF6"/>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1">
    <w:nsid w:val="757D1A09"/>
    <w:multiLevelType w:val="hybridMultilevel"/>
    <w:tmpl w:val="F6663F6A"/>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2">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7"/>
  </w:num>
  <w:num w:numId="5">
    <w:abstractNumId w:val="8"/>
  </w:num>
  <w:num w:numId="6">
    <w:abstractNumId w:val="16"/>
  </w:num>
  <w:num w:numId="7">
    <w:abstractNumId w:val="26"/>
  </w:num>
  <w:num w:numId="8">
    <w:abstractNumId w:val="28"/>
  </w:num>
  <w:num w:numId="9">
    <w:abstractNumId w:val="13"/>
  </w:num>
  <w:num w:numId="10">
    <w:abstractNumId w:val="25"/>
  </w:num>
  <w:num w:numId="11">
    <w:abstractNumId w:val="22"/>
  </w:num>
  <w:num w:numId="12">
    <w:abstractNumId w:val="19"/>
  </w:num>
  <w:num w:numId="13">
    <w:abstractNumId w:val="20"/>
  </w:num>
  <w:num w:numId="14">
    <w:abstractNumId w:val="6"/>
  </w:num>
  <w:num w:numId="15">
    <w:abstractNumId w:val="14"/>
  </w:num>
  <w:num w:numId="16">
    <w:abstractNumId w:val="4"/>
  </w:num>
  <w:num w:numId="17">
    <w:abstractNumId w:val="10"/>
  </w:num>
  <w:num w:numId="18">
    <w:abstractNumId w:val="29"/>
  </w:num>
  <w:num w:numId="19">
    <w:abstractNumId w:val="12"/>
  </w:num>
  <w:num w:numId="20">
    <w:abstractNumId w:val="32"/>
  </w:num>
  <w:num w:numId="21">
    <w:abstractNumId w:val="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3"/>
  </w:num>
  <w:num w:numId="33">
    <w:abstractNumId w:val="2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9"/>
  </w:num>
  <w:num w:numId="41">
    <w:abstractNumId w:val="2"/>
  </w:num>
  <w:num w:numId="42">
    <w:abstractNumId w:val="30"/>
  </w:num>
  <w:num w:numId="43">
    <w:abstractNumId w:val="18"/>
  </w:num>
  <w:num w:numId="44">
    <w:abstractNumId w:val="27"/>
  </w:num>
  <w:num w:numId="45">
    <w:abstractNumId w:val="5"/>
  </w:num>
  <w:num w:numId="46">
    <w:abstractNumId w:val="27"/>
  </w:num>
  <w:num w:numId="47">
    <w:abstractNumId w:val="11"/>
  </w:num>
  <w:num w:numId="48">
    <w:abstractNumId w:val="5"/>
  </w:num>
  <w:num w:numId="49">
    <w:abstractNumId w:val="5"/>
  </w:num>
  <w:num w:numId="5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9B83F6EE-AC6A-4B1A-9E5C-19D157F4086E"/>
    <w:docVar w:name="LW_COVERPAGE_TYPE" w:val="1"/>
    <w:docVar w:name="LW_CROSSREFERENCE" w:val="&lt;UNUSED&gt;"/>
    <w:docVar w:name="LW_DocType" w:val="REP"/>
    <w:docVar w:name="LW_EMISSION" w:val="19.12.2017"/>
    <w:docVar w:name="LW_EMISSION_ISODATE" w:val="2017-12-19"/>
    <w:docVar w:name="LW_EMISSION_LOCATION" w:val="BRX"/>
    <w:docVar w:name="LW_EMISSION_PREFIX" w:val="Bryssel den "/>
    <w:docVar w:name="LW_EMISSION_SUFFIX" w:val="&lt;EMPTY&gt;"/>
    <w:docVar w:name="LW_ID_DOCTYPE_NONLW" w:val="CP-013"/>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7) 7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Varupaketet: stärkt förtroende för den inre marknaden"/>
    <w:docVar w:name="LW_TYPE.DOC.CP" w:val="MEDDELANDE FRÅN KOMMISSIONEN TILL EUROPAPARLAMENTET, RÅDET OCH EUROPEISKA EKONOMISKA OCH SOCIALA KOMMITTÉ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qFormat="1"/>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aliases w:val="M Caption,Char Char Char,Caption1 Char Char Char Char Char Char Char Char Tegn Tegn Tegn Tegn Tegn,Caption1 Char Char Char Char Char Char Char Char Tegn Tegn Tegn,Caption1 Char Char Char Char Char Char Char Char Tegn Tegn,Ch,Inscription,C,label"/>
    <w:basedOn w:val="Normal"/>
    <w:next w:val="Normal"/>
    <w:link w:val="CaptionChar"/>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eastAsiaTheme="minorHAnsi"/>
      <w:sz w:val="24"/>
      <w:szCs w:val="22"/>
      <w:lang w:eastAsia="sv-SE"/>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Manu">
    <w:name w:val="Manu"/>
    <w:basedOn w:val="ListNumber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sv-SE"/>
    </w:rPr>
  </w:style>
  <w:style w:type="paragraph" w:customStyle="1" w:styleId="Ann">
    <w:name w:val="Ann"/>
    <w:basedOn w:val="Text1"/>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R,F"/>
    <w:basedOn w:val="DefaultParagraphFont"/>
    <w:link w:val="FootnotesymbolCarZchn"/>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sv-SE"/>
    </w:rPr>
  </w:style>
  <w:style w:type="character" w:customStyle="1" w:styleId="CommentSubjectChar">
    <w:name w:val="Comment Subject Char"/>
    <w:basedOn w:val="CommentTextChar"/>
    <w:link w:val="CommentSubject"/>
    <w:uiPriority w:val="99"/>
    <w:semiHidden/>
    <w:rPr>
      <w:b/>
      <w:bCs/>
      <w:lang w:eastAsia="sv-SE"/>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rPr>
      <w:lang w:eastAsia="sv-SE"/>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ListParagraph">
    <w:name w:val="List Paragraph"/>
    <w:basedOn w:val="Normal"/>
    <w:uiPriority w:val="34"/>
    <w:qFormat/>
    <w:pPr>
      <w:spacing w:after="0"/>
      <w:ind w:left="720"/>
      <w:jc w:val="left"/>
    </w:pPr>
    <w:rPr>
      <w:rFonts w:eastAsiaTheme="minorHAnsi"/>
      <w:szCs w:val="24"/>
    </w:rPr>
  </w:style>
  <w:style w:type="character" w:customStyle="1" w:styleId="Heading2Char">
    <w:name w:val="Heading 2 Char"/>
    <w:basedOn w:val="DefaultParagraphFont"/>
    <w:link w:val="Heading2"/>
    <w:rPr>
      <w:b/>
      <w:sz w:val="24"/>
      <w:lang w:eastAsia="sv-S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link w:val="Text1"/>
    <w:rPr>
      <w:sz w:val="24"/>
      <w:lang w:eastAsia="sv-SE"/>
    </w:rPr>
  </w:style>
  <w:style w:type="character" w:customStyle="1" w:styleId="CaptionChar">
    <w:name w:val="Caption Char"/>
    <w:aliases w:val="M Caption Char,Char Char Char Char,Caption1 Char Char Char Char Char Char Char Char Tegn Tegn Tegn Tegn Tegn Char,Caption1 Char Char Char Char Char Char Char Char Tegn Tegn Tegn Char,Ch Char,Inscription Char,C Char,label Char"/>
    <w:basedOn w:val="DefaultParagraphFont"/>
    <w:link w:val="Caption"/>
    <w:rPr>
      <w:b/>
      <w:sz w:val="24"/>
      <w:lang w:eastAsia="sv-SE"/>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Cs/>
      <w:color w:val="595959" w:themeColor="text1" w:themeTint="A6"/>
      <w:sz w:val="18"/>
    </w:rPr>
  </w:style>
  <w:style w:type="paragraph" w:styleId="Revision">
    <w:name w:val="Revision"/>
    <w:hidden/>
    <w:uiPriority w:val="99"/>
    <w:semiHidden/>
    <w:rPr>
      <w:sz w:val="24"/>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qFormat="1"/>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aliases w:val="M Caption,Char Char Char,Caption1 Char Char Char Char Char Char Char Char Tegn Tegn Tegn Tegn Tegn,Caption1 Char Char Char Char Char Char Char Char Tegn Tegn Tegn,Caption1 Char Char Char Char Char Char Char Char Tegn Tegn,Ch,Inscription,C,label"/>
    <w:basedOn w:val="Normal"/>
    <w:next w:val="Normal"/>
    <w:link w:val="CaptionChar"/>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eastAsiaTheme="minorHAnsi"/>
      <w:sz w:val="24"/>
      <w:szCs w:val="22"/>
      <w:lang w:eastAsia="sv-SE"/>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Manu">
    <w:name w:val="Manu"/>
    <w:basedOn w:val="ListNumber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sv-SE"/>
    </w:rPr>
  </w:style>
  <w:style w:type="paragraph" w:customStyle="1" w:styleId="Ann">
    <w:name w:val="Ann"/>
    <w:basedOn w:val="Text1"/>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R,F"/>
    <w:basedOn w:val="DefaultParagraphFont"/>
    <w:link w:val="FootnotesymbolCarZchn"/>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sv-SE"/>
    </w:rPr>
  </w:style>
  <w:style w:type="character" w:customStyle="1" w:styleId="CommentSubjectChar">
    <w:name w:val="Comment Subject Char"/>
    <w:basedOn w:val="CommentTextChar"/>
    <w:link w:val="CommentSubject"/>
    <w:uiPriority w:val="99"/>
    <w:semiHidden/>
    <w:rPr>
      <w:b/>
      <w:bCs/>
      <w:lang w:eastAsia="sv-SE"/>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rPr>
      <w:lang w:eastAsia="sv-SE"/>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ListParagraph">
    <w:name w:val="List Paragraph"/>
    <w:basedOn w:val="Normal"/>
    <w:uiPriority w:val="34"/>
    <w:qFormat/>
    <w:pPr>
      <w:spacing w:after="0"/>
      <w:ind w:left="720"/>
      <w:jc w:val="left"/>
    </w:pPr>
    <w:rPr>
      <w:rFonts w:eastAsiaTheme="minorHAnsi"/>
      <w:szCs w:val="24"/>
    </w:rPr>
  </w:style>
  <w:style w:type="character" w:customStyle="1" w:styleId="Heading2Char">
    <w:name w:val="Heading 2 Char"/>
    <w:basedOn w:val="DefaultParagraphFont"/>
    <w:link w:val="Heading2"/>
    <w:rPr>
      <w:b/>
      <w:sz w:val="24"/>
      <w:lang w:eastAsia="sv-S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link w:val="Text1"/>
    <w:rPr>
      <w:sz w:val="24"/>
      <w:lang w:eastAsia="sv-SE"/>
    </w:rPr>
  </w:style>
  <w:style w:type="character" w:customStyle="1" w:styleId="CaptionChar">
    <w:name w:val="Caption Char"/>
    <w:aliases w:val="M Caption Char,Char Char Char Char,Caption1 Char Char Char Char Char Char Char Char Tegn Tegn Tegn Tegn Tegn Char,Caption1 Char Char Char Char Char Char Char Char Tegn Tegn Tegn Char,Ch Char,Inscription Char,C Char,label Char"/>
    <w:basedOn w:val="DefaultParagraphFont"/>
    <w:link w:val="Caption"/>
    <w:rPr>
      <w:b/>
      <w:sz w:val="24"/>
      <w:lang w:eastAsia="sv-SE"/>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Cs/>
      <w:color w:val="595959" w:themeColor="text1" w:themeTint="A6"/>
      <w:sz w:val="18"/>
    </w:rPr>
  </w:style>
  <w:style w:type="paragraph" w:styleId="Revision">
    <w:name w:val="Revision"/>
    <w:hidden/>
    <w:uiPriority w:val="99"/>
    <w:semiHidden/>
    <w:rPr>
      <w:sz w:val="24"/>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3595">
      <w:bodyDiv w:val="1"/>
      <w:marLeft w:val="0"/>
      <w:marRight w:val="0"/>
      <w:marTop w:val="0"/>
      <w:marBottom w:val="0"/>
      <w:divBdr>
        <w:top w:val="none" w:sz="0" w:space="0" w:color="auto"/>
        <w:left w:val="none" w:sz="0" w:space="0" w:color="auto"/>
        <w:bottom w:val="none" w:sz="0" w:space="0" w:color="auto"/>
        <w:right w:val="none" w:sz="0" w:space="0" w:color="auto"/>
      </w:divBdr>
    </w:div>
    <w:div w:id="342634975">
      <w:bodyDiv w:val="1"/>
      <w:marLeft w:val="0"/>
      <w:marRight w:val="0"/>
      <w:marTop w:val="0"/>
      <w:marBottom w:val="0"/>
      <w:divBdr>
        <w:top w:val="none" w:sz="0" w:space="0" w:color="auto"/>
        <w:left w:val="none" w:sz="0" w:space="0" w:color="auto"/>
        <w:bottom w:val="none" w:sz="0" w:space="0" w:color="auto"/>
        <w:right w:val="none" w:sz="0" w:space="0" w:color="auto"/>
      </w:divBdr>
    </w:div>
    <w:div w:id="373701993">
      <w:bodyDiv w:val="1"/>
      <w:marLeft w:val="0"/>
      <w:marRight w:val="0"/>
      <w:marTop w:val="0"/>
      <w:marBottom w:val="0"/>
      <w:divBdr>
        <w:top w:val="none" w:sz="0" w:space="0" w:color="auto"/>
        <w:left w:val="none" w:sz="0" w:space="0" w:color="auto"/>
        <w:bottom w:val="none" w:sz="0" w:space="0" w:color="auto"/>
        <w:right w:val="none" w:sz="0" w:space="0" w:color="auto"/>
      </w:divBdr>
    </w:div>
    <w:div w:id="634913740">
      <w:bodyDiv w:val="1"/>
      <w:marLeft w:val="0"/>
      <w:marRight w:val="0"/>
      <w:marTop w:val="0"/>
      <w:marBottom w:val="0"/>
      <w:divBdr>
        <w:top w:val="none" w:sz="0" w:space="0" w:color="auto"/>
        <w:left w:val="none" w:sz="0" w:space="0" w:color="auto"/>
        <w:bottom w:val="none" w:sz="0" w:space="0" w:color="auto"/>
        <w:right w:val="none" w:sz="0" w:space="0" w:color="auto"/>
      </w:divBdr>
    </w:div>
    <w:div w:id="1244992908">
      <w:bodyDiv w:val="1"/>
      <w:marLeft w:val="0"/>
      <w:marRight w:val="0"/>
      <w:marTop w:val="0"/>
      <w:marBottom w:val="0"/>
      <w:divBdr>
        <w:top w:val="none" w:sz="0" w:space="0" w:color="auto"/>
        <w:left w:val="none" w:sz="0" w:space="0" w:color="auto"/>
        <w:bottom w:val="none" w:sz="0" w:space="0" w:color="auto"/>
        <w:right w:val="none" w:sz="0" w:space="0" w:color="auto"/>
      </w:divBdr>
    </w:div>
    <w:div w:id="1284265687">
      <w:bodyDiv w:val="1"/>
      <w:marLeft w:val="0"/>
      <w:marRight w:val="0"/>
      <w:marTop w:val="0"/>
      <w:marBottom w:val="0"/>
      <w:divBdr>
        <w:top w:val="none" w:sz="0" w:space="0" w:color="auto"/>
        <w:left w:val="none" w:sz="0" w:space="0" w:color="auto"/>
        <w:bottom w:val="none" w:sz="0" w:space="0" w:color="auto"/>
        <w:right w:val="none" w:sz="0" w:space="0" w:color="auto"/>
      </w:divBdr>
    </w:div>
    <w:div w:id="1298757890">
      <w:bodyDiv w:val="1"/>
      <w:marLeft w:val="0"/>
      <w:marRight w:val="0"/>
      <w:marTop w:val="0"/>
      <w:marBottom w:val="0"/>
      <w:divBdr>
        <w:top w:val="none" w:sz="0" w:space="0" w:color="auto"/>
        <w:left w:val="none" w:sz="0" w:space="0" w:color="auto"/>
        <w:bottom w:val="none" w:sz="0" w:space="0" w:color="auto"/>
        <w:right w:val="none" w:sz="0" w:space="0" w:color="auto"/>
      </w:divBdr>
    </w:div>
    <w:div w:id="1786346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growth/single-market/goods/free-movement-sectors/mutual-recognition/products-list_en" TargetMode="External"/><Relationship Id="rId1" Type="http://schemas.openxmlformats.org/officeDocument/2006/relationships/hyperlink" Target="http://www.consilium.europa.eu/media/21594/leaders-age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0CFE-7FEA-4C96-A68C-E5E5911E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3527</Words>
  <Characters>21198</Characters>
  <Application>Microsoft Office Word</Application>
  <DocSecurity>0</DocSecurity>
  <PresentationFormat>Microsoft Word 14.0</PresentationFormat>
  <Lines>331</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2017-12-15T16:01:00Z</dcterms:created>
  <dcterms:modified xsi:type="dcterms:W3CDTF">2018-01-03T13:03:00Z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