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20A" w:rsidRPr="005F31CD" w:rsidRDefault="005D0524" w:rsidP="005D0524">
      <w:pPr>
        <w:pStyle w:val="Pagedecouverture"/>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8666DAE2-CBBD-4E96-A3FF-20AC0E937A79" style="width:450.8pt;height:459.55pt">
            <v:imagedata r:id="rId9" o:title=""/>
          </v:shape>
        </w:pict>
      </w:r>
    </w:p>
    <w:p w:rsidR="0087220A" w:rsidRPr="005F31CD" w:rsidRDefault="0087220A">
      <w:pPr>
        <w:sectPr w:rsidR="0087220A" w:rsidRPr="005F31CD" w:rsidSect="005D0524">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87220A" w:rsidRPr="005F31CD" w:rsidRDefault="003C2110">
      <w:pPr>
        <w:pStyle w:val="Exposdesmotifstitre"/>
      </w:pPr>
      <w:r w:rsidRPr="005F31CD">
        <w:lastRenderedPageBreak/>
        <w:t>DÔVODOVÁ SPRÁVA</w:t>
      </w:r>
    </w:p>
    <w:p w:rsidR="003C2110" w:rsidRPr="005F31CD" w:rsidRDefault="003C2110" w:rsidP="003C2110">
      <w:pPr>
        <w:pStyle w:val="ManualHeading1"/>
      </w:pPr>
      <w:r w:rsidRPr="005F31CD">
        <w:t>1.</w:t>
      </w:r>
      <w:r w:rsidRPr="005F31CD">
        <w:tab/>
        <w:t>KONTEXT NÁVRHU</w:t>
      </w:r>
    </w:p>
    <w:p w:rsidR="003C2110" w:rsidRPr="005F31CD" w:rsidRDefault="003C2110" w:rsidP="003C2110">
      <w:pPr>
        <w:pStyle w:val="ManualHeading2"/>
        <w:rPr>
          <w:rFonts w:eastAsia="Arial Unicode MS"/>
        </w:rPr>
      </w:pPr>
      <w:r w:rsidRPr="005F31CD">
        <w:rPr>
          <w:color w:val="000000"/>
          <w:u w:color="000000"/>
          <w:bdr w:val="nil"/>
        </w:rPr>
        <w:t>•</w:t>
      </w:r>
      <w:r w:rsidRPr="005F31CD">
        <w:tab/>
        <w:t>Dôvody</w:t>
      </w:r>
      <w:r w:rsidR="005F31CD">
        <w:t xml:space="preserve"> a </w:t>
      </w:r>
      <w:r w:rsidRPr="005F31CD">
        <w:t>ciele návrhu</w:t>
      </w:r>
    </w:p>
    <w:p w:rsidR="003C2110" w:rsidRPr="005F31CD" w:rsidRDefault="003C2110" w:rsidP="003C2110">
      <w:pPr>
        <w:autoSpaceDE w:val="0"/>
        <w:autoSpaceDN w:val="0"/>
        <w:adjustRightInd w:val="0"/>
        <w:rPr>
          <w:spacing w:val="-4"/>
          <w:szCs w:val="24"/>
        </w:rPr>
      </w:pPr>
      <w:r w:rsidRPr="005F31CD">
        <w:rPr>
          <w:spacing w:val="-4"/>
        </w:rPr>
        <w:t>Gruzínsko stále čelí slabému vonkajšiemu prostrediu, ktoré prostredníctvom zníženého exportu</w:t>
      </w:r>
      <w:r w:rsidR="005F31CD">
        <w:rPr>
          <w:spacing w:val="-4"/>
        </w:rPr>
        <w:t xml:space="preserve"> a </w:t>
      </w:r>
      <w:r w:rsidRPr="005F31CD">
        <w:rPr>
          <w:spacing w:val="-4"/>
        </w:rPr>
        <w:t>remitencií, prispelo</w:t>
      </w:r>
      <w:r w:rsidR="005F31CD">
        <w:rPr>
          <w:spacing w:val="-4"/>
        </w:rPr>
        <w:t xml:space="preserve"> k </w:t>
      </w:r>
      <w:r w:rsidRPr="005F31CD">
        <w:rPr>
          <w:spacing w:val="-4"/>
        </w:rPr>
        <w:t>pomerne utlmenému rastu HDP</w:t>
      </w:r>
      <w:r w:rsidR="005F31CD">
        <w:rPr>
          <w:spacing w:val="-4"/>
        </w:rPr>
        <w:t xml:space="preserve"> o </w:t>
      </w:r>
      <w:r w:rsidRPr="005F31CD">
        <w:rPr>
          <w:spacing w:val="-4"/>
        </w:rPr>
        <w:t>2,7</w:t>
      </w:r>
      <w:r w:rsidR="005F31CD">
        <w:rPr>
          <w:spacing w:val="-4"/>
        </w:rPr>
        <w:t> % v </w:t>
      </w:r>
      <w:r w:rsidRPr="005F31CD">
        <w:rPr>
          <w:spacing w:val="-4"/>
        </w:rPr>
        <w:t>roku 2016 (v porovnaní</w:t>
      </w:r>
      <w:r w:rsidR="005F31CD">
        <w:rPr>
          <w:spacing w:val="-4"/>
        </w:rPr>
        <w:t xml:space="preserve"> s </w:t>
      </w:r>
      <w:r w:rsidRPr="005F31CD">
        <w:rPr>
          <w:spacing w:val="-4"/>
        </w:rPr>
        <w:t>rastom</w:t>
      </w:r>
      <w:r w:rsidR="005F31CD">
        <w:rPr>
          <w:spacing w:val="-4"/>
        </w:rPr>
        <w:t xml:space="preserve"> o </w:t>
      </w:r>
      <w:r w:rsidRPr="005F31CD">
        <w:rPr>
          <w:spacing w:val="-4"/>
        </w:rPr>
        <w:t>2,9</w:t>
      </w:r>
      <w:r w:rsidR="005F31CD">
        <w:rPr>
          <w:spacing w:val="-4"/>
        </w:rPr>
        <w:t> % v </w:t>
      </w:r>
      <w:r w:rsidRPr="005F31CD">
        <w:rPr>
          <w:spacing w:val="-4"/>
        </w:rPr>
        <w:t>roku 2015</w:t>
      </w:r>
      <w:r w:rsidR="005F31CD">
        <w:rPr>
          <w:spacing w:val="-4"/>
        </w:rPr>
        <w:t xml:space="preserve"> a o </w:t>
      </w:r>
      <w:r w:rsidRPr="005F31CD">
        <w:rPr>
          <w:spacing w:val="-4"/>
        </w:rPr>
        <w:t>4,6</w:t>
      </w:r>
      <w:r w:rsidR="005F31CD">
        <w:rPr>
          <w:spacing w:val="-4"/>
        </w:rPr>
        <w:t> % v </w:t>
      </w:r>
      <w:r w:rsidRPr="005F31CD">
        <w:rPr>
          <w:spacing w:val="-4"/>
        </w:rPr>
        <w:t>roku 2014). Predpokladá sa, že rast HDP sa postupne zvýši na 3,5</w:t>
      </w:r>
      <w:r w:rsidR="005F31CD">
        <w:rPr>
          <w:spacing w:val="-4"/>
        </w:rPr>
        <w:t> % v </w:t>
      </w:r>
      <w:r w:rsidRPr="005F31CD">
        <w:rPr>
          <w:spacing w:val="-4"/>
        </w:rPr>
        <w:t>roku 2017 za podpory spotreby</w:t>
      </w:r>
      <w:r w:rsidR="005F31CD">
        <w:rPr>
          <w:spacing w:val="-4"/>
        </w:rPr>
        <w:t xml:space="preserve"> a </w:t>
      </w:r>
      <w:r w:rsidRPr="005F31CD">
        <w:rPr>
          <w:spacing w:val="-4"/>
        </w:rPr>
        <w:t>investícií. Očakáva sa, že</w:t>
      </w:r>
      <w:r w:rsidR="005F31CD">
        <w:rPr>
          <w:spacing w:val="-4"/>
        </w:rPr>
        <w:t xml:space="preserve"> v </w:t>
      </w:r>
      <w:r w:rsidRPr="005F31CD">
        <w:rPr>
          <w:spacing w:val="-4"/>
        </w:rPr>
        <w:t>roku 2017 sa zvýši aj regionálny</w:t>
      </w:r>
      <w:r w:rsidR="005F31CD">
        <w:rPr>
          <w:spacing w:val="-4"/>
        </w:rPr>
        <w:t xml:space="preserve"> a </w:t>
      </w:r>
      <w:r w:rsidRPr="005F31CD">
        <w:rPr>
          <w:spacing w:val="-4"/>
        </w:rPr>
        <w:t>celosvetový rast, ktorý však bude naďalej podliehať rizikám poklesu vyplývajúcim</w:t>
      </w:r>
      <w:r w:rsidR="005F31CD">
        <w:rPr>
          <w:spacing w:val="-4"/>
        </w:rPr>
        <w:t xml:space="preserve"> z </w:t>
      </w:r>
      <w:r w:rsidRPr="005F31CD">
        <w:rPr>
          <w:spacing w:val="-4"/>
        </w:rPr>
        <w:t>geopolitickej nestability, protekcionizmu</w:t>
      </w:r>
      <w:r w:rsidR="005F31CD">
        <w:rPr>
          <w:spacing w:val="-4"/>
        </w:rPr>
        <w:t xml:space="preserve"> a </w:t>
      </w:r>
      <w:r w:rsidRPr="005F31CD">
        <w:rPr>
          <w:spacing w:val="-4"/>
        </w:rPr>
        <w:t>volatility na finančných trhoch.</w:t>
      </w:r>
    </w:p>
    <w:p w:rsidR="003C2110" w:rsidRPr="005F31CD" w:rsidRDefault="003C2110" w:rsidP="003C2110">
      <w:pPr>
        <w:autoSpaceDE w:val="0"/>
        <w:autoSpaceDN w:val="0"/>
        <w:adjustRightInd w:val="0"/>
        <w:rPr>
          <w:spacing w:val="-4"/>
          <w:szCs w:val="24"/>
        </w:rPr>
      </w:pPr>
      <w:r w:rsidRPr="005F31CD">
        <w:rPr>
          <w:spacing w:val="-4"/>
        </w:rPr>
        <w:t>Rozpočtový deficit Gruzínska zostáva na vysokej úrovni [4,1</w:t>
      </w:r>
      <w:r w:rsidR="005F31CD">
        <w:rPr>
          <w:spacing w:val="-4"/>
        </w:rPr>
        <w:t> %</w:t>
      </w:r>
      <w:r w:rsidRPr="005F31CD">
        <w:rPr>
          <w:spacing w:val="-4"/>
        </w:rPr>
        <w:t xml:space="preserve"> HDP</w:t>
      </w:r>
      <w:r w:rsidR="005F31CD">
        <w:rPr>
          <w:spacing w:val="-4"/>
        </w:rPr>
        <w:t xml:space="preserve"> v </w:t>
      </w:r>
      <w:r w:rsidRPr="005F31CD">
        <w:rPr>
          <w:spacing w:val="-4"/>
        </w:rPr>
        <w:t>roku 2016</w:t>
      </w:r>
      <w:r w:rsidR="005F31CD">
        <w:rPr>
          <w:spacing w:val="-4"/>
        </w:rPr>
        <w:t xml:space="preserve"> a </w:t>
      </w:r>
      <w:r w:rsidRPr="005F31CD">
        <w:rPr>
          <w:spacing w:val="-4"/>
        </w:rPr>
        <w:t>podľa predpokladov Medzinárodného menového fondu (ďalej len „MMF“), aj</w:t>
      </w:r>
      <w:r w:rsidR="005F31CD">
        <w:rPr>
          <w:spacing w:val="-4"/>
        </w:rPr>
        <w:t xml:space="preserve"> v </w:t>
      </w:r>
      <w:r w:rsidRPr="005F31CD">
        <w:rPr>
          <w:spacing w:val="-4"/>
        </w:rPr>
        <w:t>roku 2017]. Pomer verejného dlhu</w:t>
      </w:r>
      <w:r w:rsidR="005F31CD">
        <w:rPr>
          <w:spacing w:val="-4"/>
        </w:rPr>
        <w:t xml:space="preserve"> k </w:t>
      </w:r>
      <w:r w:rsidRPr="005F31CD">
        <w:rPr>
          <w:spacing w:val="-4"/>
        </w:rPr>
        <w:t>HDP sa zvýšil</w:t>
      </w:r>
      <w:r w:rsidR="005F31CD">
        <w:rPr>
          <w:spacing w:val="-4"/>
        </w:rPr>
        <w:t xml:space="preserve"> z </w:t>
      </w:r>
      <w:r w:rsidRPr="005F31CD">
        <w:rPr>
          <w:spacing w:val="-4"/>
        </w:rPr>
        <w:t>35,6</w:t>
      </w:r>
      <w:r w:rsidR="005F31CD">
        <w:rPr>
          <w:spacing w:val="-4"/>
        </w:rPr>
        <w:t> % v </w:t>
      </w:r>
      <w:r w:rsidRPr="005F31CD">
        <w:rPr>
          <w:spacing w:val="-4"/>
        </w:rPr>
        <w:t>roku 2014 na 44,6</w:t>
      </w:r>
      <w:r w:rsidR="005F31CD">
        <w:rPr>
          <w:spacing w:val="-4"/>
        </w:rPr>
        <w:t> % v </w:t>
      </w:r>
      <w:r w:rsidRPr="005F31CD">
        <w:rPr>
          <w:spacing w:val="-4"/>
        </w:rPr>
        <w:t>roku 2016,</w:t>
      </w:r>
      <w:r w:rsidR="005F31CD">
        <w:rPr>
          <w:spacing w:val="-4"/>
        </w:rPr>
        <w:t xml:space="preserve"> a </w:t>
      </w:r>
      <w:r w:rsidRPr="005F31CD">
        <w:rPr>
          <w:spacing w:val="-4"/>
        </w:rPr>
        <w:t>to najmä</w:t>
      </w:r>
      <w:r w:rsidR="005F31CD">
        <w:rPr>
          <w:spacing w:val="-4"/>
        </w:rPr>
        <w:t xml:space="preserve"> v </w:t>
      </w:r>
      <w:r w:rsidRPr="005F31CD">
        <w:rPr>
          <w:spacing w:val="-4"/>
        </w:rPr>
        <w:t>dôsledku toho, že okolo 80</w:t>
      </w:r>
      <w:r w:rsidR="005F31CD">
        <w:rPr>
          <w:spacing w:val="-4"/>
        </w:rPr>
        <w:t> %</w:t>
      </w:r>
      <w:r w:rsidRPr="005F31CD">
        <w:rPr>
          <w:spacing w:val="-4"/>
        </w:rPr>
        <w:t xml:space="preserve"> verejného dlhu je denominovaného</w:t>
      </w:r>
      <w:r w:rsidR="005F31CD">
        <w:rPr>
          <w:spacing w:val="-4"/>
        </w:rPr>
        <w:t xml:space="preserve"> v </w:t>
      </w:r>
      <w:r w:rsidRPr="005F31CD">
        <w:rPr>
          <w:spacing w:val="-4"/>
        </w:rPr>
        <w:t>cudzej mene</w:t>
      </w:r>
      <w:r w:rsidR="005F31CD">
        <w:rPr>
          <w:spacing w:val="-4"/>
        </w:rPr>
        <w:t xml:space="preserve"> a </w:t>
      </w:r>
      <w:r w:rsidRPr="005F31CD">
        <w:rPr>
          <w:spacing w:val="-4"/>
        </w:rPr>
        <w:t>národná mena (gruzínske lari, GEL) počas tohto obdobia silne devalvovala. Zraniteľným okrem toho zostáva aj stav platobnej bilancie Gruzínska</w:t>
      </w:r>
      <w:r w:rsidR="005F31CD">
        <w:rPr>
          <w:spacing w:val="-4"/>
        </w:rPr>
        <w:t xml:space="preserve"> v </w:t>
      </w:r>
      <w:r w:rsidRPr="005F31CD">
        <w:rPr>
          <w:spacing w:val="-4"/>
        </w:rPr>
        <w:t>dôsledku veľmi vysokého deficitu bežného účtu (12,4</w:t>
      </w:r>
      <w:r w:rsidR="005F31CD">
        <w:rPr>
          <w:spacing w:val="-4"/>
        </w:rPr>
        <w:t> %</w:t>
      </w:r>
      <w:r w:rsidRPr="005F31CD">
        <w:rPr>
          <w:spacing w:val="-4"/>
        </w:rPr>
        <w:t xml:space="preserve"> HDP</w:t>
      </w:r>
      <w:r w:rsidR="005F31CD">
        <w:rPr>
          <w:spacing w:val="-4"/>
        </w:rPr>
        <w:t xml:space="preserve"> v </w:t>
      </w:r>
      <w:r w:rsidRPr="005F31CD">
        <w:rPr>
          <w:spacing w:val="-4"/>
        </w:rPr>
        <w:t>roku 2016)</w:t>
      </w:r>
      <w:r w:rsidR="005F31CD">
        <w:rPr>
          <w:spacing w:val="-4"/>
        </w:rPr>
        <w:t xml:space="preserve"> a </w:t>
      </w:r>
      <w:r w:rsidRPr="005F31CD">
        <w:rPr>
          <w:spacing w:val="-4"/>
        </w:rPr>
        <w:t>vysokého zahraničného dlhu (111,8</w:t>
      </w:r>
      <w:r w:rsidR="005F31CD">
        <w:rPr>
          <w:spacing w:val="-4"/>
        </w:rPr>
        <w:t> %</w:t>
      </w:r>
      <w:r w:rsidRPr="005F31CD">
        <w:rPr>
          <w:spacing w:val="-4"/>
        </w:rPr>
        <w:t xml:space="preserve"> HDP</w:t>
      </w:r>
      <w:r w:rsidR="005F31CD">
        <w:rPr>
          <w:spacing w:val="-4"/>
        </w:rPr>
        <w:t xml:space="preserve"> v </w:t>
      </w:r>
      <w:r w:rsidRPr="005F31CD">
        <w:rPr>
          <w:spacing w:val="-4"/>
        </w:rPr>
        <w:t>roku 2016). Devízové rezervy Gruzínska sú</w:t>
      </w:r>
      <w:r w:rsidR="005F31CD">
        <w:rPr>
          <w:spacing w:val="-4"/>
        </w:rPr>
        <w:t xml:space="preserve"> v </w:t>
      </w:r>
      <w:r w:rsidRPr="005F31CD">
        <w:rPr>
          <w:spacing w:val="-4"/>
        </w:rPr>
        <w:t>absolútnom vyjadrení</w:t>
      </w:r>
      <w:r w:rsidR="005F31CD">
        <w:rPr>
          <w:spacing w:val="-4"/>
        </w:rPr>
        <w:t xml:space="preserve"> v </w:t>
      </w:r>
      <w:r w:rsidRPr="005F31CD">
        <w:rPr>
          <w:spacing w:val="-4"/>
        </w:rPr>
        <w:t>zásade stabilné od roku 2011, pričom ich celková výška na konci roku 2016 dosahovala 2,8 miliardy USD, potreby rezerv sa však podľa kompozitnej metriky MMF zvyšujú. Rezervy sa preto</w:t>
      </w:r>
      <w:r w:rsidR="005F31CD">
        <w:rPr>
          <w:spacing w:val="-4"/>
        </w:rPr>
        <w:t xml:space="preserve"> v </w:t>
      </w:r>
      <w:r w:rsidRPr="005F31CD">
        <w:rPr>
          <w:spacing w:val="-4"/>
        </w:rPr>
        <w:t>súčasnosti nachádzajú pod úrovňou, ktorú MMF odhaduje ako primeranú. Gruzínsko sa takisto naďalej prispôsobuje požiadavkám prehĺbenej</w:t>
      </w:r>
      <w:r w:rsidR="005F31CD">
        <w:rPr>
          <w:spacing w:val="-4"/>
        </w:rPr>
        <w:t xml:space="preserve"> a </w:t>
      </w:r>
      <w:r w:rsidRPr="005F31CD">
        <w:rPr>
          <w:spacing w:val="-4"/>
        </w:rPr>
        <w:t>komplexnej dohody voľného obchodu (ďalej len „DCFTA“)</w:t>
      </w:r>
      <w:r w:rsidR="005F31CD">
        <w:rPr>
          <w:spacing w:val="-4"/>
        </w:rPr>
        <w:t xml:space="preserve"> s </w:t>
      </w:r>
      <w:r w:rsidRPr="005F31CD">
        <w:rPr>
          <w:spacing w:val="-4"/>
        </w:rPr>
        <w:t>EÚ,</w:t>
      </w:r>
      <w:r w:rsidR="005F31CD">
        <w:rPr>
          <w:spacing w:val="-4"/>
        </w:rPr>
        <w:t xml:space="preserve"> s </w:t>
      </w:r>
      <w:r w:rsidRPr="005F31CD">
        <w:rPr>
          <w:spacing w:val="-4"/>
        </w:rPr>
        <w:t>ktorými sa okrem príležitostí spájajú aj náklady na prispôsobenie.</w:t>
      </w:r>
    </w:p>
    <w:p w:rsidR="003C2110" w:rsidRPr="005F31CD" w:rsidRDefault="003C2110" w:rsidP="003C2110">
      <w:pPr>
        <w:autoSpaceDE w:val="0"/>
        <w:autoSpaceDN w:val="0"/>
        <w:adjustRightInd w:val="0"/>
        <w:rPr>
          <w:spacing w:val="-4"/>
        </w:rPr>
      </w:pPr>
      <w:r w:rsidRPr="005F31CD">
        <w:rPr>
          <w:spacing w:val="-4"/>
        </w:rPr>
        <w:t>V tejto súvislosti 12</w:t>
      </w:r>
      <w:r w:rsidR="005F31CD">
        <w:rPr>
          <w:spacing w:val="-4"/>
        </w:rPr>
        <w:t>. apríla</w:t>
      </w:r>
      <w:r w:rsidRPr="005F31CD">
        <w:rPr>
          <w:spacing w:val="-4"/>
        </w:rPr>
        <w:t xml:space="preserve"> 2017 Gruzínsko</w:t>
      </w:r>
      <w:r w:rsidR="005F31CD">
        <w:rPr>
          <w:spacing w:val="-4"/>
        </w:rPr>
        <w:t xml:space="preserve"> a </w:t>
      </w:r>
      <w:r w:rsidRPr="005F31CD">
        <w:rPr>
          <w:spacing w:val="-4"/>
        </w:rPr>
        <w:t>MMF uzatvorili trojročnú (2017 – 2020) rozšírenú dohodu</w:t>
      </w:r>
      <w:r w:rsidR="005F31CD">
        <w:rPr>
          <w:spacing w:val="-4"/>
        </w:rPr>
        <w:t xml:space="preserve"> v </w:t>
      </w:r>
      <w:r w:rsidRPr="005F31CD">
        <w:rPr>
          <w:spacing w:val="-4"/>
        </w:rPr>
        <w:t>rámci nástroja rozšíreného fondu (ďalej len „EFF“). EFF predstavuje 100</w:t>
      </w:r>
      <w:r w:rsidR="005F31CD">
        <w:rPr>
          <w:spacing w:val="-4"/>
        </w:rPr>
        <w:t> %</w:t>
      </w:r>
      <w:r w:rsidRPr="005F31CD">
        <w:rPr>
          <w:spacing w:val="-4"/>
        </w:rPr>
        <w:t xml:space="preserve"> kvóty Gruzínska vo fonde (210,4 milióna SDR alebo približne 285 miliónov USD). Cieľom programu EFF je podpora programu hospodárskych reforiem, ktorý Gruzínsku pomôže zredukovať slabé miesta hospodárstva</w:t>
      </w:r>
      <w:r w:rsidR="005F31CD">
        <w:rPr>
          <w:spacing w:val="-4"/>
        </w:rPr>
        <w:t xml:space="preserve"> a </w:t>
      </w:r>
      <w:r w:rsidRPr="005F31CD">
        <w:rPr>
          <w:spacing w:val="-4"/>
        </w:rPr>
        <w:t>posilniť vyšší</w:t>
      </w:r>
      <w:r w:rsidR="005F31CD">
        <w:rPr>
          <w:spacing w:val="-4"/>
        </w:rPr>
        <w:t xml:space="preserve"> a </w:t>
      </w:r>
      <w:r w:rsidRPr="005F31CD">
        <w:rPr>
          <w:spacing w:val="-4"/>
        </w:rPr>
        <w:t>inkluzívnejší hospodársky rast.</w:t>
      </w:r>
    </w:p>
    <w:p w:rsidR="003C2110" w:rsidRPr="005F31CD" w:rsidRDefault="003C2110" w:rsidP="003C2110">
      <w:pPr>
        <w:autoSpaceDE w:val="0"/>
        <w:autoSpaceDN w:val="0"/>
        <w:adjustRightInd w:val="0"/>
        <w:rPr>
          <w:spacing w:val="-4"/>
        </w:rPr>
      </w:pPr>
      <w:r w:rsidRPr="005F31CD">
        <w:rPr>
          <w:spacing w:val="-4"/>
        </w:rPr>
        <w:t>Vláda Gruzínska takisto 16</w:t>
      </w:r>
      <w:r w:rsidR="005F31CD">
        <w:rPr>
          <w:spacing w:val="-4"/>
        </w:rPr>
        <w:t>. júna</w:t>
      </w:r>
      <w:r w:rsidRPr="005F31CD">
        <w:rPr>
          <w:spacing w:val="-4"/>
        </w:rPr>
        <w:t xml:space="preserve"> 2017 požiadala EÚ</w:t>
      </w:r>
      <w:r w:rsidR="005F31CD">
        <w:rPr>
          <w:spacing w:val="-4"/>
        </w:rPr>
        <w:t xml:space="preserve"> o </w:t>
      </w:r>
      <w:r w:rsidRPr="005F31CD">
        <w:rPr>
          <w:spacing w:val="-4"/>
        </w:rPr>
        <w:t>makrofinančnú pomoc.</w:t>
      </w:r>
      <w:r w:rsidR="005F31CD">
        <w:rPr>
          <w:spacing w:val="-4"/>
        </w:rPr>
        <w:t xml:space="preserve"> V </w:t>
      </w:r>
      <w:r w:rsidRPr="005F31CD">
        <w:rPr>
          <w:spacing w:val="-4"/>
        </w:rPr>
        <w:t>súvislosti</w:t>
      </w:r>
      <w:r w:rsidR="005F31CD">
        <w:rPr>
          <w:spacing w:val="-4"/>
        </w:rPr>
        <w:t xml:space="preserve"> s </w:t>
      </w:r>
      <w:r w:rsidRPr="005F31CD">
        <w:rPr>
          <w:spacing w:val="-4"/>
        </w:rPr>
        <w:t>touto žiadosťou</w:t>
      </w:r>
      <w:r w:rsidR="005F31CD">
        <w:rPr>
          <w:spacing w:val="-4"/>
        </w:rPr>
        <w:t xml:space="preserve"> a </w:t>
      </w:r>
      <w:r w:rsidRPr="005F31CD">
        <w:rPr>
          <w:spacing w:val="-4"/>
        </w:rPr>
        <w:t>hospodárskou situáciou</w:t>
      </w:r>
      <w:r w:rsidR="005F31CD">
        <w:rPr>
          <w:spacing w:val="-4"/>
        </w:rPr>
        <w:t xml:space="preserve"> v </w:t>
      </w:r>
      <w:r w:rsidRPr="005F31CD">
        <w:rPr>
          <w:spacing w:val="-4"/>
        </w:rPr>
        <w:t>krajine predkladá Komisia Európskemu parlamentu</w:t>
      </w:r>
      <w:r w:rsidR="005F31CD">
        <w:rPr>
          <w:spacing w:val="-4"/>
        </w:rPr>
        <w:t xml:space="preserve"> a </w:t>
      </w:r>
      <w:r w:rsidRPr="005F31CD">
        <w:rPr>
          <w:spacing w:val="-4"/>
        </w:rPr>
        <w:t>Rade návrh na poskytnutie makrofinančnej pomoci Gruzínsku na základe článku 212 ods. 2 ZFEÚ. Navrhovaná suma je maximálne 45 miliónov EUR,</w:t>
      </w:r>
      <w:r w:rsidR="005F31CD">
        <w:rPr>
          <w:spacing w:val="-4"/>
        </w:rPr>
        <w:t xml:space="preserve"> z </w:t>
      </w:r>
      <w:r w:rsidRPr="005F31CD">
        <w:rPr>
          <w:spacing w:val="-4"/>
        </w:rPr>
        <w:t>čoho 35 miliónov EUR by bolo poskytnutých vo forme úverov</w:t>
      </w:r>
      <w:r w:rsidR="005F31CD">
        <w:rPr>
          <w:spacing w:val="-4"/>
        </w:rPr>
        <w:t xml:space="preserve"> a </w:t>
      </w:r>
      <w:r w:rsidRPr="005F31CD">
        <w:rPr>
          <w:spacing w:val="-4"/>
        </w:rPr>
        <w:t>10 miliónov EUR vo forme grantov.</w:t>
      </w:r>
    </w:p>
    <w:p w:rsidR="003C2110" w:rsidRPr="005F31CD" w:rsidRDefault="003C2110" w:rsidP="003C2110">
      <w:pPr>
        <w:autoSpaceDE w:val="0"/>
        <w:autoSpaceDN w:val="0"/>
        <w:adjustRightInd w:val="0"/>
        <w:rPr>
          <w:spacing w:val="-4"/>
          <w:szCs w:val="24"/>
        </w:rPr>
      </w:pPr>
      <w:r w:rsidRPr="005F31CD">
        <w:rPr>
          <w:spacing w:val="-4"/>
        </w:rPr>
        <w:t>Navrhovaná nová operácia makrofinančnej pomoci je tretia od vojenského konfliktu Gruzínska</w:t>
      </w:r>
      <w:r w:rsidR="005F31CD">
        <w:rPr>
          <w:spacing w:val="-4"/>
        </w:rPr>
        <w:t xml:space="preserve"> s </w:t>
      </w:r>
      <w:r w:rsidRPr="005F31CD">
        <w:rPr>
          <w:spacing w:val="-4"/>
        </w:rPr>
        <w:t>Ruskom</w:t>
      </w:r>
      <w:r w:rsidR="005F31CD">
        <w:rPr>
          <w:spacing w:val="-4"/>
        </w:rPr>
        <w:t xml:space="preserve"> v </w:t>
      </w:r>
      <w:r w:rsidRPr="005F31CD">
        <w:rPr>
          <w:spacing w:val="-4"/>
        </w:rPr>
        <w:t>auguste 2008.</w:t>
      </w:r>
      <w:r w:rsidR="005F31CD">
        <w:rPr>
          <w:spacing w:val="-4"/>
        </w:rPr>
        <w:t xml:space="preserve"> V </w:t>
      </w:r>
      <w:r w:rsidRPr="005F31CD">
        <w:rPr>
          <w:spacing w:val="-4"/>
        </w:rPr>
        <w:t>októbri 2008 sa EÚ zaviazala</w:t>
      </w:r>
      <w:r w:rsidR="005F31CD">
        <w:rPr>
          <w:spacing w:val="-4"/>
        </w:rPr>
        <w:t xml:space="preserve"> k </w:t>
      </w:r>
      <w:r w:rsidRPr="005F31CD">
        <w:rPr>
          <w:spacing w:val="-4"/>
        </w:rPr>
        <w:t>dvom operáciám makrofinančnej pomoci vo výške 46 miliónov EUR,</w:t>
      </w:r>
      <w:r w:rsidR="005F31CD">
        <w:rPr>
          <w:spacing w:val="-4"/>
        </w:rPr>
        <w:t xml:space="preserve"> k </w:t>
      </w:r>
      <w:r w:rsidRPr="005F31CD">
        <w:rPr>
          <w:spacing w:val="-4"/>
        </w:rPr>
        <w:t>obidvom na medzinárodnej konferencii darcov</w:t>
      </w:r>
      <w:r w:rsidR="005F31CD">
        <w:rPr>
          <w:spacing w:val="-4"/>
        </w:rPr>
        <w:t xml:space="preserve"> v </w:t>
      </w:r>
      <w:r w:rsidRPr="005F31CD">
        <w:rPr>
          <w:spacing w:val="-4"/>
        </w:rPr>
        <w:t>Bruseli. Prvá</w:t>
      </w:r>
      <w:r w:rsidR="005F31CD">
        <w:rPr>
          <w:spacing w:val="-4"/>
        </w:rPr>
        <w:t xml:space="preserve"> z </w:t>
      </w:r>
      <w:r w:rsidRPr="005F31CD">
        <w:rPr>
          <w:spacing w:val="-4"/>
        </w:rPr>
        <w:t>týchto operácií (46 miliónov EUR, plne vo forme grantov) sa vykonala</w:t>
      </w:r>
      <w:r w:rsidR="005F31CD">
        <w:rPr>
          <w:spacing w:val="-4"/>
        </w:rPr>
        <w:t xml:space="preserve"> v </w:t>
      </w:r>
      <w:r w:rsidRPr="005F31CD">
        <w:rPr>
          <w:spacing w:val="-4"/>
        </w:rPr>
        <w:t>rokoch 2009 – 2010</w:t>
      </w:r>
      <w:r w:rsidR="005F31CD">
        <w:rPr>
          <w:spacing w:val="-4"/>
        </w:rPr>
        <w:t xml:space="preserve"> a </w:t>
      </w:r>
      <w:r w:rsidRPr="005F31CD">
        <w:rPr>
          <w:spacing w:val="-4"/>
        </w:rPr>
        <w:t>druhá (opäť 46 miliónov EUR, polovica</w:t>
      </w:r>
      <w:r w:rsidR="005F31CD">
        <w:rPr>
          <w:spacing w:val="-4"/>
        </w:rPr>
        <w:t xml:space="preserve"> v </w:t>
      </w:r>
      <w:r w:rsidRPr="005F31CD">
        <w:rPr>
          <w:spacing w:val="-4"/>
        </w:rPr>
        <w:t>grantoch</w:t>
      </w:r>
      <w:r w:rsidR="005F31CD">
        <w:rPr>
          <w:spacing w:val="-4"/>
        </w:rPr>
        <w:t xml:space="preserve"> a </w:t>
      </w:r>
      <w:r w:rsidRPr="005F31CD">
        <w:rPr>
          <w:spacing w:val="-4"/>
        </w:rPr>
        <w:t>polovica</w:t>
      </w:r>
      <w:r w:rsidR="005F31CD">
        <w:rPr>
          <w:spacing w:val="-4"/>
        </w:rPr>
        <w:t xml:space="preserve"> v </w:t>
      </w:r>
      <w:r w:rsidRPr="005F31CD">
        <w:rPr>
          <w:spacing w:val="-4"/>
        </w:rPr>
        <w:t>úveroch)</w:t>
      </w:r>
      <w:r w:rsidR="005F31CD">
        <w:rPr>
          <w:spacing w:val="-4"/>
        </w:rPr>
        <w:t xml:space="preserve"> v </w:t>
      </w:r>
      <w:r w:rsidRPr="005F31CD">
        <w:rPr>
          <w:spacing w:val="-4"/>
        </w:rPr>
        <w:t>rokoch 2015 – 2017. Posledná tranža operácie makrofinančnej pomoci na roky 2015 – 2017 bola vyplatená</w:t>
      </w:r>
      <w:r w:rsidR="005F31CD">
        <w:rPr>
          <w:spacing w:val="-4"/>
        </w:rPr>
        <w:t xml:space="preserve"> v </w:t>
      </w:r>
      <w:r w:rsidRPr="005F31CD">
        <w:rPr>
          <w:spacing w:val="-4"/>
        </w:rPr>
        <w:t>máji 2017.</w:t>
      </w:r>
    </w:p>
    <w:p w:rsidR="003C2110" w:rsidRPr="005F31CD" w:rsidRDefault="003C2110" w:rsidP="003C2110">
      <w:pPr>
        <w:autoSpaceDE w:val="0"/>
        <w:autoSpaceDN w:val="0"/>
        <w:adjustRightInd w:val="0"/>
        <w:rPr>
          <w:spacing w:val="-4"/>
        </w:rPr>
      </w:pPr>
      <w:r w:rsidRPr="005F31CD">
        <w:rPr>
          <w:spacing w:val="-4"/>
        </w:rPr>
        <w:t>Navrhovaná nová makrofinančná pomoc Gruzínsku pomôže pokryť časť potrieb vonkajšieho financovania</w:t>
      </w:r>
      <w:r w:rsidR="005F31CD">
        <w:rPr>
          <w:spacing w:val="-4"/>
        </w:rPr>
        <w:t xml:space="preserve"> v </w:t>
      </w:r>
      <w:r w:rsidRPr="005F31CD">
        <w:rPr>
          <w:spacing w:val="-4"/>
        </w:rPr>
        <w:t>období rokov 2017 – 2020, ktoré sa odhadujú na 752 miliónov USD (671 miliónov EUR)</w:t>
      </w:r>
      <w:r w:rsidRPr="005F31CD">
        <w:rPr>
          <w:rStyle w:val="FootnoteReference"/>
          <w:spacing w:val="-4"/>
        </w:rPr>
        <w:footnoteReference w:id="1"/>
      </w:r>
      <w:r w:rsidRPr="005F31CD">
        <w:rPr>
          <w:spacing w:val="-4"/>
        </w:rPr>
        <w:t>. Touto operáciou sa zníži zraniteľnosť hospodárstva</w:t>
      </w:r>
      <w:r w:rsidR="005F31CD">
        <w:rPr>
          <w:spacing w:val="-4"/>
        </w:rPr>
        <w:t xml:space="preserve"> z </w:t>
      </w:r>
      <w:r w:rsidRPr="005F31CD">
        <w:rPr>
          <w:spacing w:val="-4"/>
        </w:rPr>
        <w:t>hľadiska krátkodobej platobnej bilancie</w:t>
      </w:r>
      <w:r w:rsidR="005F31CD">
        <w:rPr>
          <w:spacing w:val="-4"/>
        </w:rPr>
        <w:t xml:space="preserve"> a </w:t>
      </w:r>
      <w:r w:rsidRPr="005F31CD">
        <w:rPr>
          <w:spacing w:val="-4"/>
        </w:rPr>
        <w:t>fiškálnych problémov. Bude koncipovaná</w:t>
      </w:r>
      <w:r w:rsidR="005F31CD">
        <w:rPr>
          <w:spacing w:val="-4"/>
        </w:rPr>
        <w:t xml:space="preserve"> a </w:t>
      </w:r>
      <w:r w:rsidRPr="005F31CD">
        <w:rPr>
          <w:spacing w:val="-4"/>
        </w:rPr>
        <w:t>vykonávaná</w:t>
      </w:r>
      <w:r w:rsidR="005F31CD">
        <w:rPr>
          <w:spacing w:val="-4"/>
        </w:rPr>
        <w:t xml:space="preserve"> v </w:t>
      </w:r>
      <w:r w:rsidRPr="005F31CD">
        <w:rPr>
          <w:spacing w:val="-4"/>
        </w:rPr>
        <w:t>koordinácii</w:t>
      </w:r>
      <w:r w:rsidR="005F31CD">
        <w:rPr>
          <w:spacing w:val="-4"/>
        </w:rPr>
        <w:t xml:space="preserve"> </w:t>
      </w:r>
      <w:r w:rsidR="005F31CD">
        <w:rPr>
          <w:spacing w:val="-4"/>
        </w:rPr>
        <w:lastRenderedPageBreak/>
        <w:t>s </w:t>
      </w:r>
      <w:r w:rsidRPr="005F31CD">
        <w:rPr>
          <w:spacing w:val="-4"/>
        </w:rPr>
        <w:t>programami úprav</w:t>
      </w:r>
      <w:r w:rsidR="005F31CD">
        <w:rPr>
          <w:spacing w:val="-4"/>
        </w:rPr>
        <w:t xml:space="preserve"> a </w:t>
      </w:r>
      <w:r w:rsidRPr="005F31CD">
        <w:rPr>
          <w:spacing w:val="-4"/>
        </w:rPr>
        <w:t>reforiem,</w:t>
      </w:r>
      <w:r w:rsidR="005F31CD">
        <w:rPr>
          <w:spacing w:val="-4"/>
        </w:rPr>
        <w:t xml:space="preserve"> o </w:t>
      </w:r>
      <w:r w:rsidRPr="005F31CD">
        <w:rPr>
          <w:spacing w:val="-4"/>
        </w:rPr>
        <w:t>ktorých sa Gruzínsko dohodlo</w:t>
      </w:r>
      <w:r w:rsidR="005F31CD">
        <w:rPr>
          <w:spacing w:val="-4"/>
        </w:rPr>
        <w:t xml:space="preserve"> s </w:t>
      </w:r>
      <w:r w:rsidRPr="005F31CD">
        <w:rPr>
          <w:spacing w:val="-4"/>
        </w:rPr>
        <w:t>MMF</w:t>
      </w:r>
      <w:r w:rsidR="005F31CD">
        <w:rPr>
          <w:spacing w:val="-4"/>
        </w:rPr>
        <w:t xml:space="preserve"> a </w:t>
      </w:r>
      <w:r w:rsidRPr="005F31CD">
        <w:rPr>
          <w:spacing w:val="-4"/>
        </w:rPr>
        <w:t>so Svetovou bankou, ako aj</w:t>
      </w:r>
      <w:r w:rsidR="005F31CD">
        <w:rPr>
          <w:spacing w:val="-4"/>
        </w:rPr>
        <w:t xml:space="preserve"> s </w:t>
      </w:r>
      <w:r w:rsidRPr="005F31CD">
        <w:rPr>
          <w:spacing w:val="-4"/>
        </w:rPr>
        <w:t>reformami schválenými</w:t>
      </w:r>
      <w:r w:rsidR="005F31CD">
        <w:rPr>
          <w:spacing w:val="-4"/>
        </w:rPr>
        <w:t xml:space="preserve"> v </w:t>
      </w:r>
      <w:r w:rsidRPr="005F31CD">
        <w:rPr>
          <w:spacing w:val="-4"/>
        </w:rPr>
        <w:t>rámci operácií EÚ</w:t>
      </w:r>
      <w:r w:rsidR="005F31CD">
        <w:rPr>
          <w:spacing w:val="-4"/>
        </w:rPr>
        <w:t xml:space="preserve"> v </w:t>
      </w:r>
      <w:r w:rsidRPr="005F31CD">
        <w:rPr>
          <w:spacing w:val="-4"/>
        </w:rPr>
        <w:t>oblasti rozpočtovej podpory</w:t>
      </w:r>
      <w:r w:rsidR="005F31CD">
        <w:rPr>
          <w:spacing w:val="-4"/>
        </w:rPr>
        <w:t xml:space="preserve"> a </w:t>
      </w:r>
      <w:r w:rsidRPr="005F31CD">
        <w:rPr>
          <w:spacing w:val="-4"/>
        </w:rPr>
        <w:t>DCFTA.</w:t>
      </w:r>
    </w:p>
    <w:p w:rsidR="003C2110" w:rsidRPr="005F31CD" w:rsidRDefault="003C2110" w:rsidP="003C2110">
      <w:pPr>
        <w:rPr>
          <w:spacing w:val="-4"/>
          <w:szCs w:val="24"/>
        </w:rPr>
      </w:pPr>
      <w:r w:rsidRPr="005F31CD">
        <w:rPr>
          <w:spacing w:val="-4"/>
        </w:rPr>
        <w:t>Ako sa podrobnejšie uvádza</w:t>
      </w:r>
      <w:r w:rsidR="005F31CD">
        <w:rPr>
          <w:spacing w:val="-4"/>
        </w:rPr>
        <w:t xml:space="preserve"> v </w:t>
      </w:r>
      <w:r w:rsidRPr="005F31CD">
        <w:rPr>
          <w:spacing w:val="-4"/>
        </w:rPr>
        <w:t>pracovnom dokumente útvarov Komisie pripojenom</w:t>
      </w:r>
      <w:r w:rsidR="005F31CD">
        <w:rPr>
          <w:spacing w:val="-4"/>
        </w:rPr>
        <w:t xml:space="preserve"> k </w:t>
      </w:r>
      <w:r w:rsidRPr="005F31CD">
        <w:rPr>
          <w:spacing w:val="-4"/>
        </w:rPr>
        <w:t>tomuto návrhu, Komisia sa domnieva,</w:t>
      </w:r>
      <w:r w:rsidR="005F31CD">
        <w:rPr>
          <w:spacing w:val="-4"/>
        </w:rPr>
        <w:t xml:space="preserve"> a </w:t>
      </w:r>
      <w:r w:rsidRPr="005F31CD">
        <w:rPr>
          <w:spacing w:val="-4"/>
        </w:rPr>
        <w:t>to aj na základe posúdenia politickej situácie zo strany Európskej služby pre vonkajšiu činnosť (ďalej len „ESVČ“), že politické</w:t>
      </w:r>
      <w:r w:rsidR="005F31CD">
        <w:rPr>
          <w:spacing w:val="-4"/>
        </w:rPr>
        <w:t xml:space="preserve"> a </w:t>
      </w:r>
      <w:r w:rsidRPr="005F31CD">
        <w:rPr>
          <w:spacing w:val="-4"/>
        </w:rPr>
        <w:t>hospodárske predpoklady na účely poskytnutia navrhovanej makrofinančnej pomoci sú splnené.</w:t>
      </w:r>
    </w:p>
    <w:p w:rsidR="003C2110" w:rsidRPr="005F31CD" w:rsidRDefault="003C2110" w:rsidP="003C2110">
      <w:pPr>
        <w:pStyle w:val="ManualHeading2"/>
        <w:rPr>
          <w:spacing w:val="-4"/>
        </w:rPr>
      </w:pPr>
      <w:r w:rsidRPr="005F31CD">
        <w:rPr>
          <w:color w:val="000000"/>
          <w:spacing w:val="-4"/>
          <w:u w:color="000000"/>
          <w:bdr w:val="nil"/>
        </w:rPr>
        <w:t>•</w:t>
      </w:r>
      <w:r w:rsidRPr="005F31CD">
        <w:rPr>
          <w:spacing w:val="-4"/>
        </w:rPr>
        <w:tab/>
        <w:t>Všeobecný kontext</w:t>
      </w:r>
    </w:p>
    <w:p w:rsidR="003C2110" w:rsidRPr="005F31CD" w:rsidRDefault="003C2110" w:rsidP="003C2110">
      <w:pPr>
        <w:rPr>
          <w:spacing w:val="-4"/>
        </w:rPr>
      </w:pPr>
      <w:r w:rsidRPr="005F31CD">
        <w:rPr>
          <w:spacing w:val="-4"/>
        </w:rPr>
        <w:t>Makroekonomický výhľad Gruzínska je naďalej nestabilný. Pokračujúca fiškálna konsolidácia by mohla viesť</w:t>
      </w:r>
      <w:r w:rsidR="005F31CD">
        <w:rPr>
          <w:spacing w:val="-4"/>
        </w:rPr>
        <w:t xml:space="preserve"> k </w:t>
      </w:r>
      <w:r w:rsidRPr="005F31CD">
        <w:rPr>
          <w:spacing w:val="-4"/>
        </w:rPr>
        <w:t>oslabeniu domáceho dopytu</w:t>
      </w:r>
      <w:r w:rsidR="005F31CD">
        <w:rPr>
          <w:spacing w:val="-4"/>
        </w:rPr>
        <w:t xml:space="preserve"> a </w:t>
      </w:r>
      <w:r w:rsidRPr="005F31CD">
        <w:rPr>
          <w:spacing w:val="-4"/>
        </w:rPr>
        <w:t>zníženiu hospodárskeho rastu</w:t>
      </w:r>
      <w:r w:rsidR="005F31CD">
        <w:rPr>
          <w:spacing w:val="-4"/>
        </w:rPr>
        <w:t xml:space="preserve"> v </w:t>
      </w:r>
      <w:r w:rsidRPr="005F31CD">
        <w:rPr>
          <w:spacing w:val="-4"/>
        </w:rPr>
        <w:t>Gruzínsku. Gruzínske hospodárstvo okrem toho čelí rozsiahlejším rizikám</w:t>
      </w:r>
      <w:r w:rsidR="005F31CD">
        <w:rPr>
          <w:spacing w:val="-4"/>
        </w:rPr>
        <w:t xml:space="preserve"> v </w:t>
      </w:r>
      <w:r w:rsidRPr="005F31CD">
        <w:rPr>
          <w:spacing w:val="-4"/>
        </w:rPr>
        <w:t>dôsledku neistého regionálneho</w:t>
      </w:r>
      <w:r w:rsidR="005F31CD">
        <w:rPr>
          <w:spacing w:val="-4"/>
        </w:rPr>
        <w:t xml:space="preserve"> a </w:t>
      </w:r>
      <w:r w:rsidRPr="005F31CD">
        <w:rPr>
          <w:spacing w:val="-4"/>
        </w:rPr>
        <w:t>celosvetového hospodárskeho výhľadu, vonkajšej nerovnováhy (vyplývajúcej najmä</w:t>
      </w:r>
      <w:r w:rsidR="005F31CD">
        <w:rPr>
          <w:spacing w:val="-4"/>
        </w:rPr>
        <w:t xml:space="preserve"> z </w:t>
      </w:r>
      <w:r w:rsidRPr="005F31CD">
        <w:rPr>
          <w:spacing w:val="-4"/>
        </w:rPr>
        <w:t>veľkého</w:t>
      </w:r>
      <w:r w:rsidR="005F31CD">
        <w:rPr>
          <w:spacing w:val="-4"/>
        </w:rPr>
        <w:t xml:space="preserve"> a </w:t>
      </w:r>
      <w:r w:rsidRPr="005F31CD">
        <w:rPr>
          <w:spacing w:val="-4"/>
        </w:rPr>
        <w:t>stále sa zvyšujúceho deficitu bežného účtu</w:t>
      </w:r>
      <w:r w:rsidR="005F31CD">
        <w:rPr>
          <w:spacing w:val="-4"/>
        </w:rPr>
        <w:t xml:space="preserve"> a </w:t>
      </w:r>
      <w:r w:rsidRPr="005F31CD">
        <w:rPr>
          <w:spacing w:val="-4"/>
        </w:rPr>
        <w:t>značného zahraničného dlhu), ako aj medzinárodných rezerv, ktoré sa nachádzajú na podpriemernej úrovni.</w:t>
      </w:r>
    </w:p>
    <w:p w:rsidR="003C2110" w:rsidRPr="005F31CD" w:rsidRDefault="003C2110" w:rsidP="003C2110">
      <w:pPr>
        <w:rPr>
          <w:spacing w:val="-4"/>
        </w:rPr>
      </w:pPr>
      <w:r w:rsidRPr="005F31CD">
        <w:rPr>
          <w:spacing w:val="-4"/>
        </w:rPr>
        <w:t>Spomalenie hospodárskeho rastu</w:t>
      </w:r>
      <w:r w:rsidR="005F31CD">
        <w:rPr>
          <w:spacing w:val="-4"/>
        </w:rPr>
        <w:t xml:space="preserve"> v </w:t>
      </w:r>
      <w:r w:rsidRPr="005F31CD">
        <w:rPr>
          <w:spacing w:val="-4"/>
        </w:rPr>
        <w:t>regióne</w:t>
      </w:r>
      <w:r w:rsidR="005F31CD">
        <w:rPr>
          <w:spacing w:val="-4"/>
        </w:rPr>
        <w:t xml:space="preserve"> a </w:t>
      </w:r>
      <w:r w:rsidRPr="005F31CD">
        <w:rPr>
          <w:spacing w:val="-4"/>
        </w:rPr>
        <w:t>skutočnosť, že meny hlavných hospodárskych partnerov od konca roku 2014 výrazne devalvovali, sa odrazili na vývoze</w:t>
      </w:r>
      <w:r w:rsidR="005F31CD">
        <w:rPr>
          <w:spacing w:val="-4"/>
        </w:rPr>
        <w:t xml:space="preserve"> a </w:t>
      </w:r>
      <w:r w:rsidRPr="005F31CD">
        <w:rPr>
          <w:spacing w:val="-4"/>
        </w:rPr>
        <w:t>remitenciách Gruzínska. To prispelo</w:t>
      </w:r>
      <w:r w:rsidR="005F31CD">
        <w:rPr>
          <w:spacing w:val="-4"/>
        </w:rPr>
        <w:t xml:space="preserve"> k </w:t>
      </w:r>
      <w:r w:rsidRPr="005F31CD">
        <w:rPr>
          <w:spacing w:val="-4"/>
        </w:rPr>
        <w:t>spomaleniu hospodárskeho rastu zo 4,6</w:t>
      </w:r>
      <w:r w:rsidR="005F31CD">
        <w:rPr>
          <w:spacing w:val="-4"/>
        </w:rPr>
        <w:t> % v </w:t>
      </w:r>
      <w:r w:rsidRPr="005F31CD">
        <w:rPr>
          <w:spacing w:val="-4"/>
        </w:rPr>
        <w:t>roku 2014</w:t>
      </w:r>
      <w:r w:rsidR="005F31CD">
        <w:rPr>
          <w:spacing w:val="-4"/>
        </w:rPr>
        <w:t xml:space="preserve"> a </w:t>
      </w:r>
      <w:r w:rsidRPr="005F31CD">
        <w:rPr>
          <w:spacing w:val="-4"/>
        </w:rPr>
        <w:t>2,9</w:t>
      </w:r>
      <w:r w:rsidR="005F31CD">
        <w:rPr>
          <w:spacing w:val="-4"/>
        </w:rPr>
        <w:t> % v </w:t>
      </w:r>
      <w:r w:rsidRPr="005F31CD">
        <w:rPr>
          <w:spacing w:val="-4"/>
        </w:rPr>
        <w:t>roku 2015 na 2,7</w:t>
      </w:r>
      <w:r w:rsidR="005F31CD">
        <w:rPr>
          <w:spacing w:val="-4"/>
        </w:rPr>
        <w:t> % v </w:t>
      </w:r>
      <w:r w:rsidRPr="005F31CD">
        <w:rPr>
          <w:spacing w:val="-4"/>
        </w:rPr>
        <w:t xml:space="preserve">roku 2016. </w:t>
      </w:r>
      <w:r w:rsidRPr="005F31CD">
        <w:rPr>
          <w:i/>
          <w:spacing w:val="-4"/>
        </w:rPr>
        <w:t>Rast HDP</w:t>
      </w:r>
      <w:r w:rsidRPr="005F31CD">
        <w:rPr>
          <w:spacing w:val="-4"/>
        </w:rPr>
        <w:t xml:space="preserve"> Gruzínska</w:t>
      </w:r>
      <w:r w:rsidR="005F31CD">
        <w:rPr>
          <w:spacing w:val="-4"/>
        </w:rPr>
        <w:t xml:space="preserve"> v </w:t>
      </w:r>
      <w:r w:rsidRPr="005F31CD">
        <w:rPr>
          <w:spacing w:val="-4"/>
        </w:rPr>
        <w:t>roku 2016 bol podporovaný najmä investíciami, zatiaľ čo súkromná spotreba zostala utlmená, čo vyplýva zo zníženia disponibilného príjmu spôsobeného zvýšením hodnoty</w:t>
      </w:r>
      <w:r w:rsidR="005F31CD">
        <w:rPr>
          <w:spacing w:val="-4"/>
        </w:rPr>
        <w:t xml:space="preserve"> v </w:t>
      </w:r>
      <w:r w:rsidRPr="005F31CD">
        <w:rPr>
          <w:spacing w:val="-4"/>
        </w:rPr>
        <w:t>domácej mene, pokiaľ ide</w:t>
      </w:r>
      <w:r w:rsidR="005F31CD">
        <w:rPr>
          <w:spacing w:val="-4"/>
        </w:rPr>
        <w:t xml:space="preserve"> o </w:t>
      </w:r>
      <w:r w:rsidRPr="005F31CD">
        <w:rPr>
          <w:spacing w:val="-4"/>
        </w:rPr>
        <w:t>povinnosti domácností týkajúce sa splácania úverov denominovaných</w:t>
      </w:r>
      <w:r w:rsidR="005F31CD">
        <w:rPr>
          <w:spacing w:val="-4"/>
        </w:rPr>
        <w:t xml:space="preserve"> v </w:t>
      </w:r>
      <w:r w:rsidRPr="005F31CD">
        <w:rPr>
          <w:spacing w:val="-4"/>
        </w:rPr>
        <w:t>americkom dolári</w:t>
      </w:r>
      <w:r w:rsidR="005F31CD">
        <w:rPr>
          <w:spacing w:val="-4"/>
        </w:rPr>
        <w:t xml:space="preserve"> v </w:t>
      </w:r>
      <w:r w:rsidRPr="005F31CD">
        <w:rPr>
          <w:spacing w:val="-4"/>
        </w:rPr>
        <w:t>súvislosti</w:t>
      </w:r>
      <w:r w:rsidR="005F31CD">
        <w:rPr>
          <w:spacing w:val="-4"/>
        </w:rPr>
        <w:t xml:space="preserve"> s </w:t>
      </w:r>
      <w:r w:rsidRPr="005F31CD">
        <w:rPr>
          <w:spacing w:val="-4"/>
        </w:rPr>
        <w:t>prudkou devalváciou lari. Predpokladá sa, že rast HDP sa postupne zvýši na 3,5</w:t>
      </w:r>
      <w:r w:rsidR="005F31CD">
        <w:rPr>
          <w:spacing w:val="-4"/>
        </w:rPr>
        <w:t> % v </w:t>
      </w:r>
      <w:r w:rsidRPr="005F31CD">
        <w:rPr>
          <w:spacing w:val="-4"/>
        </w:rPr>
        <w:t>roku 2017,</w:t>
      </w:r>
      <w:r w:rsidR="005F31CD">
        <w:rPr>
          <w:spacing w:val="-4"/>
        </w:rPr>
        <w:t xml:space="preserve"> s </w:t>
      </w:r>
      <w:r w:rsidRPr="005F31CD">
        <w:rPr>
          <w:spacing w:val="-4"/>
        </w:rPr>
        <w:t>podporou spotreby</w:t>
      </w:r>
      <w:r w:rsidR="005F31CD">
        <w:rPr>
          <w:spacing w:val="-4"/>
        </w:rPr>
        <w:t xml:space="preserve"> a </w:t>
      </w:r>
      <w:r w:rsidRPr="005F31CD">
        <w:rPr>
          <w:spacing w:val="-4"/>
        </w:rPr>
        <w:t>investícií,</w:t>
      </w:r>
      <w:r w:rsidR="005F31CD">
        <w:rPr>
          <w:spacing w:val="-4"/>
        </w:rPr>
        <w:t xml:space="preserve"> a </w:t>
      </w:r>
      <w:r w:rsidRPr="005F31CD">
        <w:rPr>
          <w:spacing w:val="-4"/>
        </w:rPr>
        <w:t>na 5,0</w:t>
      </w:r>
      <w:r w:rsidR="005F31CD">
        <w:rPr>
          <w:spacing w:val="-4"/>
        </w:rPr>
        <w:t> % v </w:t>
      </w:r>
      <w:r w:rsidRPr="005F31CD">
        <w:rPr>
          <w:spacing w:val="-4"/>
        </w:rPr>
        <w:t>roku 2020 (ukončenie nedávno uzatvorenej dohody</w:t>
      </w:r>
      <w:r w:rsidR="005F31CD">
        <w:rPr>
          <w:spacing w:val="-4"/>
        </w:rPr>
        <w:t xml:space="preserve"> s </w:t>
      </w:r>
      <w:r w:rsidRPr="005F31CD">
        <w:rPr>
          <w:spacing w:val="-4"/>
        </w:rPr>
        <w:t>MMF).</w:t>
      </w:r>
    </w:p>
    <w:p w:rsidR="003C2110" w:rsidRPr="005F31CD" w:rsidRDefault="003C2110" w:rsidP="003C2110">
      <w:pPr>
        <w:rPr>
          <w:spacing w:val="-4"/>
        </w:rPr>
      </w:pPr>
      <w:r w:rsidRPr="005F31CD">
        <w:rPr>
          <w:i/>
          <w:spacing w:val="-4"/>
        </w:rPr>
        <w:t>Výmenný kurz</w:t>
      </w:r>
      <w:r w:rsidRPr="005F31CD">
        <w:rPr>
          <w:spacing w:val="-4"/>
        </w:rPr>
        <w:t xml:space="preserve"> (priemerný kurz USD/GEL za dané obdobie) sa zmenil</w:t>
      </w:r>
      <w:r w:rsidR="005F31CD">
        <w:rPr>
          <w:spacing w:val="-4"/>
        </w:rPr>
        <w:t xml:space="preserve"> z </w:t>
      </w:r>
      <w:r w:rsidRPr="005F31CD">
        <w:rPr>
          <w:spacing w:val="-4"/>
        </w:rPr>
        <w:t>1,77</w:t>
      </w:r>
      <w:r w:rsidR="005F31CD">
        <w:rPr>
          <w:spacing w:val="-4"/>
        </w:rPr>
        <w:t xml:space="preserve"> v </w:t>
      </w:r>
      <w:r w:rsidRPr="005F31CD">
        <w:rPr>
          <w:spacing w:val="-4"/>
        </w:rPr>
        <w:t>roku 2014 na 2,27</w:t>
      </w:r>
      <w:r w:rsidR="005F31CD">
        <w:rPr>
          <w:spacing w:val="-4"/>
        </w:rPr>
        <w:t xml:space="preserve"> v </w:t>
      </w:r>
      <w:r w:rsidRPr="005F31CD">
        <w:rPr>
          <w:spacing w:val="-4"/>
        </w:rPr>
        <w:t>roku 2016, čo znamená asi 22</w:t>
      </w:r>
      <w:r w:rsidR="005F31CD">
        <w:rPr>
          <w:spacing w:val="-4"/>
        </w:rPr>
        <w:t> %</w:t>
      </w:r>
      <w:r w:rsidRPr="005F31CD">
        <w:rPr>
          <w:spacing w:val="-4"/>
        </w:rPr>
        <w:t xml:space="preserve"> devalváciu gruzínskeho lari. Účinky tejto volatility sú zosilnené stále vysokou dolarizáciou gruzínskeho hospodárstva, kde</w:t>
      </w:r>
      <w:r w:rsidR="005F31CD">
        <w:rPr>
          <w:spacing w:val="-4"/>
        </w:rPr>
        <w:t xml:space="preserve"> v </w:t>
      </w:r>
      <w:r w:rsidRPr="005F31CD">
        <w:rPr>
          <w:spacing w:val="-4"/>
        </w:rPr>
        <w:t>roku 2016 70</w:t>
      </w:r>
      <w:r w:rsidR="005F31CD">
        <w:rPr>
          <w:spacing w:val="-4"/>
        </w:rPr>
        <w:t> %</w:t>
      </w:r>
      <w:r w:rsidRPr="005F31CD">
        <w:rPr>
          <w:spacing w:val="-4"/>
        </w:rPr>
        <w:t xml:space="preserve"> vkladov</w:t>
      </w:r>
      <w:r w:rsidR="005F31CD">
        <w:rPr>
          <w:spacing w:val="-4"/>
        </w:rPr>
        <w:t xml:space="preserve"> a </w:t>
      </w:r>
      <w:r w:rsidRPr="005F31CD">
        <w:rPr>
          <w:spacing w:val="-4"/>
        </w:rPr>
        <w:t>65</w:t>
      </w:r>
      <w:r w:rsidR="005F31CD">
        <w:rPr>
          <w:spacing w:val="-4"/>
        </w:rPr>
        <w:t> %</w:t>
      </w:r>
      <w:r w:rsidRPr="005F31CD">
        <w:rPr>
          <w:spacing w:val="-4"/>
        </w:rPr>
        <w:t xml:space="preserve"> úverov bolo denominovaných</w:t>
      </w:r>
      <w:r w:rsidR="005F31CD">
        <w:rPr>
          <w:spacing w:val="-4"/>
        </w:rPr>
        <w:t xml:space="preserve"> v </w:t>
      </w:r>
      <w:r w:rsidRPr="005F31CD">
        <w:rPr>
          <w:spacing w:val="-4"/>
        </w:rPr>
        <w:t>americkom dolári.</w:t>
      </w:r>
    </w:p>
    <w:p w:rsidR="003C2110" w:rsidRPr="005F31CD" w:rsidRDefault="003C2110" w:rsidP="003C2110">
      <w:pPr>
        <w:rPr>
          <w:spacing w:val="-4"/>
        </w:rPr>
      </w:pPr>
      <w:r w:rsidRPr="005F31CD">
        <w:rPr>
          <w:spacing w:val="-4"/>
        </w:rPr>
        <w:t xml:space="preserve">Hoci miera </w:t>
      </w:r>
      <w:r w:rsidRPr="005F31CD">
        <w:rPr>
          <w:i/>
          <w:spacing w:val="-4"/>
        </w:rPr>
        <w:t>nezamestnanosti</w:t>
      </w:r>
      <w:r w:rsidR="005F31CD">
        <w:rPr>
          <w:spacing w:val="-4"/>
        </w:rPr>
        <w:t xml:space="preserve"> v </w:t>
      </w:r>
      <w:r w:rsidRPr="005F31CD">
        <w:rPr>
          <w:spacing w:val="-4"/>
        </w:rPr>
        <w:t>Gruzínsku (11,8</w:t>
      </w:r>
      <w:r w:rsidR="005F31CD">
        <w:rPr>
          <w:spacing w:val="-4"/>
        </w:rPr>
        <w:t> %</w:t>
      </w:r>
      <w:r w:rsidRPr="005F31CD">
        <w:rPr>
          <w:spacing w:val="-4"/>
        </w:rPr>
        <w:t xml:space="preserve"> na konci roku 2016) má od roku 2009 (16,9</w:t>
      </w:r>
      <w:r w:rsidR="005F31CD">
        <w:rPr>
          <w:spacing w:val="-4"/>
        </w:rPr>
        <w:t> %</w:t>
      </w:r>
      <w:r w:rsidRPr="005F31CD">
        <w:rPr>
          <w:spacing w:val="-4"/>
        </w:rPr>
        <w:t>) klesajúcu tendenciu, zostáva vážnym problémom. Hoci pracovné príležitosti boli vytvorené</w:t>
      </w:r>
      <w:r w:rsidR="005F31CD">
        <w:rPr>
          <w:spacing w:val="-4"/>
        </w:rPr>
        <w:t xml:space="preserve"> v </w:t>
      </w:r>
      <w:r w:rsidRPr="005F31CD">
        <w:rPr>
          <w:spacing w:val="-4"/>
        </w:rPr>
        <w:t>rastových sektoroch, najmä</w:t>
      </w:r>
      <w:r w:rsidR="005F31CD">
        <w:rPr>
          <w:spacing w:val="-4"/>
        </w:rPr>
        <w:t xml:space="preserve"> v </w:t>
      </w:r>
      <w:r w:rsidRPr="005F31CD">
        <w:rPr>
          <w:spacing w:val="-4"/>
        </w:rPr>
        <w:t>cestovnom ruchu</w:t>
      </w:r>
      <w:r w:rsidR="005F31CD">
        <w:rPr>
          <w:spacing w:val="-4"/>
        </w:rPr>
        <w:t xml:space="preserve"> a </w:t>
      </w:r>
      <w:r w:rsidRPr="005F31CD">
        <w:rPr>
          <w:spacing w:val="-4"/>
        </w:rPr>
        <w:t>iných službách, vysoká nezamestnanosť pretrváva</w:t>
      </w:r>
      <w:r w:rsidR="005F31CD">
        <w:rPr>
          <w:spacing w:val="-4"/>
        </w:rPr>
        <w:t xml:space="preserve"> v </w:t>
      </w:r>
      <w:r w:rsidRPr="005F31CD">
        <w:rPr>
          <w:spacing w:val="-4"/>
        </w:rPr>
        <w:t>dôsledku problémov spojených</w:t>
      </w:r>
      <w:r w:rsidR="005F31CD">
        <w:rPr>
          <w:spacing w:val="-4"/>
        </w:rPr>
        <w:t xml:space="preserve"> s </w:t>
      </w:r>
      <w:r w:rsidRPr="005F31CD">
        <w:rPr>
          <w:spacing w:val="-4"/>
        </w:rPr>
        <w:t>nesúladom medzi existujúcimi</w:t>
      </w:r>
      <w:r w:rsidR="005F31CD">
        <w:rPr>
          <w:spacing w:val="-4"/>
        </w:rPr>
        <w:t xml:space="preserve"> a </w:t>
      </w:r>
      <w:r w:rsidRPr="005F31CD">
        <w:rPr>
          <w:spacing w:val="-4"/>
        </w:rPr>
        <w:t>požadovanými zručnosťami</w:t>
      </w:r>
      <w:r w:rsidR="005F31CD">
        <w:rPr>
          <w:spacing w:val="-4"/>
        </w:rPr>
        <w:t xml:space="preserve"> a </w:t>
      </w:r>
      <w:r w:rsidRPr="005F31CD">
        <w:rPr>
          <w:spacing w:val="-4"/>
        </w:rPr>
        <w:t>veľkými regionálnymi rozdielmi. Gruzínsku tiež chýba systém poistenia pre prípad nezamestnanosti.</w:t>
      </w:r>
    </w:p>
    <w:p w:rsidR="003C2110" w:rsidRPr="005F31CD" w:rsidRDefault="003C2110" w:rsidP="003C2110">
      <w:pPr>
        <w:rPr>
          <w:spacing w:val="-4"/>
        </w:rPr>
      </w:pPr>
      <w:r w:rsidRPr="005F31CD">
        <w:rPr>
          <w:spacing w:val="-4"/>
        </w:rPr>
        <w:t>Pokiaľ ide</w:t>
      </w:r>
      <w:r w:rsidR="005F31CD">
        <w:rPr>
          <w:spacing w:val="-4"/>
        </w:rPr>
        <w:t xml:space="preserve"> o </w:t>
      </w:r>
      <w:r w:rsidRPr="005F31CD">
        <w:rPr>
          <w:spacing w:val="-4"/>
        </w:rPr>
        <w:t xml:space="preserve">sektor zahraničného obchodu, </w:t>
      </w:r>
      <w:r w:rsidRPr="005F31CD">
        <w:rPr>
          <w:i/>
          <w:spacing w:val="-4"/>
        </w:rPr>
        <w:t>deficit bežného účtu</w:t>
      </w:r>
      <w:r w:rsidRPr="005F31CD">
        <w:rPr>
          <w:spacing w:val="-4"/>
        </w:rPr>
        <w:t xml:space="preserve"> Gruzínska sa</w:t>
      </w:r>
      <w:r w:rsidR="005F31CD">
        <w:rPr>
          <w:spacing w:val="-4"/>
        </w:rPr>
        <w:t xml:space="preserve"> v </w:t>
      </w:r>
      <w:r w:rsidRPr="005F31CD">
        <w:rPr>
          <w:spacing w:val="-4"/>
        </w:rPr>
        <w:t>roku 2016 ďalej zhoršil na 12,4</w:t>
      </w:r>
      <w:r w:rsidR="005F31CD">
        <w:rPr>
          <w:spacing w:val="-4"/>
        </w:rPr>
        <w:t> %</w:t>
      </w:r>
      <w:r w:rsidRPr="005F31CD">
        <w:rPr>
          <w:spacing w:val="-4"/>
        </w:rPr>
        <w:t xml:space="preserve"> HDP (z 12,0</w:t>
      </w:r>
      <w:r w:rsidR="005F31CD">
        <w:rPr>
          <w:spacing w:val="-4"/>
        </w:rPr>
        <w:t> %</w:t>
      </w:r>
      <w:r w:rsidRPr="005F31CD">
        <w:rPr>
          <w:spacing w:val="-4"/>
        </w:rPr>
        <w:t xml:space="preserve"> HDP</w:t>
      </w:r>
      <w:r w:rsidR="005F31CD">
        <w:rPr>
          <w:spacing w:val="-4"/>
        </w:rPr>
        <w:t xml:space="preserve"> v </w:t>
      </w:r>
      <w:r w:rsidRPr="005F31CD">
        <w:rPr>
          <w:spacing w:val="-4"/>
        </w:rPr>
        <w:t>roku 2015</w:t>
      </w:r>
      <w:r w:rsidR="005F31CD">
        <w:rPr>
          <w:spacing w:val="-4"/>
        </w:rPr>
        <w:t xml:space="preserve"> a </w:t>
      </w:r>
      <w:r w:rsidRPr="005F31CD">
        <w:rPr>
          <w:spacing w:val="-4"/>
        </w:rPr>
        <w:t>10,6</w:t>
      </w:r>
      <w:r w:rsidR="005F31CD">
        <w:rPr>
          <w:spacing w:val="-4"/>
        </w:rPr>
        <w:t> % v </w:t>
      </w:r>
      <w:r w:rsidRPr="005F31CD">
        <w:rPr>
          <w:spacing w:val="-4"/>
        </w:rPr>
        <w:t>roku 2014) a, ako už bolo uvedené, zostáva významným zdrojom zraniteľnosti. Deficit bežného účtu sa</w:t>
      </w:r>
      <w:r w:rsidR="005F31CD">
        <w:rPr>
          <w:spacing w:val="-4"/>
        </w:rPr>
        <w:t xml:space="preserve"> v </w:t>
      </w:r>
      <w:r w:rsidRPr="005F31CD">
        <w:rPr>
          <w:spacing w:val="-4"/>
        </w:rPr>
        <w:t>rokoch 2014 – 2016 napriek spomaleniu hospodárskeho rastu zvýšil, keďže slabý vývoz viac ako vyvážil slabý domáci dopyt po dovoze, čo viedlo</w:t>
      </w:r>
      <w:r w:rsidR="005F31CD">
        <w:rPr>
          <w:spacing w:val="-4"/>
        </w:rPr>
        <w:t xml:space="preserve"> k </w:t>
      </w:r>
      <w:r w:rsidRPr="005F31CD">
        <w:rPr>
          <w:spacing w:val="-4"/>
        </w:rPr>
        <w:t>väčšiemu deficitu</w:t>
      </w:r>
      <w:r w:rsidR="005F31CD">
        <w:rPr>
          <w:spacing w:val="-4"/>
        </w:rPr>
        <w:t xml:space="preserve"> v </w:t>
      </w:r>
      <w:r w:rsidRPr="005F31CD">
        <w:rPr>
          <w:spacing w:val="-4"/>
        </w:rPr>
        <w:t>obchode</w:t>
      </w:r>
      <w:r w:rsidR="005F31CD">
        <w:rPr>
          <w:spacing w:val="-4"/>
        </w:rPr>
        <w:t xml:space="preserve"> s </w:t>
      </w:r>
      <w:r w:rsidRPr="005F31CD">
        <w:rPr>
          <w:spacing w:val="-4"/>
        </w:rPr>
        <w:t>tovarom. Na základe prognóz programov MMF sa predpokladá, že deficit bežného účtu sa</w:t>
      </w:r>
      <w:r w:rsidR="005F31CD">
        <w:rPr>
          <w:spacing w:val="-4"/>
        </w:rPr>
        <w:t xml:space="preserve"> v </w:t>
      </w:r>
      <w:r w:rsidRPr="005F31CD">
        <w:rPr>
          <w:spacing w:val="-4"/>
        </w:rPr>
        <w:t>roku 2017 ďalej zhorší na 12,9</w:t>
      </w:r>
      <w:r w:rsidR="005F31CD">
        <w:rPr>
          <w:spacing w:val="-4"/>
        </w:rPr>
        <w:t> % a </w:t>
      </w:r>
      <w:r w:rsidRPr="005F31CD">
        <w:rPr>
          <w:spacing w:val="-4"/>
        </w:rPr>
        <w:t>následne sa</w:t>
      </w:r>
      <w:r w:rsidR="005F31CD">
        <w:rPr>
          <w:spacing w:val="-4"/>
        </w:rPr>
        <w:t xml:space="preserve"> v </w:t>
      </w:r>
      <w:r w:rsidRPr="005F31CD">
        <w:rPr>
          <w:spacing w:val="-4"/>
        </w:rPr>
        <w:t>roku 2020 mierne zníži na 11</w:t>
      </w:r>
      <w:r w:rsidR="005F31CD">
        <w:rPr>
          <w:spacing w:val="-4"/>
        </w:rPr>
        <w:t> %</w:t>
      </w:r>
      <w:r w:rsidRPr="005F31CD">
        <w:rPr>
          <w:spacing w:val="-4"/>
        </w:rPr>
        <w:t>. Veľmi vysoký deficit bežného účtu je spôsobený najmä deficitom</w:t>
      </w:r>
      <w:r w:rsidR="005F31CD">
        <w:rPr>
          <w:spacing w:val="-4"/>
        </w:rPr>
        <w:t xml:space="preserve"> v </w:t>
      </w:r>
      <w:r w:rsidRPr="005F31CD">
        <w:rPr>
          <w:spacing w:val="-4"/>
        </w:rPr>
        <w:t>obchode</w:t>
      </w:r>
      <w:r w:rsidR="005F31CD">
        <w:rPr>
          <w:spacing w:val="-4"/>
        </w:rPr>
        <w:t xml:space="preserve"> s </w:t>
      </w:r>
      <w:r w:rsidRPr="005F31CD">
        <w:rPr>
          <w:spacing w:val="-4"/>
        </w:rPr>
        <w:t>tovarom, ktorý je len čiastočne vyvážený prebytkom</w:t>
      </w:r>
      <w:r w:rsidR="005F31CD">
        <w:rPr>
          <w:spacing w:val="-4"/>
        </w:rPr>
        <w:t xml:space="preserve"> v </w:t>
      </w:r>
      <w:r w:rsidRPr="005F31CD">
        <w:rPr>
          <w:spacing w:val="-4"/>
        </w:rPr>
        <w:t>obchode so službami</w:t>
      </w:r>
      <w:r w:rsidR="005F31CD">
        <w:rPr>
          <w:spacing w:val="-4"/>
        </w:rPr>
        <w:t xml:space="preserve"> a </w:t>
      </w:r>
      <w:r w:rsidRPr="005F31CD">
        <w:rPr>
          <w:spacing w:val="-4"/>
        </w:rPr>
        <w:t>príjmami</w:t>
      </w:r>
      <w:r w:rsidR="005F31CD">
        <w:rPr>
          <w:spacing w:val="-4"/>
        </w:rPr>
        <w:t xml:space="preserve"> a </w:t>
      </w:r>
      <w:r w:rsidRPr="005F31CD">
        <w:rPr>
          <w:spacing w:val="-4"/>
        </w:rPr>
        <w:t>prevodmi zo zahraničia vrátane remitencií.</w:t>
      </w:r>
    </w:p>
    <w:p w:rsidR="003C2110" w:rsidRPr="005F31CD" w:rsidRDefault="003C2110" w:rsidP="003C2110">
      <w:pPr>
        <w:rPr>
          <w:spacing w:val="-4"/>
        </w:rPr>
      </w:pPr>
      <w:r w:rsidRPr="005F31CD">
        <w:rPr>
          <w:spacing w:val="-4"/>
        </w:rPr>
        <w:t xml:space="preserve">Deficit bežného účtu bol doteraz financovaný najmä prílivom </w:t>
      </w:r>
      <w:r w:rsidRPr="005F31CD">
        <w:rPr>
          <w:i/>
          <w:spacing w:val="-4"/>
        </w:rPr>
        <w:t>priamych zahraničných investícií</w:t>
      </w:r>
      <w:r w:rsidRPr="005F31CD">
        <w:rPr>
          <w:spacing w:val="-4"/>
        </w:rPr>
        <w:t>, očakáva sa však, že ich objem sa mierne zníži</w:t>
      </w:r>
      <w:r w:rsidR="005F31CD">
        <w:rPr>
          <w:spacing w:val="-4"/>
        </w:rPr>
        <w:t xml:space="preserve"> z </w:t>
      </w:r>
      <w:r w:rsidRPr="005F31CD">
        <w:rPr>
          <w:spacing w:val="-4"/>
        </w:rPr>
        <w:t>11</w:t>
      </w:r>
      <w:r w:rsidR="005F31CD">
        <w:rPr>
          <w:spacing w:val="-4"/>
        </w:rPr>
        <w:t> %</w:t>
      </w:r>
      <w:r w:rsidRPr="005F31CD">
        <w:rPr>
          <w:spacing w:val="-4"/>
        </w:rPr>
        <w:t xml:space="preserve"> HDP</w:t>
      </w:r>
      <w:r w:rsidR="005F31CD">
        <w:rPr>
          <w:spacing w:val="-4"/>
        </w:rPr>
        <w:t xml:space="preserve"> v </w:t>
      </w:r>
      <w:r w:rsidRPr="005F31CD">
        <w:rPr>
          <w:spacing w:val="-4"/>
        </w:rPr>
        <w:t>roku 2016 na 10,3</w:t>
      </w:r>
      <w:r w:rsidR="005F31CD">
        <w:rPr>
          <w:spacing w:val="-4"/>
        </w:rPr>
        <w:t> %</w:t>
      </w:r>
      <w:r w:rsidRPr="005F31CD">
        <w:rPr>
          <w:spacing w:val="-4"/>
        </w:rPr>
        <w:t xml:space="preserve"> HDP</w:t>
      </w:r>
      <w:r w:rsidR="005F31CD">
        <w:rPr>
          <w:spacing w:val="-4"/>
        </w:rPr>
        <w:t xml:space="preserve"> v </w:t>
      </w:r>
      <w:r w:rsidRPr="005F31CD">
        <w:rPr>
          <w:spacing w:val="-4"/>
        </w:rPr>
        <w:t>roku 2017</w:t>
      </w:r>
      <w:r w:rsidR="005F31CD">
        <w:rPr>
          <w:spacing w:val="-4"/>
        </w:rPr>
        <w:t xml:space="preserve"> a </w:t>
      </w:r>
      <w:r w:rsidRPr="005F31CD">
        <w:rPr>
          <w:spacing w:val="-4"/>
        </w:rPr>
        <w:t>na podobnej úrovni zostane do roku 2020.</w:t>
      </w:r>
      <w:r w:rsidR="005F31CD">
        <w:rPr>
          <w:spacing w:val="-4"/>
        </w:rPr>
        <w:t xml:space="preserve"> K </w:t>
      </w:r>
      <w:r w:rsidRPr="005F31CD">
        <w:rPr>
          <w:spacing w:val="-4"/>
        </w:rPr>
        <w:t xml:space="preserve">financovaniu deficitu bežného účtu okrem toho prispel aj prílev financií vytvárajúci dlh. Preto sa </w:t>
      </w:r>
      <w:r w:rsidRPr="005F31CD">
        <w:rPr>
          <w:i/>
          <w:spacing w:val="-4"/>
        </w:rPr>
        <w:t>zahraničný dlh</w:t>
      </w:r>
      <w:r w:rsidRPr="005F31CD">
        <w:rPr>
          <w:spacing w:val="-4"/>
        </w:rPr>
        <w:t xml:space="preserve"> Gruzínska, ktorý sa</w:t>
      </w:r>
      <w:r w:rsidR="005F31CD">
        <w:rPr>
          <w:spacing w:val="-4"/>
        </w:rPr>
        <w:t xml:space="preserve"> v </w:t>
      </w:r>
      <w:r w:rsidRPr="005F31CD">
        <w:rPr>
          <w:spacing w:val="-4"/>
        </w:rPr>
        <w:t>rokoch 2008 – 2014 pohyboval okolo 80</w:t>
      </w:r>
      <w:r w:rsidR="005F31CD">
        <w:rPr>
          <w:spacing w:val="-4"/>
        </w:rPr>
        <w:t> %</w:t>
      </w:r>
      <w:r w:rsidRPr="005F31CD">
        <w:rPr>
          <w:spacing w:val="-4"/>
        </w:rPr>
        <w:t xml:space="preserve"> HDP,</w:t>
      </w:r>
      <w:r w:rsidR="005F31CD">
        <w:rPr>
          <w:spacing w:val="-4"/>
        </w:rPr>
        <w:t xml:space="preserve"> v </w:t>
      </w:r>
      <w:r w:rsidRPr="005F31CD">
        <w:rPr>
          <w:spacing w:val="-4"/>
        </w:rPr>
        <w:t>nasledujúcich rokoch výrazne zvýšil, konkrétne na 111,8</w:t>
      </w:r>
      <w:r w:rsidR="005F31CD">
        <w:rPr>
          <w:spacing w:val="-4"/>
        </w:rPr>
        <w:t> %</w:t>
      </w:r>
      <w:r w:rsidRPr="005F31CD">
        <w:rPr>
          <w:spacing w:val="-4"/>
        </w:rPr>
        <w:t xml:space="preserve"> HDP na konci roka 2016. Predpokladá sa, že zahraničný dlh sa ďalej zvýši, konkrétne na 120,2</w:t>
      </w:r>
      <w:r w:rsidR="005F31CD">
        <w:rPr>
          <w:spacing w:val="-4"/>
        </w:rPr>
        <w:t> %</w:t>
      </w:r>
      <w:r w:rsidRPr="005F31CD">
        <w:rPr>
          <w:spacing w:val="-4"/>
        </w:rPr>
        <w:t xml:space="preserve"> HDP</w:t>
      </w:r>
      <w:r w:rsidR="005F31CD">
        <w:rPr>
          <w:spacing w:val="-4"/>
        </w:rPr>
        <w:t xml:space="preserve"> v </w:t>
      </w:r>
      <w:r w:rsidRPr="005F31CD">
        <w:rPr>
          <w:spacing w:val="-4"/>
        </w:rPr>
        <w:t>roku 2020. Keďže väčšina zahraničného dlhu je denominovaná</w:t>
      </w:r>
      <w:r w:rsidR="005F31CD">
        <w:rPr>
          <w:spacing w:val="-4"/>
        </w:rPr>
        <w:t xml:space="preserve"> v </w:t>
      </w:r>
      <w:r w:rsidRPr="005F31CD">
        <w:rPr>
          <w:spacing w:val="-4"/>
        </w:rPr>
        <w:t>americkom dolári, dôležitú úlohu</w:t>
      </w:r>
      <w:r w:rsidR="005F31CD">
        <w:rPr>
          <w:spacing w:val="-4"/>
        </w:rPr>
        <w:t xml:space="preserve"> v </w:t>
      </w:r>
      <w:r w:rsidRPr="005F31CD">
        <w:rPr>
          <w:spacing w:val="-4"/>
        </w:rPr>
        <w:t>tomto zvýšení zohrala devalvácia lari.</w:t>
      </w:r>
    </w:p>
    <w:p w:rsidR="003C2110" w:rsidRPr="005F31CD" w:rsidRDefault="003C2110" w:rsidP="003C2110">
      <w:pPr>
        <w:rPr>
          <w:spacing w:val="-4"/>
        </w:rPr>
      </w:pPr>
      <w:r w:rsidRPr="005F31CD">
        <w:rPr>
          <w:spacing w:val="-4"/>
        </w:rPr>
        <w:t>Národná banka Gruzínska sa vo všeobecnosti zdržala významných zásahov do devízového trhu</w:t>
      </w:r>
      <w:r w:rsidR="005F31CD">
        <w:rPr>
          <w:spacing w:val="-4"/>
        </w:rPr>
        <w:t xml:space="preserve"> a </w:t>
      </w:r>
      <w:r w:rsidRPr="005F31CD">
        <w:rPr>
          <w:spacing w:val="-4"/>
        </w:rPr>
        <w:t xml:space="preserve">nechala lari devalvovať. Vďaka tomu zostali </w:t>
      </w:r>
      <w:r w:rsidRPr="005F31CD">
        <w:rPr>
          <w:i/>
          <w:spacing w:val="-4"/>
        </w:rPr>
        <w:t>hrubé medzinárodné rezervy</w:t>
      </w:r>
      <w:r w:rsidRPr="005F31CD">
        <w:rPr>
          <w:spacing w:val="-4"/>
        </w:rPr>
        <w:t xml:space="preserve"> celkovo stabilné, pričom ich výška na konci februára 2017 dosahovala 2,7 miliardy USD (asi 3 mesiace dovozu nasledujúceho roku). Cieľom nedávno dohodnutého programu MMF je zvýšenie rezerv</w:t>
      </w:r>
      <w:r w:rsidR="005F31CD">
        <w:rPr>
          <w:spacing w:val="-4"/>
        </w:rPr>
        <w:t xml:space="preserve"> z </w:t>
      </w:r>
      <w:r w:rsidRPr="005F31CD">
        <w:rPr>
          <w:spacing w:val="-4"/>
        </w:rPr>
        <w:t>2,8 miliardy USD na konci roku 2016</w:t>
      </w:r>
      <w:r w:rsidR="005F31CD">
        <w:rPr>
          <w:spacing w:val="-4"/>
        </w:rPr>
        <w:t xml:space="preserve"> o </w:t>
      </w:r>
      <w:r w:rsidRPr="005F31CD">
        <w:rPr>
          <w:spacing w:val="-4"/>
        </w:rPr>
        <w:t>54</w:t>
      </w:r>
      <w:r w:rsidR="005F31CD">
        <w:rPr>
          <w:spacing w:val="-4"/>
        </w:rPr>
        <w:t> %</w:t>
      </w:r>
      <w:r w:rsidRPr="005F31CD">
        <w:rPr>
          <w:spacing w:val="-4"/>
        </w:rPr>
        <w:t xml:space="preserve"> na 4,2 miliardy USD</w:t>
      </w:r>
      <w:r w:rsidR="005F31CD">
        <w:rPr>
          <w:spacing w:val="-4"/>
        </w:rPr>
        <w:t xml:space="preserve"> v </w:t>
      </w:r>
      <w:r w:rsidRPr="005F31CD">
        <w:rPr>
          <w:spacing w:val="-4"/>
        </w:rPr>
        <w:t>roku 2020 (asi 4 mesiace dovozného krytia).</w:t>
      </w:r>
    </w:p>
    <w:p w:rsidR="003C2110" w:rsidRPr="005F31CD" w:rsidRDefault="003C2110" w:rsidP="003C2110">
      <w:pPr>
        <w:rPr>
          <w:spacing w:val="-4"/>
        </w:rPr>
      </w:pPr>
      <w:r w:rsidRPr="005F31CD">
        <w:rPr>
          <w:spacing w:val="-4"/>
        </w:rPr>
        <w:t xml:space="preserve">Priemerná miera </w:t>
      </w:r>
      <w:r w:rsidRPr="005F31CD">
        <w:rPr>
          <w:i/>
          <w:spacing w:val="-4"/>
        </w:rPr>
        <w:t>inflácie</w:t>
      </w:r>
      <w:r w:rsidRPr="005F31CD">
        <w:rPr>
          <w:spacing w:val="-4"/>
        </w:rPr>
        <w:t xml:space="preserve"> (index spotrebiteľských cien, CPI) za dané obdobie sa</w:t>
      </w:r>
      <w:r w:rsidR="005F31CD">
        <w:rPr>
          <w:spacing w:val="-4"/>
        </w:rPr>
        <w:t xml:space="preserve"> v </w:t>
      </w:r>
      <w:r w:rsidRPr="005F31CD">
        <w:rPr>
          <w:spacing w:val="-4"/>
        </w:rPr>
        <w:t>roku 2016 spomalila na 2,1</w:t>
      </w:r>
      <w:r w:rsidR="005F31CD">
        <w:rPr>
          <w:spacing w:val="-4"/>
        </w:rPr>
        <w:t> %</w:t>
      </w:r>
      <w:r w:rsidRPr="005F31CD">
        <w:rPr>
          <w:spacing w:val="-4"/>
        </w:rPr>
        <w:t>,</w:t>
      </w:r>
      <w:r w:rsidR="005F31CD">
        <w:rPr>
          <w:spacing w:val="-4"/>
        </w:rPr>
        <w:t xml:space="preserve"> v </w:t>
      </w:r>
      <w:r w:rsidRPr="005F31CD">
        <w:rPr>
          <w:spacing w:val="-4"/>
        </w:rPr>
        <w:t>porovnaní so 4,0</w:t>
      </w:r>
      <w:r w:rsidR="005F31CD">
        <w:rPr>
          <w:spacing w:val="-4"/>
        </w:rPr>
        <w:t> % v </w:t>
      </w:r>
      <w:r w:rsidRPr="005F31CD">
        <w:rPr>
          <w:spacing w:val="-4"/>
        </w:rPr>
        <w:t>roku 2015. Predpokladá sa, že CPI sa</w:t>
      </w:r>
      <w:r w:rsidR="005F31CD">
        <w:rPr>
          <w:spacing w:val="-4"/>
        </w:rPr>
        <w:t xml:space="preserve"> v </w:t>
      </w:r>
      <w:r w:rsidRPr="005F31CD">
        <w:rPr>
          <w:spacing w:val="-4"/>
        </w:rPr>
        <w:t>roku 2017 zvýši na 5,7</w:t>
      </w:r>
      <w:r w:rsidR="005F31CD">
        <w:rPr>
          <w:spacing w:val="-4"/>
        </w:rPr>
        <w:t> % v </w:t>
      </w:r>
      <w:r w:rsidRPr="005F31CD">
        <w:rPr>
          <w:spacing w:val="-4"/>
        </w:rPr>
        <w:t>súlade so zvýšením spotrebných daní, ktoré vstúpilo do účinnosti</w:t>
      </w:r>
      <w:r w:rsidR="005F31CD">
        <w:rPr>
          <w:spacing w:val="-4"/>
        </w:rPr>
        <w:t xml:space="preserve"> v </w:t>
      </w:r>
      <w:r w:rsidRPr="005F31CD">
        <w:rPr>
          <w:spacing w:val="-4"/>
        </w:rPr>
        <w:t>januári 2017,</w:t>
      </w:r>
      <w:r w:rsidR="005F31CD">
        <w:rPr>
          <w:spacing w:val="-4"/>
        </w:rPr>
        <w:t xml:space="preserve"> v </w:t>
      </w:r>
      <w:r w:rsidRPr="005F31CD">
        <w:rPr>
          <w:spacing w:val="-4"/>
        </w:rPr>
        <w:t>roku 2018 by sa však mal znížiť na 3,0</w:t>
      </w:r>
      <w:r w:rsidR="005F31CD">
        <w:rPr>
          <w:spacing w:val="-4"/>
        </w:rPr>
        <w:t> % a </w:t>
      </w:r>
      <w:r w:rsidRPr="005F31CD">
        <w:rPr>
          <w:spacing w:val="-4"/>
        </w:rPr>
        <w:t>na podobnej úrovni by mal zostať aj</w:t>
      </w:r>
      <w:r w:rsidR="005F31CD">
        <w:rPr>
          <w:spacing w:val="-4"/>
        </w:rPr>
        <w:t xml:space="preserve"> v </w:t>
      </w:r>
      <w:r w:rsidRPr="005F31CD">
        <w:rPr>
          <w:spacing w:val="-4"/>
        </w:rPr>
        <w:t>rokoch 2019</w:t>
      </w:r>
      <w:r w:rsidR="005F31CD">
        <w:rPr>
          <w:spacing w:val="-4"/>
        </w:rPr>
        <w:t xml:space="preserve"> a </w:t>
      </w:r>
      <w:r w:rsidRPr="005F31CD">
        <w:rPr>
          <w:spacing w:val="-4"/>
        </w:rPr>
        <w:t>2020.</w:t>
      </w:r>
    </w:p>
    <w:p w:rsidR="003C2110" w:rsidRPr="005F31CD" w:rsidRDefault="003C2110" w:rsidP="003C2110">
      <w:pPr>
        <w:rPr>
          <w:spacing w:val="-4"/>
        </w:rPr>
      </w:pPr>
      <w:r w:rsidRPr="005F31CD">
        <w:rPr>
          <w:spacing w:val="-4"/>
        </w:rPr>
        <w:t xml:space="preserve">Po dlhom období fiškálnej konsolidácie od roku 2009 sa </w:t>
      </w:r>
      <w:r w:rsidRPr="005F31CD">
        <w:rPr>
          <w:i/>
          <w:spacing w:val="-4"/>
        </w:rPr>
        <w:t>rozpočtový deficit</w:t>
      </w:r>
      <w:r w:rsidRPr="005F31CD">
        <w:rPr>
          <w:spacing w:val="-4"/>
        </w:rPr>
        <w:t xml:space="preserve"> verejných financií</w:t>
      </w:r>
      <w:r w:rsidR="005F31CD">
        <w:rPr>
          <w:spacing w:val="-4"/>
        </w:rPr>
        <w:t xml:space="preserve"> v </w:t>
      </w:r>
      <w:r w:rsidRPr="005F31CD">
        <w:rPr>
          <w:spacing w:val="-4"/>
        </w:rPr>
        <w:t>roku 2015 začal zvyšovať (3,8</w:t>
      </w:r>
      <w:r w:rsidR="005F31CD">
        <w:rPr>
          <w:spacing w:val="-4"/>
        </w:rPr>
        <w:t> %</w:t>
      </w:r>
      <w:r w:rsidRPr="005F31CD">
        <w:rPr>
          <w:spacing w:val="-4"/>
        </w:rPr>
        <w:t xml:space="preserve"> HDP) čiastočne</w:t>
      </w:r>
      <w:r w:rsidR="005F31CD">
        <w:rPr>
          <w:spacing w:val="-4"/>
        </w:rPr>
        <w:t xml:space="preserve"> v </w:t>
      </w:r>
      <w:r w:rsidRPr="005F31CD">
        <w:rPr>
          <w:spacing w:val="-4"/>
        </w:rPr>
        <w:t>dôsledku zvýšenia sociálnych výdavkov</w:t>
      </w:r>
      <w:r w:rsidR="005F31CD">
        <w:rPr>
          <w:spacing w:val="-4"/>
        </w:rPr>
        <w:t xml:space="preserve"> s </w:t>
      </w:r>
      <w:r w:rsidRPr="005F31CD">
        <w:rPr>
          <w:spacing w:val="-4"/>
        </w:rPr>
        <w:t>cieľom riešiť vysokú úroveň chudoby</w:t>
      </w:r>
      <w:r w:rsidR="005F31CD">
        <w:rPr>
          <w:spacing w:val="-4"/>
        </w:rPr>
        <w:t xml:space="preserve"> a </w:t>
      </w:r>
      <w:r w:rsidRPr="005F31CD">
        <w:rPr>
          <w:spacing w:val="-4"/>
        </w:rPr>
        <w:t>nerovnosti</w:t>
      </w:r>
      <w:r w:rsidR="005F31CD">
        <w:rPr>
          <w:spacing w:val="-4"/>
        </w:rPr>
        <w:t xml:space="preserve"> v </w:t>
      </w:r>
      <w:r w:rsidRPr="005F31CD">
        <w:rPr>
          <w:spacing w:val="-4"/>
        </w:rPr>
        <w:t>krajine, ale aj ako odraz negatívneho vplyvu spomalenia hospodárskeho rastu na daňové príjmy. Stav rozpočtu sa ďalej zhoršil</w:t>
      </w:r>
      <w:r w:rsidR="005F31CD">
        <w:rPr>
          <w:spacing w:val="-4"/>
        </w:rPr>
        <w:t xml:space="preserve"> v </w:t>
      </w:r>
      <w:r w:rsidRPr="005F31CD">
        <w:rPr>
          <w:spacing w:val="-4"/>
        </w:rPr>
        <w:t>roku 2016, pričom MMF odhadoval deficit verejných financií na 4,1</w:t>
      </w:r>
      <w:r w:rsidR="005F31CD">
        <w:rPr>
          <w:spacing w:val="-4"/>
        </w:rPr>
        <w:t> %</w:t>
      </w:r>
      <w:r w:rsidRPr="005F31CD">
        <w:rPr>
          <w:spacing w:val="-4"/>
        </w:rPr>
        <w:t xml:space="preserve"> HDP,</w:t>
      </w:r>
      <w:r w:rsidR="005F31CD">
        <w:rPr>
          <w:spacing w:val="-4"/>
        </w:rPr>
        <w:t xml:space="preserve"> a </w:t>
      </w:r>
      <w:r w:rsidRPr="005F31CD">
        <w:rPr>
          <w:spacing w:val="-4"/>
        </w:rPr>
        <w:t>to</w:t>
      </w:r>
      <w:r w:rsidR="005F31CD">
        <w:rPr>
          <w:spacing w:val="-4"/>
        </w:rPr>
        <w:t xml:space="preserve"> v </w:t>
      </w:r>
      <w:r w:rsidRPr="005F31CD">
        <w:rPr>
          <w:spacing w:val="-4"/>
        </w:rPr>
        <w:t>dôsledku nižších príjmov, než sa očakávali, ako aj zvýšených výdavkov pred októbrovými parlamentnými voľbami (najmä do obrany, verejnej dopravy, infraštruktúry</w:t>
      </w:r>
      <w:r w:rsidR="005F31CD">
        <w:rPr>
          <w:spacing w:val="-4"/>
        </w:rPr>
        <w:t xml:space="preserve"> a </w:t>
      </w:r>
      <w:r w:rsidRPr="005F31CD">
        <w:rPr>
          <w:spacing w:val="-4"/>
        </w:rPr>
        <w:t>zdravotníctva).</w:t>
      </w:r>
      <w:r w:rsidR="005F31CD">
        <w:rPr>
          <w:spacing w:val="-4"/>
        </w:rPr>
        <w:t xml:space="preserve"> V </w:t>
      </w:r>
      <w:r w:rsidRPr="005F31CD">
        <w:rPr>
          <w:spacing w:val="-4"/>
        </w:rPr>
        <w:t>súčasnosti sa predpokladá, že rozpočtový deficit (pri ktorom sa tohto roku pred odsúhlasením nového programu MMF predpokladalo zvýšenie na približne 6</w:t>
      </w:r>
      <w:r w:rsidR="005F31CD">
        <w:rPr>
          <w:spacing w:val="-4"/>
        </w:rPr>
        <w:t> %</w:t>
      </w:r>
      <w:r w:rsidRPr="005F31CD">
        <w:rPr>
          <w:spacing w:val="-4"/>
        </w:rPr>
        <w:t>) zostane</w:t>
      </w:r>
      <w:r w:rsidR="005F31CD">
        <w:rPr>
          <w:spacing w:val="-4"/>
        </w:rPr>
        <w:t xml:space="preserve"> v </w:t>
      </w:r>
      <w:r w:rsidRPr="005F31CD">
        <w:rPr>
          <w:spacing w:val="-4"/>
        </w:rPr>
        <w:t>roku 2017 na rovnakej úrovni (4,1</w:t>
      </w:r>
      <w:r w:rsidR="005F31CD">
        <w:rPr>
          <w:spacing w:val="-4"/>
        </w:rPr>
        <w:t> %</w:t>
      </w:r>
      <w:r w:rsidRPr="005F31CD">
        <w:rPr>
          <w:spacing w:val="-4"/>
        </w:rPr>
        <w:t>)</w:t>
      </w:r>
      <w:r w:rsidR="005F31CD">
        <w:rPr>
          <w:spacing w:val="-4"/>
        </w:rPr>
        <w:t xml:space="preserve"> a </w:t>
      </w:r>
      <w:r w:rsidRPr="005F31CD">
        <w:rPr>
          <w:spacing w:val="-4"/>
        </w:rPr>
        <w:t>potom sa bude postupne znižovať, až dosiahne 3,1</w:t>
      </w:r>
      <w:r w:rsidR="005F31CD">
        <w:rPr>
          <w:spacing w:val="-4"/>
        </w:rPr>
        <w:t> % v </w:t>
      </w:r>
      <w:r w:rsidRPr="005F31CD">
        <w:rPr>
          <w:spacing w:val="-4"/>
        </w:rPr>
        <w:t>roku 2020.</w:t>
      </w:r>
      <w:r w:rsidR="005F31CD">
        <w:rPr>
          <w:spacing w:val="-4"/>
        </w:rPr>
        <w:t xml:space="preserve"> V </w:t>
      </w:r>
      <w:r w:rsidRPr="005F31CD">
        <w:rPr>
          <w:spacing w:val="-4"/>
        </w:rPr>
        <w:t xml:space="preserve">roku 2016 sa zvýšil aj </w:t>
      </w:r>
      <w:r w:rsidRPr="005F31CD">
        <w:rPr>
          <w:i/>
          <w:spacing w:val="-4"/>
        </w:rPr>
        <w:t>verejný dlh</w:t>
      </w:r>
      <w:r w:rsidRPr="005F31CD">
        <w:rPr>
          <w:spacing w:val="-4"/>
        </w:rPr>
        <w:t xml:space="preserve"> na odhadovaných 44,6</w:t>
      </w:r>
      <w:r w:rsidR="005F31CD">
        <w:rPr>
          <w:spacing w:val="-4"/>
        </w:rPr>
        <w:t> %</w:t>
      </w:r>
      <w:r w:rsidRPr="005F31CD">
        <w:rPr>
          <w:spacing w:val="-4"/>
        </w:rPr>
        <w:t xml:space="preserve"> HDP (z 35.6</w:t>
      </w:r>
      <w:r w:rsidR="005F31CD">
        <w:rPr>
          <w:spacing w:val="-4"/>
        </w:rPr>
        <w:t> % v </w:t>
      </w:r>
      <w:r w:rsidRPr="005F31CD">
        <w:rPr>
          <w:spacing w:val="-4"/>
        </w:rPr>
        <w:t>roku 2014), pričom sa predpokladá, že bude ďalej rásť,</w:t>
      </w:r>
      <w:r w:rsidR="005F31CD">
        <w:rPr>
          <w:spacing w:val="-4"/>
        </w:rPr>
        <w:t xml:space="preserve"> v </w:t>
      </w:r>
      <w:r w:rsidRPr="005F31CD">
        <w:rPr>
          <w:spacing w:val="-4"/>
        </w:rPr>
        <w:t>roku 2019 dosiahne okolo 47</w:t>
      </w:r>
      <w:r w:rsidR="005F31CD">
        <w:rPr>
          <w:spacing w:val="-4"/>
        </w:rPr>
        <w:t> % a </w:t>
      </w:r>
      <w:r w:rsidRPr="005F31CD">
        <w:rPr>
          <w:spacing w:val="-4"/>
        </w:rPr>
        <w:t>následne sa bude postupne znižovať.</w:t>
      </w:r>
    </w:p>
    <w:p w:rsidR="003C2110" w:rsidRPr="005F31CD" w:rsidRDefault="003C2110" w:rsidP="003C2110">
      <w:pPr>
        <w:rPr>
          <w:spacing w:val="-4"/>
        </w:rPr>
      </w:pPr>
      <w:r w:rsidRPr="005F31CD">
        <w:rPr>
          <w:spacing w:val="-4"/>
        </w:rPr>
        <w:t>Fiškálna stratégia gruzínskych orgánov je založená na ďalšej konsolidácii. Gruzínske orgány predovšetkým plánujú znížiť súčasné výdavky (znížením mzdových nákladov</w:t>
      </w:r>
      <w:r w:rsidR="005F31CD">
        <w:rPr>
          <w:spacing w:val="-4"/>
        </w:rPr>
        <w:t xml:space="preserve"> a </w:t>
      </w:r>
      <w:r w:rsidRPr="005F31CD">
        <w:rPr>
          <w:spacing w:val="-4"/>
        </w:rPr>
        <w:t>administratívnych výdavkov, zvýšením efektivity výdavkov na zdravotnú starostlivosť</w:t>
      </w:r>
      <w:r w:rsidR="005F31CD">
        <w:rPr>
          <w:spacing w:val="-4"/>
        </w:rPr>
        <w:t xml:space="preserve"> a </w:t>
      </w:r>
      <w:r w:rsidRPr="005F31CD">
        <w:rPr>
          <w:spacing w:val="-4"/>
        </w:rPr>
        <w:t>novými mechanizmami kontroly výdavkov miestnych samospráv)</w:t>
      </w:r>
      <w:r w:rsidR="005F31CD">
        <w:rPr>
          <w:spacing w:val="-4"/>
        </w:rPr>
        <w:t xml:space="preserve"> a </w:t>
      </w:r>
      <w:r w:rsidRPr="005F31CD">
        <w:rPr>
          <w:spacing w:val="-4"/>
        </w:rPr>
        <w:t>zároveň zvýšiť kapitálové výdavky, najmä do infraštruktúry,</w:t>
      </w:r>
      <w:r w:rsidR="005F31CD">
        <w:rPr>
          <w:spacing w:val="-4"/>
        </w:rPr>
        <w:t xml:space="preserve"> a </w:t>
      </w:r>
      <w:r w:rsidRPr="005F31CD">
        <w:rPr>
          <w:spacing w:val="-4"/>
        </w:rPr>
        <w:t>zaviesť druhý (financovaný) pilier dôchodkového systému. Na strane príjmov zvýšili gruzínske orgány dane (predovšetkým spotrebné dane</w:t>
      </w:r>
      <w:r w:rsidR="005F31CD">
        <w:rPr>
          <w:spacing w:val="-4"/>
        </w:rPr>
        <w:t xml:space="preserve"> z </w:t>
      </w:r>
      <w:r w:rsidRPr="005F31CD">
        <w:rPr>
          <w:spacing w:val="-4"/>
        </w:rPr>
        <w:t>tabakových výrobkov, vozidiel</w:t>
      </w:r>
      <w:r w:rsidR="005F31CD">
        <w:rPr>
          <w:spacing w:val="-4"/>
        </w:rPr>
        <w:t xml:space="preserve"> a </w:t>
      </w:r>
      <w:r w:rsidRPr="005F31CD">
        <w:rPr>
          <w:spacing w:val="-4"/>
        </w:rPr>
        <w:t>palív)</w:t>
      </w:r>
      <w:r w:rsidR="005F31CD">
        <w:rPr>
          <w:spacing w:val="-4"/>
        </w:rPr>
        <w:t xml:space="preserve"> s </w:t>
      </w:r>
      <w:r w:rsidRPr="005F31CD">
        <w:rPr>
          <w:spacing w:val="-4"/>
        </w:rPr>
        <w:t>cieľom vyvážiť straty príjmov spôsobené reformou dane</w:t>
      </w:r>
      <w:r w:rsidR="005F31CD">
        <w:rPr>
          <w:spacing w:val="-4"/>
        </w:rPr>
        <w:t xml:space="preserve"> z </w:t>
      </w:r>
      <w:r w:rsidRPr="005F31CD">
        <w:rPr>
          <w:spacing w:val="-4"/>
        </w:rPr>
        <w:t>príjmov právnických osôb, ktorá vstúpila do účinnosti</w:t>
      </w:r>
      <w:r w:rsidR="005F31CD">
        <w:rPr>
          <w:spacing w:val="-4"/>
        </w:rPr>
        <w:t xml:space="preserve"> v </w:t>
      </w:r>
      <w:r w:rsidRPr="005F31CD">
        <w:rPr>
          <w:spacing w:val="-4"/>
        </w:rPr>
        <w:t>januári 2017,</w:t>
      </w:r>
      <w:r w:rsidR="005F31CD">
        <w:rPr>
          <w:spacing w:val="-4"/>
        </w:rPr>
        <w:t xml:space="preserve"> a v </w:t>
      </w:r>
      <w:r w:rsidRPr="005F31CD">
        <w:rPr>
          <w:spacing w:val="-4"/>
        </w:rPr>
        <w:t>prípade potreby sú pripravené prijať ďalšie opatrenia.</w:t>
      </w:r>
    </w:p>
    <w:p w:rsidR="003C2110" w:rsidRPr="005F31CD" w:rsidRDefault="003C2110" w:rsidP="003C2110">
      <w:pPr>
        <w:rPr>
          <w:spacing w:val="-4"/>
        </w:rPr>
      </w:pPr>
      <w:r w:rsidRPr="005F31CD">
        <w:rPr>
          <w:spacing w:val="-4"/>
        </w:rPr>
        <w:t>Túto fiškálnu konsolidáciu dopĺňa program štrukturálnych reforiem zameraný na zlepšenie podnikateľského prostredia, vzdelávania</w:t>
      </w:r>
      <w:r w:rsidR="005F31CD">
        <w:rPr>
          <w:spacing w:val="-4"/>
        </w:rPr>
        <w:t xml:space="preserve"> a </w:t>
      </w:r>
      <w:r w:rsidRPr="005F31CD">
        <w:rPr>
          <w:spacing w:val="-4"/>
        </w:rPr>
        <w:t>verejnej správy, ako aj investovanie do infraštruktúry. Ďalšie opatrenia zahrňujú fiškálne reformy (predovšetkým zlepšenie riadenia rizík vyplývajúcich</w:t>
      </w:r>
      <w:r w:rsidR="005F31CD">
        <w:rPr>
          <w:spacing w:val="-4"/>
        </w:rPr>
        <w:t xml:space="preserve"> z </w:t>
      </w:r>
      <w:r w:rsidRPr="005F31CD">
        <w:rPr>
          <w:spacing w:val="-4"/>
        </w:rPr>
        <w:t>verejno-súkromných partnerstiev</w:t>
      </w:r>
      <w:r w:rsidR="005F31CD">
        <w:rPr>
          <w:spacing w:val="-4"/>
        </w:rPr>
        <w:t xml:space="preserve"> a </w:t>
      </w:r>
      <w:r w:rsidRPr="005F31CD">
        <w:rPr>
          <w:spacing w:val="-4"/>
        </w:rPr>
        <w:t>štátnych podnikov), posilnenie finančného sektora (napríklad zavedením systému ochrany vkladov</w:t>
      </w:r>
      <w:r w:rsidR="005F31CD">
        <w:rPr>
          <w:spacing w:val="-4"/>
        </w:rPr>
        <w:t xml:space="preserve"> a </w:t>
      </w:r>
      <w:r w:rsidRPr="005F31CD">
        <w:rPr>
          <w:spacing w:val="-4"/>
        </w:rPr>
        <w:t>zlepšením rámcov regulácie, dohľadu</w:t>
      </w:r>
      <w:r w:rsidR="005F31CD">
        <w:rPr>
          <w:spacing w:val="-4"/>
        </w:rPr>
        <w:t xml:space="preserve"> a </w:t>
      </w:r>
      <w:r w:rsidRPr="005F31CD">
        <w:rPr>
          <w:spacing w:val="-4"/>
        </w:rPr>
        <w:t>riešenia problémov pre banky), ako aj pokračujúce prispôsobovanie sa požiadavkám DCFTA.</w:t>
      </w:r>
    </w:p>
    <w:p w:rsidR="003C2110" w:rsidRPr="005F31CD" w:rsidRDefault="003C2110" w:rsidP="003C2110">
      <w:pPr>
        <w:rPr>
          <w:spacing w:val="-4"/>
        </w:rPr>
      </w:pPr>
      <w:r w:rsidRPr="005F31CD">
        <w:rPr>
          <w:spacing w:val="-4"/>
        </w:rPr>
        <w:t>Prognózy MMF</w:t>
      </w:r>
      <w:r w:rsidR="005F31CD">
        <w:rPr>
          <w:spacing w:val="-4"/>
        </w:rPr>
        <w:t xml:space="preserve"> z </w:t>
      </w:r>
      <w:r w:rsidRPr="005F31CD">
        <w:rPr>
          <w:spacing w:val="-4"/>
        </w:rPr>
        <w:t xml:space="preserve">marca 2017 ďalej poukazujú na významné </w:t>
      </w:r>
      <w:r w:rsidRPr="005F31CD">
        <w:rPr>
          <w:i/>
          <w:spacing w:val="-4"/>
        </w:rPr>
        <w:t>potreby vonkajšieho financovania</w:t>
      </w:r>
      <w:r w:rsidRPr="005F31CD">
        <w:rPr>
          <w:spacing w:val="-4"/>
        </w:rPr>
        <w:t xml:space="preserve"> na obdobie rokov 2017 – 2020, pričom celkový deficit vo vonkajšom financovaní sa odhaduje na 752 miliónov USD (256 miliónov USD</w:t>
      </w:r>
      <w:r w:rsidR="005F31CD">
        <w:rPr>
          <w:spacing w:val="-4"/>
        </w:rPr>
        <w:t xml:space="preserve"> v </w:t>
      </w:r>
      <w:r w:rsidRPr="005F31CD">
        <w:rPr>
          <w:spacing w:val="-4"/>
        </w:rPr>
        <w:t>roku 2017, 222 miliónov USD</w:t>
      </w:r>
      <w:r w:rsidR="005F31CD">
        <w:rPr>
          <w:spacing w:val="-4"/>
        </w:rPr>
        <w:t xml:space="preserve"> v </w:t>
      </w:r>
      <w:r w:rsidRPr="005F31CD">
        <w:rPr>
          <w:spacing w:val="-4"/>
        </w:rPr>
        <w:t>roku 2018, 183 miliónov USD</w:t>
      </w:r>
      <w:r w:rsidR="005F31CD">
        <w:rPr>
          <w:spacing w:val="-4"/>
        </w:rPr>
        <w:t xml:space="preserve"> v </w:t>
      </w:r>
      <w:r w:rsidRPr="005F31CD">
        <w:rPr>
          <w:spacing w:val="-4"/>
        </w:rPr>
        <w:t>roku 2019</w:t>
      </w:r>
      <w:r w:rsidR="005F31CD">
        <w:rPr>
          <w:spacing w:val="-4"/>
        </w:rPr>
        <w:t xml:space="preserve"> a </w:t>
      </w:r>
      <w:r w:rsidRPr="005F31CD">
        <w:rPr>
          <w:spacing w:val="-4"/>
        </w:rPr>
        <w:t>91 miliónov USD</w:t>
      </w:r>
      <w:r w:rsidR="005F31CD">
        <w:rPr>
          <w:spacing w:val="-4"/>
        </w:rPr>
        <w:t xml:space="preserve"> v </w:t>
      </w:r>
      <w:r w:rsidRPr="005F31CD">
        <w:rPr>
          <w:spacing w:val="-4"/>
        </w:rPr>
        <w:t>roku 2020). Tento rozdiel vo financovaní možno všeobecne pripísať na vrub týmto trom faktorom: relatívne vysokému deficitu bežného účtu, potrebe zvýšiť devízové rezervy</w:t>
      </w:r>
      <w:r w:rsidR="005F31CD">
        <w:rPr>
          <w:spacing w:val="-4"/>
        </w:rPr>
        <w:t xml:space="preserve"> a </w:t>
      </w:r>
      <w:r w:rsidRPr="005F31CD">
        <w:rPr>
          <w:spacing w:val="-4"/>
        </w:rPr>
        <w:t>očakávaným významným požiadavkám na splatenie dlhu.</w:t>
      </w:r>
    </w:p>
    <w:p w:rsidR="003C2110" w:rsidRPr="005F31CD" w:rsidRDefault="003C2110" w:rsidP="003C2110">
      <w:pPr>
        <w:rPr>
          <w:spacing w:val="-4"/>
          <w:szCs w:val="24"/>
        </w:rPr>
      </w:pPr>
      <w:r w:rsidRPr="005F31CD">
        <w:rPr>
          <w:spacing w:val="-4"/>
        </w:rPr>
        <w:t>Navrhovaná operácia makrofinančnej pomoci vo výške 45 miliónov EUR (okolo 50 miliónov USD), poskytnutej navyše</w:t>
      </w:r>
      <w:r w:rsidR="005F31CD">
        <w:rPr>
          <w:spacing w:val="-4"/>
        </w:rPr>
        <w:t xml:space="preserve"> k </w:t>
      </w:r>
      <w:r w:rsidRPr="005F31CD">
        <w:rPr>
          <w:spacing w:val="-4"/>
        </w:rPr>
        <w:t>23 miliónom EUR (okolo 26 miliónov USD) vyplateným</w:t>
      </w:r>
      <w:r w:rsidR="005F31CD">
        <w:rPr>
          <w:spacing w:val="-4"/>
        </w:rPr>
        <w:t xml:space="preserve"> v </w:t>
      </w:r>
      <w:r w:rsidRPr="005F31CD">
        <w:rPr>
          <w:spacing w:val="-4"/>
        </w:rPr>
        <w:t>rámci predchádzajúcej operácie makrofinančnej pomoci</w:t>
      </w:r>
      <w:r w:rsidR="005F31CD">
        <w:rPr>
          <w:spacing w:val="-4"/>
        </w:rPr>
        <w:t xml:space="preserve"> v </w:t>
      </w:r>
      <w:r w:rsidRPr="005F31CD">
        <w:rPr>
          <w:spacing w:val="-4"/>
        </w:rPr>
        <w:t>máji 2017, by pokryla 10</w:t>
      </w:r>
      <w:r w:rsidR="005F31CD">
        <w:rPr>
          <w:spacing w:val="-4"/>
        </w:rPr>
        <w:t> %</w:t>
      </w:r>
      <w:r w:rsidRPr="005F31CD">
        <w:rPr>
          <w:spacing w:val="-4"/>
        </w:rPr>
        <w:t xml:space="preserve"> celkového odhadovaného rozdielu vo financovaní</w:t>
      </w:r>
      <w:r w:rsidR="005F31CD">
        <w:rPr>
          <w:spacing w:val="-4"/>
        </w:rPr>
        <w:t xml:space="preserve"> a </w:t>
      </w:r>
      <w:r w:rsidRPr="005F31CD">
        <w:rPr>
          <w:spacing w:val="-4"/>
        </w:rPr>
        <w:t>33</w:t>
      </w:r>
      <w:r w:rsidR="005F31CD">
        <w:rPr>
          <w:spacing w:val="-4"/>
        </w:rPr>
        <w:t> %</w:t>
      </w:r>
      <w:r w:rsidRPr="005F31CD">
        <w:rPr>
          <w:spacing w:val="-4"/>
        </w:rPr>
        <w:t xml:space="preserve"> zostatkového rozdielu vo financovaní (po odpočítaní čistého financovania MMF</w:t>
      </w:r>
      <w:r w:rsidR="005F31CD">
        <w:rPr>
          <w:spacing w:val="-4"/>
        </w:rPr>
        <w:t xml:space="preserve"> a </w:t>
      </w:r>
      <w:r w:rsidRPr="005F31CD">
        <w:rPr>
          <w:spacing w:val="-4"/>
        </w:rPr>
        <w:t>očakávaných výdavkov na úvery</w:t>
      </w:r>
      <w:r w:rsidR="005F31CD">
        <w:rPr>
          <w:spacing w:val="-4"/>
        </w:rPr>
        <w:t xml:space="preserve"> v </w:t>
      </w:r>
      <w:r w:rsidRPr="005F31CD">
        <w:rPr>
          <w:spacing w:val="-4"/>
        </w:rPr>
        <w:t>súlade</w:t>
      </w:r>
      <w:r w:rsidR="005F31CD">
        <w:rPr>
          <w:spacing w:val="-4"/>
        </w:rPr>
        <w:t xml:space="preserve"> s </w:t>
      </w:r>
      <w:r w:rsidRPr="005F31CD">
        <w:rPr>
          <w:spacing w:val="-4"/>
        </w:rPr>
        <w:t>politikou Svetovej banky).</w:t>
      </w:r>
    </w:p>
    <w:p w:rsidR="003C2110" w:rsidRPr="005F31CD" w:rsidRDefault="003C2110" w:rsidP="003C2110">
      <w:pPr>
        <w:autoSpaceDE w:val="0"/>
        <w:autoSpaceDN w:val="0"/>
        <w:adjustRightInd w:val="0"/>
        <w:spacing w:after="240"/>
        <w:rPr>
          <w:spacing w:val="-4"/>
        </w:rPr>
      </w:pPr>
      <w:r w:rsidRPr="005F31CD">
        <w:rPr>
          <w:spacing w:val="-4"/>
        </w:rPr>
        <w:t>Ďalšími kľúčovými opatreniami, ktoré prispievajú</w:t>
      </w:r>
      <w:r w:rsidR="005F31CD">
        <w:rPr>
          <w:spacing w:val="-4"/>
        </w:rPr>
        <w:t xml:space="preserve"> k </w:t>
      </w:r>
      <w:r w:rsidRPr="005F31CD">
        <w:rPr>
          <w:spacing w:val="-4"/>
        </w:rPr>
        <w:t>pokrytiu zostatkového rozdielu vo financovaní, sú granty na podporu rozpočtu od Francúzskej rozvojovej agentúry (vo výške 62 miliónov USD</w:t>
      </w:r>
      <w:r w:rsidR="005F31CD">
        <w:rPr>
          <w:spacing w:val="-4"/>
        </w:rPr>
        <w:t xml:space="preserve"> v </w:t>
      </w:r>
      <w:r w:rsidRPr="005F31CD">
        <w:rPr>
          <w:spacing w:val="-4"/>
        </w:rPr>
        <w:t>roku 2017)</w:t>
      </w:r>
      <w:r w:rsidR="005F31CD">
        <w:rPr>
          <w:spacing w:val="-4"/>
        </w:rPr>
        <w:t xml:space="preserve"> a </w:t>
      </w:r>
      <w:r w:rsidRPr="005F31CD">
        <w:rPr>
          <w:spacing w:val="-4"/>
        </w:rPr>
        <w:t>Ázijskej rozvojovej banky (ktorý by mal</w:t>
      </w:r>
      <w:r w:rsidR="005F31CD">
        <w:rPr>
          <w:spacing w:val="-4"/>
        </w:rPr>
        <w:t xml:space="preserve"> v </w:t>
      </w:r>
      <w:r w:rsidRPr="005F31CD">
        <w:rPr>
          <w:spacing w:val="-4"/>
        </w:rPr>
        <w:t>rokoch 2018 – 2019 predstavovať 100 miliónov USD).</w:t>
      </w:r>
    </w:p>
    <w:p w:rsidR="003C2110" w:rsidRPr="005F31CD" w:rsidRDefault="003C2110" w:rsidP="003C2110">
      <w:pPr>
        <w:pStyle w:val="ManualHeading2"/>
        <w:rPr>
          <w:spacing w:val="-4"/>
        </w:rPr>
      </w:pPr>
      <w:r w:rsidRPr="005F31CD">
        <w:rPr>
          <w:color w:val="000000"/>
          <w:spacing w:val="-4"/>
          <w:u w:color="000000"/>
          <w:bdr w:val="nil"/>
        </w:rPr>
        <w:t>•</w:t>
      </w:r>
      <w:r w:rsidRPr="005F31CD">
        <w:rPr>
          <w:spacing w:val="-4"/>
        </w:rPr>
        <w:tab/>
        <w:t>Existujúce ustanovenia</w:t>
      </w:r>
      <w:r w:rsidR="005F31CD">
        <w:rPr>
          <w:spacing w:val="-4"/>
        </w:rPr>
        <w:t xml:space="preserve"> v </w:t>
      </w:r>
      <w:r w:rsidRPr="005F31CD">
        <w:rPr>
          <w:spacing w:val="-4"/>
        </w:rPr>
        <w:t>oblasti návrhu</w:t>
      </w:r>
    </w:p>
    <w:p w:rsidR="003C2110" w:rsidRPr="005F31CD" w:rsidRDefault="003C2110" w:rsidP="003C2110">
      <w:pPr>
        <w:tabs>
          <w:tab w:val="left" w:pos="719"/>
        </w:tabs>
        <w:spacing w:after="240"/>
        <w:rPr>
          <w:spacing w:val="-4"/>
        </w:rPr>
      </w:pPr>
      <w:r w:rsidRPr="005F31CD">
        <w:rPr>
          <w:spacing w:val="-4"/>
        </w:rPr>
        <w:t xml:space="preserve">Rozhodnutie </w:t>
      </w:r>
      <w:r w:rsidR="005F31CD">
        <w:rPr>
          <w:spacing w:val="-4"/>
        </w:rPr>
        <w:t>č. </w:t>
      </w:r>
      <w:r w:rsidRPr="005F31CD">
        <w:rPr>
          <w:spacing w:val="-4"/>
        </w:rPr>
        <w:t>778/2013/EÚ</w:t>
      </w:r>
      <w:r w:rsidR="005F31CD">
        <w:rPr>
          <w:spacing w:val="-4"/>
        </w:rPr>
        <w:t xml:space="preserve"> o </w:t>
      </w:r>
      <w:r w:rsidRPr="005F31CD">
        <w:rPr>
          <w:spacing w:val="-4"/>
        </w:rPr>
        <w:t>poskytnutí predchádzajúcej makrofinančnej pomoci Gruzínsku vo výške 46 miliónov EUR (polovica</w:t>
      </w:r>
      <w:r w:rsidR="005F31CD">
        <w:rPr>
          <w:spacing w:val="-4"/>
        </w:rPr>
        <w:t xml:space="preserve"> v </w:t>
      </w:r>
      <w:r w:rsidRPr="005F31CD">
        <w:rPr>
          <w:spacing w:val="-4"/>
        </w:rPr>
        <w:t>grantoch</w:t>
      </w:r>
      <w:r w:rsidR="005F31CD">
        <w:rPr>
          <w:spacing w:val="-4"/>
        </w:rPr>
        <w:t xml:space="preserve"> a </w:t>
      </w:r>
      <w:r w:rsidRPr="005F31CD">
        <w:rPr>
          <w:spacing w:val="-4"/>
        </w:rPr>
        <w:t>polovica</w:t>
      </w:r>
      <w:r w:rsidR="005F31CD">
        <w:rPr>
          <w:spacing w:val="-4"/>
        </w:rPr>
        <w:t xml:space="preserve"> v </w:t>
      </w:r>
      <w:r w:rsidRPr="005F31CD">
        <w:rPr>
          <w:spacing w:val="-4"/>
        </w:rPr>
        <w:t>úveroch) bolo schválené Európskym parlamentom</w:t>
      </w:r>
      <w:r w:rsidR="005F31CD">
        <w:rPr>
          <w:spacing w:val="-4"/>
        </w:rPr>
        <w:t xml:space="preserve"> a </w:t>
      </w:r>
      <w:r w:rsidRPr="005F31CD">
        <w:rPr>
          <w:spacing w:val="-4"/>
        </w:rPr>
        <w:t>Radou 12. Augusta 2013</w:t>
      </w:r>
      <w:r w:rsidRPr="005F31CD">
        <w:rPr>
          <w:rStyle w:val="FootnoteReference"/>
          <w:spacing w:val="-4"/>
        </w:rPr>
        <w:footnoteReference w:id="2"/>
      </w:r>
      <w:r w:rsidRPr="005F31CD">
        <w:rPr>
          <w:spacing w:val="-4"/>
        </w:rPr>
        <w:t>. Pomoc bola plne vykonaná</w:t>
      </w:r>
      <w:r w:rsidR="005F31CD">
        <w:rPr>
          <w:spacing w:val="-4"/>
        </w:rPr>
        <w:t xml:space="preserve"> v </w:t>
      </w:r>
      <w:r w:rsidRPr="005F31CD">
        <w:rPr>
          <w:spacing w:val="-4"/>
        </w:rPr>
        <w:t>rokoch 2015 – 2017, pričom</w:t>
      </w:r>
      <w:r w:rsidR="005F31CD">
        <w:rPr>
          <w:spacing w:val="-4"/>
        </w:rPr>
        <w:t xml:space="preserve"> k </w:t>
      </w:r>
      <w:r w:rsidRPr="005F31CD">
        <w:rPr>
          <w:spacing w:val="-4"/>
        </w:rPr>
        <w:t>vyplateniu poslednej sumy došlo</w:t>
      </w:r>
      <w:r w:rsidR="005F31CD">
        <w:rPr>
          <w:spacing w:val="-4"/>
        </w:rPr>
        <w:t xml:space="preserve"> v </w:t>
      </w:r>
      <w:r w:rsidRPr="005F31CD">
        <w:rPr>
          <w:spacing w:val="-4"/>
        </w:rPr>
        <w:t>máji 2017.</w:t>
      </w:r>
    </w:p>
    <w:p w:rsidR="003C2110" w:rsidRPr="005F31CD" w:rsidRDefault="003C2110" w:rsidP="003C2110">
      <w:pPr>
        <w:pStyle w:val="ManualHeading2"/>
        <w:rPr>
          <w:rFonts w:eastAsia="Arial Unicode MS"/>
          <w:spacing w:val="-4"/>
        </w:rPr>
      </w:pPr>
      <w:r w:rsidRPr="005F31CD">
        <w:rPr>
          <w:color w:val="000000"/>
          <w:spacing w:val="-4"/>
          <w:u w:color="000000"/>
          <w:bdr w:val="nil"/>
        </w:rPr>
        <w:t>•</w:t>
      </w:r>
      <w:r w:rsidRPr="005F31CD">
        <w:rPr>
          <w:spacing w:val="-4"/>
        </w:rPr>
        <w:tab/>
        <w:t>Súlad</w:t>
      </w:r>
      <w:r w:rsidR="005F31CD">
        <w:rPr>
          <w:spacing w:val="-4"/>
        </w:rPr>
        <w:t xml:space="preserve"> s </w:t>
      </w:r>
      <w:r w:rsidRPr="005F31CD">
        <w:rPr>
          <w:spacing w:val="-4"/>
        </w:rPr>
        <w:t>ostatnými politikami</w:t>
      </w:r>
      <w:r w:rsidR="005F31CD">
        <w:rPr>
          <w:spacing w:val="-4"/>
        </w:rPr>
        <w:t xml:space="preserve"> a </w:t>
      </w:r>
      <w:r w:rsidRPr="005F31CD">
        <w:rPr>
          <w:spacing w:val="-4"/>
        </w:rPr>
        <w:t>cieľmi politík Únie</w:t>
      </w:r>
    </w:p>
    <w:p w:rsidR="003C2110" w:rsidRPr="005F31CD" w:rsidRDefault="003C2110" w:rsidP="003C2110">
      <w:pPr>
        <w:rPr>
          <w:spacing w:val="-4"/>
        </w:rPr>
      </w:pPr>
      <w:r w:rsidRPr="005F31CD">
        <w:rPr>
          <w:spacing w:val="-4"/>
        </w:rPr>
        <w:t>Medzi EÚ</w:t>
      </w:r>
      <w:r w:rsidR="005F31CD">
        <w:rPr>
          <w:spacing w:val="-4"/>
        </w:rPr>
        <w:t xml:space="preserve"> a </w:t>
      </w:r>
      <w:r w:rsidRPr="005F31CD">
        <w:rPr>
          <w:spacing w:val="-4"/>
        </w:rPr>
        <w:t>Gruzínskom sa</w:t>
      </w:r>
      <w:r w:rsidR="005F31CD">
        <w:rPr>
          <w:spacing w:val="-4"/>
        </w:rPr>
        <w:t xml:space="preserve"> v </w:t>
      </w:r>
      <w:r w:rsidRPr="005F31CD">
        <w:rPr>
          <w:spacing w:val="-4"/>
        </w:rPr>
        <w:t>priebehu rokov rozvinuli úzke politické</w:t>
      </w:r>
      <w:r w:rsidR="005F31CD">
        <w:rPr>
          <w:spacing w:val="-4"/>
        </w:rPr>
        <w:t xml:space="preserve"> a </w:t>
      </w:r>
      <w:r w:rsidRPr="005F31CD">
        <w:rPr>
          <w:spacing w:val="-4"/>
        </w:rPr>
        <w:t>hospodárske vzťahy, ktoré viedli</w:t>
      </w:r>
      <w:r w:rsidR="005F31CD">
        <w:rPr>
          <w:spacing w:val="-4"/>
        </w:rPr>
        <w:t xml:space="preserve"> k </w:t>
      </w:r>
      <w:r w:rsidRPr="005F31CD">
        <w:rPr>
          <w:spacing w:val="-4"/>
        </w:rPr>
        <w:t>uzatvoreniu dohody</w:t>
      </w:r>
      <w:r w:rsidR="005F31CD">
        <w:rPr>
          <w:spacing w:val="-4"/>
        </w:rPr>
        <w:t xml:space="preserve"> o </w:t>
      </w:r>
      <w:r w:rsidRPr="005F31CD">
        <w:rPr>
          <w:spacing w:val="-4"/>
        </w:rPr>
        <w:t>pridružení, vrátane DCFTA, ktorá bola podpísaná</w:t>
      </w:r>
      <w:r w:rsidR="005F31CD">
        <w:rPr>
          <w:spacing w:val="-4"/>
        </w:rPr>
        <w:t xml:space="preserve"> v </w:t>
      </w:r>
      <w:r w:rsidRPr="005F31CD">
        <w:rPr>
          <w:spacing w:val="-4"/>
        </w:rPr>
        <w:t>roku 2014</w:t>
      </w:r>
      <w:r w:rsidR="005F31CD">
        <w:rPr>
          <w:spacing w:val="-4"/>
        </w:rPr>
        <w:t xml:space="preserve"> a </w:t>
      </w:r>
      <w:r w:rsidRPr="005F31CD">
        <w:rPr>
          <w:spacing w:val="-4"/>
        </w:rPr>
        <w:t>do účinnosti vstúpila</w:t>
      </w:r>
      <w:r w:rsidR="005F31CD">
        <w:rPr>
          <w:spacing w:val="-4"/>
        </w:rPr>
        <w:t xml:space="preserve"> v </w:t>
      </w:r>
      <w:r w:rsidRPr="005F31CD">
        <w:rPr>
          <w:spacing w:val="-4"/>
        </w:rPr>
        <w:t>roku 2016. Táto dohoda</w:t>
      </w:r>
      <w:r w:rsidR="005F31CD">
        <w:rPr>
          <w:spacing w:val="-4"/>
        </w:rPr>
        <w:t xml:space="preserve"> o </w:t>
      </w:r>
      <w:r w:rsidRPr="005F31CD">
        <w:rPr>
          <w:spacing w:val="-4"/>
        </w:rPr>
        <w:t>pridružení, ktorá nahradila predchádzajúcu dohodu</w:t>
      </w:r>
      <w:r w:rsidR="005F31CD">
        <w:rPr>
          <w:spacing w:val="-4"/>
        </w:rPr>
        <w:t xml:space="preserve"> o </w:t>
      </w:r>
      <w:r w:rsidRPr="005F31CD">
        <w:rPr>
          <w:spacing w:val="-4"/>
        </w:rPr>
        <w:t>partnerstve</w:t>
      </w:r>
      <w:r w:rsidR="005F31CD">
        <w:rPr>
          <w:spacing w:val="-4"/>
        </w:rPr>
        <w:t xml:space="preserve"> a </w:t>
      </w:r>
      <w:r w:rsidRPr="005F31CD">
        <w:rPr>
          <w:spacing w:val="-4"/>
        </w:rPr>
        <w:t>spolupráci, umožní uskutočnenie politického pridruženia</w:t>
      </w:r>
      <w:r w:rsidR="005F31CD">
        <w:rPr>
          <w:spacing w:val="-4"/>
        </w:rPr>
        <w:t xml:space="preserve"> a </w:t>
      </w:r>
      <w:r w:rsidRPr="005F31CD">
        <w:rPr>
          <w:spacing w:val="-4"/>
        </w:rPr>
        <w:t>hospodárskej integrácie Gruzínska</w:t>
      </w:r>
      <w:r w:rsidR="005F31CD">
        <w:rPr>
          <w:spacing w:val="-4"/>
        </w:rPr>
        <w:t xml:space="preserve"> s </w:t>
      </w:r>
      <w:r w:rsidRPr="005F31CD">
        <w:rPr>
          <w:spacing w:val="-4"/>
        </w:rPr>
        <w:t>EÚ. Prostredníctvom jednotného rámca podpory EÚ sa určujú prioritné odvetvia spolupráce</w:t>
      </w:r>
      <w:r w:rsidR="005F31CD">
        <w:rPr>
          <w:spacing w:val="-4"/>
        </w:rPr>
        <w:t xml:space="preserve"> s </w:t>
      </w:r>
      <w:r w:rsidRPr="005F31CD">
        <w:rPr>
          <w:spacing w:val="-4"/>
        </w:rPr>
        <w:t>Gruzínskom financované</w:t>
      </w:r>
      <w:r w:rsidR="005F31CD">
        <w:rPr>
          <w:spacing w:val="-4"/>
        </w:rPr>
        <w:t xml:space="preserve"> v </w:t>
      </w:r>
      <w:r w:rsidRPr="005F31CD">
        <w:rPr>
          <w:spacing w:val="-4"/>
        </w:rPr>
        <w:t>rámci nástroja európskeho susedstva (ďalej len „ENI“). Jednotný rámec podpory na obdobie rokov 2017 – 2020 sa</w:t>
      </w:r>
      <w:r w:rsidR="005F31CD">
        <w:rPr>
          <w:spacing w:val="-4"/>
        </w:rPr>
        <w:t xml:space="preserve"> v </w:t>
      </w:r>
      <w:r w:rsidRPr="005F31CD">
        <w:rPr>
          <w:spacing w:val="-4"/>
        </w:rPr>
        <w:t>súčasnosti dokončuje.</w:t>
      </w:r>
    </w:p>
    <w:p w:rsidR="003C2110" w:rsidRPr="005F31CD" w:rsidRDefault="003C2110" w:rsidP="003C2110">
      <w:pPr>
        <w:rPr>
          <w:spacing w:val="-4"/>
        </w:rPr>
      </w:pPr>
      <w:r w:rsidRPr="005F31CD">
        <w:rPr>
          <w:spacing w:val="-4"/>
        </w:rPr>
        <w:t>Hospodárske väzby medzi Gruzínskom</w:t>
      </w:r>
      <w:r w:rsidR="005F31CD">
        <w:rPr>
          <w:spacing w:val="-4"/>
        </w:rPr>
        <w:t xml:space="preserve"> a </w:t>
      </w:r>
      <w:r w:rsidRPr="005F31CD">
        <w:rPr>
          <w:spacing w:val="-4"/>
        </w:rPr>
        <w:t>EÚ sú už dobre rozvinuté.</w:t>
      </w:r>
      <w:r w:rsidR="005F31CD">
        <w:rPr>
          <w:spacing w:val="-4"/>
        </w:rPr>
        <w:t xml:space="preserve"> V </w:t>
      </w:r>
      <w:r w:rsidRPr="005F31CD">
        <w:rPr>
          <w:spacing w:val="-4"/>
        </w:rPr>
        <w:t>roku 2016 bola EÚ hlavným obchodným partnerom Gruzínska</w:t>
      </w:r>
      <w:r w:rsidR="005F31CD">
        <w:rPr>
          <w:spacing w:val="-4"/>
        </w:rPr>
        <w:t xml:space="preserve"> s </w:t>
      </w:r>
      <w:r w:rsidRPr="005F31CD">
        <w:rPr>
          <w:spacing w:val="-4"/>
        </w:rPr>
        <w:t>podielom na obchode vo výške 32,6</w:t>
      </w:r>
      <w:r w:rsidR="005F31CD">
        <w:rPr>
          <w:spacing w:val="-4"/>
        </w:rPr>
        <w:t> %</w:t>
      </w:r>
      <w:r w:rsidRPr="005F31CD">
        <w:rPr>
          <w:spacing w:val="-4"/>
        </w:rPr>
        <w:t>, ďaleko pred ostatnými obchodnými partnermi (Tureckom</w:t>
      </w:r>
      <w:r w:rsidR="005F31CD">
        <w:rPr>
          <w:spacing w:val="-4"/>
        </w:rPr>
        <w:t xml:space="preserve"> s </w:t>
      </w:r>
      <w:r w:rsidRPr="005F31CD">
        <w:rPr>
          <w:spacing w:val="-4"/>
        </w:rPr>
        <w:t>podielom na obchode vo výške 17,2</w:t>
      </w:r>
      <w:r w:rsidR="005F31CD">
        <w:rPr>
          <w:spacing w:val="-4"/>
        </w:rPr>
        <w:t> % a </w:t>
      </w:r>
      <w:r w:rsidRPr="005F31CD">
        <w:rPr>
          <w:spacing w:val="-4"/>
        </w:rPr>
        <w:t>Ruskom, ktorého podiel na obchode predstavoval 8,1</w:t>
      </w:r>
      <w:r w:rsidR="005F31CD">
        <w:rPr>
          <w:spacing w:val="-4"/>
        </w:rPr>
        <w:t> %</w:t>
      </w:r>
      <w:r w:rsidRPr="005F31CD">
        <w:rPr>
          <w:spacing w:val="-4"/>
        </w:rPr>
        <w:t>). EÚ je takisto hlavným investičným partnerom</w:t>
      </w:r>
      <w:r w:rsidR="005F31CD">
        <w:rPr>
          <w:spacing w:val="-4"/>
        </w:rPr>
        <w:t xml:space="preserve"> a </w:t>
      </w:r>
      <w:r w:rsidRPr="005F31CD">
        <w:rPr>
          <w:spacing w:val="-4"/>
        </w:rPr>
        <w:t>darcom Gruzínska.</w:t>
      </w:r>
    </w:p>
    <w:p w:rsidR="003C2110" w:rsidRPr="005F31CD" w:rsidRDefault="003C2110" w:rsidP="003C2110">
      <w:pPr>
        <w:rPr>
          <w:spacing w:val="-4"/>
          <w:szCs w:val="24"/>
        </w:rPr>
      </w:pPr>
      <w:r w:rsidRPr="005F31CD">
        <w:rPr>
          <w:spacing w:val="-4"/>
        </w:rPr>
        <w:t>Krajiny, na ktoré sa vzťahuje európska susedská politika, sú oprávnené požiadať</w:t>
      </w:r>
      <w:r w:rsidR="005F31CD">
        <w:rPr>
          <w:spacing w:val="-4"/>
        </w:rPr>
        <w:t xml:space="preserve"> o </w:t>
      </w:r>
      <w:r w:rsidRPr="005F31CD">
        <w:rPr>
          <w:spacing w:val="-4"/>
        </w:rPr>
        <w:t>makrofinančnú pomoc. Makrofinančná pomoc EÚ doplní granty poskytované</w:t>
      </w:r>
      <w:r w:rsidR="005F31CD">
        <w:rPr>
          <w:spacing w:val="-4"/>
        </w:rPr>
        <w:t xml:space="preserve"> v </w:t>
      </w:r>
      <w:r w:rsidRPr="005F31CD">
        <w:rPr>
          <w:spacing w:val="-4"/>
        </w:rPr>
        <w:t>rámci ENI</w:t>
      </w:r>
      <w:r w:rsidR="005F31CD">
        <w:rPr>
          <w:spacing w:val="-4"/>
        </w:rPr>
        <w:t xml:space="preserve"> a </w:t>
      </w:r>
      <w:r w:rsidRPr="005F31CD">
        <w:rPr>
          <w:spacing w:val="-4"/>
        </w:rPr>
        <w:t>iných programov EÚ,</w:t>
      </w:r>
      <w:r w:rsidR="005F31CD">
        <w:rPr>
          <w:spacing w:val="-4"/>
        </w:rPr>
        <w:t xml:space="preserve"> a </w:t>
      </w:r>
      <w:r w:rsidRPr="005F31CD">
        <w:rPr>
          <w:spacing w:val="-4"/>
        </w:rPr>
        <w:t>najmä podmienky plánované</w:t>
      </w:r>
      <w:r w:rsidR="005F31CD">
        <w:rPr>
          <w:spacing w:val="-4"/>
        </w:rPr>
        <w:t xml:space="preserve"> v </w:t>
      </w:r>
      <w:r w:rsidRPr="005F31CD">
        <w:rPr>
          <w:spacing w:val="-4"/>
        </w:rPr>
        <w:t>rámci balíkov rozpočtovej podpory, ktoré vykonáva EÚ. Podporou gruzínskych orgánov pri prijatí vhodného rámca pre makroekonomickú politiku</w:t>
      </w:r>
      <w:r w:rsidR="005F31CD">
        <w:rPr>
          <w:spacing w:val="-4"/>
        </w:rPr>
        <w:t xml:space="preserve"> a </w:t>
      </w:r>
      <w:r w:rsidRPr="005F31CD">
        <w:rPr>
          <w:spacing w:val="-4"/>
        </w:rPr>
        <w:t>štrukturálne reformy makrofinančná pomoc EÚ posilní pridanú hodnotu</w:t>
      </w:r>
      <w:r w:rsidR="005F31CD">
        <w:rPr>
          <w:spacing w:val="-4"/>
        </w:rPr>
        <w:t xml:space="preserve"> a </w:t>
      </w:r>
      <w:r w:rsidRPr="005F31CD">
        <w:rPr>
          <w:spacing w:val="-4"/>
        </w:rPr>
        <w:t>účinnosť celkovej finančnej intervencie EÚ, ktorá zahŕňa aj iné finančné nástroje.</w:t>
      </w:r>
    </w:p>
    <w:p w:rsidR="003C2110" w:rsidRPr="005F31CD" w:rsidRDefault="003C2110" w:rsidP="003C2110">
      <w:pPr>
        <w:rPr>
          <w:spacing w:val="-4"/>
        </w:rPr>
      </w:pPr>
      <w:r w:rsidRPr="005F31CD">
        <w:rPr>
          <w:spacing w:val="-4"/>
        </w:rPr>
        <w:t>Gruzínsko upevnilo svoju demokraciu, zásady právneho štátu</w:t>
      </w:r>
      <w:r w:rsidR="005F31CD">
        <w:rPr>
          <w:spacing w:val="-4"/>
        </w:rPr>
        <w:t xml:space="preserve"> a </w:t>
      </w:r>
      <w:r w:rsidRPr="005F31CD">
        <w:rPr>
          <w:spacing w:val="-4"/>
        </w:rPr>
        <w:t>takisto ďalej posilnilo dodržiavanie ľudských práv. Posledné parlamentné voľby</w:t>
      </w:r>
      <w:r w:rsidR="005F31CD">
        <w:rPr>
          <w:spacing w:val="-4"/>
        </w:rPr>
        <w:t xml:space="preserve"> v </w:t>
      </w:r>
      <w:r w:rsidRPr="005F31CD">
        <w:rPr>
          <w:spacing w:val="-4"/>
        </w:rPr>
        <w:t>októbri 2016 boli pluralitné</w:t>
      </w:r>
      <w:r w:rsidR="005F31CD">
        <w:rPr>
          <w:spacing w:val="-4"/>
        </w:rPr>
        <w:t xml:space="preserve"> a </w:t>
      </w:r>
      <w:r w:rsidRPr="005F31CD">
        <w:rPr>
          <w:spacing w:val="-4"/>
        </w:rPr>
        <w:t>dobre organizované. Pokiaľ ide</w:t>
      </w:r>
      <w:r w:rsidR="005F31CD">
        <w:rPr>
          <w:spacing w:val="-4"/>
        </w:rPr>
        <w:t xml:space="preserve"> o </w:t>
      </w:r>
      <w:r w:rsidRPr="005F31CD">
        <w:rPr>
          <w:spacing w:val="-4"/>
        </w:rPr>
        <w:t>súdnictvo, reformami</w:t>
      </w:r>
      <w:r w:rsidR="005F31CD">
        <w:rPr>
          <w:spacing w:val="-4"/>
        </w:rPr>
        <w:t xml:space="preserve"> v </w:t>
      </w:r>
      <w:r w:rsidRPr="005F31CD">
        <w:rPr>
          <w:spacing w:val="-4"/>
        </w:rPr>
        <w:t>Gruzínsku sa posilnila nezávislosť, profesionalita</w:t>
      </w:r>
      <w:r w:rsidR="005F31CD">
        <w:rPr>
          <w:spacing w:val="-4"/>
        </w:rPr>
        <w:t xml:space="preserve"> a </w:t>
      </w:r>
      <w:r w:rsidRPr="005F31CD">
        <w:rPr>
          <w:spacing w:val="-4"/>
        </w:rPr>
        <w:t>zodpovednosť súdov.</w:t>
      </w:r>
    </w:p>
    <w:p w:rsidR="003C2110" w:rsidRPr="005F31CD" w:rsidRDefault="003C2110" w:rsidP="003C2110">
      <w:pPr>
        <w:rPr>
          <w:spacing w:val="-4"/>
        </w:rPr>
      </w:pPr>
      <w:r w:rsidRPr="005F31CD">
        <w:rPr>
          <w:spacing w:val="-4"/>
        </w:rPr>
        <w:t>Vzhľadom na uvedené skutočnosti sa politické podmienky na poskytnutie makrofinančnej pomoci Gruzínsku vrátane aspektu politickej</w:t>
      </w:r>
      <w:r w:rsidR="005F31CD">
        <w:rPr>
          <w:spacing w:val="-4"/>
        </w:rPr>
        <w:t xml:space="preserve"> a </w:t>
      </w:r>
      <w:r w:rsidRPr="005F31CD">
        <w:rPr>
          <w:spacing w:val="-4"/>
        </w:rPr>
        <w:t>hospodárskej blízkosti</w:t>
      </w:r>
      <w:r w:rsidR="005F31CD">
        <w:rPr>
          <w:spacing w:val="-4"/>
        </w:rPr>
        <w:t xml:space="preserve"> k </w:t>
      </w:r>
      <w:r w:rsidRPr="005F31CD">
        <w:rPr>
          <w:spacing w:val="-4"/>
        </w:rPr>
        <w:t>EÚ môžu považovať za splnené. Podrobné posúdenie splnenia politických kritérií na poskytnutie makrofinančnej pomoci, ktoré vypracovala ESVČ, je uvedené</w:t>
      </w:r>
      <w:r w:rsidR="005F31CD">
        <w:rPr>
          <w:spacing w:val="-4"/>
        </w:rPr>
        <w:t xml:space="preserve"> v </w:t>
      </w:r>
      <w:r w:rsidRPr="005F31CD">
        <w:rPr>
          <w:spacing w:val="-4"/>
        </w:rPr>
        <w:t>prílohe</w:t>
      </w:r>
      <w:r w:rsidR="005F31CD">
        <w:rPr>
          <w:spacing w:val="-4"/>
        </w:rPr>
        <w:t xml:space="preserve"> k </w:t>
      </w:r>
      <w:r w:rsidRPr="005F31CD">
        <w:rPr>
          <w:spacing w:val="-4"/>
        </w:rPr>
        <w:t>pracovnému dokumentu útvarov Komisie, ktorý je sprievodným dokumentom</w:t>
      </w:r>
      <w:r w:rsidR="005F31CD">
        <w:rPr>
          <w:spacing w:val="-4"/>
        </w:rPr>
        <w:t xml:space="preserve"> k </w:t>
      </w:r>
      <w:r w:rsidRPr="005F31CD">
        <w:rPr>
          <w:spacing w:val="-4"/>
        </w:rPr>
        <w:t>tomuto návrhu.</w:t>
      </w:r>
    </w:p>
    <w:p w:rsidR="003C2110" w:rsidRPr="005F31CD" w:rsidRDefault="003C2110" w:rsidP="003C2110">
      <w:pPr>
        <w:pStyle w:val="ManualHeading1"/>
        <w:rPr>
          <w:spacing w:val="-4"/>
        </w:rPr>
      </w:pPr>
      <w:r w:rsidRPr="005F31CD">
        <w:rPr>
          <w:spacing w:val="-4"/>
        </w:rPr>
        <w:t>2.</w:t>
      </w:r>
      <w:r w:rsidRPr="005F31CD">
        <w:rPr>
          <w:spacing w:val="-4"/>
        </w:rPr>
        <w:tab/>
        <w:t>PRÁVNY ZÁKLAD, SUBSIDIARITA A PROPORCIONALITA</w:t>
      </w:r>
    </w:p>
    <w:p w:rsidR="003C2110" w:rsidRPr="005F31CD" w:rsidRDefault="003C2110" w:rsidP="003C2110">
      <w:pPr>
        <w:pStyle w:val="ManualHeading2"/>
        <w:rPr>
          <w:spacing w:val="-4"/>
        </w:rPr>
      </w:pPr>
      <w:r w:rsidRPr="005F31CD">
        <w:rPr>
          <w:spacing w:val="-4"/>
        </w:rPr>
        <w:t>•</w:t>
      </w:r>
      <w:r w:rsidRPr="005F31CD">
        <w:rPr>
          <w:spacing w:val="-4"/>
        </w:rPr>
        <w:tab/>
        <w:t>Zhrnutie navrhovaných opatrení</w:t>
      </w:r>
    </w:p>
    <w:p w:rsidR="003C2110" w:rsidRPr="005F31CD" w:rsidRDefault="003C2110" w:rsidP="003C2110">
      <w:pPr>
        <w:rPr>
          <w:spacing w:val="-4"/>
        </w:rPr>
      </w:pPr>
      <w:r w:rsidRPr="005F31CD">
        <w:rPr>
          <w:spacing w:val="-4"/>
        </w:rPr>
        <w:t>Zvažovaná operácia makrofinančnej pomoci by bola</w:t>
      </w:r>
      <w:r w:rsidR="005F31CD">
        <w:rPr>
          <w:spacing w:val="-4"/>
        </w:rPr>
        <w:t xml:space="preserve"> v </w:t>
      </w:r>
      <w:r w:rsidRPr="005F31CD">
        <w:rPr>
          <w:spacing w:val="-4"/>
        </w:rPr>
        <w:t>maximálnom objeme 45 miliónov EUR. Komisia navrhuje, aby bola táto výška pomoci poskytnutá vo forme strednodobých úverov vo výške do 35 miliónov EUR</w:t>
      </w:r>
      <w:r w:rsidR="005F31CD">
        <w:rPr>
          <w:spacing w:val="-4"/>
        </w:rPr>
        <w:t xml:space="preserve"> a </w:t>
      </w:r>
      <w:r w:rsidRPr="005F31CD">
        <w:rPr>
          <w:spacing w:val="-4"/>
        </w:rPr>
        <w:t>grantov vo výške do 10 miliónov EUR. Vzhľadom na navrhovanú veľkosť operácie Komisia zvažuje vyplatenie pomoci</w:t>
      </w:r>
      <w:r w:rsidR="005F31CD">
        <w:rPr>
          <w:spacing w:val="-4"/>
        </w:rPr>
        <w:t xml:space="preserve"> v </w:t>
      </w:r>
      <w:r w:rsidRPr="005F31CD">
        <w:rPr>
          <w:spacing w:val="-4"/>
        </w:rPr>
        <w:t>dvoch splátkach</w:t>
      </w:r>
      <w:r w:rsidRPr="005F31CD">
        <w:rPr>
          <w:rStyle w:val="FootnoteReference"/>
          <w:spacing w:val="-4"/>
        </w:rPr>
        <w:footnoteReference w:id="3"/>
      </w:r>
      <w:r w:rsidRPr="005F31CD">
        <w:rPr>
          <w:spacing w:val="-4"/>
        </w:rPr>
        <w:t>. Prvá tranža by orientačne pozostávala</w:t>
      </w:r>
      <w:r w:rsidR="005F31CD">
        <w:rPr>
          <w:spacing w:val="-4"/>
        </w:rPr>
        <w:t xml:space="preserve"> z </w:t>
      </w:r>
      <w:r w:rsidRPr="005F31CD">
        <w:rPr>
          <w:spacing w:val="-4"/>
        </w:rPr>
        <w:t>úverovej časti vo výške 15 miliónov EUR</w:t>
      </w:r>
      <w:r w:rsidR="005F31CD">
        <w:rPr>
          <w:spacing w:val="-4"/>
        </w:rPr>
        <w:t xml:space="preserve"> a </w:t>
      </w:r>
      <w:r w:rsidRPr="005F31CD">
        <w:rPr>
          <w:spacing w:val="-4"/>
        </w:rPr>
        <w:t>grantovej časti vo výške 5 miliónov EUR</w:t>
      </w:r>
      <w:r w:rsidR="005F31CD">
        <w:rPr>
          <w:spacing w:val="-4"/>
        </w:rPr>
        <w:t xml:space="preserve"> a </w:t>
      </w:r>
      <w:r w:rsidRPr="005F31CD">
        <w:rPr>
          <w:spacing w:val="-4"/>
        </w:rPr>
        <w:t>druhá tranža</w:t>
      </w:r>
      <w:r w:rsidR="005F31CD">
        <w:rPr>
          <w:spacing w:val="-4"/>
        </w:rPr>
        <w:t xml:space="preserve"> z </w:t>
      </w:r>
      <w:r w:rsidRPr="005F31CD">
        <w:rPr>
          <w:spacing w:val="-4"/>
        </w:rPr>
        <w:t>úverovej časti vo výške 20 miliónov EUR</w:t>
      </w:r>
      <w:r w:rsidR="005F31CD">
        <w:rPr>
          <w:spacing w:val="-4"/>
        </w:rPr>
        <w:t xml:space="preserve"> a </w:t>
      </w:r>
      <w:r w:rsidRPr="005F31CD">
        <w:rPr>
          <w:spacing w:val="-4"/>
        </w:rPr>
        <w:t>grantovej časti vo výške 5 miliónov EUR.</w:t>
      </w:r>
    </w:p>
    <w:p w:rsidR="003C2110" w:rsidRPr="005F31CD" w:rsidRDefault="003C2110" w:rsidP="003C2110">
      <w:pPr>
        <w:rPr>
          <w:spacing w:val="-4"/>
        </w:rPr>
      </w:pPr>
      <w:r w:rsidRPr="005F31CD">
        <w:rPr>
          <w:spacing w:val="-4"/>
        </w:rPr>
        <w:t>Pomoc bude riadiť Komisia.</w:t>
      </w:r>
      <w:r w:rsidR="005F31CD">
        <w:rPr>
          <w:spacing w:val="-4"/>
        </w:rPr>
        <w:t xml:space="preserve"> V </w:t>
      </w:r>
      <w:r w:rsidRPr="005F31CD">
        <w:rPr>
          <w:spacing w:val="-4"/>
        </w:rPr>
        <w:t>súlade</w:t>
      </w:r>
      <w:r w:rsidR="005F31CD">
        <w:rPr>
          <w:spacing w:val="-4"/>
        </w:rPr>
        <w:t xml:space="preserve"> s </w:t>
      </w:r>
      <w:r w:rsidRPr="005F31CD">
        <w:rPr>
          <w:spacing w:val="-4"/>
        </w:rPr>
        <w:t>nariadením</w:t>
      </w:r>
      <w:r w:rsidR="005F31CD">
        <w:rPr>
          <w:spacing w:val="-4"/>
        </w:rPr>
        <w:t xml:space="preserve"> o </w:t>
      </w:r>
      <w:r w:rsidRPr="005F31CD">
        <w:rPr>
          <w:spacing w:val="-4"/>
        </w:rPr>
        <w:t>rozpočtových pravidlách sa uplatňujú osobitné ustanovenia týkajúce sa prevencie proti podvodom</w:t>
      </w:r>
      <w:r w:rsidR="005F31CD">
        <w:rPr>
          <w:spacing w:val="-4"/>
        </w:rPr>
        <w:t xml:space="preserve"> a </w:t>
      </w:r>
      <w:r w:rsidRPr="005F31CD">
        <w:rPr>
          <w:spacing w:val="-4"/>
        </w:rPr>
        <w:t>iným nezrovnalostiam.</w:t>
      </w:r>
    </w:p>
    <w:p w:rsidR="003C2110" w:rsidRPr="005F31CD" w:rsidRDefault="003C2110" w:rsidP="003C2110">
      <w:pPr>
        <w:rPr>
          <w:spacing w:val="-4"/>
        </w:rPr>
      </w:pPr>
      <w:r w:rsidRPr="005F31CD">
        <w:rPr>
          <w:spacing w:val="-4"/>
        </w:rPr>
        <w:t>Vyplatenia</w:t>
      </w:r>
      <w:r w:rsidR="005F31CD">
        <w:rPr>
          <w:spacing w:val="-4"/>
        </w:rPr>
        <w:t xml:space="preserve"> v </w:t>
      </w:r>
      <w:r w:rsidRPr="005F31CD">
        <w:rPr>
          <w:spacing w:val="-4"/>
        </w:rPr>
        <w:t>rámci navrhovanej operácie makrofinančnej pomoci by boli podmienené úspešnými preskúmaniami</w:t>
      </w:r>
      <w:r w:rsidR="005F31CD">
        <w:rPr>
          <w:spacing w:val="-4"/>
        </w:rPr>
        <w:t xml:space="preserve"> v </w:t>
      </w:r>
      <w:r w:rsidRPr="005F31CD">
        <w:rPr>
          <w:spacing w:val="-4"/>
        </w:rPr>
        <w:t>rámci programu MMF</w:t>
      </w:r>
      <w:r w:rsidR="005F31CD">
        <w:rPr>
          <w:spacing w:val="-4"/>
        </w:rPr>
        <w:t xml:space="preserve"> a </w:t>
      </w:r>
      <w:r w:rsidRPr="005F31CD">
        <w:rPr>
          <w:spacing w:val="-4"/>
        </w:rPr>
        <w:t>účinným čerpaním finančných prostriedkov MMF zo strany Gruzínska. Komisia –</w:t>
      </w:r>
      <w:r w:rsidR="005F31CD">
        <w:rPr>
          <w:spacing w:val="-4"/>
        </w:rPr>
        <w:t xml:space="preserve"> v </w:t>
      </w:r>
      <w:r w:rsidRPr="005F31CD">
        <w:rPr>
          <w:spacing w:val="-4"/>
        </w:rPr>
        <w:t>mene EÚ –</w:t>
      </w:r>
      <w:r w:rsidR="005F31CD">
        <w:rPr>
          <w:spacing w:val="-4"/>
        </w:rPr>
        <w:t xml:space="preserve"> a </w:t>
      </w:r>
      <w:r w:rsidRPr="005F31CD">
        <w:rPr>
          <w:spacing w:val="-4"/>
        </w:rPr>
        <w:t>gruzínske orgány by sa navyše dohodli na osobitnom súbore štrukturálnych reformných opatrení, ktoré by boli stanovené</w:t>
      </w:r>
      <w:r w:rsidR="005F31CD">
        <w:rPr>
          <w:spacing w:val="-4"/>
        </w:rPr>
        <w:t xml:space="preserve"> v </w:t>
      </w:r>
      <w:r w:rsidRPr="005F31CD">
        <w:rPr>
          <w:spacing w:val="-4"/>
        </w:rPr>
        <w:t>memorande</w:t>
      </w:r>
      <w:r w:rsidR="005F31CD">
        <w:rPr>
          <w:spacing w:val="-4"/>
        </w:rPr>
        <w:t xml:space="preserve"> o </w:t>
      </w:r>
      <w:r w:rsidRPr="005F31CD">
        <w:rPr>
          <w:spacing w:val="-4"/>
        </w:rPr>
        <w:t>porozumení. Tieto reformné opatrenia by podporili reformný program gruzínskych orgánov</w:t>
      </w:r>
      <w:r w:rsidR="005F31CD">
        <w:rPr>
          <w:spacing w:val="-4"/>
        </w:rPr>
        <w:t xml:space="preserve"> a </w:t>
      </w:r>
      <w:r w:rsidRPr="005F31CD">
        <w:rPr>
          <w:spacing w:val="-4"/>
        </w:rPr>
        <w:t>doplnili programy dohodnuté</w:t>
      </w:r>
      <w:r w:rsidR="005F31CD">
        <w:rPr>
          <w:spacing w:val="-4"/>
        </w:rPr>
        <w:t xml:space="preserve"> s </w:t>
      </w:r>
      <w:r w:rsidRPr="005F31CD">
        <w:rPr>
          <w:spacing w:val="-4"/>
        </w:rPr>
        <w:t>MMF, Svetovou bankou</w:t>
      </w:r>
      <w:r w:rsidR="005F31CD">
        <w:rPr>
          <w:spacing w:val="-4"/>
        </w:rPr>
        <w:t xml:space="preserve"> a </w:t>
      </w:r>
      <w:r w:rsidRPr="005F31CD">
        <w:rPr>
          <w:spacing w:val="-4"/>
        </w:rPr>
        <w:t>ostatnými darcami, ako aj politické programy súvisiace</w:t>
      </w:r>
      <w:r w:rsidR="005F31CD">
        <w:rPr>
          <w:spacing w:val="-4"/>
        </w:rPr>
        <w:t xml:space="preserve"> s </w:t>
      </w:r>
      <w:r w:rsidRPr="005F31CD">
        <w:rPr>
          <w:spacing w:val="-4"/>
        </w:rPr>
        <w:t>operáciami rozpočtovej podpory EÚ. Boli by</w:t>
      </w:r>
      <w:r w:rsidR="005F31CD">
        <w:rPr>
          <w:spacing w:val="-4"/>
        </w:rPr>
        <w:t xml:space="preserve"> v </w:t>
      </w:r>
      <w:r w:rsidRPr="005F31CD">
        <w:rPr>
          <w:spacing w:val="-4"/>
        </w:rPr>
        <w:t>súlade</w:t>
      </w:r>
      <w:r w:rsidR="005F31CD">
        <w:rPr>
          <w:spacing w:val="-4"/>
        </w:rPr>
        <w:t xml:space="preserve"> s </w:t>
      </w:r>
      <w:r w:rsidRPr="005F31CD">
        <w:rPr>
          <w:spacing w:val="-4"/>
        </w:rPr>
        <w:t>hlavnými prioritami hospodárskej reformy, na ktorých sa EÚ</w:t>
      </w:r>
      <w:r w:rsidR="005F31CD">
        <w:rPr>
          <w:spacing w:val="-4"/>
        </w:rPr>
        <w:t xml:space="preserve"> a </w:t>
      </w:r>
      <w:r w:rsidRPr="005F31CD">
        <w:rPr>
          <w:spacing w:val="-4"/>
        </w:rPr>
        <w:t>Gruzínsko dohodli</w:t>
      </w:r>
      <w:r w:rsidR="005F31CD">
        <w:rPr>
          <w:spacing w:val="-4"/>
        </w:rPr>
        <w:t xml:space="preserve"> v </w:t>
      </w:r>
      <w:r w:rsidRPr="005F31CD">
        <w:rPr>
          <w:spacing w:val="-4"/>
        </w:rPr>
        <w:t>rámci dohody</w:t>
      </w:r>
      <w:r w:rsidR="005F31CD">
        <w:rPr>
          <w:spacing w:val="-4"/>
        </w:rPr>
        <w:t xml:space="preserve"> o </w:t>
      </w:r>
      <w:r w:rsidRPr="005F31CD">
        <w:rPr>
          <w:spacing w:val="-4"/>
        </w:rPr>
        <w:t>pridružení vrátane DCFTA</w:t>
      </w:r>
      <w:r w:rsidR="005F31CD">
        <w:rPr>
          <w:spacing w:val="-4"/>
        </w:rPr>
        <w:t xml:space="preserve"> a </w:t>
      </w:r>
      <w:r w:rsidRPr="005F31CD">
        <w:rPr>
          <w:spacing w:val="-4"/>
        </w:rPr>
        <w:t>programu pridruženia.</w:t>
      </w:r>
    </w:p>
    <w:p w:rsidR="003C2110" w:rsidRPr="005F31CD" w:rsidRDefault="003C2110" w:rsidP="003C2110">
      <w:pPr>
        <w:spacing w:after="240"/>
        <w:rPr>
          <w:rFonts w:cs="Arial"/>
          <w:iCs/>
          <w:spacing w:val="-4"/>
        </w:rPr>
      </w:pPr>
      <w:r w:rsidRPr="005F31CD">
        <w:rPr>
          <w:spacing w:val="-4"/>
        </w:rPr>
        <w:t>Rozhodnutie vyplatiť približne 22</w:t>
      </w:r>
      <w:r w:rsidR="005F31CD">
        <w:rPr>
          <w:spacing w:val="-4"/>
        </w:rPr>
        <w:t> %</w:t>
      </w:r>
      <w:r w:rsidRPr="005F31CD">
        <w:rPr>
          <w:spacing w:val="-4"/>
        </w:rPr>
        <w:t xml:space="preserve"> navrhovanej pomoci</w:t>
      </w:r>
      <w:r w:rsidR="005F31CD">
        <w:rPr>
          <w:spacing w:val="-4"/>
        </w:rPr>
        <w:t xml:space="preserve"> v </w:t>
      </w:r>
      <w:r w:rsidRPr="005F31CD">
        <w:rPr>
          <w:spacing w:val="-4"/>
        </w:rPr>
        <w:t>grantoch (10 miliónov EUR</w:t>
      </w:r>
      <w:r w:rsidR="005F31CD">
        <w:rPr>
          <w:spacing w:val="-4"/>
        </w:rPr>
        <w:t xml:space="preserve"> z </w:t>
      </w:r>
      <w:r w:rsidRPr="005F31CD">
        <w:rPr>
          <w:spacing w:val="-4"/>
        </w:rPr>
        <w:t>celkovej sumy 45 miliónov EUR)</w:t>
      </w:r>
      <w:r w:rsidR="005F31CD">
        <w:rPr>
          <w:spacing w:val="-4"/>
        </w:rPr>
        <w:t xml:space="preserve"> a </w:t>
      </w:r>
      <w:r w:rsidRPr="005F31CD">
        <w:rPr>
          <w:spacing w:val="-4"/>
        </w:rPr>
        <w:t>zvyšok</w:t>
      </w:r>
      <w:r w:rsidR="005F31CD">
        <w:rPr>
          <w:spacing w:val="-4"/>
        </w:rPr>
        <w:t xml:space="preserve"> v </w:t>
      </w:r>
      <w:r w:rsidRPr="005F31CD">
        <w:rPr>
          <w:spacing w:val="-4"/>
        </w:rPr>
        <w:t>úveroch je odôvodnený úrovňou hospodárskeho</w:t>
      </w:r>
      <w:r w:rsidR="005F31CD">
        <w:rPr>
          <w:spacing w:val="-4"/>
        </w:rPr>
        <w:t xml:space="preserve"> a </w:t>
      </w:r>
      <w:r w:rsidRPr="005F31CD">
        <w:rPr>
          <w:spacing w:val="-4"/>
        </w:rPr>
        <w:t>spoločenského rozvoja Gruzínska (meraného na základe príjmu na obyvateľa, pričom Svetová banka zaraďuje Gruzínsko medzi krajiny</w:t>
      </w:r>
      <w:r w:rsidR="005F31CD">
        <w:rPr>
          <w:spacing w:val="-4"/>
        </w:rPr>
        <w:t xml:space="preserve"> s </w:t>
      </w:r>
      <w:r w:rsidRPr="005F31CD">
        <w:rPr>
          <w:spacing w:val="-4"/>
        </w:rPr>
        <w:t>nižšími strednými príjmami,</w:t>
      </w:r>
      <w:r w:rsidR="005F31CD">
        <w:rPr>
          <w:spacing w:val="-4"/>
        </w:rPr>
        <w:t xml:space="preserve"> a </w:t>
      </w:r>
      <w:r w:rsidRPr="005F31CD">
        <w:rPr>
          <w:spacing w:val="-4"/>
        </w:rPr>
        <w:t>na základe výskytu chudoby), ako aj jeho pomerne vysokým zadlženosťou. Hoci Gruzínsko už nie je oprávnené požiadať</w:t>
      </w:r>
      <w:r w:rsidR="005F31CD">
        <w:rPr>
          <w:spacing w:val="-4"/>
        </w:rPr>
        <w:t xml:space="preserve"> o </w:t>
      </w:r>
      <w:r w:rsidRPr="005F31CD">
        <w:rPr>
          <w:spacing w:val="-4"/>
        </w:rPr>
        <w:t>zvýhodnené financovanie ani od MMF, ani od Svetovej banky,</w:t>
      </w:r>
      <w:r w:rsidR="005F31CD">
        <w:rPr>
          <w:spacing w:val="-4"/>
        </w:rPr>
        <w:t xml:space="preserve"> k </w:t>
      </w:r>
      <w:r w:rsidRPr="005F31CD">
        <w:rPr>
          <w:spacing w:val="-4"/>
        </w:rPr>
        <w:t>jeho vyňatiu</w:t>
      </w:r>
      <w:r w:rsidR="005F31CD">
        <w:rPr>
          <w:spacing w:val="-4"/>
        </w:rPr>
        <w:t xml:space="preserve"> z </w:t>
      </w:r>
      <w:r w:rsidRPr="005F31CD">
        <w:rPr>
          <w:spacing w:val="-4"/>
        </w:rPr>
        <w:t>tohto zvýhodneného financovania došlo pomerne nedávno. Toto vyňatie však predstavuje argument</w:t>
      </w:r>
      <w:r w:rsidR="005F31CD">
        <w:rPr>
          <w:spacing w:val="-4"/>
        </w:rPr>
        <w:t xml:space="preserve"> v </w:t>
      </w:r>
      <w:r w:rsidRPr="005F31CD">
        <w:rPr>
          <w:spacing w:val="-4"/>
        </w:rPr>
        <w:t>prospech uprednostnenia úverovej časti.</w:t>
      </w:r>
    </w:p>
    <w:p w:rsidR="003C2110" w:rsidRPr="005F31CD" w:rsidRDefault="003C2110" w:rsidP="003C2110">
      <w:pPr>
        <w:pStyle w:val="ManualHeading2"/>
        <w:rPr>
          <w:rFonts w:eastAsia="Arial Unicode MS"/>
          <w:spacing w:val="-4"/>
          <w:u w:color="000000"/>
          <w:bdr w:val="nil"/>
        </w:rPr>
      </w:pPr>
      <w:r w:rsidRPr="005F31CD">
        <w:rPr>
          <w:spacing w:val="-4"/>
        </w:rPr>
        <w:t>•</w:t>
      </w:r>
      <w:r w:rsidRPr="005F31CD">
        <w:rPr>
          <w:spacing w:val="-4"/>
        </w:rPr>
        <w:tab/>
        <w:t>Právny základ</w:t>
      </w:r>
    </w:p>
    <w:p w:rsidR="003C2110" w:rsidRPr="005F31CD" w:rsidRDefault="003C2110" w:rsidP="003C2110">
      <w:pPr>
        <w:tabs>
          <w:tab w:val="left" w:pos="719"/>
        </w:tabs>
        <w:spacing w:after="240"/>
        <w:jc w:val="left"/>
        <w:rPr>
          <w:spacing w:val="-4"/>
        </w:rPr>
      </w:pPr>
      <w:r w:rsidRPr="005F31CD">
        <w:rPr>
          <w:spacing w:val="-4"/>
        </w:rPr>
        <w:t>Právnym základom tohto návrhu je článok 212 ods. 2 ZFEÚ.</w:t>
      </w:r>
    </w:p>
    <w:p w:rsidR="003C2110" w:rsidRPr="005F31CD" w:rsidRDefault="003C2110" w:rsidP="003C2110">
      <w:pPr>
        <w:pStyle w:val="ManualHeading2"/>
        <w:rPr>
          <w:spacing w:val="-4"/>
        </w:rPr>
      </w:pPr>
      <w:r w:rsidRPr="005F31CD">
        <w:rPr>
          <w:spacing w:val="-4"/>
        </w:rPr>
        <w:t>•</w:t>
      </w:r>
      <w:r w:rsidRPr="005F31CD">
        <w:rPr>
          <w:spacing w:val="-4"/>
        </w:rPr>
        <w:tab/>
        <w:t>Subsidiarita (v prípade inej ako výlučnej právomoci)</w:t>
      </w:r>
    </w:p>
    <w:p w:rsidR="003C2110" w:rsidRPr="005F31CD" w:rsidRDefault="003C2110" w:rsidP="003C2110">
      <w:pPr>
        <w:tabs>
          <w:tab w:val="left" w:pos="719"/>
        </w:tabs>
        <w:spacing w:after="240"/>
        <w:rPr>
          <w:spacing w:val="-4"/>
        </w:rPr>
      </w:pPr>
      <w:r w:rsidRPr="005F31CD">
        <w:rPr>
          <w:spacing w:val="-4"/>
        </w:rPr>
        <w:t>Zásada subsidiarity je dodržaná, keďže ciele obnovy krátkodobej makroekonomickej stability</w:t>
      </w:r>
      <w:r w:rsidR="005F31CD">
        <w:rPr>
          <w:spacing w:val="-4"/>
        </w:rPr>
        <w:t xml:space="preserve"> v </w:t>
      </w:r>
      <w:r w:rsidRPr="005F31CD">
        <w:rPr>
          <w:spacing w:val="-4"/>
        </w:rPr>
        <w:t>Gruzínsku nie je možné uspokojivo dosiahnuť na úrovni samotných členských štátov, ale je možné dosiahnuť ho lepšie na úrovni Európskej únie. Hlavnými dôvodmi sú rozpočtové obmedzenia na vnútroštátnej úrovni</w:t>
      </w:r>
      <w:r w:rsidR="005F31CD">
        <w:rPr>
          <w:spacing w:val="-4"/>
        </w:rPr>
        <w:t xml:space="preserve"> a </w:t>
      </w:r>
      <w:r w:rsidRPr="005F31CD">
        <w:rPr>
          <w:spacing w:val="-4"/>
        </w:rPr>
        <w:t>potreba výraznej koordinácie darcov</w:t>
      </w:r>
      <w:r w:rsidR="005F31CD">
        <w:rPr>
          <w:spacing w:val="-4"/>
        </w:rPr>
        <w:t xml:space="preserve"> s </w:t>
      </w:r>
      <w:r w:rsidRPr="005F31CD">
        <w:rPr>
          <w:spacing w:val="-4"/>
        </w:rPr>
        <w:t>cieľom maximalizovať rozsah</w:t>
      </w:r>
      <w:r w:rsidR="005F31CD">
        <w:rPr>
          <w:spacing w:val="-4"/>
        </w:rPr>
        <w:t xml:space="preserve"> a </w:t>
      </w:r>
      <w:r w:rsidRPr="005F31CD">
        <w:rPr>
          <w:spacing w:val="-4"/>
        </w:rPr>
        <w:t>účinnosť pomoci.</w:t>
      </w:r>
    </w:p>
    <w:p w:rsidR="003C2110" w:rsidRPr="005F31CD" w:rsidRDefault="003C2110" w:rsidP="003C2110">
      <w:pPr>
        <w:pStyle w:val="ManualHeading2"/>
        <w:rPr>
          <w:rFonts w:eastAsia="Arial Unicode MS"/>
          <w:spacing w:val="-4"/>
          <w:u w:color="000000"/>
          <w:bdr w:val="nil"/>
        </w:rPr>
      </w:pPr>
      <w:r w:rsidRPr="005F31CD">
        <w:rPr>
          <w:spacing w:val="-4"/>
        </w:rPr>
        <w:t>•</w:t>
      </w:r>
      <w:r w:rsidRPr="005F31CD">
        <w:rPr>
          <w:spacing w:val="-4"/>
        </w:rPr>
        <w:tab/>
        <w:t>Proporcionalita</w:t>
      </w:r>
    </w:p>
    <w:p w:rsidR="003C2110" w:rsidRPr="005F31CD" w:rsidRDefault="003C2110" w:rsidP="003C2110">
      <w:pPr>
        <w:tabs>
          <w:tab w:val="left" w:pos="719"/>
        </w:tabs>
        <w:rPr>
          <w:spacing w:val="-4"/>
        </w:rPr>
      </w:pPr>
      <w:r w:rsidRPr="005F31CD">
        <w:rPr>
          <w:spacing w:val="-4"/>
        </w:rPr>
        <w:t>Návrh je</w:t>
      </w:r>
      <w:r w:rsidR="005F31CD">
        <w:rPr>
          <w:spacing w:val="-4"/>
        </w:rPr>
        <w:t xml:space="preserve"> v </w:t>
      </w:r>
      <w:r w:rsidRPr="005F31CD">
        <w:rPr>
          <w:spacing w:val="-4"/>
        </w:rPr>
        <w:t>súlade so zásadou proporcionality: obmedzuje sa na minimum požadované</w:t>
      </w:r>
      <w:r w:rsidR="005F31CD">
        <w:rPr>
          <w:spacing w:val="-4"/>
        </w:rPr>
        <w:t xml:space="preserve"> v </w:t>
      </w:r>
      <w:r w:rsidRPr="005F31CD">
        <w:rPr>
          <w:spacing w:val="-4"/>
        </w:rPr>
        <w:t>záujme dosiahnutia cieľov krátkodobej makroekonomickej stability</w:t>
      </w:r>
      <w:r w:rsidR="005F31CD">
        <w:rPr>
          <w:spacing w:val="-4"/>
        </w:rPr>
        <w:t xml:space="preserve"> a </w:t>
      </w:r>
      <w:r w:rsidRPr="005F31CD">
        <w:rPr>
          <w:spacing w:val="-4"/>
        </w:rPr>
        <w:t>neprekračuje rámec toho, čo je nevyhnutné na dosiahnutie tohto cieľa.</w:t>
      </w:r>
    </w:p>
    <w:p w:rsidR="003C2110" w:rsidRPr="005F31CD" w:rsidRDefault="003C2110" w:rsidP="003C2110">
      <w:pPr>
        <w:tabs>
          <w:tab w:val="left" w:pos="719"/>
        </w:tabs>
        <w:spacing w:after="240"/>
        <w:rPr>
          <w:spacing w:val="-4"/>
        </w:rPr>
      </w:pPr>
      <w:r w:rsidRPr="005F31CD">
        <w:rPr>
          <w:spacing w:val="-4"/>
        </w:rPr>
        <w:t>Ako vyplýva</w:t>
      </w:r>
      <w:r w:rsidR="005F31CD">
        <w:rPr>
          <w:spacing w:val="-4"/>
        </w:rPr>
        <w:t xml:space="preserve"> z </w:t>
      </w:r>
      <w:r w:rsidRPr="005F31CD">
        <w:rPr>
          <w:spacing w:val="-4"/>
        </w:rPr>
        <w:t>vyhodnotenia Komisie založeného na odhadoch MMF</w:t>
      </w:r>
      <w:r w:rsidR="005F31CD">
        <w:rPr>
          <w:spacing w:val="-4"/>
        </w:rPr>
        <w:t xml:space="preserve"> v </w:t>
      </w:r>
      <w:r w:rsidRPr="005F31CD">
        <w:rPr>
          <w:spacing w:val="-4"/>
        </w:rPr>
        <w:t>rámci programu rozšíreného fondu, výška navrhovanej novej makrofinančnej pomoci, poskytnutej navyše</w:t>
      </w:r>
      <w:r w:rsidR="005F31CD">
        <w:rPr>
          <w:spacing w:val="-4"/>
        </w:rPr>
        <w:t xml:space="preserve"> k </w:t>
      </w:r>
      <w:r w:rsidRPr="005F31CD">
        <w:rPr>
          <w:spacing w:val="-4"/>
        </w:rPr>
        <w:t>poslednému vyplateniu</w:t>
      </w:r>
      <w:r w:rsidR="005F31CD">
        <w:rPr>
          <w:spacing w:val="-4"/>
        </w:rPr>
        <w:t xml:space="preserve"> v </w:t>
      </w:r>
      <w:r w:rsidRPr="005F31CD">
        <w:rPr>
          <w:spacing w:val="-4"/>
        </w:rPr>
        <w:t>rámci predchádzajúcej operácie makrofinančnej pomoci</w:t>
      </w:r>
      <w:r w:rsidR="005F31CD">
        <w:rPr>
          <w:spacing w:val="-4"/>
        </w:rPr>
        <w:t xml:space="preserve"> v </w:t>
      </w:r>
      <w:r w:rsidRPr="005F31CD">
        <w:rPr>
          <w:spacing w:val="-4"/>
        </w:rPr>
        <w:t>máji 2017, zodpovedá 10</w:t>
      </w:r>
      <w:r w:rsidR="005F31CD">
        <w:rPr>
          <w:spacing w:val="-4"/>
        </w:rPr>
        <w:t> %</w:t>
      </w:r>
      <w:r w:rsidRPr="005F31CD">
        <w:rPr>
          <w:spacing w:val="-4"/>
        </w:rPr>
        <w:t xml:space="preserve"> celkového odhadovaného rozdielu vo financovaní za obdobie rokov 2017 – 2020</w:t>
      </w:r>
      <w:r w:rsidR="005F31CD">
        <w:rPr>
          <w:spacing w:val="-4"/>
        </w:rPr>
        <w:t xml:space="preserve"> a </w:t>
      </w:r>
      <w:r w:rsidRPr="005F31CD">
        <w:rPr>
          <w:spacing w:val="-4"/>
        </w:rPr>
        <w:t>33</w:t>
      </w:r>
      <w:r w:rsidR="005F31CD">
        <w:rPr>
          <w:spacing w:val="-4"/>
        </w:rPr>
        <w:t> %</w:t>
      </w:r>
      <w:r w:rsidRPr="005F31CD">
        <w:rPr>
          <w:spacing w:val="-4"/>
        </w:rPr>
        <w:t xml:space="preserve"> zostatkového rozdielu vo financovaní (t. j. bez čistých príspevkov MMF</w:t>
      </w:r>
      <w:r w:rsidR="005F31CD">
        <w:rPr>
          <w:spacing w:val="-4"/>
        </w:rPr>
        <w:t xml:space="preserve"> a </w:t>
      </w:r>
      <w:r w:rsidRPr="005F31CD">
        <w:rPr>
          <w:spacing w:val="-4"/>
        </w:rPr>
        <w:t>očakávaných výdavkov na úvery</w:t>
      </w:r>
      <w:r w:rsidR="005F31CD">
        <w:rPr>
          <w:spacing w:val="-4"/>
        </w:rPr>
        <w:t xml:space="preserve"> v </w:t>
      </w:r>
      <w:r w:rsidRPr="005F31CD">
        <w:rPr>
          <w:spacing w:val="-4"/>
        </w:rPr>
        <w:t>súlade</w:t>
      </w:r>
      <w:r w:rsidR="005F31CD">
        <w:rPr>
          <w:spacing w:val="-4"/>
        </w:rPr>
        <w:t xml:space="preserve"> s </w:t>
      </w:r>
      <w:r w:rsidRPr="005F31CD">
        <w:rPr>
          <w:spacing w:val="-4"/>
        </w:rPr>
        <w:t>politikou Svetovej banky). Je to</w:t>
      </w:r>
      <w:r w:rsidR="005F31CD">
        <w:rPr>
          <w:spacing w:val="-4"/>
        </w:rPr>
        <w:t xml:space="preserve"> v </w:t>
      </w:r>
      <w:r w:rsidRPr="005F31CD">
        <w:rPr>
          <w:spacing w:val="-4"/>
        </w:rPr>
        <w:t>súlade so štandardnými postupmi pre rozdelenie zaťaženia pri operáciách makrofinančnej pomoci, pri čom je zohľadnená pomoc prisľúbená Gruzínsku od iných bilaterálnych</w:t>
      </w:r>
      <w:r w:rsidR="005F31CD">
        <w:rPr>
          <w:spacing w:val="-4"/>
        </w:rPr>
        <w:t xml:space="preserve"> a </w:t>
      </w:r>
      <w:r w:rsidRPr="005F31CD">
        <w:rPr>
          <w:spacing w:val="-4"/>
        </w:rPr>
        <w:t>multilaterálnych darcov.</w:t>
      </w:r>
    </w:p>
    <w:p w:rsidR="003C2110" w:rsidRPr="005F31CD" w:rsidRDefault="003C2110" w:rsidP="003C2110">
      <w:pPr>
        <w:pStyle w:val="ManualHeading2"/>
        <w:rPr>
          <w:rFonts w:eastAsia="Arial Unicode MS"/>
          <w:spacing w:val="-4"/>
          <w:u w:color="000000"/>
          <w:bdr w:val="nil"/>
        </w:rPr>
      </w:pPr>
      <w:r w:rsidRPr="005F31CD">
        <w:rPr>
          <w:spacing w:val="-4"/>
        </w:rPr>
        <w:t>•</w:t>
      </w:r>
      <w:r w:rsidRPr="005F31CD">
        <w:rPr>
          <w:spacing w:val="-4"/>
        </w:rPr>
        <w:tab/>
        <w:t>Výber nástroja</w:t>
      </w:r>
    </w:p>
    <w:p w:rsidR="003C2110" w:rsidRPr="005F31CD" w:rsidRDefault="003C2110" w:rsidP="003C2110">
      <w:pPr>
        <w:tabs>
          <w:tab w:val="left" w:pos="719"/>
        </w:tabs>
        <w:spacing w:after="240"/>
        <w:rPr>
          <w:spacing w:val="-4"/>
        </w:rPr>
      </w:pPr>
      <w:r w:rsidRPr="005F31CD">
        <w:rPr>
          <w:spacing w:val="-4"/>
        </w:rPr>
        <w:t>Projektové financovanie ani technická pomoc by neboli vhodnými ani dostatočnými nástrojmi na riešenie týchto makroekonomických cieľov. Kľúčovou pridanou hodnotou makrofinančnej pomoci</w:t>
      </w:r>
      <w:r w:rsidR="005F31CD">
        <w:rPr>
          <w:spacing w:val="-4"/>
        </w:rPr>
        <w:t xml:space="preserve"> v </w:t>
      </w:r>
      <w:r w:rsidRPr="005F31CD">
        <w:rPr>
          <w:spacing w:val="-4"/>
        </w:rPr>
        <w:t>porovnaní</w:t>
      </w:r>
      <w:r w:rsidR="005F31CD">
        <w:rPr>
          <w:spacing w:val="-4"/>
        </w:rPr>
        <w:t xml:space="preserve"> s </w:t>
      </w:r>
      <w:r w:rsidRPr="005F31CD">
        <w:rPr>
          <w:spacing w:val="-4"/>
        </w:rPr>
        <w:t>inými nástrojmi EÚ by bolo zmiernenie vonkajšieho finančného obmedzenia</w:t>
      </w:r>
      <w:r w:rsidR="005F31CD">
        <w:rPr>
          <w:spacing w:val="-4"/>
        </w:rPr>
        <w:t xml:space="preserve"> a </w:t>
      </w:r>
      <w:r w:rsidRPr="005F31CD">
        <w:rPr>
          <w:spacing w:val="-4"/>
        </w:rPr>
        <w:t>pomoc pri vytváraní stabilného makroekonomického rámca,</w:t>
      </w:r>
      <w:r w:rsidR="005F31CD">
        <w:rPr>
          <w:spacing w:val="-4"/>
        </w:rPr>
        <w:t xml:space="preserve"> a </w:t>
      </w:r>
      <w:r w:rsidRPr="005F31CD">
        <w:rPr>
          <w:spacing w:val="-4"/>
        </w:rPr>
        <w:t>to aj prostredníctvom podpory udržateľnej platobnej bilancie</w:t>
      </w:r>
      <w:r w:rsidR="005F31CD">
        <w:rPr>
          <w:spacing w:val="-4"/>
        </w:rPr>
        <w:t xml:space="preserve"> a </w:t>
      </w:r>
      <w:r w:rsidRPr="005F31CD">
        <w:rPr>
          <w:spacing w:val="-4"/>
        </w:rPr>
        <w:t>rozpočtovej situácie</w:t>
      </w:r>
      <w:r w:rsidR="005F31CD">
        <w:rPr>
          <w:spacing w:val="-4"/>
        </w:rPr>
        <w:t xml:space="preserve"> a </w:t>
      </w:r>
      <w:r w:rsidRPr="005F31CD">
        <w:rPr>
          <w:spacing w:val="-4"/>
        </w:rPr>
        <w:t>vhodného rámca pre štrukturálne reformy. Vďaka tomu, že makrofinančná pomoc pomôže zaviesť vhodný celkový politický rámec, môže zvýšiť aj účinnosť opatrení financovaných</w:t>
      </w:r>
      <w:r w:rsidR="005F31CD">
        <w:rPr>
          <w:spacing w:val="-4"/>
        </w:rPr>
        <w:t xml:space="preserve"> v </w:t>
      </w:r>
      <w:r w:rsidRPr="005F31CD">
        <w:rPr>
          <w:spacing w:val="-4"/>
        </w:rPr>
        <w:t>Gruzínsku</w:t>
      </w:r>
      <w:r w:rsidR="005F31CD">
        <w:rPr>
          <w:spacing w:val="-4"/>
        </w:rPr>
        <w:t xml:space="preserve"> v </w:t>
      </w:r>
      <w:r w:rsidRPr="005F31CD">
        <w:rPr>
          <w:spacing w:val="-4"/>
        </w:rPr>
        <w:t>rámci iných, užšie zameraných finančných nástrojov EÚ.</w:t>
      </w:r>
    </w:p>
    <w:p w:rsidR="003C2110" w:rsidRPr="005F31CD" w:rsidRDefault="003C2110" w:rsidP="003C2110">
      <w:pPr>
        <w:pStyle w:val="ManualHeading1"/>
        <w:jc w:val="left"/>
        <w:rPr>
          <w:spacing w:val="-4"/>
        </w:rPr>
      </w:pPr>
      <w:r w:rsidRPr="005F31CD">
        <w:rPr>
          <w:spacing w:val="-4"/>
        </w:rPr>
        <w:t>3.</w:t>
      </w:r>
      <w:r w:rsidRPr="005F31CD">
        <w:rPr>
          <w:spacing w:val="-4"/>
        </w:rPr>
        <w:tab/>
        <w:t>VÝSLEDKY HODNOTENÍ EX POST, KONZULTÁCIÍ SO ZAINTERESOVANÝMI STRANAMI A POSÚDENÍ VPLYVU</w:t>
      </w:r>
    </w:p>
    <w:p w:rsidR="003C2110" w:rsidRPr="005F31CD" w:rsidRDefault="003C2110" w:rsidP="003C2110">
      <w:pPr>
        <w:pStyle w:val="ManualHeading2"/>
        <w:spacing w:after="0"/>
        <w:ind w:left="851" w:hanging="851"/>
        <w:rPr>
          <w:spacing w:val="-4"/>
        </w:rPr>
      </w:pPr>
      <w:r w:rsidRPr="005F31CD">
        <w:rPr>
          <w:spacing w:val="-4"/>
        </w:rPr>
        <w:t>•</w:t>
      </w:r>
      <w:r w:rsidRPr="005F31CD">
        <w:rPr>
          <w:spacing w:val="-4"/>
        </w:rPr>
        <w:tab/>
        <w:t>Konzultácie so zainteresovanými stranami</w:t>
      </w:r>
    </w:p>
    <w:p w:rsidR="003C2110" w:rsidRPr="005F31CD" w:rsidRDefault="003C2110" w:rsidP="003C2110">
      <w:pPr>
        <w:tabs>
          <w:tab w:val="left" w:pos="719"/>
        </w:tabs>
        <w:spacing w:after="240"/>
        <w:rPr>
          <w:spacing w:val="-4"/>
        </w:rPr>
      </w:pPr>
      <w:r w:rsidRPr="005F31CD">
        <w:rPr>
          <w:spacing w:val="-4"/>
        </w:rPr>
        <w:t>Makrofinančná pomoc sa poskytuje ako neoddeliteľná súčasť medzinárodnej podpory na stabilizáciu hospodárstva Gruzínska. Pri príprave tohto návrhu makrofinančnej pomoci útvary Komisie uskutočnili konzultácie</w:t>
      </w:r>
      <w:r w:rsidR="005F31CD">
        <w:rPr>
          <w:spacing w:val="-4"/>
        </w:rPr>
        <w:t xml:space="preserve"> s </w:t>
      </w:r>
      <w:r w:rsidRPr="005F31CD">
        <w:rPr>
          <w:spacing w:val="-4"/>
        </w:rPr>
        <w:t>MMF</w:t>
      </w:r>
      <w:r w:rsidR="005F31CD">
        <w:rPr>
          <w:spacing w:val="-4"/>
        </w:rPr>
        <w:t xml:space="preserve"> a </w:t>
      </w:r>
      <w:r w:rsidRPr="005F31CD">
        <w:rPr>
          <w:spacing w:val="-4"/>
        </w:rPr>
        <w:t>so Svetovou bankou, ktoré už zaviedli rozsiahle programy financovania</w:t>
      </w:r>
      <w:r w:rsidR="005F31CD">
        <w:rPr>
          <w:spacing w:val="-4"/>
        </w:rPr>
        <w:t xml:space="preserve"> a </w:t>
      </w:r>
      <w:r w:rsidRPr="005F31CD">
        <w:rPr>
          <w:spacing w:val="-4"/>
        </w:rPr>
        <w:t>pripravujú nové. Komisia bola</w:t>
      </w:r>
      <w:r w:rsidR="005F31CD">
        <w:rPr>
          <w:spacing w:val="-4"/>
        </w:rPr>
        <w:t xml:space="preserve"> v </w:t>
      </w:r>
      <w:r w:rsidRPr="005F31CD">
        <w:rPr>
          <w:spacing w:val="-4"/>
        </w:rPr>
        <w:t>pravidelnom kontakte aj</w:t>
      </w:r>
      <w:r w:rsidR="005F31CD">
        <w:rPr>
          <w:spacing w:val="-4"/>
        </w:rPr>
        <w:t xml:space="preserve"> s </w:t>
      </w:r>
      <w:r w:rsidRPr="005F31CD">
        <w:rPr>
          <w:spacing w:val="-4"/>
        </w:rPr>
        <w:t>gruzínskymi orgánmi.</w:t>
      </w:r>
    </w:p>
    <w:p w:rsidR="003C2110" w:rsidRPr="005F31CD" w:rsidRDefault="003C2110" w:rsidP="003C2110">
      <w:pPr>
        <w:pStyle w:val="ManualHeading2"/>
        <w:rPr>
          <w:spacing w:val="-4"/>
        </w:rPr>
      </w:pPr>
      <w:r w:rsidRPr="005F31CD">
        <w:rPr>
          <w:spacing w:val="-4"/>
        </w:rPr>
        <w:t>•</w:t>
      </w:r>
      <w:r w:rsidRPr="005F31CD">
        <w:rPr>
          <w:spacing w:val="-4"/>
        </w:rPr>
        <w:tab/>
        <w:t>Získavanie</w:t>
      </w:r>
      <w:r w:rsidR="005F31CD">
        <w:rPr>
          <w:spacing w:val="-4"/>
        </w:rPr>
        <w:t xml:space="preserve"> a </w:t>
      </w:r>
      <w:r w:rsidRPr="005F31CD">
        <w:rPr>
          <w:spacing w:val="-4"/>
        </w:rPr>
        <w:t>využívanie expertízy</w:t>
      </w:r>
    </w:p>
    <w:p w:rsidR="003C2110" w:rsidRPr="005F31CD" w:rsidRDefault="003C2110" w:rsidP="003C2110">
      <w:pPr>
        <w:autoSpaceDE w:val="0"/>
        <w:autoSpaceDN w:val="0"/>
        <w:adjustRightInd w:val="0"/>
        <w:spacing w:after="240"/>
        <w:rPr>
          <w:spacing w:val="-4"/>
        </w:rPr>
      </w:pPr>
      <w:r w:rsidRPr="005F31CD">
        <w:rPr>
          <w:spacing w:val="-4"/>
        </w:rPr>
        <w:t>V súlade</w:t>
      </w:r>
      <w:r w:rsidR="005F31CD">
        <w:rPr>
          <w:spacing w:val="-4"/>
        </w:rPr>
        <w:t xml:space="preserve"> s </w:t>
      </w:r>
      <w:r w:rsidRPr="005F31CD">
        <w:rPr>
          <w:spacing w:val="-4"/>
        </w:rPr>
        <w:t>požiadavkami nariadenia</w:t>
      </w:r>
      <w:r w:rsidR="005F31CD">
        <w:rPr>
          <w:spacing w:val="-4"/>
        </w:rPr>
        <w:t xml:space="preserve"> o </w:t>
      </w:r>
      <w:r w:rsidRPr="005F31CD">
        <w:rPr>
          <w:spacing w:val="-4"/>
        </w:rPr>
        <w:t>rozpočtových pravidlách uskutočnili útvary Európskej komisie operatívne posúdenie finančných</w:t>
      </w:r>
      <w:r w:rsidR="005F31CD">
        <w:rPr>
          <w:spacing w:val="-4"/>
        </w:rPr>
        <w:t xml:space="preserve"> a </w:t>
      </w:r>
      <w:r w:rsidRPr="005F31CD">
        <w:rPr>
          <w:spacing w:val="-4"/>
        </w:rPr>
        <w:t>administratívnych tokov Gruzínska, aby overili, že zavedené postupy pre riadenie programu pomoci vrátane makrofinančnej pomoci poskytujú primerané záruky. Predbežné zistenia</w:t>
      </w:r>
      <w:r w:rsidR="005F31CD">
        <w:rPr>
          <w:spacing w:val="-4"/>
        </w:rPr>
        <w:t xml:space="preserve"> z </w:t>
      </w:r>
      <w:r w:rsidRPr="005F31CD">
        <w:rPr>
          <w:spacing w:val="-4"/>
        </w:rPr>
        <w:t>misie vykonanej poradenskou spoločnosťou na účely tohto operačného posúdenia boli poskytnuté</w:t>
      </w:r>
      <w:r w:rsidR="005F31CD">
        <w:rPr>
          <w:spacing w:val="-4"/>
        </w:rPr>
        <w:t xml:space="preserve"> v </w:t>
      </w:r>
      <w:r w:rsidRPr="005F31CD">
        <w:rPr>
          <w:spacing w:val="-4"/>
        </w:rPr>
        <w:t>septembri 2017. Naznačuje sa</w:t>
      </w:r>
      <w:r w:rsidR="005F31CD">
        <w:rPr>
          <w:spacing w:val="-4"/>
        </w:rPr>
        <w:t xml:space="preserve"> v </w:t>
      </w:r>
      <w:r w:rsidRPr="005F31CD">
        <w:rPr>
          <w:spacing w:val="-4"/>
        </w:rPr>
        <w:t>nich, že súčasný stav administratívnych</w:t>
      </w:r>
      <w:r w:rsidR="005F31CD">
        <w:rPr>
          <w:spacing w:val="-4"/>
        </w:rPr>
        <w:t xml:space="preserve"> a </w:t>
      </w:r>
      <w:r w:rsidRPr="005F31CD">
        <w:rPr>
          <w:spacing w:val="-4"/>
        </w:rPr>
        <w:t>finančných tokov Gruzínska je primeraný na riadenie novej operácie makrofinančnej pomoci napriek tomu, že určité nedostatky pretrvávajú. Očakáva sa, že návrh konečnej správy</w:t>
      </w:r>
      <w:r w:rsidR="005F31CD">
        <w:rPr>
          <w:spacing w:val="-4"/>
        </w:rPr>
        <w:t xml:space="preserve"> o </w:t>
      </w:r>
      <w:r w:rsidRPr="005F31CD">
        <w:rPr>
          <w:spacing w:val="-4"/>
        </w:rPr>
        <w:t>tomto operačnom posúdení sa predloží</w:t>
      </w:r>
      <w:r w:rsidR="005F31CD">
        <w:rPr>
          <w:spacing w:val="-4"/>
        </w:rPr>
        <w:t xml:space="preserve"> v </w:t>
      </w:r>
      <w:r w:rsidRPr="005F31CD">
        <w:rPr>
          <w:spacing w:val="-4"/>
        </w:rPr>
        <w:t>novembri 2017. Vývoj</w:t>
      </w:r>
      <w:r w:rsidR="005F31CD">
        <w:rPr>
          <w:spacing w:val="-4"/>
        </w:rPr>
        <w:t xml:space="preserve"> v </w:t>
      </w:r>
      <w:r w:rsidRPr="005F31CD">
        <w:rPr>
          <w:spacing w:val="-4"/>
        </w:rPr>
        <w:t>tejto oblasti bude naďalej pozorne sledovaný aj prostredníctvom pravidelných správ</w:t>
      </w:r>
      <w:r w:rsidR="005F31CD">
        <w:rPr>
          <w:spacing w:val="-4"/>
        </w:rPr>
        <w:t xml:space="preserve"> o </w:t>
      </w:r>
      <w:r w:rsidRPr="005F31CD">
        <w:rPr>
          <w:spacing w:val="-4"/>
        </w:rPr>
        <w:t>pokroku</w:t>
      </w:r>
      <w:r w:rsidR="005F31CD">
        <w:rPr>
          <w:spacing w:val="-4"/>
        </w:rPr>
        <w:t xml:space="preserve"> v </w:t>
      </w:r>
      <w:r w:rsidRPr="005F31CD">
        <w:rPr>
          <w:spacing w:val="-4"/>
        </w:rPr>
        <w:t>oblasti reforiem riadenia verejných financií, ktoré bude pripravovať delegácia EÚ</w:t>
      </w:r>
      <w:r w:rsidR="005F31CD">
        <w:rPr>
          <w:spacing w:val="-4"/>
        </w:rPr>
        <w:t xml:space="preserve"> v </w:t>
      </w:r>
      <w:r w:rsidRPr="005F31CD">
        <w:rPr>
          <w:spacing w:val="-4"/>
        </w:rPr>
        <w:t>Tbilisi.</w:t>
      </w:r>
    </w:p>
    <w:p w:rsidR="003C2110" w:rsidRPr="005F31CD" w:rsidRDefault="003C2110" w:rsidP="003C2110">
      <w:pPr>
        <w:pStyle w:val="ManualHeading2"/>
        <w:rPr>
          <w:spacing w:val="-4"/>
        </w:rPr>
      </w:pPr>
      <w:r w:rsidRPr="005F31CD">
        <w:rPr>
          <w:spacing w:val="-4"/>
        </w:rPr>
        <w:t>•</w:t>
      </w:r>
      <w:r w:rsidRPr="005F31CD">
        <w:rPr>
          <w:spacing w:val="-4"/>
        </w:rPr>
        <w:tab/>
        <w:t>Posúdenie vplyvu</w:t>
      </w:r>
    </w:p>
    <w:p w:rsidR="003C2110" w:rsidRPr="005F31CD" w:rsidRDefault="003C2110" w:rsidP="003C2110">
      <w:pPr>
        <w:tabs>
          <w:tab w:val="left" w:pos="719"/>
        </w:tabs>
        <w:rPr>
          <w:spacing w:val="-4"/>
        </w:rPr>
      </w:pPr>
      <w:r w:rsidRPr="005F31CD">
        <w:rPr>
          <w:spacing w:val="-4"/>
        </w:rPr>
        <w:t>Makrofinančná pomoc EÚ je mimoriadny núdzový nástroj zameraný na riešenie závažných ťažkostí</w:t>
      </w:r>
      <w:r w:rsidR="005F31CD">
        <w:rPr>
          <w:spacing w:val="-4"/>
        </w:rPr>
        <w:t xml:space="preserve"> s </w:t>
      </w:r>
      <w:r w:rsidRPr="005F31CD">
        <w:rPr>
          <w:spacing w:val="-4"/>
        </w:rPr>
        <w:t>platobnou bilanciou</w:t>
      </w:r>
      <w:r w:rsidR="005F31CD">
        <w:rPr>
          <w:spacing w:val="-4"/>
        </w:rPr>
        <w:t xml:space="preserve"> v </w:t>
      </w:r>
      <w:r w:rsidRPr="005F31CD">
        <w:rPr>
          <w:spacing w:val="-4"/>
        </w:rPr>
        <w:t>tretích krajinách. Navrhovaná makrofinančná pomoc je preto oslobodená od požiadavky na vykonanie posúdenia vplyvu</w:t>
      </w:r>
      <w:r w:rsidR="005F31CD">
        <w:rPr>
          <w:spacing w:val="-4"/>
        </w:rPr>
        <w:t xml:space="preserve"> v </w:t>
      </w:r>
      <w:r w:rsidRPr="005F31CD">
        <w:rPr>
          <w:spacing w:val="-4"/>
        </w:rPr>
        <w:t>súlade</w:t>
      </w:r>
      <w:r w:rsidR="005F31CD">
        <w:rPr>
          <w:spacing w:val="-4"/>
        </w:rPr>
        <w:t xml:space="preserve"> s </w:t>
      </w:r>
      <w:r w:rsidRPr="005F31CD">
        <w:rPr>
          <w:spacing w:val="-4"/>
        </w:rPr>
        <w:t>usmerneniami Komisie</w:t>
      </w:r>
      <w:r w:rsidR="005F31CD">
        <w:rPr>
          <w:spacing w:val="-4"/>
        </w:rPr>
        <w:t xml:space="preserve"> o </w:t>
      </w:r>
      <w:r w:rsidRPr="005F31CD">
        <w:rPr>
          <w:spacing w:val="-4"/>
        </w:rPr>
        <w:t>lepšej právnej regulácii [SWD(2015) 111 final].</w:t>
      </w:r>
    </w:p>
    <w:p w:rsidR="003C2110" w:rsidRPr="005F31CD" w:rsidRDefault="003C2110" w:rsidP="003C2110">
      <w:pPr>
        <w:tabs>
          <w:tab w:val="left" w:pos="719"/>
        </w:tabs>
        <w:spacing w:after="240"/>
        <w:rPr>
          <w:spacing w:val="-4"/>
        </w:rPr>
      </w:pPr>
      <w:r w:rsidRPr="005F31CD">
        <w:rPr>
          <w:spacing w:val="-4"/>
        </w:rPr>
        <w:t>Všeobecnejšie, návrhy makrofinančnej pomoci Komisie vychádzajú zo skúseností získaných</w:t>
      </w:r>
      <w:r w:rsidR="005F31CD">
        <w:rPr>
          <w:spacing w:val="-4"/>
        </w:rPr>
        <w:t xml:space="preserve"> z </w:t>
      </w:r>
      <w:r w:rsidRPr="005F31CD">
        <w:rPr>
          <w:spacing w:val="-4"/>
        </w:rPr>
        <w:t xml:space="preserve">hodnotení </w:t>
      </w:r>
      <w:r w:rsidRPr="005F31CD">
        <w:rPr>
          <w:i/>
          <w:spacing w:val="-4"/>
        </w:rPr>
        <w:t>ex post</w:t>
      </w:r>
      <w:r w:rsidRPr="005F31CD">
        <w:rPr>
          <w:spacing w:val="-4"/>
        </w:rPr>
        <w:t xml:space="preserve"> vykonaných pri predchádzajúcich operáciách</w:t>
      </w:r>
      <w:r w:rsidR="005F31CD">
        <w:rPr>
          <w:spacing w:val="-4"/>
        </w:rPr>
        <w:t xml:space="preserve"> v </w:t>
      </w:r>
      <w:r w:rsidRPr="005F31CD">
        <w:rPr>
          <w:spacing w:val="-4"/>
        </w:rPr>
        <w:t>krajinách susediacich</w:t>
      </w:r>
      <w:r w:rsidR="005F31CD">
        <w:rPr>
          <w:spacing w:val="-4"/>
        </w:rPr>
        <w:t xml:space="preserve"> s </w:t>
      </w:r>
      <w:r w:rsidRPr="005F31CD">
        <w:rPr>
          <w:spacing w:val="-4"/>
        </w:rPr>
        <w:t>EÚ. Nová makrofinančná pomoc</w:t>
      </w:r>
      <w:r w:rsidR="005F31CD">
        <w:rPr>
          <w:spacing w:val="-4"/>
        </w:rPr>
        <w:t xml:space="preserve"> a </w:t>
      </w:r>
      <w:r w:rsidRPr="005F31CD">
        <w:rPr>
          <w:spacing w:val="-4"/>
        </w:rPr>
        <w:t>súvisiaci program ekonomických úprav</w:t>
      </w:r>
      <w:r w:rsidR="005F31CD">
        <w:rPr>
          <w:spacing w:val="-4"/>
        </w:rPr>
        <w:t xml:space="preserve"> a </w:t>
      </w:r>
      <w:r w:rsidRPr="005F31CD">
        <w:rPr>
          <w:spacing w:val="-4"/>
        </w:rPr>
        <w:t>reforiem pomôžu zmierniť krátkodobé potreby Gruzínska</w:t>
      </w:r>
      <w:r w:rsidR="005F31CD">
        <w:rPr>
          <w:spacing w:val="-4"/>
        </w:rPr>
        <w:t xml:space="preserve"> v </w:t>
      </w:r>
      <w:r w:rsidRPr="005F31CD">
        <w:rPr>
          <w:spacing w:val="-4"/>
        </w:rPr>
        <w:t>oblasti financovania</w:t>
      </w:r>
      <w:r w:rsidR="005F31CD">
        <w:rPr>
          <w:spacing w:val="-4"/>
        </w:rPr>
        <w:t xml:space="preserve"> a </w:t>
      </w:r>
      <w:r w:rsidRPr="005F31CD">
        <w:rPr>
          <w:spacing w:val="-4"/>
        </w:rPr>
        <w:t>zároveň podporia politické opatrenia zamerané na posilnenie strednodobej platobnej bilancie</w:t>
      </w:r>
      <w:r w:rsidR="005F31CD">
        <w:rPr>
          <w:spacing w:val="-4"/>
        </w:rPr>
        <w:t xml:space="preserve"> a </w:t>
      </w:r>
      <w:r w:rsidRPr="005F31CD">
        <w:rPr>
          <w:spacing w:val="-4"/>
        </w:rPr>
        <w:t>fiškálnej udržateľnosti</w:t>
      </w:r>
      <w:r w:rsidR="005F31CD">
        <w:rPr>
          <w:spacing w:val="-4"/>
        </w:rPr>
        <w:t xml:space="preserve"> a </w:t>
      </w:r>
      <w:r w:rsidRPr="005F31CD">
        <w:rPr>
          <w:spacing w:val="-4"/>
        </w:rPr>
        <w:t>zvýšia udržateľný rast, čím sa doplní program dohodnutý</w:t>
      </w:r>
      <w:r w:rsidR="005F31CD">
        <w:rPr>
          <w:spacing w:val="-4"/>
        </w:rPr>
        <w:t xml:space="preserve"> s </w:t>
      </w:r>
      <w:r w:rsidRPr="005F31CD">
        <w:rPr>
          <w:spacing w:val="-4"/>
        </w:rPr>
        <w:t>MMF. Tieto politické podmienky by sa mali týkať niektorých nedostatkov, ktoré sa</w:t>
      </w:r>
      <w:r w:rsidR="005F31CD">
        <w:rPr>
          <w:spacing w:val="-4"/>
        </w:rPr>
        <w:t xml:space="preserve"> v </w:t>
      </w:r>
      <w:r w:rsidRPr="005F31CD">
        <w:rPr>
          <w:spacing w:val="-4"/>
        </w:rPr>
        <w:t>priebehu rokov prejavili</w:t>
      </w:r>
      <w:r w:rsidR="005F31CD">
        <w:rPr>
          <w:spacing w:val="-4"/>
        </w:rPr>
        <w:t xml:space="preserve"> v </w:t>
      </w:r>
      <w:r w:rsidRPr="005F31CD">
        <w:rPr>
          <w:spacing w:val="-4"/>
        </w:rPr>
        <w:t>gruzínskom hospodárstve</w:t>
      </w:r>
      <w:r w:rsidR="005F31CD">
        <w:rPr>
          <w:spacing w:val="-4"/>
        </w:rPr>
        <w:t xml:space="preserve"> a </w:t>
      </w:r>
      <w:r w:rsidRPr="005F31CD">
        <w:rPr>
          <w:spacing w:val="-4"/>
        </w:rPr>
        <w:t>systéme správy hospodárskych záležitostí. Možné oblasti, na ktoré by sa vzťahovali politické podmienky, by mohli</w:t>
      </w:r>
      <w:r w:rsidR="005F31CD">
        <w:rPr>
          <w:spacing w:val="-4"/>
        </w:rPr>
        <w:t xml:space="preserve"> v </w:t>
      </w:r>
      <w:r w:rsidRPr="005F31CD">
        <w:rPr>
          <w:spacing w:val="-4"/>
        </w:rPr>
        <w:t>zásade zahŕňať reformy na posilnenie sociálnej záchrannej siete, riadenie verejných financií, posilnenie investičného prostredia</w:t>
      </w:r>
      <w:r w:rsidR="005F31CD">
        <w:rPr>
          <w:spacing w:val="-4"/>
        </w:rPr>
        <w:t xml:space="preserve"> a </w:t>
      </w:r>
      <w:r w:rsidRPr="005F31CD">
        <w:rPr>
          <w:spacing w:val="-4"/>
        </w:rPr>
        <w:t>podporu vykonávania DCFTA.</w:t>
      </w:r>
    </w:p>
    <w:p w:rsidR="003C2110" w:rsidRPr="005F31CD" w:rsidRDefault="003C2110" w:rsidP="003C2110">
      <w:pPr>
        <w:pStyle w:val="ManualHeading1"/>
        <w:rPr>
          <w:spacing w:val="-4"/>
        </w:rPr>
      </w:pPr>
      <w:r w:rsidRPr="005F31CD">
        <w:rPr>
          <w:spacing w:val="-4"/>
        </w:rPr>
        <w:t>4.</w:t>
      </w:r>
      <w:r w:rsidRPr="005F31CD">
        <w:rPr>
          <w:spacing w:val="-4"/>
        </w:rPr>
        <w:tab/>
        <w:t>VPLYV NA ROZPOČET</w:t>
      </w:r>
    </w:p>
    <w:p w:rsidR="003C2110" w:rsidRPr="005F31CD" w:rsidRDefault="003C2110" w:rsidP="003C2110">
      <w:pPr>
        <w:rPr>
          <w:color w:val="000000"/>
          <w:spacing w:val="-4"/>
          <w:position w:val="3"/>
          <w:u w:color="000000"/>
        </w:rPr>
      </w:pPr>
      <w:r w:rsidRPr="005F31CD">
        <w:rPr>
          <w:color w:val="000000"/>
          <w:spacing w:val="-4"/>
          <w:position w:val="3"/>
          <w:u w:color="000000"/>
        </w:rPr>
        <w:t>Plánovaná pomoc sa poskytne vo forme úverov</w:t>
      </w:r>
      <w:r w:rsidR="005F31CD">
        <w:rPr>
          <w:color w:val="000000"/>
          <w:spacing w:val="-4"/>
          <w:position w:val="3"/>
          <w:u w:color="000000"/>
        </w:rPr>
        <w:t xml:space="preserve"> a </w:t>
      </w:r>
      <w:r w:rsidRPr="005F31CD">
        <w:rPr>
          <w:color w:val="000000"/>
          <w:spacing w:val="-4"/>
          <w:position w:val="3"/>
          <w:u w:color="000000"/>
        </w:rPr>
        <w:t>grantov. Úverová časť sa bude financovať prostredníctvom operácie prijímania pôžičky, ktorú vykoná Komisia</w:t>
      </w:r>
      <w:r w:rsidR="005F31CD">
        <w:rPr>
          <w:color w:val="000000"/>
          <w:spacing w:val="-4"/>
          <w:position w:val="3"/>
          <w:u w:color="000000"/>
        </w:rPr>
        <w:t xml:space="preserve"> v </w:t>
      </w:r>
      <w:r w:rsidRPr="005F31CD">
        <w:rPr>
          <w:color w:val="000000"/>
          <w:spacing w:val="-4"/>
          <w:position w:val="3"/>
          <w:u w:color="000000"/>
        </w:rPr>
        <w:t>mene EÚ. Vplyv úverovej pomoci na rozpočet bude zodpovedať financovaniu Garančného fondu EÚ pre vonkajšie opatrenia na úrovni 9</w:t>
      </w:r>
      <w:r w:rsidR="005F31CD">
        <w:rPr>
          <w:color w:val="000000"/>
          <w:spacing w:val="-4"/>
          <w:position w:val="3"/>
          <w:u w:color="000000"/>
        </w:rPr>
        <w:t> %</w:t>
      </w:r>
      <w:r w:rsidRPr="005F31CD">
        <w:rPr>
          <w:color w:val="000000"/>
          <w:spacing w:val="-4"/>
          <w:position w:val="3"/>
          <w:u w:color="000000"/>
        </w:rPr>
        <w:t xml:space="preserve"> zo súm uhradených</w:t>
      </w:r>
      <w:r w:rsidR="005F31CD">
        <w:rPr>
          <w:color w:val="000000"/>
          <w:spacing w:val="-4"/>
          <w:position w:val="3"/>
          <w:u w:color="000000"/>
        </w:rPr>
        <w:t xml:space="preserve"> z </w:t>
      </w:r>
      <w:r w:rsidRPr="005F31CD">
        <w:rPr>
          <w:color w:val="000000"/>
          <w:spacing w:val="-4"/>
          <w:position w:val="3"/>
          <w:u w:color="000000"/>
        </w:rPr>
        <w:t>rozpočtového riadku 01 03 06 („Financovanie Garančného fondu“). Za predpokladu, že dve vyplatenia úveru (15 miliónov EUR</w:t>
      </w:r>
      <w:r w:rsidR="005F31CD">
        <w:rPr>
          <w:color w:val="000000"/>
          <w:spacing w:val="-4"/>
          <w:position w:val="3"/>
          <w:u w:color="000000"/>
        </w:rPr>
        <w:t xml:space="preserve"> v </w:t>
      </w:r>
      <w:r w:rsidRPr="005F31CD">
        <w:rPr>
          <w:color w:val="000000"/>
          <w:spacing w:val="-4"/>
          <w:position w:val="3"/>
          <w:u w:color="000000"/>
        </w:rPr>
        <w:t>rámci prvej tranže</w:t>
      </w:r>
      <w:r w:rsidR="005F31CD">
        <w:rPr>
          <w:color w:val="000000"/>
          <w:spacing w:val="-4"/>
          <w:position w:val="3"/>
          <w:u w:color="000000"/>
        </w:rPr>
        <w:t xml:space="preserve"> a </w:t>
      </w:r>
      <w:r w:rsidRPr="005F31CD">
        <w:rPr>
          <w:color w:val="000000"/>
          <w:spacing w:val="-4"/>
          <w:position w:val="3"/>
          <w:u w:color="000000"/>
        </w:rPr>
        <w:t>20 miliónov EUR</w:t>
      </w:r>
      <w:r w:rsidR="005F31CD">
        <w:rPr>
          <w:color w:val="000000"/>
          <w:spacing w:val="-4"/>
          <w:position w:val="3"/>
          <w:u w:color="000000"/>
        </w:rPr>
        <w:t xml:space="preserve"> v </w:t>
      </w:r>
      <w:r w:rsidRPr="005F31CD">
        <w:rPr>
          <w:color w:val="000000"/>
          <w:spacing w:val="-4"/>
          <w:position w:val="3"/>
          <w:u w:color="000000"/>
        </w:rPr>
        <w:t>rámci druhej tranže) sa uskutočnia</w:t>
      </w:r>
      <w:r w:rsidR="005F31CD">
        <w:rPr>
          <w:color w:val="000000"/>
          <w:spacing w:val="-4"/>
          <w:position w:val="3"/>
          <w:u w:color="000000"/>
        </w:rPr>
        <w:t xml:space="preserve"> v </w:t>
      </w:r>
      <w:r w:rsidRPr="005F31CD">
        <w:rPr>
          <w:color w:val="000000"/>
          <w:spacing w:val="-4"/>
          <w:position w:val="3"/>
          <w:u w:color="000000"/>
        </w:rPr>
        <w:t>roku 2018, financovanie sa uskutoční</w:t>
      </w:r>
      <w:r w:rsidR="005F31CD">
        <w:rPr>
          <w:color w:val="000000"/>
          <w:spacing w:val="-4"/>
          <w:position w:val="3"/>
          <w:u w:color="000000"/>
        </w:rPr>
        <w:t xml:space="preserve"> v </w:t>
      </w:r>
      <w:r w:rsidRPr="005F31CD">
        <w:rPr>
          <w:color w:val="000000"/>
          <w:spacing w:val="-4"/>
          <w:position w:val="3"/>
          <w:u w:color="000000"/>
        </w:rPr>
        <w:t>rámci rozpočtu na rok 2020</w:t>
      </w:r>
      <w:r w:rsidR="005F31CD">
        <w:rPr>
          <w:color w:val="000000"/>
          <w:spacing w:val="-4"/>
          <w:position w:val="3"/>
          <w:u w:color="000000"/>
        </w:rPr>
        <w:t xml:space="preserve"> v </w:t>
      </w:r>
      <w:r w:rsidRPr="005F31CD">
        <w:rPr>
          <w:color w:val="000000"/>
          <w:spacing w:val="-4"/>
          <w:position w:val="3"/>
          <w:u w:color="000000"/>
        </w:rPr>
        <w:t>súlade</w:t>
      </w:r>
      <w:r w:rsidR="005F31CD">
        <w:rPr>
          <w:color w:val="000000"/>
          <w:spacing w:val="-4"/>
          <w:position w:val="3"/>
          <w:u w:color="000000"/>
        </w:rPr>
        <w:t xml:space="preserve"> s </w:t>
      </w:r>
      <w:r w:rsidRPr="005F31CD">
        <w:rPr>
          <w:color w:val="000000"/>
          <w:spacing w:val="-4"/>
          <w:position w:val="3"/>
          <w:u w:color="000000"/>
        </w:rPr>
        <w:t>pravidlami, ktorými sa riadi mechanizmus garančného fondu,</w:t>
      </w:r>
      <w:r w:rsidR="005F31CD">
        <w:rPr>
          <w:color w:val="000000"/>
          <w:spacing w:val="-4"/>
          <w:position w:val="3"/>
          <w:u w:color="000000"/>
        </w:rPr>
        <w:t xml:space="preserve"> a </w:t>
      </w:r>
      <w:r w:rsidRPr="005F31CD">
        <w:rPr>
          <w:color w:val="000000"/>
          <w:spacing w:val="-4"/>
          <w:position w:val="3"/>
          <w:u w:color="000000"/>
        </w:rPr>
        <w:t>to vo výške 3,15 milióna EUR.</w:t>
      </w:r>
    </w:p>
    <w:p w:rsidR="003C2110" w:rsidRPr="005F31CD" w:rsidRDefault="003C2110" w:rsidP="003C2110">
      <w:pPr>
        <w:rPr>
          <w:spacing w:val="-4"/>
        </w:rPr>
      </w:pPr>
      <w:r w:rsidRPr="005F31CD">
        <w:rPr>
          <w:color w:val="000000"/>
          <w:spacing w:val="-4"/>
          <w:position w:val="3"/>
          <w:u w:color="000000"/>
        </w:rPr>
        <w:t>Grantová časť pomoci (celkove 10 miliónov EUR, t. j. 5 miliónov EUR pre každú</w:t>
      </w:r>
      <w:r w:rsidR="005F31CD">
        <w:rPr>
          <w:color w:val="000000"/>
          <w:spacing w:val="-4"/>
          <w:position w:val="3"/>
          <w:u w:color="000000"/>
        </w:rPr>
        <w:t xml:space="preserve"> z </w:t>
      </w:r>
      <w:r w:rsidRPr="005F31CD">
        <w:rPr>
          <w:color w:val="000000"/>
          <w:spacing w:val="-4"/>
          <w:position w:val="3"/>
          <w:u w:color="000000"/>
        </w:rPr>
        <w:t>dvoch tranží) sa bude financovať</w:t>
      </w:r>
      <w:r w:rsidR="005F31CD">
        <w:rPr>
          <w:color w:val="000000"/>
          <w:spacing w:val="-4"/>
          <w:position w:val="3"/>
          <w:u w:color="000000"/>
        </w:rPr>
        <w:t xml:space="preserve"> z </w:t>
      </w:r>
      <w:r w:rsidRPr="005F31CD">
        <w:rPr>
          <w:color w:val="000000"/>
          <w:spacing w:val="-4"/>
          <w:position w:val="3"/>
          <w:u w:color="000000"/>
        </w:rPr>
        <w:t>viazaných rozpočtových prostriedkov rozpočtu na rok 2018</w:t>
      </w:r>
      <w:r w:rsidR="005F31CD">
        <w:rPr>
          <w:color w:val="000000"/>
          <w:spacing w:val="-4"/>
          <w:position w:val="3"/>
          <w:u w:color="000000"/>
        </w:rPr>
        <w:t xml:space="preserve"> v </w:t>
      </w:r>
      <w:r w:rsidRPr="005F31CD">
        <w:rPr>
          <w:color w:val="000000"/>
          <w:spacing w:val="-4"/>
          <w:position w:val="3"/>
          <w:u w:color="000000"/>
        </w:rPr>
        <w:t>rámci rozpočtového riadku 01 03 02 (Makrofinančná pomoc), pričom platby sa uskutočnia aj</w:t>
      </w:r>
      <w:r w:rsidR="005F31CD">
        <w:rPr>
          <w:color w:val="000000"/>
          <w:spacing w:val="-4"/>
          <w:position w:val="3"/>
          <w:u w:color="000000"/>
        </w:rPr>
        <w:t xml:space="preserve"> v </w:t>
      </w:r>
      <w:r w:rsidRPr="005F31CD">
        <w:rPr>
          <w:color w:val="000000"/>
          <w:spacing w:val="-4"/>
          <w:position w:val="3"/>
          <w:u w:color="000000"/>
        </w:rPr>
        <w:t>roku 2018</w:t>
      </w:r>
      <w:r w:rsidRPr="005F31CD">
        <w:rPr>
          <w:rStyle w:val="FootnoteReference"/>
          <w:color w:val="000000"/>
          <w:spacing w:val="-4"/>
          <w:position w:val="2"/>
        </w:rPr>
        <w:footnoteReference w:id="4"/>
      </w:r>
      <w:r w:rsidRPr="005F31CD">
        <w:rPr>
          <w:spacing w:val="-4"/>
        </w:rPr>
        <w:t>.</w:t>
      </w:r>
    </w:p>
    <w:p w:rsidR="003C2110" w:rsidRPr="005F31CD" w:rsidRDefault="003C2110" w:rsidP="003C2110">
      <w:pPr>
        <w:rPr>
          <w:spacing w:val="-4"/>
          <w:position w:val="3"/>
          <w:highlight w:val="yellow"/>
          <w:u w:color="000000"/>
        </w:rPr>
      </w:pPr>
      <w:r w:rsidRPr="005F31CD">
        <w:rPr>
          <w:color w:val="000000"/>
          <w:spacing w:val="-4"/>
          <w:position w:val="3"/>
          <w:u w:color="000000"/>
        </w:rPr>
        <w:t>Na základe súčasných prognóz</w:t>
      </w:r>
      <w:r w:rsidR="005F31CD">
        <w:rPr>
          <w:color w:val="000000"/>
          <w:spacing w:val="-4"/>
          <w:position w:val="3"/>
          <w:u w:color="000000"/>
        </w:rPr>
        <w:t xml:space="preserve"> o </w:t>
      </w:r>
      <w:r w:rsidRPr="005F31CD">
        <w:rPr>
          <w:color w:val="000000"/>
          <w:spacing w:val="-4"/>
          <w:position w:val="3"/>
          <w:u w:color="000000"/>
        </w:rPr>
        <w:t>využívaní rozpočtových riadkov 01 03 02</w:t>
      </w:r>
      <w:r w:rsidR="005F31CD">
        <w:rPr>
          <w:color w:val="000000"/>
          <w:spacing w:val="-4"/>
          <w:position w:val="3"/>
          <w:u w:color="000000"/>
        </w:rPr>
        <w:t xml:space="preserve"> a </w:t>
      </w:r>
      <w:r w:rsidRPr="005F31CD">
        <w:rPr>
          <w:color w:val="000000"/>
          <w:spacing w:val="-4"/>
          <w:position w:val="3"/>
          <w:u w:color="000000"/>
        </w:rPr>
        <w:t>01 03 06 Komisia odhaduje, že vplyv navrhovanej operácie makrofinančnej pomoci Gruzínsku na rozpočet možno pokryť.</w:t>
      </w:r>
    </w:p>
    <w:p w:rsidR="003C2110" w:rsidRPr="005F31CD" w:rsidRDefault="003C2110" w:rsidP="003C2110">
      <w:pPr>
        <w:pStyle w:val="ManualHeading1"/>
        <w:rPr>
          <w:spacing w:val="-4"/>
        </w:rPr>
      </w:pPr>
      <w:r w:rsidRPr="005F31CD">
        <w:rPr>
          <w:spacing w:val="-4"/>
        </w:rPr>
        <w:t>5.</w:t>
      </w:r>
      <w:r w:rsidRPr="005F31CD">
        <w:rPr>
          <w:spacing w:val="-4"/>
        </w:rPr>
        <w:tab/>
        <w:t>ĎALŠIE PRVKY</w:t>
      </w:r>
    </w:p>
    <w:p w:rsidR="003C2110" w:rsidRPr="005F31CD" w:rsidRDefault="003C2110" w:rsidP="003C2110">
      <w:pPr>
        <w:pStyle w:val="ManualHeading2"/>
        <w:rPr>
          <w:spacing w:val="-4"/>
        </w:rPr>
      </w:pPr>
      <w:r w:rsidRPr="005F31CD">
        <w:rPr>
          <w:spacing w:val="-4"/>
        </w:rPr>
        <w:t>•</w:t>
      </w:r>
      <w:r w:rsidRPr="005F31CD">
        <w:rPr>
          <w:spacing w:val="-4"/>
        </w:rPr>
        <w:tab/>
        <w:t>Doložka</w:t>
      </w:r>
      <w:r w:rsidR="005F31CD">
        <w:rPr>
          <w:spacing w:val="-4"/>
        </w:rPr>
        <w:t xml:space="preserve"> o </w:t>
      </w:r>
      <w:r w:rsidRPr="005F31CD">
        <w:rPr>
          <w:spacing w:val="-4"/>
        </w:rPr>
        <w:t>preskúmaní/revízii/ukončení platnosti</w:t>
      </w:r>
    </w:p>
    <w:p w:rsidR="005F31CD" w:rsidRDefault="003C2110" w:rsidP="003C2110">
      <w:pPr>
        <w:rPr>
          <w:color w:val="000000"/>
          <w:spacing w:val="-4"/>
          <w:position w:val="3"/>
          <w:u w:color="000000"/>
        </w:rPr>
      </w:pPr>
      <w:r w:rsidRPr="005F31CD">
        <w:rPr>
          <w:color w:val="000000"/>
          <w:spacing w:val="-4"/>
          <w:position w:val="3"/>
          <w:u w:color="000000"/>
        </w:rPr>
        <w:t>Návrh obsahuje doložku</w:t>
      </w:r>
      <w:r w:rsidR="005F31CD">
        <w:rPr>
          <w:color w:val="000000"/>
          <w:spacing w:val="-4"/>
          <w:position w:val="3"/>
          <w:u w:color="000000"/>
        </w:rPr>
        <w:t xml:space="preserve"> o </w:t>
      </w:r>
      <w:r w:rsidRPr="005F31CD">
        <w:rPr>
          <w:color w:val="000000"/>
          <w:spacing w:val="-4"/>
          <w:position w:val="3"/>
          <w:u w:color="000000"/>
        </w:rPr>
        <w:t>ukončení platnosti. Navrhovaná makrofinančná pomoc by bola</w:t>
      </w:r>
      <w:r w:rsidR="005F31CD">
        <w:rPr>
          <w:color w:val="000000"/>
          <w:spacing w:val="-4"/>
          <w:position w:val="3"/>
          <w:u w:color="000000"/>
        </w:rPr>
        <w:t xml:space="preserve"> k </w:t>
      </w:r>
      <w:r w:rsidRPr="005F31CD">
        <w:rPr>
          <w:color w:val="000000"/>
          <w:spacing w:val="-4"/>
          <w:position w:val="3"/>
          <w:u w:color="000000"/>
        </w:rPr>
        <w:t>dispozícii na obdobie dva</w:t>
      </w:r>
      <w:r w:rsidR="005F31CD">
        <w:rPr>
          <w:color w:val="000000"/>
          <w:spacing w:val="-4"/>
          <w:position w:val="3"/>
          <w:u w:color="000000"/>
        </w:rPr>
        <w:t xml:space="preserve"> a </w:t>
      </w:r>
      <w:r w:rsidRPr="005F31CD">
        <w:rPr>
          <w:color w:val="000000"/>
          <w:spacing w:val="-4"/>
          <w:position w:val="3"/>
          <w:u w:color="000000"/>
        </w:rPr>
        <w:t>pol roka od prvého dňa po nadobudnutí platnosti memoranda</w:t>
      </w:r>
      <w:r w:rsidR="005F31CD">
        <w:rPr>
          <w:color w:val="000000"/>
          <w:spacing w:val="-4"/>
          <w:position w:val="3"/>
          <w:u w:color="000000"/>
        </w:rPr>
        <w:t xml:space="preserve"> o </w:t>
      </w:r>
      <w:r w:rsidRPr="005F31CD">
        <w:rPr>
          <w:color w:val="000000"/>
          <w:spacing w:val="-4"/>
          <w:position w:val="3"/>
          <w:u w:color="000000"/>
        </w:rPr>
        <w:t>porozumení</w:t>
      </w:r>
      <w:r w:rsidR="005F31CD">
        <w:rPr>
          <w:color w:val="000000"/>
          <w:spacing w:val="-4"/>
          <w:position w:val="3"/>
          <w:u w:color="000000"/>
        </w:rPr>
        <w:t>.</w:t>
      </w:r>
    </w:p>
    <w:p w:rsidR="003C2110" w:rsidRPr="005F31CD" w:rsidRDefault="003C2110" w:rsidP="003C2110">
      <w:pPr>
        <w:sectPr w:rsidR="003C2110" w:rsidRPr="005F31CD" w:rsidSect="005D0524">
          <w:footerReference w:type="default" r:id="rId16"/>
          <w:footerReference w:type="first" r:id="rId17"/>
          <w:pgSz w:w="11907" w:h="16839"/>
          <w:pgMar w:top="1134" w:right="1417" w:bottom="1134" w:left="1417" w:header="709" w:footer="709" w:gutter="0"/>
          <w:cols w:space="708"/>
          <w:docGrid w:linePitch="360"/>
        </w:sectPr>
      </w:pPr>
    </w:p>
    <w:p w:rsidR="005D0524" w:rsidRDefault="005D0524" w:rsidP="005D0524">
      <w:pPr>
        <w:pStyle w:val="Rfrenceinterinstitutionnelle"/>
      </w:pPr>
      <w:r w:rsidRPr="005D0524">
        <w:t>2017/242 (COD)</w:t>
      </w:r>
    </w:p>
    <w:p w:rsidR="003C2110" w:rsidRPr="005F31CD" w:rsidRDefault="00830E5A" w:rsidP="00830E5A">
      <w:pPr>
        <w:pStyle w:val="Statut"/>
      </w:pPr>
      <w:r w:rsidRPr="005F31CD">
        <w:t>Návrh</w:t>
      </w:r>
    </w:p>
    <w:p w:rsidR="003C2110" w:rsidRPr="005F31CD" w:rsidRDefault="00830E5A" w:rsidP="00830E5A">
      <w:pPr>
        <w:pStyle w:val="Typedudocument"/>
      </w:pPr>
      <w:r w:rsidRPr="005F31CD">
        <w:t>ROZHODNUTIE EURÓPSKEHO PARLAMENTU A RADY</w:t>
      </w:r>
    </w:p>
    <w:p w:rsidR="003C2110" w:rsidRPr="005F31CD" w:rsidRDefault="00830E5A" w:rsidP="00830E5A">
      <w:pPr>
        <w:pStyle w:val="Titreobjet"/>
      </w:pPr>
      <w:r w:rsidRPr="005F31CD">
        <w:t>o poskytnutí ďalšej makrofinančnej pomoci Gruzínsku</w:t>
      </w:r>
    </w:p>
    <w:p w:rsidR="003C2110" w:rsidRPr="005F31CD" w:rsidRDefault="003C2110" w:rsidP="003C2110">
      <w:pPr>
        <w:pStyle w:val="Institutionquiagit"/>
      </w:pPr>
      <w:r w:rsidRPr="005F31CD">
        <w:t>EURÓPSKY PARLAMENT A RADA EURÓPSKEJ ÚNIE,</w:t>
      </w:r>
    </w:p>
    <w:p w:rsidR="003C2110" w:rsidRPr="005F31CD" w:rsidRDefault="003C2110" w:rsidP="003C2110">
      <w:r w:rsidRPr="005F31CD">
        <w:t>so zreteľom na Zmluvu</w:t>
      </w:r>
      <w:r w:rsidR="005F31CD">
        <w:t xml:space="preserve"> o </w:t>
      </w:r>
      <w:r w:rsidRPr="005F31CD">
        <w:t>fungovaní Európskej únie,</w:t>
      </w:r>
      <w:r w:rsidR="005F31CD">
        <w:t xml:space="preserve"> a </w:t>
      </w:r>
      <w:r w:rsidRPr="005F31CD">
        <w:t>najmä na jej článok 212 ods. 2,</w:t>
      </w:r>
    </w:p>
    <w:p w:rsidR="003C2110" w:rsidRPr="005F31CD" w:rsidRDefault="003C2110" w:rsidP="003C2110">
      <w:r w:rsidRPr="005F31CD">
        <w:t>so zreteľom na návrh Európskej komisie,</w:t>
      </w:r>
      <w:r w:rsidRPr="005F31CD">
        <w:rPr>
          <w:rStyle w:val="FootnoteReference"/>
        </w:rPr>
        <w:footnoteReference w:id="5"/>
      </w:r>
    </w:p>
    <w:p w:rsidR="003C2110" w:rsidRPr="005F31CD" w:rsidRDefault="003C2110" w:rsidP="003C2110">
      <w:r w:rsidRPr="005F31CD">
        <w:t>po postúpení návrhu legislatívneho aktu národným parlamentom,</w:t>
      </w:r>
    </w:p>
    <w:p w:rsidR="003C2110" w:rsidRPr="005F31CD" w:rsidRDefault="003C2110" w:rsidP="003C2110">
      <w:r w:rsidRPr="005F31CD">
        <w:t>konajúc</w:t>
      </w:r>
      <w:r w:rsidR="005F31CD">
        <w:t xml:space="preserve"> v </w:t>
      </w:r>
      <w:r w:rsidRPr="005F31CD">
        <w:t>súlade</w:t>
      </w:r>
      <w:r w:rsidR="005F31CD">
        <w:t xml:space="preserve"> s </w:t>
      </w:r>
      <w:r w:rsidRPr="005F31CD">
        <w:t>riadnym legislatívnym postupom,</w:t>
      </w:r>
      <w:r w:rsidRPr="005F31CD">
        <w:rPr>
          <w:rStyle w:val="FootnoteReference"/>
        </w:rPr>
        <w:footnoteReference w:id="6"/>
      </w:r>
    </w:p>
    <w:p w:rsidR="003C2110" w:rsidRPr="005F31CD" w:rsidRDefault="003C2110" w:rsidP="003C2110">
      <w:r w:rsidRPr="005F31CD">
        <w:t>keďže:</w:t>
      </w:r>
    </w:p>
    <w:p w:rsidR="003C2110" w:rsidRPr="005F31CD" w:rsidRDefault="003C2110" w:rsidP="00A5541C">
      <w:pPr>
        <w:pStyle w:val="Considrant"/>
        <w:numPr>
          <w:ilvl w:val="0"/>
          <w:numId w:val="13"/>
        </w:numPr>
      </w:pPr>
      <w:bookmarkStart w:id="1" w:name="DQPStarAt1DQPStarAt9337C0438E824B7FAB34A"/>
      <w:r w:rsidRPr="005F31CD">
        <w:t>Vzťahy medzi Európskou úniou (ďalej len „Únia“)</w:t>
      </w:r>
      <w:r w:rsidR="005F31CD">
        <w:t xml:space="preserve"> a </w:t>
      </w:r>
      <w:r w:rsidRPr="005F31CD">
        <w:t>Gruzínskom sa naďalej rozvíjajú</w:t>
      </w:r>
      <w:r w:rsidR="005F31CD">
        <w:t xml:space="preserve"> v </w:t>
      </w:r>
      <w:r w:rsidRPr="005F31CD">
        <w:t>rámci európskej susedskej politiky (ďalej len „ESP“)</w:t>
      </w:r>
      <w:r w:rsidR="005F31CD">
        <w:t xml:space="preserve"> a </w:t>
      </w:r>
      <w:r w:rsidRPr="005F31CD">
        <w:t>Východného partnerstva. Gruzínsko pristúpilo</w:t>
      </w:r>
      <w:r w:rsidR="005F31CD">
        <w:t xml:space="preserve"> k </w:t>
      </w:r>
      <w:r w:rsidRPr="005F31CD">
        <w:t>Východnému partnerstvu EÚ</w:t>
      </w:r>
      <w:r w:rsidR="005F31CD">
        <w:t xml:space="preserve"> v </w:t>
      </w:r>
      <w:r w:rsidRPr="005F31CD">
        <w:t>roku 2009</w:t>
      </w:r>
      <w:r w:rsidR="005F31CD">
        <w:t xml:space="preserve"> a </w:t>
      </w:r>
      <w:r w:rsidRPr="005F31CD">
        <w:t>potom medzi EÚ</w:t>
      </w:r>
      <w:r w:rsidR="005F31CD">
        <w:t xml:space="preserve"> a </w:t>
      </w:r>
      <w:r w:rsidRPr="005F31CD">
        <w:t>Gruzínskom prebiehali rokovania</w:t>
      </w:r>
      <w:r w:rsidR="005F31CD">
        <w:t xml:space="preserve"> o </w:t>
      </w:r>
      <w:r w:rsidRPr="005F31CD">
        <w:t>dohode</w:t>
      </w:r>
      <w:r w:rsidR="005F31CD">
        <w:t xml:space="preserve"> o </w:t>
      </w:r>
      <w:r w:rsidRPr="005F31CD">
        <w:t>pridružení. Táto dohoda, ktorá zahŕňa postupné vytvorenie prehĺbenej</w:t>
      </w:r>
      <w:r w:rsidR="005F31CD">
        <w:t xml:space="preserve"> a </w:t>
      </w:r>
      <w:r w:rsidRPr="005F31CD">
        <w:t>komplexnej zóny voľného obchodu (ďalej len „DCFTA“), bola podpísaná</w:t>
      </w:r>
      <w:r w:rsidR="005F31CD">
        <w:t xml:space="preserve"> v </w:t>
      </w:r>
      <w:r w:rsidRPr="005F31CD">
        <w:t>júni 2014</w:t>
      </w:r>
      <w:r w:rsidR="005F31CD">
        <w:t xml:space="preserve"> a </w:t>
      </w:r>
      <w:r w:rsidRPr="005F31CD">
        <w:t>nadobudla platnosť 1</w:t>
      </w:r>
      <w:r w:rsidR="005F31CD">
        <w:t>. júla</w:t>
      </w:r>
      <w:r w:rsidRPr="005F31CD">
        <w:t> 2016.</w:t>
      </w:r>
    </w:p>
    <w:bookmarkEnd w:id="1"/>
    <w:p w:rsidR="003C2110" w:rsidRPr="005F31CD" w:rsidRDefault="003C2110" w:rsidP="00A5541C">
      <w:pPr>
        <w:pStyle w:val="Considrant"/>
        <w:numPr>
          <w:ilvl w:val="0"/>
          <w:numId w:val="13"/>
        </w:numPr>
      </w:pPr>
      <w:r w:rsidRPr="005F31CD">
        <w:t>Gruzínsko stále čelí slabému vonkajšiemu prostrediu, ktoré, prostredníctvom zníženého exportu</w:t>
      </w:r>
      <w:r w:rsidR="005F31CD">
        <w:t xml:space="preserve"> a </w:t>
      </w:r>
      <w:r w:rsidRPr="005F31CD">
        <w:t>remitencií, prispelo</w:t>
      </w:r>
      <w:r w:rsidR="005F31CD">
        <w:t xml:space="preserve"> k </w:t>
      </w:r>
      <w:r w:rsidRPr="005F31CD">
        <w:t>pomerne utlmenému rastu HDP</w:t>
      </w:r>
      <w:r w:rsidR="005F31CD">
        <w:t xml:space="preserve"> v </w:t>
      </w:r>
      <w:r w:rsidRPr="005F31CD">
        <w:t>roku 2016. Síce sa očakáva, že</w:t>
      </w:r>
      <w:r w:rsidR="005F31CD">
        <w:t xml:space="preserve"> v </w:t>
      </w:r>
      <w:r w:rsidRPr="005F31CD">
        <w:t>roku 2017 sa regionálny</w:t>
      </w:r>
      <w:r w:rsidR="005F31CD">
        <w:t xml:space="preserve"> a </w:t>
      </w:r>
      <w:r w:rsidRPr="005F31CD">
        <w:t>celosvetový rast zvýši, ale bude naďalej podliehať rizikám nepriaznivého vývoja.</w:t>
      </w:r>
    </w:p>
    <w:p w:rsidR="003C2110" w:rsidRPr="005F31CD" w:rsidRDefault="003C2110" w:rsidP="00A5541C">
      <w:pPr>
        <w:pStyle w:val="Considrant"/>
        <w:numPr>
          <w:ilvl w:val="0"/>
          <w:numId w:val="13"/>
        </w:numPr>
      </w:pPr>
      <w:r w:rsidRPr="005F31CD">
        <w:t>Rozpočtový deficit Gruzínska zostáva na vysokej úrovni</w:t>
      </w:r>
      <w:r w:rsidR="005F31CD">
        <w:t xml:space="preserve"> a </w:t>
      </w:r>
      <w:r w:rsidRPr="005F31CD">
        <w:t>jeho pomer verejného dlhu</w:t>
      </w:r>
      <w:r w:rsidR="005F31CD">
        <w:t xml:space="preserve"> k </w:t>
      </w:r>
      <w:r w:rsidRPr="005F31CD">
        <w:t>HDP sa zvyšuje. Zraniteľným zostáva aj stav platobnej bilancie Gruzínska</w:t>
      </w:r>
      <w:r w:rsidR="005F31CD">
        <w:t xml:space="preserve"> v </w:t>
      </w:r>
      <w:r w:rsidRPr="005F31CD">
        <w:t>dôsledku veľmi vysokého deficitu bežného účtu</w:t>
      </w:r>
      <w:r w:rsidR="005F31CD">
        <w:t xml:space="preserve"> a </w:t>
      </w:r>
      <w:r w:rsidRPr="005F31CD">
        <w:t>vysokého zahraničného dlhu. Devízové rezervy Gruzínska sú</w:t>
      </w:r>
      <w:r w:rsidR="005F31CD">
        <w:t xml:space="preserve"> v </w:t>
      </w:r>
      <w:r w:rsidRPr="005F31CD">
        <w:t>absolútnom vyjadrení stabilné, ale – vzhľadom na zvyšujúce sa potreby rezerv – klesli pod úroveň, ktorú Medzinárodný menový fond (ďalej len „MMF)“ považuje za primeranú. Gruzínsko sa takisto naďalej prispôsobuje požiadavkám DCFTA</w:t>
      </w:r>
      <w:r w:rsidR="005F31CD">
        <w:t xml:space="preserve"> s </w:t>
      </w:r>
      <w:r w:rsidRPr="005F31CD">
        <w:t>EÚ.</w:t>
      </w:r>
    </w:p>
    <w:p w:rsidR="003C2110" w:rsidRPr="005F31CD" w:rsidRDefault="003C2110" w:rsidP="00A5541C">
      <w:pPr>
        <w:pStyle w:val="Considrant"/>
        <w:numPr>
          <w:ilvl w:val="0"/>
          <w:numId w:val="13"/>
        </w:numPr>
      </w:pPr>
      <w:r w:rsidRPr="005F31CD">
        <w:t>V tejto súvislosti gruzínske orgány</w:t>
      </w:r>
      <w:r w:rsidR="005F31CD">
        <w:t xml:space="preserve"> a </w:t>
      </w:r>
      <w:r w:rsidRPr="005F31CD">
        <w:t>MMF</w:t>
      </w:r>
      <w:r w:rsidR="005F31CD">
        <w:t xml:space="preserve"> v </w:t>
      </w:r>
      <w:r w:rsidRPr="005F31CD">
        <w:t>apríli 2017 uzatvorili trojročnú (2017 – 2020) dohodu</w:t>
      </w:r>
      <w:r w:rsidR="005F31CD">
        <w:t xml:space="preserve"> v </w:t>
      </w:r>
      <w:r w:rsidRPr="005F31CD">
        <w:t>rámci nástroja rozšíreného fondu (ďalej len „EFF“) vo výške 285,3 milióna USD. Táto dohoda bola schválená výkonnou radou MMF 12</w:t>
      </w:r>
      <w:r w:rsidR="005F31CD">
        <w:t>. apríla</w:t>
      </w:r>
      <w:r w:rsidRPr="005F31CD">
        <w:t xml:space="preserve"> 2017. Cieľom dohody</w:t>
      </w:r>
      <w:r w:rsidR="005F31CD">
        <w:t xml:space="preserve"> v </w:t>
      </w:r>
      <w:r w:rsidRPr="005F31CD">
        <w:t>rámci EFF je podpora programu hospodárskych reforiem, ktorý Gruzínsku pomôže zredukovať slabé miesta hospodárstva</w:t>
      </w:r>
      <w:r w:rsidR="005F31CD">
        <w:t xml:space="preserve"> a </w:t>
      </w:r>
      <w:r w:rsidRPr="005F31CD">
        <w:t>posilniť vyšší</w:t>
      </w:r>
      <w:r w:rsidR="005F31CD">
        <w:t xml:space="preserve"> a </w:t>
      </w:r>
      <w:r w:rsidRPr="005F31CD">
        <w:t>inkluzívnejší hospodársky rast.</w:t>
      </w:r>
    </w:p>
    <w:p w:rsidR="003C2110" w:rsidRPr="005F31CD" w:rsidRDefault="003C2110" w:rsidP="00A5541C">
      <w:pPr>
        <w:pStyle w:val="Considrant"/>
        <w:numPr>
          <w:ilvl w:val="0"/>
          <w:numId w:val="13"/>
        </w:numPr>
      </w:pPr>
      <w:r w:rsidRPr="005F31CD">
        <w:t>Vzhľadom na zostatkové potreby vonkajšieho financovania Gruzínska požiadali</w:t>
      </w:r>
      <w:r w:rsidR="005F31CD">
        <w:t xml:space="preserve"> v </w:t>
      </w:r>
      <w:r w:rsidRPr="005F31CD">
        <w:t>júni 2017 Gruzínske orgány Úniu</w:t>
      </w:r>
      <w:r w:rsidR="005F31CD">
        <w:t xml:space="preserve"> o </w:t>
      </w:r>
      <w:r w:rsidRPr="005F31CD">
        <w:t>doplnkovú makrofinančnú pomoc.</w:t>
      </w:r>
    </w:p>
    <w:p w:rsidR="003C2110" w:rsidRPr="005F31CD" w:rsidRDefault="003C2110" w:rsidP="00A5541C">
      <w:pPr>
        <w:pStyle w:val="Considrant"/>
        <w:numPr>
          <w:ilvl w:val="0"/>
          <w:numId w:val="13"/>
        </w:numPr>
      </w:pPr>
      <w:r w:rsidRPr="005F31CD">
        <w:t>Od vojenského konfliktu</w:t>
      </w:r>
      <w:r w:rsidR="005F31CD">
        <w:t xml:space="preserve"> s </w:t>
      </w:r>
      <w:r w:rsidRPr="005F31CD">
        <w:t>Ruskom</w:t>
      </w:r>
      <w:r w:rsidR="005F31CD">
        <w:t xml:space="preserve"> v </w:t>
      </w:r>
      <w:r w:rsidRPr="005F31CD">
        <w:t>roku 2008 boli Gruzínsku poskytnuté dve operácie makrofinančnej pomoci, ku ktorým sa Únia zaviazala na medzinárodnej konferencii darcov</w:t>
      </w:r>
      <w:r w:rsidR="005F31CD">
        <w:t xml:space="preserve"> v </w:t>
      </w:r>
      <w:r w:rsidRPr="005F31CD">
        <w:t>Bruseli</w:t>
      </w:r>
      <w:r w:rsidR="005F31CD">
        <w:t xml:space="preserve"> v </w:t>
      </w:r>
      <w:r w:rsidRPr="005F31CD">
        <w:t>októbri 2008. Prvá</w:t>
      </w:r>
      <w:r w:rsidR="005F31CD">
        <w:t xml:space="preserve"> z </w:t>
      </w:r>
      <w:r w:rsidRPr="005F31CD">
        <w:t>týchto operácií (46 miliónov EUR, plne vo forme grantov) sa vykonala</w:t>
      </w:r>
      <w:r w:rsidR="005F31CD">
        <w:t xml:space="preserve"> v </w:t>
      </w:r>
      <w:r w:rsidRPr="005F31CD">
        <w:t>rokoch 2009 – 2010</w:t>
      </w:r>
      <w:r w:rsidR="005F31CD">
        <w:t xml:space="preserve"> a </w:t>
      </w:r>
      <w:r w:rsidRPr="005F31CD">
        <w:t>druhá (opäť 46 miliónov EUR, polovica</w:t>
      </w:r>
      <w:r w:rsidR="005F31CD">
        <w:t xml:space="preserve"> v </w:t>
      </w:r>
      <w:r w:rsidRPr="005F31CD">
        <w:t>grantoch</w:t>
      </w:r>
      <w:r w:rsidR="005F31CD">
        <w:t xml:space="preserve"> a </w:t>
      </w:r>
      <w:r w:rsidRPr="005F31CD">
        <w:t>polovica</w:t>
      </w:r>
      <w:r w:rsidR="005F31CD">
        <w:t xml:space="preserve"> v </w:t>
      </w:r>
      <w:r w:rsidRPr="005F31CD">
        <w:t>úveroch)</w:t>
      </w:r>
      <w:r w:rsidR="005F31CD">
        <w:t xml:space="preserve"> v </w:t>
      </w:r>
      <w:r w:rsidRPr="005F31CD">
        <w:t>rokoch 2015 – 2017. Únia takisto poskytla Gruzínsku 610 – 746 miliónov EUR</w:t>
      </w:r>
      <w:r w:rsidR="005F31CD">
        <w:t xml:space="preserve"> v </w:t>
      </w:r>
      <w:r w:rsidRPr="005F31CD">
        <w:t>rámci nástroja európskeho susedstva (ďalej len „ENI“) na obdobie rokov 2014 – 2020 vrátane rozpočtovej podpory</w:t>
      </w:r>
      <w:r w:rsidR="005F31CD">
        <w:t xml:space="preserve"> a </w:t>
      </w:r>
      <w:r w:rsidRPr="005F31CD">
        <w:t>technickej pomoci. Gruzínsko okrem toho využíva investičný nástroj európskej susedskej politiky (ďalej len „NIF“), ktorý</w:t>
      </w:r>
      <w:r w:rsidR="005F31CD">
        <w:t xml:space="preserve"> v </w:t>
      </w:r>
      <w:r w:rsidRPr="005F31CD">
        <w:t>období rokov 2008 – 2017 prispel približne 86 miliónmi EUR na projekty</w:t>
      </w:r>
      <w:r w:rsidR="005F31CD">
        <w:t xml:space="preserve"> v </w:t>
      </w:r>
      <w:r w:rsidRPr="005F31CD">
        <w:t>Gruzínsku.</w:t>
      </w:r>
    </w:p>
    <w:p w:rsidR="003C2110" w:rsidRPr="005F31CD" w:rsidRDefault="003C2110" w:rsidP="00A5541C">
      <w:pPr>
        <w:pStyle w:val="Considrant"/>
        <w:numPr>
          <w:ilvl w:val="0"/>
          <w:numId w:val="12"/>
        </w:numPr>
      </w:pPr>
      <w:r w:rsidRPr="005F31CD">
        <w:t>Vzhľadom na to, že Gruzínsko je krajina, na ktorú sa vzťahuje ESP, malo by sa považovať za oprávnené na získanie makrofinančnej pomoci Únie.</w:t>
      </w:r>
    </w:p>
    <w:p w:rsidR="003C2110" w:rsidRPr="005F31CD" w:rsidRDefault="003C2110" w:rsidP="00A5541C">
      <w:pPr>
        <w:pStyle w:val="Considrant"/>
        <w:numPr>
          <w:ilvl w:val="0"/>
          <w:numId w:val="12"/>
        </w:numPr>
      </w:pPr>
      <w:r w:rsidRPr="005F31CD">
        <w:t>Makrofinančná pomoc Únie by mala byť výnimočným finančným nástrojom určeným na účelovo neviazanú</w:t>
      </w:r>
      <w:r w:rsidR="005F31CD">
        <w:t xml:space="preserve"> a </w:t>
      </w:r>
      <w:r w:rsidRPr="005F31CD">
        <w:t>všeobecnú podporu platobnej bilancie, ktorý je zameraný na okamžité potreby vonkajšieho financovania príjemcu, pričom by sa malo podporiť vykonávanie politického programu obsahujúceho zásadné bezodkladné opatrenia</w:t>
      </w:r>
      <w:r w:rsidR="005F31CD">
        <w:t xml:space="preserve"> v </w:t>
      </w:r>
      <w:r w:rsidRPr="005F31CD">
        <w:t>oblasti úprav</w:t>
      </w:r>
      <w:r w:rsidR="005F31CD">
        <w:t xml:space="preserve"> a </w:t>
      </w:r>
      <w:r w:rsidRPr="005F31CD">
        <w:t>štrukturálnych reforiem zamerané na zlepšenie platobnej bilancie</w:t>
      </w:r>
      <w:r w:rsidR="005F31CD">
        <w:t xml:space="preserve"> v </w:t>
      </w:r>
      <w:r w:rsidRPr="005F31CD">
        <w:t>krátkodobom horizonte.</w:t>
      </w:r>
    </w:p>
    <w:p w:rsidR="003C2110" w:rsidRPr="005F31CD" w:rsidRDefault="003C2110" w:rsidP="00A5541C">
      <w:pPr>
        <w:pStyle w:val="Considrant"/>
        <w:numPr>
          <w:ilvl w:val="0"/>
          <w:numId w:val="12"/>
        </w:numPr>
      </w:pPr>
      <w:r w:rsidRPr="005F31CD">
        <w:t>Keďže</w:t>
      </w:r>
      <w:r w:rsidR="005F31CD">
        <w:t xml:space="preserve"> v </w:t>
      </w:r>
      <w:r w:rsidRPr="005F31CD">
        <w:t>platobnej bilancii Gruzínska naďalej existuje značný zostatkový rozdiel vo vonkajšom financovaní presahujúci zdroje poskytnuté MMF</w:t>
      </w:r>
      <w:r w:rsidR="005F31CD">
        <w:t xml:space="preserve"> a </w:t>
      </w:r>
      <w:r w:rsidRPr="005F31CD">
        <w:t>ďalšími multilaterálnymi inštitúciami, makrofinančná pomoc Únie, ktorá sa má poskytnúť Gruzínsku, sa</w:t>
      </w:r>
      <w:r w:rsidR="005F31CD">
        <w:t xml:space="preserve"> v </w:t>
      </w:r>
      <w:r w:rsidRPr="005F31CD">
        <w:t>súčasnej výnimočnej situácii považuje za primeranú reakciu na žiadosť Gruzínska</w:t>
      </w:r>
      <w:r w:rsidR="005F31CD">
        <w:t xml:space="preserve"> o </w:t>
      </w:r>
      <w:r w:rsidRPr="005F31CD">
        <w:t>podporu stabilizácie hospodárstva</w:t>
      </w:r>
      <w:r w:rsidR="005F31CD">
        <w:t xml:space="preserve"> v </w:t>
      </w:r>
      <w:r w:rsidRPr="005F31CD">
        <w:t>spojení</w:t>
      </w:r>
      <w:r w:rsidR="005F31CD">
        <w:t xml:space="preserve"> s </w:t>
      </w:r>
      <w:r w:rsidRPr="005F31CD">
        <w:t>programom MMF. Prostredníctvom makrofinančnej pomoci Únie, ktorou sa dopĺňajú zdroje dostupné</w:t>
      </w:r>
      <w:r w:rsidR="005F31CD">
        <w:t xml:space="preserve"> v </w:t>
      </w:r>
      <w:r w:rsidRPr="005F31CD">
        <w:t>rámci finančnej dohody MMF, by sa podporil program Gruzínska zameraný na stabilizáciu hospodárstva</w:t>
      </w:r>
      <w:r w:rsidR="005F31CD">
        <w:t xml:space="preserve"> a </w:t>
      </w:r>
      <w:r w:rsidRPr="005F31CD">
        <w:t>štrukturálne reformy.</w:t>
      </w:r>
    </w:p>
    <w:p w:rsidR="003C2110" w:rsidRPr="005F31CD" w:rsidRDefault="003C2110" w:rsidP="00A5541C">
      <w:pPr>
        <w:pStyle w:val="Considrant"/>
        <w:numPr>
          <w:ilvl w:val="0"/>
          <w:numId w:val="12"/>
        </w:numPr>
      </w:pPr>
      <w:r w:rsidRPr="005F31CD">
        <w:t>Makrofinančná pomoc Únie by mala byť zameraná na podporu obnovy udržateľnej vonkajšej finančnej situácie Gruzínska</w:t>
      </w:r>
      <w:r w:rsidR="005F31CD">
        <w:t xml:space="preserve"> a </w:t>
      </w:r>
      <w:r w:rsidRPr="005F31CD">
        <w:t>zároveň aj na podporu jeho hospodárskeho</w:t>
      </w:r>
      <w:r w:rsidR="005F31CD">
        <w:t xml:space="preserve"> a </w:t>
      </w:r>
      <w:r w:rsidRPr="005F31CD">
        <w:t>sociálneho rozvoja.</w:t>
      </w:r>
    </w:p>
    <w:p w:rsidR="003C2110" w:rsidRPr="005F31CD" w:rsidRDefault="003C2110" w:rsidP="00A5541C">
      <w:pPr>
        <w:pStyle w:val="Considrant"/>
        <w:numPr>
          <w:ilvl w:val="0"/>
          <w:numId w:val="12"/>
        </w:numPr>
      </w:pPr>
      <w:r w:rsidRPr="005F31CD">
        <w:t>Výška makrofinančnej pomoci Únie sa určuje na základe celkového kvantitatívneho posúdenia zostatkových potrieb vonkajšieho financovania Gruzínska, pričom sa zároveň berie do úvahy jeho schopnosť financovania</w:t>
      </w:r>
      <w:r w:rsidR="005F31CD">
        <w:t xml:space="preserve"> z </w:t>
      </w:r>
      <w:r w:rsidRPr="005F31CD">
        <w:t>vlastných zdrojov, najmä</w:t>
      </w:r>
      <w:r w:rsidR="005F31CD">
        <w:t xml:space="preserve"> z </w:t>
      </w:r>
      <w:r w:rsidRPr="005F31CD">
        <w:t>medzinárodných rezerv, ktoré má</w:t>
      </w:r>
      <w:r w:rsidR="005F31CD">
        <w:t xml:space="preserve"> k </w:t>
      </w:r>
      <w:r w:rsidRPr="005F31CD">
        <w:t>dispozícii. Makrofinančná pomoc Únie by mala dopĺňať programy</w:t>
      </w:r>
      <w:r w:rsidR="005F31CD">
        <w:t xml:space="preserve"> a </w:t>
      </w:r>
      <w:r w:rsidRPr="005F31CD">
        <w:t>zdroje poskytované MMF</w:t>
      </w:r>
      <w:r w:rsidR="005F31CD">
        <w:t xml:space="preserve"> a </w:t>
      </w:r>
      <w:r w:rsidRPr="005F31CD">
        <w:t>Svetovou bankou. Pri určení výšky pomoci sa takisto zohľadňujú očakávané finančné príspevky od dvojstranných</w:t>
      </w:r>
      <w:r w:rsidR="005F31CD">
        <w:t xml:space="preserve"> a </w:t>
      </w:r>
      <w:r w:rsidRPr="005F31CD">
        <w:t>viacstranných darcov, potreba zaistiť spravodlivé rozdelenie zaťaženia medzi Úniu</w:t>
      </w:r>
      <w:r w:rsidR="005F31CD">
        <w:t xml:space="preserve"> a </w:t>
      </w:r>
      <w:r w:rsidRPr="005F31CD">
        <w:t>ostatných darcov, ako aj doterajšie využívanie ďalších nástrojov Únie pre vonkajšie financovanie</w:t>
      </w:r>
      <w:r w:rsidR="005F31CD">
        <w:t xml:space="preserve"> v </w:t>
      </w:r>
      <w:r w:rsidRPr="005F31CD">
        <w:t>Gruzínsku</w:t>
      </w:r>
      <w:r w:rsidR="005F31CD">
        <w:t xml:space="preserve"> a </w:t>
      </w:r>
      <w:r w:rsidRPr="005F31CD">
        <w:t>celkový prínos zapojenia Únie.</w:t>
      </w:r>
    </w:p>
    <w:p w:rsidR="003C2110" w:rsidRPr="005F31CD" w:rsidRDefault="003C2110" w:rsidP="00A5541C">
      <w:pPr>
        <w:pStyle w:val="Considrant"/>
        <w:numPr>
          <w:ilvl w:val="0"/>
          <w:numId w:val="12"/>
        </w:numPr>
        <w:rPr>
          <w:szCs w:val="24"/>
        </w:rPr>
      </w:pPr>
      <w:r w:rsidRPr="005F31CD">
        <w:t>S prihliadnutím na zostatkové potreby vonkajšieho financovania Gruzínska, úroveň jeho hospodárskeho</w:t>
      </w:r>
      <w:r w:rsidR="005F31CD">
        <w:t xml:space="preserve"> a </w:t>
      </w:r>
      <w:r w:rsidRPr="005F31CD">
        <w:t>sociálneho rozvoja hodnotenú podľa príjmu na obyvateľa</w:t>
      </w:r>
      <w:r w:rsidR="005F31CD">
        <w:t xml:space="preserve"> a </w:t>
      </w:r>
      <w:r w:rsidRPr="005F31CD">
        <w:t>podľa výskytu chudoby, ako aj na jeho úroveň zadlženosti by sa mala časť pomoci poskytnúť vo forme grantov.</w:t>
      </w:r>
    </w:p>
    <w:p w:rsidR="003C2110" w:rsidRPr="005F31CD" w:rsidRDefault="003C2110" w:rsidP="00A5541C">
      <w:pPr>
        <w:pStyle w:val="Considrant"/>
        <w:numPr>
          <w:ilvl w:val="0"/>
          <w:numId w:val="12"/>
        </w:numPr>
      </w:pPr>
      <w:r w:rsidRPr="005F31CD">
        <w:t>Komisia by mala zaistiť, aby bola makrofinančná pomoc Únie právne</w:t>
      </w:r>
      <w:r w:rsidR="005F31CD">
        <w:t xml:space="preserve"> a </w:t>
      </w:r>
      <w:r w:rsidRPr="005F31CD">
        <w:t>vecne zosúladená</w:t>
      </w:r>
      <w:r w:rsidR="005F31CD">
        <w:t xml:space="preserve"> s </w:t>
      </w:r>
      <w:r w:rsidRPr="005F31CD">
        <w:t>hlavnými zásadami, cieľmi</w:t>
      </w:r>
      <w:r w:rsidR="005F31CD">
        <w:t xml:space="preserve"> a </w:t>
      </w:r>
      <w:r w:rsidRPr="005F31CD">
        <w:t>opatreniami prijatými</w:t>
      </w:r>
      <w:r w:rsidR="005F31CD">
        <w:t xml:space="preserve"> v </w:t>
      </w:r>
      <w:r w:rsidRPr="005F31CD">
        <w:t>rôznych oblastiach vonkajšej činnosti</w:t>
      </w:r>
      <w:r w:rsidR="005F31CD">
        <w:t xml:space="preserve"> a </w:t>
      </w:r>
      <w:r w:rsidRPr="005F31CD">
        <w:t>ostatnými relevantnými politikami Únie.</w:t>
      </w:r>
    </w:p>
    <w:p w:rsidR="003C2110" w:rsidRPr="005F31CD" w:rsidRDefault="003C2110" w:rsidP="00A5541C">
      <w:pPr>
        <w:pStyle w:val="Considrant"/>
        <w:numPr>
          <w:ilvl w:val="0"/>
          <w:numId w:val="12"/>
        </w:numPr>
      </w:pPr>
      <w:r w:rsidRPr="005F31CD">
        <w:t>Makrofinančnou pomocou Únie by sa mala podporovať vonkajšia politika Únie voči Gruzínsku. Útvary Komisie</w:t>
      </w:r>
      <w:r w:rsidR="005F31CD">
        <w:t xml:space="preserve"> a </w:t>
      </w:r>
      <w:r w:rsidRPr="005F31CD">
        <w:t>Európska služba pre vonkajšiu činnosť by mali úzko spolupracovať pri operácii makrofinančnej pomoci tak, aby koordinovali vonkajšiu politiku Únie</w:t>
      </w:r>
      <w:r w:rsidR="005F31CD">
        <w:t xml:space="preserve"> a </w:t>
      </w:r>
      <w:r w:rsidRPr="005F31CD">
        <w:t>zabezpečili jej jednotnosť.</w:t>
      </w:r>
    </w:p>
    <w:p w:rsidR="003C2110" w:rsidRPr="005F31CD" w:rsidRDefault="003C2110" w:rsidP="00A5541C">
      <w:pPr>
        <w:pStyle w:val="Considrant"/>
        <w:numPr>
          <w:ilvl w:val="0"/>
          <w:numId w:val="12"/>
        </w:numPr>
      </w:pPr>
      <w:r w:rsidRPr="005F31CD">
        <w:t>Makrofinančnou pomocou Únie by sa mal podporiť záväzok Gruzínska voči hodnotám, ktoré vyznáva spoločne</w:t>
      </w:r>
      <w:r w:rsidR="005F31CD">
        <w:t xml:space="preserve"> s </w:t>
      </w:r>
      <w:r w:rsidRPr="005F31CD">
        <w:t>Úniou, vrátane hodnôt, ako je demokracia, právny štát, dobrá správa vecí verejných, dodržiavanie ľudských práv, udržateľný rozvoj</w:t>
      </w:r>
      <w:r w:rsidR="005F31CD">
        <w:t xml:space="preserve"> a </w:t>
      </w:r>
      <w:r w:rsidRPr="005F31CD">
        <w:t>znižovanie chudoby, ako aj jeho záväzok dodržiavať zásady otvoreného</w:t>
      </w:r>
      <w:r w:rsidR="005F31CD">
        <w:t xml:space="preserve"> a </w:t>
      </w:r>
      <w:r w:rsidRPr="005F31CD">
        <w:t>spravodlivého obchodu založeného na pravidlách.</w:t>
      </w:r>
    </w:p>
    <w:p w:rsidR="003C2110" w:rsidRPr="005F31CD" w:rsidRDefault="003C2110" w:rsidP="00A5541C">
      <w:pPr>
        <w:pStyle w:val="Considrant"/>
        <w:numPr>
          <w:ilvl w:val="0"/>
          <w:numId w:val="12"/>
        </w:numPr>
      </w:pPr>
      <w:r w:rsidRPr="005F31CD">
        <w:t>Podmienkou poskytnutia makrofinančnej pomoci Únie by malo byť rešpektovanie účinných demokratických mechanizmov vrátane pluralitného parlamentného systému</w:t>
      </w:r>
      <w:r w:rsidR="005F31CD">
        <w:t xml:space="preserve"> a </w:t>
      </w:r>
      <w:r w:rsidRPr="005F31CD">
        <w:t>zásad právneho štátu</w:t>
      </w:r>
      <w:r w:rsidR="005F31CD">
        <w:t xml:space="preserve"> a </w:t>
      </w:r>
      <w:r w:rsidRPr="005F31CD">
        <w:t>dodržiavanie ľudských práv zo strany Gruzínska. Prostredníctvom špecifických cieľov makrofinančnej pomoci Únie by sa okrem toho mala zvýšiť efektívnosť, transparentnosť</w:t>
      </w:r>
      <w:r w:rsidR="005F31CD">
        <w:t xml:space="preserve"> a </w:t>
      </w:r>
      <w:r w:rsidRPr="005F31CD">
        <w:t>zodpovednosť systémov hospodárenia</w:t>
      </w:r>
      <w:r w:rsidR="005F31CD">
        <w:t xml:space="preserve"> s </w:t>
      </w:r>
      <w:r w:rsidRPr="005F31CD">
        <w:t>verejnými financiami</w:t>
      </w:r>
      <w:r w:rsidR="005F31CD">
        <w:t xml:space="preserve"> v </w:t>
      </w:r>
      <w:r w:rsidRPr="005F31CD">
        <w:t>Gruzínsku</w:t>
      </w:r>
      <w:r w:rsidR="005F31CD">
        <w:t xml:space="preserve"> a </w:t>
      </w:r>
      <w:r w:rsidRPr="005F31CD">
        <w:t>mali by sa podporiť štrukturálne reformy zamerané na podporu udržateľného</w:t>
      </w:r>
      <w:r w:rsidR="005F31CD">
        <w:t xml:space="preserve"> a </w:t>
      </w:r>
      <w:r w:rsidRPr="005F31CD">
        <w:t>inkluzívneho rastu, vytvárania pracovných miest</w:t>
      </w:r>
      <w:r w:rsidR="005F31CD">
        <w:t xml:space="preserve"> a </w:t>
      </w:r>
      <w:r w:rsidRPr="005F31CD">
        <w:t>fiškálnej konsolidácie. Plnenie podmienok, ako aj dosahovanie uvedených cieľov by mali pravidelne monitorovať Komisia</w:t>
      </w:r>
      <w:r w:rsidR="005F31CD">
        <w:t xml:space="preserve"> a </w:t>
      </w:r>
      <w:r w:rsidRPr="005F31CD">
        <w:t>Európska služba pre vonkajšiu činnosť.</w:t>
      </w:r>
    </w:p>
    <w:p w:rsidR="003C2110" w:rsidRPr="005F31CD" w:rsidRDefault="003C2110" w:rsidP="00A5541C">
      <w:pPr>
        <w:pStyle w:val="Considrant"/>
        <w:numPr>
          <w:ilvl w:val="0"/>
          <w:numId w:val="12"/>
        </w:numPr>
      </w:pPr>
      <w:r w:rsidRPr="005F31CD">
        <w:t>S cieľom zaistiť účinnú ochranu finančných záujmov Únie</w:t>
      </w:r>
      <w:r w:rsidR="005F31CD">
        <w:t xml:space="preserve"> v </w:t>
      </w:r>
      <w:r w:rsidRPr="005F31CD">
        <w:t>súvislosti</w:t>
      </w:r>
      <w:r w:rsidR="005F31CD">
        <w:t xml:space="preserve"> s </w:t>
      </w:r>
      <w:r w:rsidRPr="005F31CD">
        <w:t>makrofinančnou pomocou Únie by malo Gruzínsko prijať vhodné opatrenia týkajúce sa predchádzania</w:t>
      </w:r>
      <w:r w:rsidR="005F31CD">
        <w:t xml:space="preserve"> a </w:t>
      </w:r>
      <w:r w:rsidRPr="005F31CD">
        <w:t>boja proti podvodom, korupcii</w:t>
      </w:r>
      <w:r w:rsidR="005F31CD">
        <w:t xml:space="preserve"> a </w:t>
      </w:r>
      <w:r w:rsidRPr="005F31CD">
        <w:t>všetkým ďalším nezrovnalostiam súvisiacim</w:t>
      </w:r>
      <w:r w:rsidR="005F31CD">
        <w:t xml:space="preserve"> s </w:t>
      </w:r>
      <w:r w:rsidRPr="005F31CD">
        <w:t>touto pomocou. Okrem toho by sa malo stanoviť, že Komisia bude vykonávať kontroly</w:t>
      </w:r>
      <w:r w:rsidR="005F31CD">
        <w:t xml:space="preserve"> a </w:t>
      </w:r>
      <w:r w:rsidRPr="005F31CD">
        <w:t>Dvor audítorov bude vykonávať audity.</w:t>
      </w:r>
    </w:p>
    <w:p w:rsidR="003C2110" w:rsidRPr="005F31CD" w:rsidRDefault="003C2110" w:rsidP="00A5541C">
      <w:pPr>
        <w:pStyle w:val="Considrant"/>
        <w:numPr>
          <w:ilvl w:val="0"/>
          <w:numId w:val="12"/>
        </w:numPr>
      </w:pPr>
      <w:r w:rsidRPr="005F31CD">
        <w:t>Uvoľnením makrofinančnej pomoci Únie nie sú dotknuté právomoci Európskeho parlamentu</w:t>
      </w:r>
      <w:r w:rsidR="005F31CD">
        <w:t xml:space="preserve"> a </w:t>
      </w:r>
      <w:r w:rsidRPr="005F31CD">
        <w:t>Rady (ako rozpočtového orgánu).</w:t>
      </w:r>
    </w:p>
    <w:p w:rsidR="003C2110" w:rsidRPr="005F31CD" w:rsidRDefault="003C2110" w:rsidP="00A5541C">
      <w:pPr>
        <w:pStyle w:val="Considrant"/>
        <w:numPr>
          <w:ilvl w:val="0"/>
          <w:numId w:val="12"/>
        </w:numPr>
        <w:rPr>
          <w:szCs w:val="24"/>
        </w:rPr>
      </w:pPr>
      <w:r w:rsidRPr="005F31CD">
        <w:rPr>
          <w:color w:val="000000"/>
        </w:rPr>
        <w:t>Sumy makrofinančnej pomoci poskytovanej vo forme grantov</w:t>
      </w:r>
      <w:r w:rsidR="005F31CD">
        <w:rPr>
          <w:color w:val="000000"/>
        </w:rPr>
        <w:t xml:space="preserve"> a </w:t>
      </w:r>
      <w:r w:rsidRPr="005F31CD">
        <w:rPr>
          <w:color w:val="000000"/>
        </w:rPr>
        <w:t>sumy makrofinančnej pomoci poskytovanej vo forme úverov by mali byť</w:t>
      </w:r>
      <w:r w:rsidR="005F31CD">
        <w:rPr>
          <w:color w:val="000000"/>
        </w:rPr>
        <w:t xml:space="preserve"> v </w:t>
      </w:r>
      <w:r w:rsidRPr="005F31CD">
        <w:rPr>
          <w:color w:val="000000"/>
        </w:rPr>
        <w:t>súlade</w:t>
      </w:r>
      <w:r w:rsidR="005F31CD">
        <w:rPr>
          <w:color w:val="000000"/>
        </w:rPr>
        <w:t xml:space="preserve"> s </w:t>
      </w:r>
      <w:r w:rsidRPr="005F31CD">
        <w:rPr>
          <w:color w:val="000000"/>
        </w:rPr>
        <w:t>rozpočtovými prostriedkami stanovenými vo viacročnom finančnom rámci.</w:t>
      </w:r>
    </w:p>
    <w:p w:rsidR="003C2110" w:rsidRPr="005F31CD" w:rsidRDefault="003C2110" w:rsidP="00A5541C">
      <w:pPr>
        <w:pStyle w:val="Considrant"/>
        <w:numPr>
          <w:ilvl w:val="0"/>
          <w:numId w:val="12"/>
        </w:numPr>
      </w:pPr>
      <w:r w:rsidRPr="005F31CD">
        <w:t>Makrofinančnú pomoc Únie by mala riadiť Komisia.</w:t>
      </w:r>
      <w:r w:rsidR="005F31CD">
        <w:t xml:space="preserve"> S </w:t>
      </w:r>
      <w:r w:rsidRPr="005F31CD">
        <w:t>cieľom zabezpečiť, aby Európsky parlament</w:t>
      </w:r>
      <w:r w:rsidR="005F31CD">
        <w:t xml:space="preserve"> a </w:t>
      </w:r>
      <w:r w:rsidRPr="005F31CD">
        <w:t>Rada mohli sledovať vykonávanie tohto rozhodnutia, Komisia by ich mala pravidelne informovať</w:t>
      </w:r>
      <w:r w:rsidR="005F31CD">
        <w:t xml:space="preserve"> o </w:t>
      </w:r>
      <w:r w:rsidRPr="005F31CD">
        <w:t>vývoji</w:t>
      </w:r>
      <w:r w:rsidR="005F31CD">
        <w:t xml:space="preserve"> v </w:t>
      </w:r>
      <w:r w:rsidRPr="005F31CD">
        <w:t>súvislosti</w:t>
      </w:r>
      <w:r w:rsidR="005F31CD">
        <w:t xml:space="preserve"> s </w:t>
      </w:r>
      <w:r w:rsidRPr="005F31CD">
        <w:t>pomocou</w:t>
      </w:r>
      <w:r w:rsidR="005F31CD">
        <w:t xml:space="preserve"> a </w:t>
      </w:r>
      <w:r w:rsidRPr="005F31CD">
        <w:t>poskytovať im príslušné dokumenty.</w:t>
      </w:r>
    </w:p>
    <w:p w:rsidR="003C2110" w:rsidRPr="005F31CD" w:rsidRDefault="003C2110" w:rsidP="00A5541C">
      <w:pPr>
        <w:pStyle w:val="Considrant"/>
        <w:numPr>
          <w:ilvl w:val="0"/>
          <w:numId w:val="12"/>
        </w:numPr>
      </w:pPr>
      <w:r w:rsidRPr="005F31CD">
        <w:t>S cieľom zabezpečiť jednotné podmienky vykonávania tohto rozhodnutia by sa mali na Komisiu preniesť vykonávacie právomoci. Uvedené právomoci by sa mali vykonávať</w:t>
      </w:r>
      <w:r w:rsidR="005F31CD">
        <w:t xml:space="preserve"> v </w:t>
      </w:r>
      <w:r w:rsidRPr="005F31CD">
        <w:t>súlade</w:t>
      </w:r>
      <w:r w:rsidR="005F31CD">
        <w:t xml:space="preserve"> s </w:t>
      </w:r>
      <w:r w:rsidRPr="005F31CD">
        <w:t>nariadením Európskeho parlamentu</w:t>
      </w:r>
      <w:r w:rsidR="005F31CD">
        <w:t xml:space="preserve"> a </w:t>
      </w:r>
      <w:r w:rsidRPr="005F31CD">
        <w:t xml:space="preserve">Rady (EÚ) </w:t>
      </w:r>
      <w:r w:rsidR="005F31CD">
        <w:t>č. </w:t>
      </w:r>
      <w:r w:rsidRPr="005F31CD">
        <w:t>182/2011</w:t>
      </w:r>
      <w:r w:rsidRPr="005F31CD">
        <w:rPr>
          <w:rStyle w:val="FootnoteReference"/>
        </w:rPr>
        <w:footnoteReference w:id="7"/>
      </w:r>
      <w:r w:rsidRPr="005F31CD">
        <w:t>.</w:t>
      </w:r>
    </w:p>
    <w:p w:rsidR="003C2110" w:rsidRPr="005F31CD" w:rsidRDefault="003C2110" w:rsidP="00A5541C">
      <w:pPr>
        <w:pStyle w:val="Considrant"/>
        <w:numPr>
          <w:ilvl w:val="0"/>
          <w:numId w:val="12"/>
        </w:numPr>
      </w:pPr>
      <w:r w:rsidRPr="005F31CD">
        <w:t>Makrofinančná pomoc Únie by mala podliehať podmienkam hospodárskej politiky, ktoré sa stanovia</w:t>
      </w:r>
      <w:r w:rsidR="005F31CD">
        <w:t xml:space="preserve"> v </w:t>
      </w:r>
      <w:r w:rsidRPr="005F31CD">
        <w:t>memorande</w:t>
      </w:r>
      <w:r w:rsidR="005F31CD">
        <w:t xml:space="preserve"> o </w:t>
      </w:r>
      <w:r w:rsidRPr="005F31CD">
        <w:t>porozumení.</w:t>
      </w:r>
      <w:r w:rsidR="005F31CD">
        <w:t xml:space="preserve"> S </w:t>
      </w:r>
      <w:r w:rsidRPr="005F31CD">
        <w:t>cieľom zabezpečiť jednotné podmienky vykonávania</w:t>
      </w:r>
      <w:r w:rsidR="005F31CD">
        <w:t xml:space="preserve"> a </w:t>
      </w:r>
      <w:r w:rsidRPr="005F31CD">
        <w:t>na účely efektívnosti by mala byť Komisia splnomocnená rokovať</w:t>
      </w:r>
      <w:r w:rsidR="005F31CD">
        <w:t xml:space="preserve"> o </w:t>
      </w:r>
      <w:r w:rsidRPr="005F31CD">
        <w:t>týchto podmienkach</w:t>
      </w:r>
      <w:r w:rsidR="005F31CD">
        <w:t xml:space="preserve"> s </w:t>
      </w:r>
      <w:r w:rsidRPr="005F31CD">
        <w:t>gruzínskymi orgánmi pod dohľadom výboru zástupcov členských štátov</w:t>
      </w:r>
      <w:r w:rsidR="005F31CD">
        <w:t xml:space="preserve"> v </w:t>
      </w:r>
      <w:r w:rsidRPr="005F31CD">
        <w:t>súlade</w:t>
      </w:r>
      <w:r w:rsidR="005F31CD">
        <w:t xml:space="preserve"> s </w:t>
      </w:r>
      <w:r w:rsidRPr="005F31CD">
        <w:t xml:space="preserve">nariadením (EÚ) </w:t>
      </w:r>
      <w:r w:rsidR="005F31CD">
        <w:t>č. </w:t>
      </w:r>
      <w:r w:rsidRPr="005F31CD">
        <w:t>182/2011. Podľa uvedeného nariadenia by sa mal konzultačný postup vo všeobecnosti uplatňovať vo všetkých prípadoch okrem tých, ktoré sú stanovené</w:t>
      </w:r>
      <w:r w:rsidR="005F31CD">
        <w:t xml:space="preserve"> v </w:t>
      </w:r>
      <w:r w:rsidRPr="005F31CD">
        <w:t>uvedenom nariadení. Vzhľadom na potenciálne významný vplyv pomoci presahujúcej 90 miliónov EUR je vhodné, aby sa na operácie presahujúce túto prahovú hodnotu uplatnil postup preskúmania. Vzhľadom na výšku makrofinančnej pomoci Únie Gruzínsku by sa mal na prijatie memoranda</w:t>
      </w:r>
      <w:r w:rsidR="005F31CD">
        <w:t xml:space="preserve"> o </w:t>
      </w:r>
      <w:r w:rsidRPr="005F31CD">
        <w:t>porozumení alebo na zníženie, pozastavenie alebo zrušenie pomoci uplatniť postup preskúmania.</w:t>
      </w:r>
    </w:p>
    <w:p w:rsidR="003C2110" w:rsidRPr="005F31CD" w:rsidRDefault="003C2110" w:rsidP="003C2110">
      <w:pPr>
        <w:pStyle w:val="Formuledadoption"/>
      </w:pPr>
      <w:r w:rsidRPr="005F31CD">
        <w:t>PRIJALI TOTO ROZHODNUTIE:</w:t>
      </w:r>
    </w:p>
    <w:p w:rsidR="003C2110" w:rsidRPr="005F31CD" w:rsidRDefault="003C2110" w:rsidP="003C2110">
      <w:pPr>
        <w:keepNext/>
        <w:spacing w:before="360"/>
        <w:jc w:val="center"/>
        <w:rPr>
          <w:i/>
        </w:rPr>
      </w:pPr>
      <w:r w:rsidRPr="005F31CD">
        <w:rPr>
          <w:i/>
        </w:rPr>
        <w:t>Článok 1</w:t>
      </w:r>
    </w:p>
    <w:p w:rsidR="003C2110" w:rsidRPr="005F31CD" w:rsidRDefault="003C2110" w:rsidP="003C2110">
      <w:r w:rsidRPr="005F31CD">
        <w:t>1.</w:t>
      </w:r>
      <w:r w:rsidRPr="005F31CD">
        <w:tab/>
        <w:t>Únia</w:t>
      </w:r>
      <w:r w:rsidR="005F31CD">
        <w:t xml:space="preserve"> v </w:t>
      </w:r>
      <w:r w:rsidRPr="005F31CD">
        <w:t>záujme podpory stabilizácie hospodárstva</w:t>
      </w:r>
      <w:r w:rsidR="005F31CD">
        <w:t xml:space="preserve"> a </w:t>
      </w:r>
      <w:r w:rsidRPr="005F31CD">
        <w:t>programu rozsiahlych reforiem</w:t>
      </w:r>
      <w:r w:rsidR="005F31CD">
        <w:t xml:space="preserve"> v </w:t>
      </w:r>
      <w:r w:rsidRPr="005F31CD">
        <w:t>Gruzínsku poskytne Gruzínsku makrofinančnú pomoc (ďalej len „makrofinančná pomoc Únie“)</w:t>
      </w:r>
      <w:r w:rsidR="005F31CD">
        <w:t xml:space="preserve"> v </w:t>
      </w:r>
      <w:r w:rsidRPr="005F31CD">
        <w:t>maximálnej výške 45 miliónov EUR.</w:t>
      </w:r>
      <w:r w:rsidR="005F31CD">
        <w:t xml:space="preserve"> Z </w:t>
      </w:r>
      <w:r w:rsidRPr="005F31CD">
        <w:t>tejto maximálnej sumy sa maximálne 35 miliónov EUR poskytne vo forme úverov</w:t>
      </w:r>
      <w:r w:rsidR="005F31CD">
        <w:t xml:space="preserve"> a </w:t>
      </w:r>
      <w:r w:rsidRPr="005F31CD">
        <w:t>maximálne 10 miliónov EUR vo forme grantov. Uvoľnenie makrofinančnej pomoci Únie podlieha schváleniu rozpočtu Únie na príslušný rok Európskym parlamentom</w:t>
      </w:r>
      <w:r w:rsidR="005F31CD">
        <w:t xml:space="preserve"> a </w:t>
      </w:r>
      <w:r w:rsidRPr="005F31CD">
        <w:t>Radou. Účelom pomoci je prispieť na pokrytie potrieb Gruzínska spojených</w:t>
      </w:r>
      <w:r w:rsidR="005F31CD">
        <w:t xml:space="preserve"> s </w:t>
      </w:r>
      <w:r w:rsidRPr="005F31CD">
        <w:t>platobnou bilanciou, ako sa uvádza</w:t>
      </w:r>
      <w:r w:rsidR="005F31CD">
        <w:t xml:space="preserve"> v </w:t>
      </w:r>
      <w:r w:rsidRPr="005F31CD">
        <w:t>programe MMF.</w:t>
      </w:r>
    </w:p>
    <w:p w:rsidR="003C2110" w:rsidRPr="005F31CD" w:rsidRDefault="003C2110" w:rsidP="003C2110">
      <w:r w:rsidRPr="005F31CD">
        <w:t>2.</w:t>
      </w:r>
      <w:r w:rsidRPr="005F31CD">
        <w:tab/>
        <w:t>Na financovanie časti makrofinančnej pomoci Únie poskytovanej vo forme úveru je Komisia splnomocnená požičať si</w:t>
      </w:r>
      <w:r w:rsidR="005F31CD">
        <w:t xml:space="preserve"> v </w:t>
      </w:r>
      <w:r w:rsidRPr="005F31CD">
        <w:t>mene Únie potrebné finančné prostriedky na kapitálových trhoch alebo od finančných inštitúcií</w:t>
      </w:r>
      <w:r w:rsidR="005F31CD">
        <w:t xml:space="preserve"> a </w:t>
      </w:r>
      <w:r w:rsidRPr="005F31CD">
        <w:t>následne ich požičať Gruzínsku. Úvery majú maximálnu priemernú splatnosť 15 rokov.</w:t>
      </w:r>
    </w:p>
    <w:p w:rsidR="003C2110" w:rsidRPr="005F31CD" w:rsidRDefault="003C2110" w:rsidP="003C2110">
      <w:r w:rsidRPr="005F31CD">
        <w:t>3.</w:t>
      </w:r>
      <w:r w:rsidRPr="005F31CD">
        <w:tab/>
        <w:t>Uvoľnenie makrofinančnej pomoci Únie riadi Komisia spôsobom, ktorý je</w:t>
      </w:r>
      <w:r w:rsidR="005F31CD">
        <w:t xml:space="preserve"> v </w:t>
      </w:r>
      <w:r w:rsidRPr="005F31CD">
        <w:t>súlade</w:t>
      </w:r>
      <w:r w:rsidR="005F31CD">
        <w:t xml:space="preserve"> s </w:t>
      </w:r>
      <w:r w:rsidRPr="005F31CD">
        <w:t>dohodami alebo dohovormi dosiahnutými medzi MMF</w:t>
      </w:r>
      <w:r w:rsidR="005F31CD">
        <w:t xml:space="preserve"> a </w:t>
      </w:r>
      <w:r w:rsidRPr="005F31CD">
        <w:t>Gruzínskom</w:t>
      </w:r>
      <w:r w:rsidR="005F31CD">
        <w:t xml:space="preserve"> a s </w:t>
      </w:r>
      <w:r w:rsidRPr="005F31CD">
        <w:t>kľúčovými zásadami</w:t>
      </w:r>
      <w:r w:rsidR="005F31CD">
        <w:t xml:space="preserve"> a </w:t>
      </w:r>
      <w:r w:rsidRPr="005F31CD">
        <w:t>cieľmi hospodárskych reforiem stanovenými</w:t>
      </w:r>
      <w:r w:rsidR="005F31CD">
        <w:t xml:space="preserve"> v </w:t>
      </w:r>
      <w:r w:rsidRPr="005F31CD">
        <w:t>dohode</w:t>
      </w:r>
      <w:r w:rsidR="005F31CD">
        <w:t xml:space="preserve"> o </w:t>
      </w:r>
      <w:r w:rsidRPr="005F31CD">
        <w:t>pridružení medzi EÚ</w:t>
      </w:r>
      <w:r w:rsidR="005F31CD">
        <w:t xml:space="preserve"> a </w:t>
      </w:r>
      <w:r w:rsidRPr="005F31CD">
        <w:t>Gruzínskom vrátane DCFTA, ako boli dohodnuté</w:t>
      </w:r>
      <w:r w:rsidR="005F31CD">
        <w:t xml:space="preserve"> v </w:t>
      </w:r>
      <w:r w:rsidRPr="005F31CD">
        <w:t>rámci ESP.</w:t>
      </w:r>
    </w:p>
    <w:p w:rsidR="003C2110" w:rsidRPr="005F31CD" w:rsidRDefault="003C2110" w:rsidP="003C2110">
      <w:r w:rsidRPr="005F31CD">
        <w:t>Komisia pravidelne informuje Európsky parlament</w:t>
      </w:r>
      <w:r w:rsidR="005F31CD">
        <w:t xml:space="preserve"> a </w:t>
      </w:r>
      <w:r w:rsidRPr="005F31CD">
        <w:t>Radu</w:t>
      </w:r>
      <w:r w:rsidR="005F31CD">
        <w:t xml:space="preserve"> o </w:t>
      </w:r>
      <w:r w:rsidRPr="005F31CD">
        <w:t>vývoji</w:t>
      </w:r>
      <w:r w:rsidR="005F31CD">
        <w:t xml:space="preserve"> v </w:t>
      </w:r>
      <w:r w:rsidRPr="005F31CD">
        <w:t>súvislosti</w:t>
      </w:r>
      <w:r w:rsidR="005F31CD">
        <w:t xml:space="preserve"> s </w:t>
      </w:r>
      <w:r w:rsidRPr="005F31CD">
        <w:t>poskytovaním makrofinančnej pomoci Únie vrátane jej vyplácania</w:t>
      </w:r>
      <w:r w:rsidR="005F31CD">
        <w:t xml:space="preserve"> a </w:t>
      </w:r>
      <w:r w:rsidRPr="005F31CD">
        <w:t>včas týmto inštitúciám poskytuje príslušné dokumenty.</w:t>
      </w:r>
    </w:p>
    <w:p w:rsidR="003C2110" w:rsidRPr="005F31CD" w:rsidRDefault="003C2110" w:rsidP="003C2110">
      <w:r w:rsidRPr="005F31CD">
        <w:t>4.</w:t>
      </w:r>
      <w:r w:rsidRPr="005F31CD">
        <w:tab/>
        <w:t>Makrofinančná pomoc Únie je</w:t>
      </w:r>
      <w:r w:rsidR="005F31CD">
        <w:t xml:space="preserve"> k </w:t>
      </w:r>
      <w:r w:rsidRPr="005F31CD">
        <w:t>dispozícii počas obdobia dva</w:t>
      </w:r>
      <w:r w:rsidR="005F31CD">
        <w:t xml:space="preserve"> a </w:t>
      </w:r>
      <w:r w:rsidRPr="005F31CD">
        <w:t>pol roka, počínajúc prvým dňom od nadobudnutia účinnosti memoranda</w:t>
      </w:r>
      <w:r w:rsidR="005F31CD">
        <w:t xml:space="preserve"> o </w:t>
      </w:r>
      <w:r w:rsidRPr="005F31CD">
        <w:t>porozumení uvedeného</w:t>
      </w:r>
      <w:r w:rsidR="005F31CD">
        <w:t xml:space="preserve"> v </w:t>
      </w:r>
      <w:r w:rsidRPr="005F31CD">
        <w:t>článku 3 ods. 1.</w:t>
      </w:r>
    </w:p>
    <w:p w:rsidR="003C2110" w:rsidRPr="005F31CD" w:rsidRDefault="003C2110" w:rsidP="003C2110">
      <w:r w:rsidRPr="005F31CD">
        <w:t>5.</w:t>
      </w:r>
      <w:r w:rsidRPr="005F31CD">
        <w:tab/>
        <w:t>Ak sa potreby Gruzínska</w:t>
      </w:r>
      <w:r w:rsidR="005F31CD">
        <w:t xml:space="preserve"> v </w:t>
      </w:r>
      <w:r w:rsidRPr="005F31CD">
        <w:t>oblasti financovania počas vyplácania makrofinančnej pomoci Únie</w:t>
      </w:r>
      <w:r w:rsidR="005F31CD">
        <w:t xml:space="preserve"> v </w:t>
      </w:r>
      <w:r w:rsidRPr="005F31CD">
        <w:t>porovnaní</w:t>
      </w:r>
      <w:r w:rsidR="005F31CD">
        <w:t xml:space="preserve"> s </w:t>
      </w:r>
      <w:r w:rsidRPr="005F31CD">
        <w:t>pôvodnými prognózami zásadne znížia, Komisia konajúc</w:t>
      </w:r>
      <w:r w:rsidR="005F31CD">
        <w:t xml:space="preserve"> v </w:t>
      </w:r>
      <w:r w:rsidRPr="005F31CD">
        <w:t>súlade</w:t>
      </w:r>
      <w:r w:rsidR="005F31CD">
        <w:t xml:space="preserve"> s </w:t>
      </w:r>
      <w:r w:rsidRPr="005F31CD">
        <w:t>konzultačným postupom uvedeným</w:t>
      </w:r>
      <w:r w:rsidR="005F31CD">
        <w:t xml:space="preserve"> v </w:t>
      </w:r>
      <w:r w:rsidRPr="005F31CD">
        <w:t>článku 7 ods. 2 zníži výšku tejto pomoci alebo ju pozastaví, či zruší.</w:t>
      </w:r>
    </w:p>
    <w:p w:rsidR="003C2110" w:rsidRPr="005F31CD" w:rsidRDefault="003C2110" w:rsidP="003C2110">
      <w:pPr>
        <w:keepNext/>
        <w:spacing w:before="360"/>
        <w:jc w:val="center"/>
        <w:rPr>
          <w:i/>
        </w:rPr>
      </w:pPr>
      <w:r w:rsidRPr="005F31CD">
        <w:rPr>
          <w:i/>
        </w:rPr>
        <w:t>Článok 2</w:t>
      </w:r>
    </w:p>
    <w:p w:rsidR="003C2110" w:rsidRPr="005F31CD" w:rsidRDefault="003C2110" w:rsidP="003C2110">
      <w:r w:rsidRPr="005F31CD">
        <w:t>1.</w:t>
      </w:r>
      <w:r w:rsidRPr="005F31CD">
        <w:tab/>
        <w:t>Podmienkou poskytnutia makrofinančnej pomoci Únie je rešpektovanie účinných demokratických mechanizmov vrátane pluralitného parlamentného systému</w:t>
      </w:r>
      <w:r w:rsidR="005F31CD">
        <w:t xml:space="preserve"> a </w:t>
      </w:r>
      <w:r w:rsidRPr="005F31CD">
        <w:t>zásad právneho štátu</w:t>
      </w:r>
      <w:r w:rsidR="005F31CD">
        <w:t xml:space="preserve"> a </w:t>
      </w:r>
      <w:r w:rsidRPr="005F31CD">
        <w:t>dodržiavanie ľudských práv zo strany Gruzínska.</w:t>
      </w:r>
    </w:p>
    <w:p w:rsidR="003C2110" w:rsidRPr="005F31CD" w:rsidRDefault="003C2110" w:rsidP="003C2110">
      <w:r w:rsidRPr="005F31CD">
        <w:t>2.</w:t>
      </w:r>
      <w:r w:rsidRPr="005F31CD">
        <w:tab/>
        <w:t>Komisia</w:t>
      </w:r>
      <w:r w:rsidR="005F31CD">
        <w:t xml:space="preserve"> a </w:t>
      </w:r>
      <w:r w:rsidRPr="005F31CD">
        <w:t>Európska služba pre vonkajšiu činnosť monitorujú plnenie tejto podmienky počas celého obdobia trvania makrofinančnej pomoci Únie.</w:t>
      </w:r>
    </w:p>
    <w:p w:rsidR="003C2110" w:rsidRPr="005F31CD" w:rsidRDefault="003C2110" w:rsidP="003C2110">
      <w:r w:rsidRPr="005F31CD">
        <w:t>3.</w:t>
      </w:r>
      <w:r w:rsidRPr="005F31CD">
        <w:tab/>
        <w:t>Odseky 1</w:t>
      </w:r>
      <w:r w:rsidR="005F31CD">
        <w:t xml:space="preserve"> a </w:t>
      </w:r>
      <w:r w:rsidRPr="005F31CD">
        <w:t>2 tohto článku sa uplatňujú</w:t>
      </w:r>
      <w:r w:rsidR="005F31CD">
        <w:t xml:space="preserve"> v </w:t>
      </w:r>
      <w:r w:rsidRPr="005F31CD">
        <w:t>súlade</w:t>
      </w:r>
      <w:r w:rsidR="005F31CD">
        <w:t xml:space="preserve"> s </w:t>
      </w:r>
      <w:r w:rsidRPr="005F31CD">
        <w:t>rozhodnutím Rady 2010/427/EÚ</w:t>
      </w:r>
      <w:r w:rsidRPr="005F31CD">
        <w:rPr>
          <w:rStyle w:val="FootnoteReference"/>
        </w:rPr>
        <w:footnoteReference w:id="8"/>
      </w:r>
      <w:r w:rsidRPr="005F31CD">
        <w:t>.</w:t>
      </w:r>
    </w:p>
    <w:p w:rsidR="003C2110" w:rsidRPr="005F31CD" w:rsidRDefault="003C2110" w:rsidP="003C2110">
      <w:pPr>
        <w:keepNext/>
        <w:spacing w:before="360"/>
        <w:jc w:val="center"/>
        <w:rPr>
          <w:i/>
        </w:rPr>
      </w:pPr>
      <w:r w:rsidRPr="005F31CD">
        <w:rPr>
          <w:i/>
        </w:rPr>
        <w:t>Článok 3</w:t>
      </w:r>
    </w:p>
    <w:p w:rsidR="003C2110" w:rsidRPr="005F31CD" w:rsidRDefault="003C2110" w:rsidP="003C2110">
      <w:r w:rsidRPr="005F31CD">
        <w:t>1.</w:t>
      </w:r>
      <w:r w:rsidRPr="005F31CD">
        <w:tab/>
        <w:t>Komisia sa</w:t>
      </w:r>
      <w:r w:rsidR="005F31CD">
        <w:t xml:space="preserve"> v </w:t>
      </w:r>
      <w:r w:rsidRPr="005F31CD">
        <w:t>súlade</w:t>
      </w:r>
      <w:r w:rsidR="005F31CD">
        <w:t xml:space="preserve"> s </w:t>
      </w:r>
      <w:r w:rsidRPr="005F31CD">
        <w:t>konzultačným postupom uvedeným</w:t>
      </w:r>
      <w:r w:rsidR="005F31CD">
        <w:t xml:space="preserve"> v </w:t>
      </w:r>
      <w:r w:rsidRPr="005F31CD">
        <w:t>článku 7 ods. 2 dohodne</w:t>
      </w:r>
      <w:r w:rsidR="005F31CD">
        <w:t xml:space="preserve"> s </w:t>
      </w:r>
      <w:r w:rsidRPr="005F31CD">
        <w:t>gruzínskymi orgánmi na jasne vymedzených podmienkach</w:t>
      </w:r>
      <w:r w:rsidR="005F31CD">
        <w:t xml:space="preserve"> v </w:t>
      </w:r>
      <w:r w:rsidRPr="005F31CD">
        <w:t>oblasti hospodárskej politiky</w:t>
      </w:r>
      <w:r w:rsidR="005F31CD">
        <w:t xml:space="preserve"> a </w:t>
      </w:r>
      <w:r w:rsidRPr="005F31CD">
        <w:t>finančných podmienkach zameraných na štrukturálne reformy</w:t>
      </w:r>
      <w:r w:rsidR="005F31CD">
        <w:t xml:space="preserve"> a </w:t>
      </w:r>
      <w:r w:rsidRPr="005F31CD">
        <w:t>zdravé verejné financie, ktorým makrofinančná pomoc Únie podlieha</w:t>
      </w:r>
      <w:r w:rsidR="005F31CD">
        <w:t xml:space="preserve"> a </w:t>
      </w:r>
      <w:r w:rsidRPr="005F31CD">
        <w:t>ktoré sa stanovia</w:t>
      </w:r>
      <w:r w:rsidR="005F31CD">
        <w:t xml:space="preserve"> v </w:t>
      </w:r>
      <w:r w:rsidRPr="005F31CD">
        <w:t>spoločnom memorande</w:t>
      </w:r>
      <w:r w:rsidR="005F31CD">
        <w:t xml:space="preserve"> o </w:t>
      </w:r>
      <w:r w:rsidRPr="005F31CD">
        <w:t>porozumení (ďalej len „memorandum</w:t>
      </w:r>
      <w:r w:rsidR="005F31CD">
        <w:t xml:space="preserve"> o </w:t>
      </w:r>
      <w:r w:rsidRPr="005F31CD">
        <w:t>porozumení“) zahŕňajúcom časový rámec plnenia týchto podmienok. Podmienky</w:t>
      </w:r>
      <w:r w:rsidR="005F31CD">
        <w:t xml:space="preserve"> v </w:t>
      </w:r>
      <w:r w:rsidRPr="005F31CD">
        <w:t>oblasti hospodárskej politiky</w:t>
      </w:r>
      <w:r w:rsidR="005F31CD">
        <w:t xml:space="preserve"> a </w:t>
      </w:r>
      <w:r w:rsidRPr="005F31CD">
        <w:t>finančné podmienky stanovené</w:t>
      </w:r>
      <w:r w:rsidR="005F31CD">
        <w:t xml:space="preserve"> v </w:t>
      </w:r>
      <w:r w:rsidRPr="005F31CD">
        <w:t>memorande</w:t>
      </w:r>
      <w:r w:rsidR="005F31CD">
        <w:t xml:space="preserve"> o </w:t>
      </w:r>
      <w:r w:rsidRPr="005F31CD">
        <w:t>porozumení musia byť</w:t>
      </w:r>
      <w:r w:rsidR="005F31CD">
        <w:t xml:space="preserve"> v </w:t>
      </w:r>
      <w:r w:rsidRPr="005F31CD">
        <w:t>súlade</w:t>
      </w:r>
      <w:r w:rsidR="005F31CD">
        <w:t xml:space="preserve"> s </w:t>
      </w:r>
      <w:r w:rsidRPr="005F31CD">
        <w:t>dohodami alebo dohovormi uvedenými</w:t>
      </w:r>
      <w:r w:rsidR="005F31CD">
        <w:t xml:space="preserve"> v </w:t>
      </w:r>
      <w:r w:rsidRPr="005F31CD">
        <w:t>článku 1 ods. 3 vrátane programov makroekonomických úprav</w:t>
      </w:r>
      <w:r w:rsidR="005F31CD">
        <w:t xml:space="preserve"> a </w:t>
      </w:r>
      <w:r w:rsidRPr="005F31CD">
        <w:t>štrukturálnych reforiem, ktoré Gruzínsko vykonáva</w:t>
      </w:r>
      <w:r w:rsidR="005F31CD">
        <w:t xml:space="preserve"> s </w:t>
      </w:r>
      <w:r w:rsidRPr="005F31CD">
        <w:t>podporou MMF.</w:t>
      </w:r>
    </w:p>
    <w:p w:rsidR="003C2110" w:rsidRPr="005F31CD" w:rsidRDefault="003C2110" w:rsidP="003C2110">
      <w:r w:rsidRPr="005F31CD">
        <w:t>2.</w:t>
      </w:r>
      <w:r w:rsidRPr="005F31CD">
        <w:tab/>
        <w:t>Podmienky uvedené</w:t>
      </w:r>
      <w:r w:rsidR="005F31CD">
        <w:t xml:space="preserve"> v </w:t>
      </w:r>
      <w:r w:rsidRPr="005F31CD">
        <w:t>odseku 1 sa zamerajú najmä na zvýšenie efektívnosti, transparentnosti</w:t>
      </w:r>
      <w:r w:rsidR="005F31CD">
        <w:t xml:space="preserve"> a </w:t>
      </w:r>
      <w:r w:rsidRPr="005F31CD">
        <w:t>zodpovednosti systémov riadenia verejných financií</w:t>
      </w:r>
      <w:r w:rsidR="005F31CD">
        <w:t xml:space="preserve"> v </w:t>
      </w:r>
      <w:r w:rsidRPr="005F31CD">
        <w:t>Gruzínsku,</w:t>
      </w:r>
      <w:r w:rsidR="005F31CD">
        <w:t xml:space="preserve"> a </w:t>
      </w:r>
      <w:r w:rsidRPr="005F31CD">
        <w:t>to aj pri využívaní makrofinančnej pomoci Únie. Pri navrhovaní politických opatrení sa riadne zohľadňuje aj pokrok dosiahnutý pri vzájomnom otváraní trhov, rozvoj spravodlivého obchodu založeného na pravidlách</w:t>
      </w:r>
      <w:r w:rsidR="005F31CD">
        <w:t xml:space="preserve"> a </w:t>
      </w:r>
      <w:r w:rsidRPr="005F31CD">
        <w:t>ostatné priority</w:t>
      </w:r>
      <w:r w:rsidR="005F31CD">
        <w:t xml:space="preserve"> v </w:t>
      </w:r>
      <w:r w:rsidRPr="005F31CD">
        <w:t>kontexte vonkajšej politiky Únie. Pokrok pri dosahovaní týchto cieľov Komisia pravidelne monitoruje.</w:t>
      </w:r>
    </w:p>
    <w:p w:rsidR="003C2110" w:rsidRPr="005F31CD" w:rsidRDefault="003C2110" w:rsidP="003C2110">
      <w:r w:rsidRPr="005F31CD">
        <w:t>3.</w:t>
      </w:r>
      <w:r w:rsidRPr="005F31CD">
        <w:tab/>
        <w:t>Podrobné finančné podmienky makrofinančnej pomoci Únie sa stanovia</w:t>
      </w:r>
      <w:r w:rsidR="005F31CD">
        <w:t xml:space="preserve"> v </w:t>
      </w:r>
      <w:r w:rsidRPr="005F31CD">
        <w:t>dohode</w:t>
      </w:r>
      <w:r w:rsidR="005F31CD">
        <w:t xml:space="preserve"> o </w:t>
      </w:r>
      <w:r w:rsidRPr="005F31CD">
        <w:t>úvere</w:t>
      </w:r>
      <w:r w:rsidR="005F31CD">
        <w:t xml:space="preserve"> a </w:t>
      </w:r>
      <w:r w:rsidRPr="005F31CD">
        <w:t>dohode</w:t>
      </w:r>
      <w:r w:rsidR="005F31CD">
        <w:t xml:space="preserve"> o </w:t>
      </w:r>
      <w:r w:rsidRPr="005F31CD">
        <w:t>grante, ktoré Komisia uzavrie</w:t>
      </w:r>
      <w:r w:rsidR="005F31CD">
        <w:t xml:space="preserve"> s </w:t>
      </w:r>
      <w:r w:rsidRPr="005F31CD">
        <w:t>gruzínskymi orgánmi.</w:t>
      </w:r>
    </w:p>
    <w:p w:rsidR="003C2110" w:rsidRPr="005F31CD" w:rsidRDefault="003C2110" w:rsidP="003C2110">
      <w:r w:rsidRPr="005F31CD">
        <w:t>4.</w:t>
      </w:r>
      <w:r w:rsidRPr="005F31CD">
        <w:tab/>
        <w:t>Komisia</w:t>
      </w:r>
      <w:r w:rsidR="005F31CD">
        <w:t xml:space="preserve"> v </w:t>
      </w:r>
      <w:r w:rsidRPr="005F31CD">
        <w:t>pravidelných intervaloch overuje, či sa aj naďalej plnia podmienky stanovené</w:t>
      </w:r>
      <w:r w:rsidR="005F31CD">
        <w:t xml:space="preserve"> v </w:t>
      </w:r>
      <w:r w:rsidRPr="005F31CD">
        <w:t>článku 4 ods. 3</w:t>
      </w:r>
      <w:r w:rsidR="005F31CD">
        <w:t xml:space="preserve"> a </w:t>
      </w:r>
      <w:r w:rsidRPr="005F31CD">
        <w:t>či je hospodárska politika Gruzínska</w:t>
      </w:r>
      <w:r w:rsidR="005F31CD">
        <w:t xml:space="preserve"> v </w:t>
      </w:r>
      <w:r w:rsidRPr="005F31CD">
        <w:t>súlade</w:t>
      </w:r>
      <w:r w:rsidR="005F31CD">
        <w:t xml:space="preserve"> s </w:t>
      </w:r>
      <w:r w:rsidRPr="005F31CD">
        <w:t>cieľmi makrofinančnej pomoci Únie. Komisia pri tejto činnosti úzko spolupracuje</w:t>
      </w:r>
      <w:r w:rsidR="005F31CD">
        <w:t xml:space="preserve"> s </w:t>
      </w:r>
      <w:r w:rsidRPr="005F31CD">
        <w:t>MMF</w:t>
      </w:r>
      <w:r w:rsidR="005F31CD">
        <w:t xml:space="preserve"> a </w:t>
      </w:r>
      <w:r w:rsidRPr="005F31CD">
        <w:t>so Svetovou bankou</w:t>
      </w:r>
      <w:r w:rsidR="005F31CD">
        <w:t xml:space="preserve"> a v </w:t>
      </w:r>
      <w:r w:rsidRPr="005F31CD">
        <w:t>prípade potreby</w:t>
      </w:r>
      <w:r w:rsidR="005F31CD">
        <w:t xml:space="preserve"> s </w:t>
      </w:r>
      <w:r w:rsidRPr="005F31CD">
        <w:t>Európskym parlamentom</w:t>
      </w:r>
      <w:r w:rsidR="005F31CD">
        <w:t xml:space="preserve"> a </w:t>
      </w:r>
      <w:r w:rsidRPr="005F31CD">
        <w:t>Radou.</w:t>
      </w:r>
    </w:p>
    <w:p w:rsidR="003C2110" w:rsidRPr="005F31CD" w:rsidRDefault="003C2110" w:rsidP="003C2110">
      <w:pPr>
        <w:keepNext/>
        <w:spacing w:before="360"/>
        <w:jc w:val="center"/>
        <w:rPr>
          <w:i/>
        </w:rPr>
      </w:pPr>
      <w:r w:rsidRPr="005F31CD">
        <w:rPr>
          <w:i/>
        </w:rPr>
        <w:t>Článok 4</w:t>
      </w:r>
    </w:p>
    <w:p w:rsidR="003C2110" w:rsidRPr="005F31CD" w:rsidRDefault="003C2110" w:rsidP="003C2110">
      <w:r w:rsidRPr="005F31CD">
        <w:t>1.</w:t>
      </w:r>
      <w:r w:rsidRPr="005F31CD">
        <w:tab/>
        <w:t>Za predpokladu splnenia podmienok uvedených</w:t>
      </w:r>
      <w:r w:rsidR="005F31CD">
        <w:t xml:space="preserve"> v </w:t>
      </w:r>
      <w:r w:rsidRPr="005F31CD">
        <w:t>odseku 3 poskytne Komisia makrofinančnú pomoc Únie</w:t>
      </w:r>
      <w:r w:rsidR="005F31CD">
        <w:t xml:space="preserve"> v </w:t>
      </w:r>
      <w:r w:rsidR="0050014A" w:rsidRPr="005F31CD">
        <w:t xml:space="preserve">dvoch </w:t>
      </w:r>
      <w:r w:rsidRPr="005F31CD">
        <w:t>splátkach,</w:t>
      </w:r>
      <w:r w:rsidR="005F31CD">
        <w:t xml:space="preserve"> z </w:t>
      </w:r>
      <w:r w:rsidRPr="005F31CD">
        <w:t>ktorých každá pozostáva</w:t>
      </w:r>
      <w:r w:rsidR="005F31CD">
        <w:t xml:space="preserve"> z </w:t>
      </w:r>
      <w:r w:rsidRPr="005F31CD">
        <w:t>grantovej</w:t>
      </w:r>
      <w:r w:rsidR="005F31CD">
        <w:t xml:space="preserve"> a </w:t>
      </w:r>
      <w:r w:rsidRPr="005F31CD">
        <w:t>úverovej časti. Výška každej splátky sa stanoví</w:t>
      </w:r>
      <w:r w:rsidR="005F31CD">
        <w:t xml:space="preserve"> v </w:t>
      </w:r>
      <w:r w:rsidRPr="005F31CD">
        <w:t>memorande</w:t>
      </w:r>
      <w:r w:rsidR="005F31CD">
        <w:t xml:space="preserve"> o </w:t>
      </w:r>
      <w:r w:rsidRPr="005F31CD">
        <w:t>porozumení uvedenom</w:t>
      </w:r>
      <w:r w:rsidR="005F31CD">
        <w:t xml:space="preserve"> v </w:t>
      </w:r>
      <w:r w:rsidRPr="005F31CD">
        <w:t>článku 3.</w:t>
      </w:r>
    </w:p>
    <w:p w:rsidR="003C2110" w:rsidRPr="005F31CD" w:rsidRDefault="003C2110" w:rsidP="003C2110">
      <w:r w:rsidRPr="005F31CD">
        <w:t>2.</w:t>
      </w:r>
      <w:r w:rsidRPr="005F31CD">
        <w:tab/>
        <w:t>Sumy makrofinančnej pomoci Únie poskytnutej vo forme úverov sa</w:t>
      </w:r>
      <w:r w:rsidR="005F31CD">
        <w:t xml:space="preserve"> v </w:t>
      </w:r>
      <w:r w:rsidRPr="005F31CD">
        <w:t>prípade potreby financujú</w:t>
      </w:r>
      <w:r w:rsidR="005F31CD">
        <w:t xml:space="preserve"> v </w:t>
      </w:r>
      <w:r w:rsidRPr="005F31CD">
        <w:t>súlade</w:t>
      </w:r>
      <w:r w:rsidR="005F31CD">
        <w:t xml:space="preserve"> s </w:t>
      </w:r>
      <w:r w:rsidRPr="005F31CD">
        <w:t xml:space="preserve">nariadením Rady (ES, Euratom) </w:t>
      </w:r>
      <w:r w:rsidR="005F31CD">
        <w:t>č. </w:t>
      </w:r>
      <w:r w:rsidRPr="005F31CD">
        <w:t>480/2009</w:t>
      </w:r>
      <w:r w:rsidRPr="005F31CD">
        <w:rPr>
          <w:rStyle w:val="FootnoteReference"/>
        </w:rPr>
        <w:footnoteReference w:id="9"/>
      </w:r>
      <w:r w:rsidRPr="005F31CD">
        <w:t>.</w:t>
      </w:r>
    </w:p>
    <w:p w:rsidR="003C2110" w:rsidRPr="005F31CD" w:rsidRDefault="003C2110" w:rsidP="003C2110">
      <w:r w:rsidRPr="005F31CD">
        <w:t>3.</w:t>
      </w:r>
      <w:r w:rsidRPr="005F31CD">
        <w:tab/>
        <w:t>Komisia rozhoduje</w:t>
      </w:r>
      <w:r w:rsidR="005F31CD">
        <w:t xml:space="preserve"> o </w:t>
      </w:r>
      <w:r w:rsidRPr="005F31CD">
        <w:t xml:space="preserve">vyplatení </w:t>
      </w:r>
      <w:r w:rsidR="0050014A" w:rsidRPr="005F31CD">
        <w:t>splátok</w:t>
      </w:r>
      <w:r w:rsidRPr="005F31CD">
        <w:t>, ak sú splnené všetky tieto podmienky:</w:t>
      </w:r>
    </w:p>
    <w:p w:rsidR="003C2110" w:rsidRPr="005F31CD" w:rsidRDefault="003C2110" w:rsidP="003C2110">
      <w:pPr>
        <w:pStyle w:val="Point1"/>
      </w:pPr>
      <w:bookmarkStart w:id="2" w:name="DQPStarAt1DQPStarAt5A1D38E76D7F48C593693"/>
      <w:r w:rsidRPr="005F31CD">
        <w:t>a)</w:t>
      </w:r>
      <w:r w:rsidRPr="005F31CD">
        <w:tab/>
        <w:t>podmienka stanovená</w:t>
      </w:r>
      <w:r w:rsidR="005F31CD">
        <w:t xml:space="preserve"> v </w:t>
      </w:r>
      <w:r w:rsidRPr="005F31CD">
        <w:t>článku 2;</w:t>
      </w:r>
    </w:p>
    <w:bookmarkEnd w:id="2"/>
    <w:p w:rsidR="003C2110" w:rsidRPr="005F31CD" w:rsidRDefault="003C2110" w:rsidP="003C2110">
      <w:pPr>
        <w:pStyle w:val="Point1"/>
      </w:pPr>
      <w:r w:rsidRPr="005F31CD">
        <w:t>b)</w:t>
      </w:r>
      <w:r w:rsidRPr="005F31CD">
        <w:tab/>
        <w:t>trvalo uspokojivé výsledky pri vykonávaní politického programu obsahujúceho zásadné opatrenia</w:t>
      </w:r>
      <w:r w:rsidR="005F31CD">
        <w:t xml:space="preserve"> v </w:t>
      </w:r>
      <w:r w:rsidRPr="005F31CD">
        <w:t>oblasti úprav</w:t>
      </w:r>
      <w:r w:rsidR="005F31CD">
        <w:t xml:space="preserve"> a </w:t>
      </w:r>
      <w:r w:rsidRPr="005F31CD">
        <w:t>štrukturálnych reforiem</w:t>
      </w:r>
      <w:r w:rsidR="005F31CD">
        <w:t xml:space="preserve"> s </w:t>
      </w:r>
      <w:r w:rsidRPr="005F31CD">
        <w:t>podporou nepreventívneho úverového mechanizmu MMF a</w:t>
      </w:r>
    </w:p>
    <w:p w:rsidR="003C2110" w:rsidRPr="005F31CD" w:rsidRDefault="003C2110" w:rsidP="003C2110">
      <w:pPr>
        <w:pStyle w:val="Point1"/>
      </w:pPr>
      <w:r w:rsidRPr="005F31CD">
        <w:t>c)</w:t>
      </w:r>
      <w:r w:rsidRPr="005F31CD">
        <w:tab/>
        <w:t>uspokojivé plnenie podmienok</w:t>
      </w:r>
      <w:r w:rsidR="005F31CD">
        <w:t xml:space="preserve"> v </w:t>
      </w:r>
      <w:r w:rsidRPr="005F31CD">
        <w:t>oblasti hospodárskej politiky</w:t>
      </w:r>
      <w:r w:rsidR="005F31CD">
        <w:t xml:space="preserve"> a </w:t>
      </w:r>
      <w:r w:rsidRPr="005F31CD">
        <w:t>finančných podmienok, ktoré sa dohodli</w:t>
      </w:r>
      <w:r w:rsidR="005F31CD">
        <w:t xml:space="preserve"> v </w:t>
      </w:r>
      <w:r w:rsidRPr="005F31CD">
        <w:t>memorande</w:t>
      </w:r>
      <w:r w:rsidR="005F31CD">
        <w:t xml:space="preserve"> o </w:t>
      </w:r>
      <w:r w:rsidRPr="005F31CD">
        <w:t>porozumení.</w:t>
      </w:r>
    </w:p>
    <w:p w:rsidR="003C2110" w:rsidRPr="005F31CD" w:rsidRDefault="003C2110" w:rsidP="003C2110">
      <w:r w:rsidRPr="005F31CD">
        <w:t>Uvoľnenie druhej splátky sa</w:t>
      </w:r>
      <w:r w:rsidR="005F31CD">
        <w:t xml:space="preserve"> v </w:t>
      </w:r>
      <w:r w:rsidRPr="005F31CD">
        <w:t>zásade uskutoční najskôr tri mesiace po uvoľnení prvej splátky.</w:t>
      </w:r>
    </w:p>
    <w:p w:rsidR="003C2110" w:rsidRPr="005F31CD" w:rsidRDefault="003C2110" w:rsidP="003C2110">
      <w:r w:rsidRPr="005F31CD">
        <w:t>4.</w:t>
      </w:r>
      <w:r w:rsidRPr="005F31CD">
        <w:tab/>
        <w:t>V prípade, že podmienky uvedené</w:t>
      </w:r>
      <w:r w:rsidR="005F31CD">
        <w:t xml:space="preserve"> v </w:t>
      </w:r>
      <w:r w:rsidRPr="005F31CD">
        <w:t>odseku 3 nie sú splnené, Komisia dočasne pozastaví alebo zruší vyplácanie makrofinančnej pomoci Únie.</w:t>
      </w:r>
      <w:r w:rsidR="005F31CD">
        <w:t xml:space="preserve"> V </w:t>
      </w:r>
      <w:r w:rsidRPr="005F31CD">
        <w:t>takýchto prípadoch oznámi Európskemu parlamentu</w:t>
      </w:r>
      <w:r w:rsidR="005F31CD">
        <w:t xml:space="preserve"> a </w:t>
      </w:r>
      <w:r w:rsidRPr="005F31CD">
        <w:t>Rade dôvody tohto pozastavenia alebo zrušenia.</w:t>
      </w:r>
    </w:p>
    <w:p w:rsidR="003C2110" w:rsidRPr="005F31CD" w:rsidRDefault="003C2110" w:rsidP="003C2110">
      <w:r w:rsidRPr="005F31CD">
        <w:t>5.</w:t>
      </w:r>
      <w:r w:rsidRPr="005F31CD">
        <w:tab/>
        <w:t>Makrofinančná pomoc Únie sa vypláca Národnej banke Gruzínska.</w:t>
      </w:r>
      <w:r w:rsidR="005F31CD">
        <w:t xml:space="preserve"> V </w:t>
      </w:r>
      <w:r w:rsidRPr="005F31CD">
        <w:t>súlade</w:t>
      </w:r>
      <w:r w:rsidR="005F31CD">
        <w:t xml:space="preserve"> s </w:t>
      </w:r>
      <w:r w:rsidRPr="005F31CD">
        <w:t>ustanoveniami, ktoré sa dohodnú</w:t>
      </w:r>
      <w:r w:rsidR="005F31CD">
        <w:t xml:space="preserve"> v </w:t>
      </w:r>
      <w:r w:rsidRPr="005F31CD">
        <w:t>memorande</w:t>
      </w:r>
      <w:r w:rsidR="005F31CD">
        <w:t xml:space="preserve"> o </w:t>
      </w:r>
      <w:r w:rsidRPr="005F31CD">
        <w:t>porozumení, vrátane potvrdenia zostatkových potrieb financovania rozpočtu, sa finančné prostriedky Únie môžu previesť gruzínskemu ministerstvu financií ako konečnému príjemcovi.</w:t>
      </w:r>
    </w:p>
    <w:p w:rsidR="003C2110" w:rsidRPr="005F31CD" w:rsidRDefault="003C2110" w:rsidP="003C2110">
      <w:pPr>
        <w:keepNext/>
        <w:spacing w:before="360"/>
        <w:jc w:val="center"/>
        <w:rPr>
          <w:i/>
        </w:rPr>
      </w:pPr>
      <w:r w:rsidRPr="005F31CD">
        <w:rPr>
          <w:i/>
        </w:rPr>
        <w:t>Článok 5</w:t>
      </w:r>
    </w:p>
    <w:p w:rsidR="003C2110" w:rsidRPr="005F31CD" w:rsidRDefault="003C2110" w:rsidP="003C2110">
      <w:r w:rsidRPr="005F31CD">
        <w:t>1.</w:t>
      </w:r>
      <w:r w:rsidRPr="005F31CD">
        <w:tab/>
        <w:t>Operácie prijímania</w:t>
      </w:r>
      <w:r w:rsidR="005F31CD">
        <w:t xml:space="preserve"> a </w:t>
      </w:r>
      <w:r w:rsidRPr="005F31CD">
        <w:t>poskytovania pôžičiek súvisiace</w:t>
      </w:r>
      <w:r w:rsidR="005F31CD">
        <w:t xml:space="preserve"> s </w:t>
      </w:r>
      <w:r w:rsidRPr="005F31CD">
        <w:t>časťou makrofinančnej pomoci Únie poskytovanej vo forme úveru sa vykonávajú</w:t>
      </w:r>
      <w:r w:rsidR="005F31CD">
        <w:t xml:space="preserve"> v </w:t>
      </w:r>
      <w:r w:rsidRPr="005F31CD">
        <w:t>eurách</w:t>
      </w:r>
      <w:r w:rsidR="005F31CD">
        <w:t xml:space="preserve"> s </w:t>
      </w:r>
      <w:r w:rsidRPr="005F31CD">
        <w:t>použitím valuty rovnakého dátumu</w:t>
      </w:r>
      <w:r w:rsidR="005F31CD">
        <w:t xml:space="preserve"> a </w:t>
      </w:r>
      <w:r w:rsidRPr="005F31CD">
        <w:t>nesmú pre Úniu predstavovať zmenu splatnosti, ani ju vystaviť žiadnemu riziku spojenému so zmenou výmenného kurzu alebo úrokovej sadzby, ani inému obchodnému riziku.</w:t>
      </w:r>
    </w:p>
    <w:p w:rsidR="003C2110" w:rsidRPr="005F31CD" w:rsidRDefault="003C2110" w:rsidP="003C2110">
      <w:r w:rsidRPr="005F31CD">
        <w:t>2.</w:t>
      </w:r>
      <w:r w:rsidRPr="005F31CD">
        <w:tab/>
        <w:t>Pokiaľ to okolnosti umožňujú</w:t>
      </w:r>
      <w:r w:rsidR="005F31CD">
        <w:t xml:space="preserve"> a </w:t>
      </w:r>
      <w:r w:rsidRPr="005F31CD">
        <w:t>ak</w:t>
      </w:r>
      <w:r w:rsidR="005F31CD">
        <w:t xml:space="preserve"> o </w:t>
      </w:r>
      <w:r w:rsidRPr="005F31CD">
        <w:t>to Gruzínsko požiada, Komisia môže prijať potrebné kroky, aby zabezpečila, že sa do zmluvných podmienok poskytnutia úveru zahrnie doložka</w:t>
      </w:r>
      <w:r w:rsidR="005F31CD">
        <w:t xml:space="preserve"> o </w:t>
      </w:r>
      <w:r w:rsidRPr="005F31CD">
        <w:t>predčasnom splatení úveru</w:t>
      </w:r>
      <w:r w:rsidR="005F31CD">
        <w:t xml:space="preserve"> a </w:t>
      </w:r>
      <w:r w:rsidRPr="005F31CD">
        <w:t>že tejto doložke bude zodpovedať príslušná doložka</w:t>
      </w:r>
      <w:r w:rsidR="005F31CD">
        <w:t xml:space="preserve"> v </w:t>
      </w:r>
      <w:r w:rsidRPr="005F31CD">
        <w:t>podmienkach týkajúcich sa operácií prijímania pôžičiek.</w:t>
      </w:r>
    </w:p>
    <w:p w:rsidR="003C2110" w:rsidRPr="005F31CD" w:rsidRDefault="003C2110" w:rsidP="003C2110">
      <w:r w:rsidRPr="005F31CD">
        <w:t>3.</w:t>
      </w:r>
      <w:r w:rsidRPr="005F31CD">
        <w:tab/>
        <w:t>Pokiaľ okolnosti umožnia zlepšenie úrokovej sadzby úveru</w:t>
      </w:r>
      <w:r w:rsidR="005F31CD">
        <w:t xml:space="preserve"> a </w:t>
      </w:r>
      <w:r w:rsidRPr="005F31CD">
        <w:t>ak</w:t>
      </w:r>
      <w:r w:rsidR="005F31CD">
        <w:t xml:space="preserve"> o </w:t>
      </w:r>
      <w:r w:rsidRPr="005F31CD">
        <w:t>to Gruzínsko požiada, Komisia sa môže rozhodnúť úplne alebo čiastočne refinancovať svoje počiatočné úvery alebo môže reštrukturalizovať príslušné finančné podmienky. Operácie refinancovania alebo reštrukturalizácie sa vykonávajú</w:t>
      </w:r>
      <w:r w:rsidR="005F31CD">
        <w:t xml:space="preserve"> v </w:t>
      </w:r>
      <w:r w:rsidRPr="005F31CD">
        <w:t>súlade</w:t>
      </w:r>
      <w:r w:rsidR="005F31CD">
        <w:t xml:space="preserve"> s </w:t>
      </w:r>
      <w:r w:rsidRPr="005F31CD">
        <w:t>odsekmi 1</w:t>
      </w:r>
      <w:r w:rsidR="005F31CD">
        <w:t xml:space="preserve"> a </w:t>
      </w:r>
      <w:r w:rsidRPr="005F31CD">
        <w:t>4</w:t>
      </w:r>
      <w:r w:rsidR="005F31CD">
        <w:t xml:space="preserve"> a </w:t>
      </w:r>
      <w:r w:rsidRPr="005F31CD">
        <w:t>nesmú viesť</w:t>
      </w:r>
      <w:r w:rsidR="005F31CD">
        <w:t xml:space="preserve"> k </w:t>
      </w:r>
      <w:r w:rsidRPr="005F31CD">
        <w:t>predĺženiu splatnosti dotknutých prijatých úverov ani</w:t>
      </w:r>
      <w:r w:rsidR="005F31CD">
        <w:t xml:space="preserve"> k </w:t>
      </w:r>
      <w:r w:rsidRPr="005F31CD">
        <w:t>zvýšeniu sumy istiny nesplatenej</w:t>
      </w:r>
      <w:r w:rsidR="005F31CD">
        <w:t xml:space="preserve"> k </w:t>
      </w:r>
      <w:r w:rsidRPr="005F31CD">
        <w:t>dátumu refinancovania alebo reštrukturalizácie.</w:t>
      </w:r>
    </w:p>
    <w:p w:rsidR="003C2110" w:rsidRPr="005F31CD" w:rsidRDefault="003C2110" w:rsidP="003C2110">
      <w:r w:rsidRPr="005F31CD">
        <w:t>4.</w:t>
      </w:r>
      <w:r w:rsidRPr="005F31CD">
        <w:tab/>
        <w:t>Všetky náklady, ktoré vzniknú Únii</w:t>
      </w:r>
      <w:r w:rsidR="005F31CD">
        <w:t xml:space="preserve"> a </w:t>
      </w:r>
      <w:r w:rsidRPr="005F31CD">
        <w:t>ktoré súvisia</w:t>
      </w:r>
      <w:r w:rsidR="005F31CD">
        <w:t xml:space="preserve"> s </w:t>
      </w:r>
      <w:r w:rsidRPr="005F31CD">
        <w:t>operáciami prijímania</w:t>
      </w:r>
      <w:r w:rsidR="005F31CD">
        <w:t xml:space="preserve"> a </w:t>
      </w:r>
      <w:r w:rsidRPr="005F31CD">
        <w:t>poskytovania pôžičiek na základe tohto rozhodnutia, znáša Gruzínsko.</w:t>
      </w:r>
    </w:p>
    <w:p w:rsidR="003C2110" w:rsidRPr="005F31CD" w:rsidRDefault="003C2110" w:rsidP="003C2110">
      <w:r w:rsidRPr="005F31CD">
        <w:t>5.</w:t>
      </w:r>
      <w:r w:rsidRPr="005F31CD">
        <w:tab/>
        <w:t>Komisia informuje Európsky parlament</w:t>
      </w:r>
      <w:r w:rsidR="005F31CD">
        <w:t xml:space="preserve"> a </w:t>
      </w:r>
      <w:r w:rsidRPr="005F31CD">
        <w:t>Radu</w:t>
      </w:r>
      <w:r w:rsidR="005F31CD">
        <w:t xml:space="preserve"> o </w:t>
      </w:r>
      <w:r w:rsidRPr="005F31CD">
        <w:t>vývoji operácií uvedených</w:t>
      </w:r>
      <w:r w:rsidR="005F31CD">
        <w:t xml:space="preserve"> v </w:t>
      </w:r>
      <w:r w:rsidRPr="005F31CD">
        <w:t>odsekoch 2</w:t>
      </w:r>
      <w:r w:rsidR="005F31CD">
        <w:t xml:space="preserve"> a </w:t>
      </w:r>
      <w:r w:rsidRPr="005F31CD">
        <w:t>3.</w:t>
      </w:r>
    </w:p>
    <w:p w:rsidR="003C2110" w:rsidRPr="005F31CD" w:rsidRDefault="003C2110" w:rsidP="003C2110">
      <w:pPr>
        <w:keepNext/>
        <w:spacing w:before="360"/>
        <w:jc w:val="center"/>
        <w:rPr>
          <w:i/>
        </w:rPr>
      </w:pPr>
      <w:r w:rsidRPr="005F31CD">
        <w:rPr>
          <w:i/>
        </w:rPr>
        <w:t>Článok 6</w:t>
      </w:r>
    </w:p>
    <w:p w:rsidR="003C2110" w:rsidRPr="005F31CD" w:rsidRDefault="003C2110" w:rsidP="003C2110">
      <w:r w:rsidRPr="005F31CD">
        <w:t>1.</w:t>
      </w:r>
      <w:r w:rsidRPr="005F31CD">
        <w:tab/>
        <w:t>Makrofinančná pomoc Únie sa poskytuje</w:t>
      </w:r>
      <w:r w:rsidR="005F31CD">
        <w:t xml:space="preserve"> v </w:t>
      </w:r>
      <w:r w:rsidRPr="005F31CD">
        <w:t>súlade</w:t>
      </w:r>
      <w:r w:rsidR="005F31CD">
        <w:t xml:space="preserve"> s </w:t>
      </w:r>
      <w:r w:rsidRPr="005F31CD">
        <w:t>nariadením Európskeho parlamentu</w:t>
      </w:r>
      <w:r w:rsidR="005F31CD">
        <w:t xml:space="preserve"> a </w:t>
      </w:r>
      <w:r w:rsidRPr="005F31CD">
        <w:t>Rady</w:t>
      </w:r>
      <w:r w:rsidRPr="005F31CD">
        <w:rPr>
          <w:rStyle w:val="FootnoteReference"/>
        </w:rPr>
        <w:footnoteReference w:id="10"/>
      </w:r>
      <w:r w:rsidRPr="005F31CD">
        <w:t xml:space="preserve"> (EÚ, Euratom) </w:t>
      </w:r>
      <w:r w:rsidR="005F31CD">
        <w:t>č. </w:t>
      </w:r>
      <w:r w:rsidRPr="005F31CD">
        <w:t>966/2012</w:t>
      </w:r>
      <w:r w:rsidR="005F31CD">
        <w:t xml:space="preserve"> a s </w:t>
      </w:r>
      <w:r w:rsidRPr="005F31CD">
        <w:t xml:space="preserve">delegovaným nariadením Komisie (EÚ) </w:t>
      </w:r>
      <w:r w:rsidR="005F31CD">
        <w:t>č. </w:t>
      </w:r>
      <w:r w:rsidRPr="005F31CD">
        <w:t>1268/2012</w:t>
      </w:r>
      <w:r w:rsidRPr="005F31CD">
        <w:rPr>
          <w:rStyle w:val="FootnoteReference"/>
        </w:rPr>
        <w:footnoteReference w:id="11"/>
      </w:r>
      <w:r w:rsidRPr="005F31CD">
        <w:t>.</w:t>
      </w:r>
    </w:p>
    <w:p w:rsidR="003C2110" w:rsidRPr="005F31CD" w:rsidRDefault="003C2110" w:rsidP="003C2110">
      <w:r w:rsidRPr="005F31CD">
        <w:t>2.</w:t>
      </w:r>
      <w:r w:rsidRPr="005F31CD">
        <w:tab/>
        <w:t>Makrofinančná pomoc Únie sa implementuje</w:t>
      </w:r>
      <w:r w:rsidR="005F31CD">
        <w:t xml:space="preserve"> v </w:t>
      </w:r>
      <w:r w:rsidRPr="005F31CD">
        <w:t>rámci priameho hospodárenia.</w:t>
      </w:r>
    </w:p>
    <w:p w:rsidR="003C2110" w:rsidRPr="005F31CD" w:rsidRDefault="003C2110" w:rsidP="003C2110">
      <w:r w:rsidRPr="005F31CD">
        <w:t>3.</w:t>
      </w:r>
      <w:r w:rsidRPr="005F31CD">
        <w:tab/>
        <w:t>Dohoda</w:t>
      </w:r>
      <w:r w:rsidR="005F31CD">
        <w:t xml:space="preserve"> o </w:t>
      </w:r>
      <w:r w:rsidRPr="005F31CD">
        <w:t>úvere</w:t>
      </w:r>
      <w:r w:rsidR="005F31CD">
        <w:t xml:space="preserve"> a </w:t>
      </w:r>
      <w:r w:rsidRPr="005F31CD">
        <w:t>dohoda</w:t>
      </w:r>
      <w:r w:rsidR="005F31CD">
        <w:t xml:space="preserve"> o </w:t>
      </w:r>
      <w:r w:rsidRPr="005F31CD">
        <w:t>grante, ktoré sa majú uzavrieť</w:t>
      </w:r>
      <w:r w:rsidR="005F31CD">
        <w:t xml:space="preserve"> s </w:t>
      </w:r>
      <w:r w:rsidRPr="005F31CD">
        <w:t>gruzínskymi orgánmi, obsahujú ustanovenia</w:t>
      </w:r>
      <w:r w:rsidR="005F31CD">
        <w:t xml:space="preserve"> s </w:t>
      </w:r>
      <w:r w:rsidRPr="005F31CD">
        <w:t>cieľom:</w:t>
      </w:r>
    </w:p>
    <w:p w:rsidR="003C2110" w:rsidRPr="005F31CD" w:rsidRDefault="005F31CD" w:rsidP="003C2110">
      <w:pPr>
        <w:pStyle w:val="Point1"/>
      </w:pPr>
      <w:bookmarkStart w:id="3" w:name="DQPStarAt1DQPStarAtBC2B93AD4CE247369D38E"/>
      <w:r>
        <w:t>d</w:t>
      </w:r>
      <w:r w:rsidR="003C2110" w:rsidRPr="005F31CD">
        <w:t>)</w:t>
      </w:r>
      <w:r w:rsidR="003C2110" w:rsidRPr="005F31CD">
        <w:tab/>
        <w:t>zabezpečiť, aby Gruzínsko pravidelne kontrolovalo, či sa finančné prostriedky poskytované</w:t>
      </w:r>
      <w:r>
        <w:t xml:space="preserve"> z </w:t>
      </w:r>
      <w:r w:rsidR="003C2110" w:rsidRPr="005F31CD">
        <w:t>rozpočtu Únie využívajú riadne, aby prijalo vhodné opatrenia na predchádzanie nezrovnalostiam</w:t>
      </w:r>
      <w:r>
        <w:t xml:space="preserve"> a </w:t>
      </w:r>
      <w:r w:rsidR="003C2110" w:rsidRPr="005F31CD">
        <w:t>podvodom</w:t>
      </w:r>
      <w:r>
        <w:t xml:space="preserve"> a v </w:t>
      </w:r>
      <w:r w:rsidR="003C2110" w:rsidRPr="005F31CD">
        <w:t>prípade potreby podniklo právne kroky</w:t>
      </w:r>
      <w:r>
        <w:t xml:space="preserve"> s </w:t>
      </w:r>
      <w:r w:rsidR="003C2110" w:rsidRPr="005F31CD">
        <w:t>cieľom získať späť akékoľvek finančné prostriedky poskytnuté podľa tohto rozhodnutia, ktoré boli získané neoprávnene;</w:t>
      </w:r>
    </w:p>
    <w:bookmarkEnd w:id="3"/>
    <w:p w:rsidR="003C2110" w:rsidRPr="005F31CD" w:rsidRDefault="005F31CD" w:rsidP="003C2110">
      <w:pPr>
        <w:pStyle w:val="Point1"/>
      </w:pPr>
      <w:r>
        <w:t>e</w:t>
      </w:r>
      <w:r w:rsidR="003C2110" w:rsidRPr="005F31CD">
        <w:t>)</w:t>
      </w:r>
      <w:r w:rsidR="003C2110" w:rsidRPr="005F31CD">
        <w:tab/>
        <w:t>zabezpečiť ochranu finančných záujmov Únie,</w:t>
      </w:r>
      <w:r>
        <w:t xml:space="preserve"> a </w:t>
      </w:r>
      <w:r w:rsidR="003C2110" w:rsidRPr="005F31CD">
        <w:t>to najmä zavedením konkrétnych opatrení</w:t>
      </w:r>
      <w:r>
        <w:t xml:space="preserve"> v </w:t>
      </w:r>
      <w:r w:rsidR="003C2110" w:rsidRPr="005F31CD">
        <w:t>súvislosti</w:t>
      </w:r>
      <w:r>
        <w:t xml:space="preserve"> s </w:t>
      </w:r>
      <w:r w:rsidR="003C2110" w:rsidRPr="005F31CD">
        <w:t>prevenciou</w:t>
      </w:r>
      <w:r>
        <w:t xml:space="preserve"> a </w:t>
      </w:r>
      <w:r w:rsidR="003C2110" w:rsidRPr="005F31CD">
        <w:t>bojom proti podvodom, korupcii</w:t>
      </w:r>
      <w:r>
        <w:t xml:space="preserve"> a </w:t>
      </w:r>
      <w:r w:rsidR="003C2110" w:rsidRPr="005F31CD">
        <w:t>iným nezrovnalostiam</w:t>
      </w:r>
      <w:r>
        <w:t xml:space="preserve"> s </w:t>
      </w:r>
      <w:r w:rsidR="003C2110" w:rsidRPr="005F31CD">
        <w:t>dosahom na makrofinančnú pomoc Únie</w:t>
      </w:r>
      <w:r>
        <w:t xml:space="preserve"> v </w:t>
      </w:r>
      <w:r w:rsidR="003C2110" w:rsidRPr="005F31CD">
        <w:t>súlade</w:t>
      </w:r>
      <w:r>
        <w:t xml:space="preserve"> s </w:t>
      </w:r>
      <w:r w:rsidR="003C2110" w:rsidRPr="005F31CD">
        <w:t xml:space="preserve">nariadením Rady (ES, Euratom) </w:t>
      </w:r>
      <w:r>
        <w:t>č. </w:t>
      </w:r>
      <w:r w:rsidR="003C2110" w:rsidRPr="005F31CD">
        <w:t>2988/95</w:t>
      </w:r>
      <w:r w:rsidR="003C2110" w:rsidRPr="005F31CD">
        <w:rPr>
          <w:rStyle w:val="FootnoteReference"/>
        </w:rPr>
        <w:footnoteReference w:id="12"/>
      </w:r>
      <w:r w:rsidR="003C2110" w:rsidRPr="005F31CD">
        <w:t xml:space="preserve">, nariadením Rady (ES, Euratom) </w:t>
      </w:r>
      <w:r>
        <w:t>č. </w:t>
      </w:r>
      <w:r w:rsidR="003C2110" w:rsidRPr="005F31CD">
        <w:t>2185/96</w:t>
      </w:r>
      <w:r w:rsidR="003C2110" w:rsidRPr="005F31CD">
        <w:rPr>
          <w:rStyle w:val="FootnoteReference"/>
        </w:rPr>
        <w:footnoteReference w:id="13"/>
      </w:r>
      <w:r>
        <w:t xml:space="preserve"> a </w:t>
      </w:r>
      <w:r w:rsidR="003C2110" w:rsidRPr="005F31CD">
        <w:t>nariadením Európskeho parlamentu</w:t>
      </w:r>
      <w:r>
        <w:t xml:space="preserve"> a </w:t>
      </w:r>
      <w:r w:rsidR="003C2110" w:rsidRPr="005F31CD">
        <w:t xml:space="preserve">Rady (EÚ, Euratom) </w:t>
      </w:r>
      <w:r>
        <w:t>č. </w:t>
      </w:r>
      <w:r w:rsidR="003C2110" w:rsidRPr="005F31CD">
        <w:t>883/2013</w:t>
      </w:r>
      <w:r w:rsidR="003C2110" w:rsidRPr="005F31CD">
        <w:rPr>
          <w:rStyle w:val="FootnoteReference"/>
        </w:rPr>
        <w:footnoteReference w:id="14"/>
      </w:r>
      <w:r w:rsidR="003C2110" w:rsidRPr="005F31CD">
        <w:t>;</w:t>
      </w:r>
    </w:p>
    <w:p w:rsidR="003C2110" w:rsidRPr="005F31CD" w:rsidRDefault="005F31CD" w:rsidP="003C2110">
      <w:pPr>
        <w:pStyle w:val="Point1"/>
      </w:pPr>
      <w:r>
        <w:t>f</w:t>
      </w:r>
      <w:r w:rsidR="003C2110" w:rsidRPr="005F31CD">
        <w:t>)</w:t>
      </w:r>
      <w:r w:rsidR="003C2110" w:rsidRPr="005F31CD">
        <w:tab/>
        <w:t>výslovne splnomocniť Komisiu vrátane Európskeho úradu pre boj proti podvodom alebo jeho zástupcov na vykonávanie kontrol vrátane kontrol</w:t>
      </w:r>
      <w:r>
        <w:t xml:space="preserve"> a </w:t>
      </w:r>
      <w:r w:rsidR="003C2110" w:rsidRPr="005F31CD">
        <w:t>inšpekcií na mieste;</w:t>
      </w:r>
    </w:p>
    <w:p w:rsidR="003C2110" w:rsidRPr="005F31CD" w:rsidRDefault="005F31CD" w:rsidP="003C2110">
      <w:pPr>
        <w:pStyle w:val="Point1"/>
      </w:pPr>
      <w:r>
        <w:t>g</w:t>
      </w:r>
      <w:r w:rsidR="003C2110" w:rsidRPr="005F31CD">
        <w:t>)</w:t>
      </w:r>
      <w:r w:rsidR="003C2110" w:rsidRPr="005F31CD">
        <w:tab/>
        <w:t>výslovne splnomocniť Komisiu</w:t>
      </w:r>
      <w:r>
        <w:t xml:space="preserve"> a </w:t>
      </w:r>
      <w:r w:rsidR="003C2110" w:rsidRPr="005F31CD">
        <w:t>Dvor audítorov na vykonávanie auditov počas obdobia dostupnosti makrofinančnej pomoci Únie</w:t>
      </w:r>
      <w:r>
        <w:t xml:space="preserve"> a </w:t>
      </w:r>
      <w:r w:rsidR="003C2110" w:rsidRPr="005F31CD">
        <w:t>po tomto období vrátane auditov dokladov alebo auditov na mieste, ako sú napríklad operatívne posúdenia;</w:t>
      </w:r>
    </w:p>
    <w:p w:rsidR="003C2110" w:rsidRPr="005F31CD" w:rsidRDefault="005F31CD" w:rsidP="003C2110">
      <w:pPr>
        <w:pStyle w:val="Point1"/>
      </w:pPr>
      <w:r>
        <w:t>h</w:t>
      </w:r>
      <w:r w:rsidR="003C2110" w:rsidRPr="005F31CD">
        <w:t>)</w:t>
      </w:r>
      <w:r w:rsidR="003C2110" w:rsidRPr="005F31CD">
        <w:tab/>
        <w:t>zabezpečiť, aby mala Únia nárok na predčasné splatenie úveru a/alebo plné splatenie grantu, ak sa zistí, že Gruzínsko sa</w:t>
      </w:r>
      <w:r>
        <w:t xml:space="preserve"> v </w:t>
      </w:r>
      <w:r w:rsidR="003C2110" w:rsidRPr="005F31CD">
        <w:t>súvislosti</w:t>
      </w:r>
      <w:r>
        <w:t xml:space="preserve"> s </w:t>
      </w:r>
      <w:r w:rsidR="003C2110" w:rsidRPr="005F31CD">
        <w:t>riadením makrofinančnej pomoci Únie dopustilo podvodu alebo korupcie alebo akéhokoľvek iného protiprávneho konania poškodzujúceho finančné záujmy Únie.</w:t>
      </w:r>
    </w:p>
    <w:p w:rsidR="003C2110" w:rsidRPr="005F31CD" w:rsidRDefault="003C2110" w:rsidP="003C2110">
      <w:r w:rsidRPr="005F31CD">
        <w:t>4.</w:t>
      </w:r>
      <w:r w:rsidRPr="005F31CD">
        <w:tab/>
        <w:t>Komisia pred implementáciou makrofinančnej pomoci Únie posúdi prostredníctvom operatívneho posúdenia primeranosť finančných opatrení, administratívnych postupov</w:t>
      </w:r>
      <w:r w:rsidR="005F31CD">
        <w:t xml:space="preserve"> a </w:t>
      </w:r>
      <w:r w:rsidRPr="005F31CD">
        <w:t>vnútorných</w:t>
      </w:r>
      <w:r w:rsidR="005F31CD">
        <w:t xml:space="preserve"> a </w:t>
      </w:r>
      <w:r w:rsidRPr="005F31CD">
        <w:t>vonkajších kontrolných mechanizmov Gruzínska, ktoré sa týkajú tejto pomoci.</w:t>
      </w:r>
    </w:p>
    <w:p w:rsidR="003C2110" w:rsidRPr="005F31CD" w:rsidRDefault="003C2110" w:rsidP="003C2110">
      <w:pPr>
        <w:keepNext/>
        <w:spacing w:before="360"/>
        <w:jc w:val="center"/>
        <w:rPr>
          <w:i/>
        </w:rPr>
      </w:pPr>
      <w:r w:rsidRPr="005F31CD">
        <w:rPr>
          <w:i/>
        </w:rPr>
        <w:t>Článok 7</w:t>
      </w:r>
    </w:p>
    <w:p w:rsidR="003C2110" w:rsidRPr="005F31CD" w:rsidRDefault="003C2110" w:rsidP="003C2110">
      <w:r w:rsidRPr="005F31CD">
        <w:t>1.</w:t>
      </w:r>
      <w:r w:rsidRPr="005F31CD">
        <w:tab/>
        <w:t>Komisii pomáha výbor. Tento výbor je výborom</w:t>
      </w:r>
      <w:r w:rsidR="005F31CD">
        <w:t xml:space="preserve"> v </w:t>
      </w:r>
      <w:r w:rsidRPr="005F31CD">
        <w:t xml:space="preserve">zmysle nariadenia (EÚ) </w:t>
      </w:r>
      <w:r w:rsidR="005F31CD">
        <w:t>č. </w:t>
      </w:r>
      <w:r w:rsidRPr="005F31CD">
        <w:t>182/2011.</w:t>
      </w:r>
    </w:p>
    <w:p w:rsidR="003C2110" w:rsidRPr="005F31CD" w:rsidRDefault="003C2110" w:rsidP="003C2110">
      <w:r w:rsidRPr="005F31CD">
        <w:t>2.</w:t>
      </w:r>
      <w:r w:rsidRPr="005F31CD">
        <w:tab/>
        <w:t xml:space="preserve">Ak sa odkazuje na tento odsek, uplatňuje sa článok 4 nariadenia (EÚ) </w:t>
      </w:r>
      <w:r w:rsidR="005F31CD">
        <w:t>č. </w:t>
      </w:r>
      <w:r w:rsidRPr="005F31CD">
        <w:t>182/2011.</w:t>
      </w:r>
    </w:p>
    <w:p w:rsidR="003C2110" w:rsidRPr="005F31CD" w:rsidRDefault="003C2110" w:rsidP="003C2110">
      <w:pPr>
        <w:keepNext/>
        <w:spacing w:before="360"/>
        <w:jc w:val="center"/>
        <w:rPr>
          <w:i/>
        </w:rPr>
      </w:pPr>
      <w:r w:rsidRPr="005F31CD">
        <w:rPr>
          <w:i/>
        </w:rPr>
        <w:t>Článok 8</w:t>
      </w:r>
    </w:p>
    <w:p w:rsidR="003C2110" w:rsidRPr="005F31CD" w:rsidRDefault="003C2110" w:rsidP="003C2110">
      <w:r w:rsidRPr="005F31CD">
        <w:t>1.</w:t>
      </w:r>
      <w:r w:rsidRPr="005F31CD">
        <w:tab/>
        <w:t>Komisia každý rok do 30</w:t>
      </w:r>
      <w:r w:rsidR="005F31CD">
        <w:t>. júna</w:t>
      </w:r>
      <w:r w:rsidRPr="005F31CD">
        <w:t xml:space="preserve"> predloží Európskemu parlamentu</w:t>
      </w:r>
      <w:r w:rsidR="005F31CD">
        <w:t xml:space="preserve"> a </w:t>
      </w:r>
      <w:r w:rsidRPr="005F31CD">
        <w:t>Rade správu</w:t>
      </w:r>
      <w:r w:rsidR="005F31CD">
        <w:t xml:space="preserve"> o </w:t>
      </w:r>
      <w:r w:rsidRPr="005F31CD">
        <w:t>vykonávaní tohto rozhodnutia</w:t>
      </w:r>
      <w:r w:rsidR="005F31CD">
        <w:t xml:space="preserve"> v </w:t>
      </w:r>
      <w:r w:rsidRPr="005F31CD">
        <w:t>predchádzajúcom roku vrátane hodnotenia tohto vykonávania.</w:t>
      </w:r>
      <w:r w:rsidR="005F31CD">
        <w:t xml:space="preserve"> V </w:t>
      </w:r>
      <w:r w:rsidRPr="005F31CD">
        <w:t>tejto správe sa:</w:t>
      </w:r>
    </w:p>
    <w:p w:rsidR="003C2110" w:rsidRPr="005F31CD" w:rsidRDefault="005F31CD" w:rsidP="003C2110">
      <w:pPr>
        <w:pStyle w:val="Point1"/>
      </w:pPr>
      <w:r>
        <w:t>i</w:t>
      </w:r>
      <w:r w:rsidR="003C2110" w:rsidRPr="005F31CD">
        <w:t>)</w:t>
      </w:r>
      <w:r w:rsidR="003C2110" w:rsidRPr="005F31CD">
        <w:tab/>
        <w:t>preskúma dosiahnutý pokrok</w:t>
      </w:r>
      <w:r>
        <w:t xml:space="preserve"> v </w:t>
      </w:r>
      <w:r w:rsidR="003C2110" w:rsidRPr="005F31CD">
        <w:t>implementácii makrofinančnej pomoci Únie;</w:t>
      </w:r>
    </w:p>
    <w:p w:rsidR="003C2110" w:rsidRPr="005F31CD" w:rsidRDefault="005F31CD" w:rsidP="003C2110">
      <w:pPr>
        <w:pStyle w:val="Point1"/>
      </w:pPr>
      <w:r>
        <w:t>j</w:t>
      </w:r>
      <w:r w:rsidR="003C2110" w:rsidRPr="005F31CD">
        <w:t>)</w:t>
      </w:r>
      <w:r w:rsidR="003C2110" w:rsidRPr="005F31CD">
        <w:tab/>
        <w:t>posúdi hospodárska situácia</w:t>
      </w:r>
      <w:r>
        <w:t xml:space="preserve"> a </w:t>
      </w:r>
      <w:r w:rsidR="003C2110" w:rsidRPr="005F31CD">
        <w:t>vyhliadky Gruzínska, ako aj dosiahnutý pokrok vo vykonávaní opatrení politiky uvedených</w:t>
      </w:r>
      <w:r>
        <w:t xml:space="preserve"> v </w:t>
      </w:r>
      <w:r w:rsidR="003C2110" w:rsidRPr="005F31CD">
        <w:t>článku 3 ods. 1;</w:t>
      </w:r>
    </w:p>
    <w:p w:rsidR="003C2110" w:rsidRPr="005F31CD" w:rsidRDefault="005F31CD" w:rsidP="003C2110">
      <w:pPr>
        <w:pStyle w:val="Point1"/>
      </w:pPr>
      <w:r>
        <w:t>k</w:t>
      </w:r>
      <w:r w:rsidR="003C2110" w:rsidRPr="005F31CD">
        <w:t>)</w:t>
      </w:r>
      <w:r w:rsidR="003C2110" w:rsidRPr="005F31CD">
        <w:tab/>
        <w:t>uvedú súvislosti medzi podmienkami</w:t>
      </w:r>
      <w:r>
        <w:t xml:space="preserve"> v </w:t>
      </w:r>
      <w:r w:rsidR="003C2110" w:rsidRPr="005F31CD">
        <w:t>oblasti hospodárskej politiky stanovenými</w:t>
      </w:r>
      <w:r>
        <w:t xml:space="preserve"> v </w:t>
      </w:r>
      <w:r w:rsidR="003C2110" w:rsidRPr="005F31CD">
        <w:t>memorande</w:t>
      </w:r>
      <w:r>
        <w:t xml:space="preserve"> o </w:t>
      </w:r>
      <w:r w:rsidR="003C2110" w:rsidRPr="005F31CD">
        <w:t>porozumení, priebežnými hospodárskymi</w:t>
      </w:r>
      <w:r>
        <w:t xml:space="preserve"> a </w:t>
      </w:r>
      <w:r w:rsidR="003C2110" w:rsidRPr="005F31CD">
        <w:t>fiškálnymi výsledkami Gruzínska</w:t>
      </w:r>
      <w:r>
        <w:t xml:space="preserve"> a </w:t>
      </w:r>
      <w:r w:rsidR="003C2110" w:rsidRPr="005F31CD">
        <w:t>rozhodnutiami Komisie</w:t>
      </w:r>
      <w:r>
        <w:t xml:space="preserve"> o </w:t>
      </w:r>
      <w:r w:rsidR="003C2110" w:rsidRPr="005F31CD">
        <w:t>vyplatení splátok makrofinančnej pomoci Únie.</w:t>
      </w:r>
    </w:p>
    <w:p w:rsidR="003C2110" w:rsidRPr="005F31CD" w:rsidRDefault="003C2110" w:rsidP="003C2110">
      <w:r w:rsidRPr="005F31CD">
        <w:t>2.</w:t>
      </w:r>
      <w:r w:rsidRPr="005F31CD">
        <w:tab/>
        <w:t>Najneskôr do dvoch rokov po uplynutí obdobia dostupnosti pomoci uvedeného</w:t>
      </w:r>
      <w:r w:rsidR="005F31CD">
        <w:t xml:space="preserve"> v </w:t>
      </w:r>
      <w:r w:rsidRPr="005F31CD">
        <w:t>článku 1 ods. 4 Komisia predloží Európskemu parlamentu</w:t>
      </w:r>
      <w:r w:rsidR="005F31CD">
        <w:t xml:space="preserve"> a </w:t>
      </w:r>
      <w:r w:rsidRPr="005F31CD">
        <w:t>Rade správu</w:t>
      </w:r>
      <w:r w:rsidR="005F31CD">
        <w:t xml:space="preserve"> o </w:t>
      </w:r>
      <w:r w:rsidRPr="005F31CD">
        <w:t>následnom hodnotení,</w:t>
      </w:r>
      <w:r w:rsidR="005F31CD">
        <w:t xml:space="preserve"> v </w:t>
      </w:r>
      <w:r w:rsidRPr="005F31CD">
        <w:t>ktorej posúdi výsledky</w:t>
      </w:r>
      <w:r w:rsidR="005F31CD">
        <w:t xml:space="preserve"> a </w:t>
      </w:r>
      <w:r w:rsidRPr="005F31CD">
        <w:t>efektívnosť ukončenej makrofinančnej pomoci Únie</w:t>
      </w:r>
      <w:r w:rsidR="005F31CD">
        <w:t xml:space="preserve"> a </w:t>
      </w:r>
      <w:r w:rsidRPr="005F31CD">
        <w:t>rozsah,</w:t>
      </w:r>
      <w:r w:rsidR="005F31CD">
        <w:t xml:space="preserve"> v </w:t>
      </w:r>
      <w:r w:rsidRPr="005F31CD">
        <w:t>akom prispela</w:t>
      </w:r>
      <w:r w:rsidR="005F31CD">
        <w:t xml:space="preserve"> k </w:t>
      </w:r>
      <w:r w:rsidRPr="005F31CD">
        <w:t>cieľom pomoci.</w:t>
      </w:r>
    </w:p>
    <w:p w:rsidR="003C2110" w:rsidRPr="005F31CD" w:rsidRDefault="003C2110" w:rsidP="003C2110">
      <w:pPr>
        <w:keepNext/>
        <w:spacing w:before="360"/>
        <w:jc w:val="center"/>
        <w:rPr>
          <w:i/>
        </w:rPr>
      </w:pPr>
      <w:r w:rsidRPr="005F31CD">
        <w:rPr>
          <w:i/>
        </w:rPr>
        <w:t>Článok 9</w:t>
      </w:r>
    </w:p>
    <w:p w:rsidR="003C2110" w:rsidRPr="005F31CD" w:rsidRDefault="003C2110" w:rsidP="003C2110">
      <w:r w:rsidRPr="005F31CD">
        <w:t>Toto rozhodnutie nadobúda účinnosť tretím dňom po jeho uverejnení</w:t>
      </w:r>
      <w:r w:rsidR="005F31CD">
        <w:t xml:space="preserve"> v </w:t>
      </w:r>
      <w:r w:rsidRPr="005F31CD">
        <w:rPr>
          <w:i/>
        </w:rPr>
        <w:t>Úradnom vestníku Európskej únie</w:t>
      </w:r>
      <w:r w:rsidRPr="005F31CD">
        <w:t>.</w:t>
      </w:r>
    </w:p>
    <w:p w:rsidR="003C2110" w:rsidRPr="005F31CD" w:rsidRDefault="005D0524" w:rsidP="005D0524">
      <w:pPr>
        <w:pStyle w:val="Fait"/>
      </w:pPr>
      <w:r w:rsidRPr="005D0524">
        <w:t>V Bruseli</w:t>
      </w:r>
    </w:p>
    <w:p w:rsidR="003C2110" w:rsidRPr="005F31CD" w:rsidRDefault="003C2110" w:rsidP="003C2110">
      <w:pPr>
        <w:pStyle w:val="Institutionquisigne"/>
      </w:pPr>
      <w:r w:rsidRPr="005F31CD">
        <w:t>Za Európsky parlament</w:t>
      </w:r>
      <w:r w:rsidRPr="005F31CD">
        <w:tab/>
        <w:t>Za Radu</w:t>
      </w:r>
    </w:p>
    <w:p w:rsidR="003C2110" w:rsidRPr="005F31CD" w:rsidRDefault="003C2110" w:rsidP="003C2110">
      <w:pPr>
        <w:pStyle w:val="Personnequisigne"/>
      </w:pPr>
      <w:r w:rsidRPr="005F31CD">
        <w:t>predseda</w:t>
      </w:r>
      <w:r w:rsidRPr="005F31CD">
        <w:tab/>
        <w:t>predseda</w:t>
      </w:r>
    </w:p>
    <w:p w:rsidR="003C2110" w:rsidRPr="005F31CD" w:rsidRDefault="003C2110" w:rsidP="003C2110">
      <w:pPr>
        <w:sectPr w:rsidR="003C2110" w:rsidRPr="005F31CD" w:rsidSect="005D0524">
          <w:pgSz w:w="11907" w:h="16839"/>
          <w:pgMar w:top="1134" w:right="1417" w:bottom="1134" w:left="1417" w:header="709" w:footer="709" w:gutter="0"/>
          <w:cols w:space="708"/>
          <w:docGrid w:linePitch="360"/>
        </w:sectPr>
      </w:pPr>
    </w:p>
    <w:p w:rsidR="003C2110" w:rsidRPr="005F31CD" w:rsidRDefault="003C2110" w:rsidP="003C2110">
      <w:pPr>
        <w:pStyle w:val="Fichefinanciretitre"/>
      </w:pPr>
      <w:r w:rsidRPr="005F31CD">
        <w:t>LEGISLATÍVNY FINANČNÝ VÝKAZ</w:t>
      </w:r>
    </w:p>
    <w:p w:rsidR="003C2110" w:rsidRPr="005F31CD" w:rsidRDefault="003C2110" w:rsidP="003C2110">
      <w:pPr>
        <w:pStyle w:val="ManualHeading1"/>
      </w:pPr>
      <w:r w:rsidRPr="005F31CD">
        <w:t>1.</w:t>
      </w:r>
      <w:r w:rsidRPr="005F31CD">
        <w:tab/>
        <w:t>RÁMEC NÁVRHU/INICIATÍVY</w:t>
      </w:r>
    </w:p>
    <w:p w:rsidR="003C2110" w:rsidRPr="005F31CD" w:rsidRDefault="003C2110" w:rsidP="003C2110">
      <w:pPr>
        <w:pStyle w:val="ManualHeading2"/>
        <w:rPr>
          <w:b w:val="0"/>
        </w:rPr>
      </w:pPr>
      <w:r w:rsidRPr="005F31CD">
        <w:tab/>
      </w:r>
      <w:r w:rsidRPr="005F31CD">
        <w:rPr>
          <w:b w:val="0"/>
        </w:rPr>
        <w:t>1.1.</w:t>
      </w:r>
      <w:r w:rsidRPr="005F31CD">
        <w:tab/>
      </w:r>
      <w:r w:rsidRPr="005F31CD">
        <w:rPr>
          <w:b w:val="0"/>
        </w:rPr>
        <w:t>Názov návrhu/iniciatívy</w:t>
      </w:r>
    </w:p>
    <w:p w:rsidR="003C2110" w:rsidRPr="005F31CD" w:rsidRDefault="003C2110" w:rsidP="003C2110">
      <w:pPr>
        <w:pStyle w:val="ManualHeading2"/>
        <w:rPr>
          <w:b w:val="0"/>
        </w:rPr>
      </w:pPr>
      <w:r w:rsidRPr="005F31CD">
        <w:tab/>
      </w:r>
      <w:r w:rsidRPr="005F31CD">
        <w:rPr>
          <w:b w:val="0"/>
        </w:rPr>
        <w:t>1.2.</w:t>
      </w:r>
      <w:r w:rsidRPr="005F31CD">
        <w:tab/>
      </w:r>
      <w:r w:rsidRPr="005F31CD">
        <w:rPr>
          <w:b w:val="0"/>
        </w:rPr>
        <w:t>Príslušné oblasti politiky</w:t>
      </w:r>
      <w:r w:rsidR="005F31CD">
        <w:rPr>
          <w:b w:val="0"/>
        </w:rPr>
        <w:t xml:space="preserve"> v </w:t>
      </w:r>
      <w:r w:rsidRPr="005F31CD">
        <w:rPr>
          <w:b w:val="0"/>
        </w:rPr>
        <w:t>rámci ABM/ABB</w:t>
      </w:r>
    </w:p>
    <w:p w:rsidR="003C2110" w:rsidRPr="005F31CD" w:rsidRDefault="003C2110" w:rsidP="003C2110">
      <w:pPr>
        <w:pStyle w:val="ManualHeading2"/>
        <w:rPr>
          <w:b w:val="0"/>
        </w:rPr>
      </w:pPr>
      <w:r w:rsidRPr="005F31CD">
        <w:tab/>
      </w:r>
      <w:r w:rsidRPr="005F31CD">
        <w:rPr>
          <w:b w:val="0"/>
        </w:rPr>
        <w:t>1.3.</w:t>
      </w:r>
      <w:r w:rsidRPr="005F31CD">
        <w:tab/>
      </w:r>
      <w:r w:rsidRPr="005F31CD">
        <w:rPr>
          <w:b w:val="0"/>
        </w:rPr>
        <w:t>Druh návrhu/iniciatívy</w:t>
      </w:r>
    </w:p>
    <w:p w:rsidR="003C2110" w:rsidRPr="005F31CD" w:rsidRDefault="003C2110" w:rsidP="003C2110">
      <w:pPr>
        <w:pStyle w:val="ManualHeading2"/>
        <w:rPr>
          <w:b w:val="0"/>
        </w:rPr>
      </w:pPr>
      <w:r w:rsidRPr="005F31CD">
        <w:tab/>
      </w:r>
      <w:r w:rsidRPr="005F31CD">
        <w:rPr>
          <w:b w:val="0"/>
        </w:rPr>
        <w:t>1.4.</w:t>
      </w:r>
      <w:r w:rsidRPr="005F31CD">
        <w:tab/>
      </w:r>
      <w:r w:rsidRPr="005F31CD">
        <w:rPr>
          <w:b w:val="0"/>
        </w:rPr>
        <w:t>Ciele</w:t>
      </w:r>
    </w:p>
    <w:p w:rsidR="003C2110" w:rsidRPr="005F31CD" w:rsidRDefault="003C2110" w:rsidP="003C2110">
      <w:pPr>
        <w:pStyle w:val="ManualHeading2"/>
        <w:rPr>
          <w:b w:val="0"/>
        </w:rPr>
      </w:pPr>
      <w:r w:rsidRPr="005F31CD">
        <w:tab/>
      </w:r>
      <w:r w:rsidRPr="005F31CD">
        <w:rPr>
          <w:b w:val="0"/>
        </w:rPr>
        <w:t>1.5.</w:t>
      </w:r>
      <w:r w:rsidRPr="005F31CD">
        <w:tab/>
      </w:r>
      <w:r w:rsidRPr="005F31CD">
        <w:rPr>
          <w:b w:val="0"/>
        </w:rPr>
        <w:t>Dôvody návrhu/iniciatívy</w:t>
      </w:r>
    </w:p>
    <w:p w:rsidR="003C2110" w:rsidRPr="005F31CD" w:rsidRDefault="003C2110" w:rsidP="003C2110">
      <w:pPr>
        <w:pStyle w:val="ManualHeading2"/>
        <w:rPr>
          <w:b w:val="0"/>
        </w:rPr>
      </w:pPr>
      <w:r w:rsidRPr="005F31CD">
        <w:tab/>
      </w:r>
      <w:r w:rsidRPr="005F31CD">
        <w:rPr>
          <w:b w:val="0"/>
        </w:rPr>
        <w:t>1.6.</w:t>
      </w:r>
      <w:r w:rsidRPr="005F31CD">
        <w:tab/>
      </w:r>
      <w:r w:rsidRPr="005F31CD">
        <w:rPr>
          <w:b w:val="0"/>
        </w:rPr>
        <w:t>Trvanie</w:t>
      </w:r>
      <w:r w:rsidR="005F31CD">
        <w:rPr>
          <w:b w:val="0"/>
        </w:rPr>
        <w:t xml:space="preserve"> a </w:t>
      </w:r>
      <w:r w:rsidRPr="005F31CD">
        <w:rPr>
          <w:b w:val="0"/>
        </w:rPr>
        <w:t>finančný vplyv</w:t>
      </w:r>
    </w:p>
    <w:p w:rsidR="003C2110" w:rsidRPr="005F31CD" w:rsidRDefault="003C2110" w:rsidP="003C2110">
      <w:pPr>
        <w:pStyle w:val="ManualHeading2"/>
        <w:rPr>
          <w:b w:val="0"/>
        </w:rPr>
      </w:pPr>
      <w:r w:rsidRPr="005F31CD">
        <w:tab/>
      </w:r>
      <w:r w:rsidRPr="005F31CD">
        <w:rPr>
          <w:b w:val="0"/>
        </w:rPr>
        <w:t>1.7.</w:t>
      </w:r>
      <w:r w:rsidRPr="005F31CD">
        <w:tab/>
      </w:r>
      <w:r w:rsidRPr="005F31CD">
        <w:rPr>
          <w:b w:val="0"/>
        </w:rPr>
        <w:t>Plánovaný spôsob hospodárenia</w:t>
      </w:r>
    </w:p>
    <w:p w:rsidR="003C2110" w:rsidRPr="005F31CD" w:rsidRDefault="003C2110" w:rsidP="003C2110">
      <w:pPr>
        <w:pStyle w:val="ManualHeading1"/>
      </w:pPr>
      <w:r w:rsidRPr="005F31CD">
        <w:t>2.</w:t>
      </w:r>
      <w:r w:rsidRPr="005F31CD">
        <w:tab/>
        <w:t>OPATRENIA</w:t>
      </w:r>
      <w:r w:rsidR="005F31CD">
        <w:t xml:space="preserve"> V </w:t>
      </w:r>
      <w:r w:rsidRPr="005F31CD">
        <w:t>OBLASTI RIADENIA</w:t>
      </w:r>
    </w:p>
    <w:p w:rsidR="003C2110" w:rsidRPr="005F31CD" w:rsidRDefault="003C2110" w:rsidP="003C2110">
      <w:pPr>
        <w:pStyle w:val="ManualHeading2"/>
        <w:rPr>
          <w:b w:val="0"/>
        </w:rPr>
      </w:pPr>
      <w:r w:rsidRPr="005F31CD">
        <w:tab/>
      </w:r>
      <w:r w:rsidRPr="005F31CD">
        <w:rPr>
          <w:b w:val="0"/>
        </w:rPr>
        <w:t>2.1.</w:t>
      </w:r>
      <w:r w:rsidRPr="005F31CD">
        <w:tab/>
      </w:r>
      <w:r w:rsidRPr="005F31CD">
        <w:rPr>
          <w:b w:val="0"/>
        </w:rPr>
        <w:t>Pravidlá týkajúce sa monitorovania</w:t>
      </w:r>
      <w:r w:rsidR="005F31CD">
        <w:rPr>
          <w:b w:val="0"/>
        </w:rPr>
        <w:t xml:space="preserve"> a </w:t>
      </w:r>
      <w:r w:rsidRPr="005F31CD">
        <w:rPr>
          <w:b w:val="0"/>
        </w:rPr>
        <w:t>predkladania správ</w:t>
      </w:r>
    </w:p>
    <w:p w:rsidR="003C2110" w:rsidRPr="005F31CD" w:rsidRDefault="003C2110" w:rsidP="003C2110">
      <w:pPr>
        <w:pStyle w:val="ManualHeading2"/>
        <w:rPr>
          <w:b w:val="0"/>
        </w:rPr>
      </w:pPr>
      <w:r w:rsidRPr="005F31CD">
        <w:tab/>
      </w:r>
      <w:r w:rsidRPr="005F31CD">
        <w:rPr>
          <w:b w:val="0"/>
        </w:rPr>
        <w:t>2.2.</w:t>
      </w:r>
      <w:r w:rsidRPr="005F31CD">
        <w:tab/>
      </w:r>
      <w:r w:rsidRPr="005F31CD">
        <w:rPr>
          <w:b w:val="0"/>
        </w:rPr>
        <w:t>Systémy riadenia</w:t>
      </w:r>
      <w:r w:rsidR="005F31CD">
        <w:rPr>
          <w:b w:val="0"/>
        </w:rPr>
        <w:t xml:space="preserve"> a </w:t>
      </w:r>
      <w:r w:rsidRPr="005F31CD">
        <w:rPr>
          <w:b w:val="0"/>
        </w:rPr>
        <w:t>kontroly</w:t>
      </w:r>
    </w:p>
    <w:p w:rsidR="003C2110" w:rsidRPr="005F31CD" w:rsidRDefault="003C2110" w:rsidP="003C2110">
      <w:pPr>
        <w:pStyle w:val="ManualHeading2"/>
        <w:rPr>
          <w:b w:val="0"/>
        </w:rPr>
      </w:pPr>
      <w:r w:rsidRPr="005F31CD">
        <w:tab/>
      </w:r>
      <w:r w:rsidRPr="005F31CD">
        <w:rPr>
          <w:b w:val="0"/>
        </w:rPr>
        <w:t>2.3.</w:t>
      </w:r>
      <w:r w:rsidRPr="005F31CD">
        <w:tab/>
      </w:r>
      <w:r w:rsidRPr="005F31CD">
        <w:rPr>
          <w:b w:val="0"/>
        </w:rPr>
        <w:t>Opatrenia na predchádzanie podvodom</w:t>
      </w:r>
      <w:r w:rsidR="005F31CD">
        <w:rPr>
          <w:b w:val="0"/>
        </w:rPr>
        <w:t xml:space="preserve"> a </w:t>
      </w:r>
      <w:r w:rsidRPr="005F31CD">
        <w:rPr>
          <w:b w:val="0"/>
        </w:rPr>
        <w:t>nezrovnalostiam</w:t>
      </w:r>
    </w:p>
    <w:p w:rsidR="003C2110" w:rsidRPr="005F31CD" w:rsidRDefault="003C2110" w:rsidP="003C2110">
      <w:pPr>
        <w:pStyle w:val="ManualHeading1"/>
      </w:pPr>
      <w:r w:rsidRPr="005F31CD">
        <w:t>3.</w:t>
      </w:r>
      <w:r w:rsidRPr="005F31CD">
        <w:tab/>
        <w:t>ODHADOVANÝ FINANČNÝ VPLYV NÁVRHU/INICIATÍVY</w:t>
      </w:r>
    </w:p>
    <w:p w:rsidR="003C2110" w:rsidRPr="005F31CD" w:rsidRDefault="003C2110" w:rsidP="003C2110">
      <w:pPr>
        <w:pStyle w:val="ManualHeading2"/>
        <w:rPr>
          <w:b w:val="0"/>
        </w:rPr>
      </w:pPr>
      <w:r w:rsidRPr="005F31CD">
        <w:tab/>
      </w:r>
      <w:r w:rsidRPr="005F31CD">
        <w:rPr>
          <w:b w:val="0"/>
        </w:rPr>
        <w:t>3.1.</w:t>
      </w:r>
      <w:r w:rsidRPr="005F31CD">
        <w:tab/>
      </w:r>
      <w:r w:rsidRPr="005F31CD">
        <w:rPr>
          <w:b w:val="0"/>
        </w:rPr>
        <w:t>Príslušné okruhy viacročného finančného rámca</w:t>
      </w:r>
      <w:r w:rsidR="005F31CD">
        <w:rPr>
          <w:b w:val="0"/>
        </w:rPr>
        <w:t xml:space="preserve"> a </w:t>
      </w:r>
      <w:r w:rsidRPr="005F31CD">
        <w:rPr>
          <w:b w:val="0"/>
        </w:rPr>
        <w:t>rozpočtové riadky výdavkov</w:t>
      </w:r>
    </w:p>
    <w:p w:rsidR="003C2110" w:rsidRPr="005F31CD" w:rsidRDefault="003C2110" w:rsidP="003C2110">
      <w:pPr>
        <w:pStyle w:val="ManualHeading2"/>
      </w:pPr>
      <w:r w:rsidRPr="005F31CD">
        <w:tab/>
      </w:r>
      <w:r w:rsidRPr="005F31CD">
        <w:rPr>
          <w:b w:val="0"/>
        </w:rPr>
        <w:t>3.2.</w:t>
      </w:r>
      <w:r w:rsidRPr="005F31CD">
        <w:tab/>
      </w:r>
      <w:r w:rsidRPr="005F31CD">
        <w:rPr>
          <w:b w:val="0"/>
        </w:rPr>
        <w:t>Odhadovaný vplyv na výdavky</w:t>
      </w:r>
    </w:p>
    <w:p w:rsidR="003C2110" w:rsidRPr="005F31CD" w:rsidRDefault="003C2110" w:rsidP="003C2110">
      <w:pPr>
        <w:pStyle w:val="ManualHeading3"/>
      </w:pPr>
      <w:r w:rsidRPr="005F31CD">
        <w:tab/>
        <w:t>3.2.1.</w:t>
      </w:r>
      <w:r w:rsidRPr="005F31CD">
        <w:tab/>
        <w:t>Zhrnutie odhadovaného vplyvu na výdavky</w:t>
      </w:r>
    </w:p>
    <w:p w:rsidR="003C2110" w:rsidRPr="005F31CD" w:rsidRDefault="003C2110" w:rsidP="003C2110">
      <w:pPr>
        <w:pStyle w:val="ManualHeading3"/>
      </w:pPr>
      <w:r w:rsidRPr="005F31CD">
        <w:tab/>
        <w:t>3.2.2.</w:t>
      </w:r>
      <w:r w:rsidRPr="005F31CD">
        <w:tab/>
        <w:t>Odhadovaný vplyv na operačné rozpočtové prostriedky</w:t>
      </w:r>
    </w:p>
    <w:p w:rsidR="003C2110" w:rsidRPr="005F31CD" w:rsidRDefault="003C2110" w:rsidP="003C2110">
      <w:pPr>
        <w:pStyle w:val="ManualHeading3"/>
      </w:pPr>
      <w:r w:rsidRPr="005F31CD">
        <w:tab/>
        <w:t>3.2.3.</w:t>
      </w:r>
      <w:r w:rsidRPr="005F31CD">
        <w:tab/>
        <w:t>Odhadovaný vplyv na administratívne rozpočtové prostriedky</w:t>
      </w:r>
    </w:p>
    <w:p w:rsidR="003C2110" w:rsidRPr="005F31CD" w:rsidRDefault="003C2110" w:rsidP="003C2110">
      <w:pPr>
        <w:pStyle w:val="ManualHeading3"/>
      </w:pPr>
      <w:r w:rsidRPr="005F31CD">
        <w:tab/>
        <w:t>3.2.4.</w:t>
      </w:r>
      <w:r w:rsidRPr="005F31CD">
        <w:tab/>
        <w:t>Súlad</w:t>
      </w:r>
      <w:r w:rsidR="005F31CD">
        <w:t xml:space="preserve"> s </w:t>
      </w:r>
      <w:r w:rsidRPr="005F31CD">
        <w:t>platným viacročným finančným rámcom</w:t>
      </w:r>
    </w:p>
    <w:p w:rsidR="003C2110" w:rsidRPr="005F31CD" w:rsidRDefault="003C2110" w:rsidP="003C2110">
      <w:pPr>
        <w:pStyle w:val="ManualHeading3"/>
      </w:pPr>
      <w:r w:rsidRPr="005F31CD">
        <w:tab/>
        <w:t>3.2.5.</w:t>
      </w:r>
      <w:r w:rsidRPr="005F31CD">
        <w:tab/>
        <w:t>Príspevky od tretích strán</w:t>
      </w:r>
    </w:p>
    <w:p w:rsidR="003C2110" w:rsidRPr="005F31CD" w:rsidRDefault="003C2110" w:rsidP="003C2110">
      <w:pPr>
        <w:pStyle w:val="ManualHeading2"/>
        <w:jc w:val="left"/>
        <w:rPr>
          <w:b w:val="0"/>
        </w:rPr>
        <w:sectPr w:rsidR="003C2110" w:rsidRPr="005F31CD" w:rsidSect="005D0524">
          <w:pgSz w:w="11907" w:h="16840" w:code="9"/>
          <w:pgMar w:top="1134" w:right="1418" w:bottom="1134" w:left="1418" w:header="709" w:footer="709" w:gutter="0"/>
          <w:cols w:space="708"/>
          <w:docGrid w:linePitch="360"/>
        </w:sectPr>
      </w:pPr>
      <w:r w:rsidRPr="005F31CD">
        <w:tab/>
      </w:r>
      <w:r w:rsidRPr="005F31CD">
        <w:rPr>
          <w:b w:val="0"/>
        </w:rPr>
        <w:t>3.3.</w:t>
      </w:r>
      <w:r w:rsidRPr="005F31CD">
        <w:tab/>
      </w:r>
      <w:r w:rsidRPr="005F31CD">
        <w:rPr>
          <w:b w:val="0"/>
        </w:rPr>
        <w:t>Odhadovaný vplyv na príjmy</w:t>
      </w:r>
    </w:p>
    <w:p w:rsidR="003C2110" w:rsidRPr="005F31CD" w:rsidRDefault="003C2110" w:rsidP="003C2110">
      <w:pPr>
        <w:jc w:val="center"/>
        <w:rPr>
          <w:b/>
          <w:u w:val="single"/>
        </w:rPr>
      </w:pPr>
      <w:r w:rsidRPr="005F31CD">
        <w:rPr>
          <w:b/>
          <w:u w:val="single"/>
        </w:rPr>
        <w:t>LEGISLATÍVNY FINANČNÝ VÝKAZ</w:t>
      </w:r>
    </w:p>
    <w:p w:rsidR="003C2110" w:rsidRPr="005F31CD" w:rsidRDefault="003C2110" w:rsidP="003C2110">
      <w:pPr>
        <w:pStyle w:val="ManualHeading1"/>
      </w:pPr>
      <w:r w:rsidRPr="005F31CD">
        <w:t>1.</w:t>
      </w:r>
      <w:r w:rsidRPr="005F31CD">
        <w:tab/>
        <w:t>RÁMEC NÁVRHU/INICIATÍVY</w:t>
      </w:r>
    </w:p>
    <w:p w:rsidR="003C2110" w:rsidRPr="005F31CD" w:rsidRDefault="003C2110" w:rsidP="003C2110">
      <w:pPr>
        <w:pStyle w:val="ManualHeading2"/>
        <w:rPr>
          <w:spacing w:val="-4"/>
        </w:rPr>
      </w:pPr>
      <w:r w:rsidRPr="005F31CD">
        <w:t>1.1.</w:t>
      </w:r>
      <w:r w:rsidRPr="005F31CD">
        <w:tab/>
      </w:r>
      <w:r w:rsidRPr="005F31CD">
        <w:rPr>
          <w:spacing w:val="-4"/>
        </w:rPr>
        <w:t>Názov návrhu/iniciatívy</w:t>
      </w:r>
    </w:p>
    <w:p w:rsidR="003C2110" w:rsidRPr="005F31CD" w:rsidRDefault="003C2110" w:rsidP="003C2110">
      <w:pPr>
        <w:pStyle w:val="Text1"/>
        <w:rPr>
          <w:spacing w:val="-4"/>
        </w:rPr>
      </w:pPr>
      <w:r w:rsidRPr="005F31CD">
        <w:rPr>
          <w:spacing w:val="-4"/>
        </w:rPr>
        <w:t>Návrh rozhodnutia Európskeho parlamentu</w:t>
      </w:r>
      <w:r w:rsidR="005F31CD">
        <w:rPr>
          <w:spacing w:val="-4"/>
        </w:rPr>
        <w:t xml:space="preserve"> a </w:t>
      </w:r>
      <w:r w:rsidRPr="005F31CD">
        <w:rPr>
          <w:spacing w:val="-4"/>
        </w:rPr>
        <w:t>Rady</w:t>
      </w:r>
      <w:r w:rsidR="005F31CD">
        <w:rPr>
          <w:spacing w:val="-4"/>
        </w:rPr>
        <w:t xml:space="preserve"> o </w:t>
      </w:r>
      <w:r w:rsidRPr="005F31CD">
        <w:rPr>
          <w:spacing w:val="-4"/>
        </w:rPr>
        <w:t>poskytnutí makrofinančnej pomoci Gruzínsku</w:t>
      </w:r>
    </w:p>
    <w:p w:rsidR="003C2110" w:rsidRPr="005F31CD" w:rsidRDefault="003C2110" w:rsidP="003C2110">
      <w:pPr>
        <w:pStyle w:val="ManualHeading2"/>
        <w:rPr>
          <w:spacing w:val="-4"/>
        </w:rPr>
      </w:pPr>
      <w:r w:rsidRPr="005F31CD">
        <w:rPr>
          <w:spacing w:val="-4"/>
        </w:rPr>
        <w:t>1.2.</w:t>
      </w:r>
      <w:r w:rsidRPr="005F31CD">
        <w:rPr>
          <w:spacing w:val="-4"/>
        </w:rPr>
        <w:tab/>
        <w:t>Príslušné oblasti politiky</w:t>
      </w:r>
      <w:r w:rsidR="005F31CD">
        <w:rPr>
          <w:spacing w:val="-4"/>
        </w:rPr>
        <w:t xml:space="preserve"> v </w:t>
      </w:r>
      <w:r w:rsidRPr="005F31CD">
        <w:rPr>
          <w:spacing w:val="-4"/>
        </w:rPr>
        <w:t>rámci ABM/ABB</w:t>
      </w:r>
      <w:r w:rsidRPr="005F31CD">
        <w:rPr>
          <w:rStyle w:val="FootnoteReference"/>
          <w:spacing w:val="-4"/>
        </w:rPr>
        <w:footnoteReference w:id="15"/>
      </w:r>
    </w:p>
    <w:p w:rsidR="003C2110" w:rsidRPr="005F31CD" w:rsidRDefault="003C2110" w:rsidP="003C2110">
      <w:pPr>
        <w:pStyle w:val="Text1"/>
        <w:rPr>
          <w:spacing w:val="-4"/>
        </w:rPr>
      </w:pPr>
      <w:r w:rsidRPr="005F31CD">
        <w:rPr>
          <w:spacing w:val="-4"/>
        </w:rPr>
        <w:t>Oblasť politiky:</w:t>
      </w:r>
      <w:r w:rsidRPr="005F31CD">
        <w:rPr>
          <w:spacing w:val="-4"/>
        </w:rPr>
        <w:tab/>
        <w:t>Hlava 01 – Hospodárske</w:t>
      </w:r>
      <w:r w:rsidR="005F31CD">
        <w:rPr>
          <w:spacing w:val="-4"/>
        </w:rPr>
        <w:t xml:space="preserve"> a </w:t>
      </w:r>
      <w:r w:rsidRPr="005F31CD">
        <w:rPr>
          <w:spacing w:val="-4"/>
        </w:rPr>
        <w:t>finančné veci</w:t>
      </w:r>
    </w:p>
    <w:p w:rsidR="003C2110" w:rsidRPr="005F31CD" w:rsidRDefault="003C2110" w:rsidP="003C2110">
      <w:pPr>
        <w:pStyle w:val="Text1"/>
        <w:rPr>
          <w:spacing w:val="-4"/>
        </w:rPr>
      </w:pPr>
      <w:r w:rsidRPr="005F31CD">
        <w:rPr>
          <w:spacing w:val="-4"/>
        </w:rPr>
        <w:t>Činnosť:</w:t>
      </w:r>
      <w:r w:rsidR="00C44F52">
        <w:rPr>
          <w:spacing w:val="-4"/>
        </w:rPr>
        <w:tab/>
      </w:r>
      <w:r w:rsidRPr="005F31CD">
        <w:rPr>
          <w:spacing w:val="-4"/>
        </w:rPr>
        <w:t>03 – Medzinárodné hospodárske</w:t>
      </w:r>
      <w:r w:rsidR="005F31CD">
        <w:rPr>
          <w:spacing w:val="-4"/>
        </w:rPr>
        <w:t xml:space="preserve"> a </w:t>
      </w:r>
      <w:r w:rsidRPr="005F31CD">
        <w:rPr>
          <w:spacing w:val="-4"/>
        </w:rPr>
        <w:t>finančné veci</w:t>
      </w:r>
    </w:p>
    <w:p w:rsidR="003C2110" w:rsidRPr="005F31CD" w:rsidRDefault="003C2110" w:rsidP="003C2110">
      <w:pPr>
        <w:pStyle w:val="ManualHeading2"/>
        <w:rPr>
          <w:spacing w:val="-4"/>
        </w:rPr>
      </w:pPr>
      <w:r w:rsidRPr="005F31CD">
        <w:rPr>
          <w:spacing w:val="-4"/>
        </w:rPr>
        <w:t>1.3.</w:t>
      </w:r>
      <w:r w:rsidRPr="005F31CD">
        <w:rPr>
          <w:spacing w:val="-4"/>
        </w:rPr>
        <w:tab/>
        <w:t>Druh návrhu/iniciatívy</w:t>
      </w:r>
    </w:p>
    <w:p w:rsidR="003C2110" w:rsidRPr="005F31CD" w:rsidRDefault="003C2110" w:rsidP="003C2110">
      <w:pPr>
        <w:pStyle w:val="Text1"/>
        <w:rPr>
          <w:b/>
          <w:spacing w:val="-4"/>
        </w:rPr>
      </w:pPr>
      <w:r w:rsidRPr="005F31CD">
        <w:rPr>
          <w:spacing w:val="-4"/>
        </w:rPr>
        <w:t xml:space="preserve">X Návrh/iniciatíva sa týka </w:t>
      </w:r>
      <w:r w:rsidRPr="005F31CD">
        <w:rPr>
          <w:b/>
          <w:spacing w:val="-4"/>
        </w:rPr>
        <w:t>novej akcie</w:t>
      </w:r>
    </w:p>
    <w:p w:rsidR="003C2110" w:rsidRPr="005F31CD" w:rsidRDefault="003C2110" w:rsidP="003C2110">
      <w:pPr>
        <w:pStyle w:val="ManualHeading2"/>
        <w:rPr>
          <w:spacing w:val="-4"/>
        </w:rPr>
      </w:pPr>
      <w:r w:rsidRPr="005F31CD">
        <w:rPr>
          <w:spacing w:val="-4"/>
        </w:rPr>
        <w:t>1.4.</w:t>
      </w:r>
      <w:r w:rsidRPr="005F31CD">
        <w:rPr>
          <w:spacing w:val="-4"/>
        </w:rPr>
        <w:tab/>
        <w:t>Ciele</w:t>
      </w:r>
    </w:p>
    <w:p w:rsidR="003C2110" w:rsidRPr="005F31CD" w:rsidRDefault="003C2110" w:rsidP="003C2110">
      <w:pPr>
        <w:pStyle w:val="ManualHeading3"/>
        <w:rPr>
          <w:b/>
          <w:spacing w:val="-4"/>
        </w:rPr>
      </w:pPr>
      <w:r w:rsidRPr="005F31CD">
        <w:rPr>
          <w:spacing w:val="-4"/>
        </w:rPr>
        <w:t>1.4.1.</w:t>
      </w:r>
      <w:r w:rsidRPr="005F31CD">
        <w:rPr>
          <w:spacing w:val="-4"/>
        </w:rPr>
        <w:tab/>
        <w:t>Viacročné strategické ciele Komisie, ktoré sú predmetom návrhu/iniciatívy</w:t>
      </w:r>
    </w:p>
    <w:p w:rsidR="003C2110" w:rsidRPr="005F31CD" w:rsidRDefault="003C2110" w:rsidP="003C2110">
      <w:pPr>
        <w:pStyle w:val="Text1"/>
        <w:rPr>
          <w:spacing w:val="-4"/>
        </w:rPr>
      </w:pPr>
      <w:r w:rsidRPr="005F31CD">
        <w:rPr>
          <w:spacing w:val="-4"/>
        </w:rPr>
        <w:t>„Ďalšie posilnenie zamestnanosti, rastu</w:t>
      </w:r>
      <w:r w:rsidR="005F31CD">
        <w:rPr>
          <w:spacing w:val="-4"/>
        </w:rPr>
        <w:t xml:space="preserve"> a </w:t>
      </w:r>
      <w:r w:rsidRPr="005F31CD">
        <w:rPr>
          <w:spacing w:val="-4"/>
        </w:rPr>
        <w:t>investícií: podpora prosperity za hranicami EÚ“</w:t>
      </w:r>
    </w:p>
    <w:p w:rsidR="003C2110" w:rsidRPr="005F31CD" w:rsidRDefault="003C2110" w:rsidP="003C2110">
      <w:pPr>
        <w:pStyle w:val="Text1"/>
        <w:rPr>
          <w:spacing w:val="-4"/>
        </w:rPr>
      </w:pPr>
      <w:r w:rsidRPr="005F31CD">
        <w:rPr>
          <w:spacing w:val="-4"/>
        </w:rPr>
        <w:t>Činnosti súvisiace</w:t>
      </w:r>
      <w:r w:rsidR="005F31CD">
        <w:rPr>
          <w:spacing w:val="-4"/>
        </w:rPr>
        <w:t xml:space="preserve"> s </w:t>
      </w:r>
      <w:r w:rsidRPr="005F31CD">
        <w:rPr>
          <w:spacing w:val="-4"/>
        </w:rPr>
        <w:t>GR pre hospodárske</w:t>
      </w:r>
      <w:r w:rsidR="005F31CD">
        <w:rPr>
          <w:spacing w:val="-4"/>
        </w:rPr>
        <w:t xml:space="preserve"> a </w:t>
      </w:r>
      <w:r w:rsidRPr="005F31CD">
        <w:rPr>
          <w:spacing w:val="-4"/>
        </w:rPr>
        <w:t>finančné záležitosti sa týkajú:</w:t>
      </w:r>
    </w:p>
    <w:p w:rsidR="003C2110" w:rsidRPr="005F31CD" w:rsidRDefault="003C2110" w:rsidP="003C2110">
      <w:pPr>
        <w:pStyle w:val="Point1"/>
        <w:rPr>
          <w:spacing w:val="-4"/>
        </w:rPr>
      </w:pPr>
      <w:bookmarkStart w:id="4" w:name="DQPStarAt1DQPStarAt351C4F57ADBE4CD1A629F"/>
      <w:r w:rsidRPr="005F31CD">
        <w:rPr>
          <w:spacing w:val="-4"/>
        </w:rPr>
        <w:t>a)</w:t>
      </w:r>
      <w:r w:rsidRPr="005F31CD">
        <w:rPr>
          <w:spacing w:val="-4"/>
        </w:rPr>
        <w:tab/>
        <w:t>podpory makrofinančnej stability</w:t>
      </w:r>
      <w:r w:rsidR="005F31CD">
        <w:rPr>
          <w:spacing w:val="-4"/>
        </w:rPr>
        <w:t xml:space="preserve"> a </w:t>
      </w:r>
      <w:r w:rsidRPr="005F31CD">
        <w:rPr>
          <w:spacing w:val="-4"/>
        </w:rPr>
        <w:t>podpory reforiem na podporu rastu mimo EÚ,</w:t>
      </w:r>
      <w:r w:rsidR="005F31CD">
        <w:rPr>
          <w:spacing w:val="-4"/>
        </w:rPr>
        <w:t xml:space="preserve"> a </w:t>
      </w:r>
      <w:r w:rsidRPr="005F31CD">
        <w:rPr>
          <w:spacing w:val="-4"/>
        </w:rPr>
        <w:t>to aj prostredníctvom pravidelného hospodárskeho dialógu</w:t>
      </w:r>
      <w:r w:rsidR="005F31CD">
        <w:rPr>
          <w:spacing w:val="-4"/>
        </w:rPr>
        <w:t xml:space="preserve"> s </w:t>
      </w:r>
      <w:r w:rsidRPr="005F31CD">
        <w:rPr>
          <w:spacing w:val="-4"/>
        </w:rPr>
        <w:t>kľúčovými partnermi</w:t>
      </w:r>
      <w:r w:rsidR="005F31CD">
        <w:rPr>
          <w:spacing w:val="-4"/>
        </w:rPr>
        <w:t xml:space="preserve"> a </w:t>
      </w:r>
      <w:r w:rsidRPr="005F31CD">
        <w:rPr>
          <w:spacing w:val="-4"/>
        </w:rPr>
        <w:t>poskytovaním makrofinančnej pomoci a</w:t>
      </w:r>
    </w:p>
    <w:bookmarkEnd w:id="4"/>
    <w:p w:rsidR="003C2110" w:rsidRPr="005F31CD" w:rsidRDefault="003C2110" w:rsidP="003C2110">
      <w:pPr>
        <w:pStyle w:val="Point1"/>
        <w:rPr>
          <w:spacing w:val="-4"/>
        </w:rPr>
      </w:pPr>
      <w:r w:rsidRPr="005F31CD">
        <w:rPr>
          <w:spacing w:val="-4"/>
        </w:rPr>
        <w:t>b)</w:t>
      </w:r>
      <w:r w:rsidRPr="005F31CD">
        <w:rPr>
          <w:spacing w:val="-4"/>
        </w:rPr>
        <w:tab/>
        <w:t>podpory procesu rozširovania, vykonávania susedskej politiky EÚ</w:t>
      </w:r>
      <w:r w:rsidR="005F31CD">
        <w:rPr>
          <w:spacing w:val="-4"/>
        </w:rPr>
        <w:t xml:space="preserve"> a </w:t>
      </w:r>
      <w:r w:rsidRPr="005F31CD">
        <w:rPr>
          <w:spacing w:val="-4"/>
        </w:rPr>
        <w:t>priorít EÚ</w:t>
      </w:r>
      <w:r w:rsidR="005F31CD">
        <w:rPr>
          <w:spacing w:val="-4"/>
        </w:rPr>
        <w:t xml:space="preserve"> v </w:t>
      </w:r>
      <w:r w:rsidRPr="005F31CD">
        <w:rPr>
          <w:spacing w:val="-4"/>
        </w:rPr>
        <w:t>iných tretích krajinách vykonávaním hospodárskej analýzy</w:t>
      </w:r>
      <w:r w:rsidR="005F31CD">
        <w:rPr>
          <w:spacing w:val="-4"/>
        </w:rPr>
        <w:t xml:space="preserve"> a </w:t>
      </w:r>
      <w:r w:rsidRPr="005F31CD">
        <w:rPr>
          <w:spacing w:val="-4"/>
        </w:rPr>
        <w:t>poskytovaním posúdení</w:t>
      </w:r>
      <w:r w:rsidR="005F31CD">
        <w:rPr>
          <w:spacing w:val="-4"/>
        </w:rPr>
        <w:t xml:space="preserve"> a </w:t>
      </w:r>
      <w:r w:rsidRPr="005F31CD">
        <w:rPr>
          <w:spacing w:val="-4"/>
        </w:rPr>
        <w:t>poradenstva pri tvorbe politík.</w:t>
      </w:r>
    </w:p>
    <w:p w:rsidR="003C2110" w:rsidRPr="005F31CD" w:rsidRDefault="003C2110" w:rsidP="003C2110">
      <w:pPr>
        <w:pStyle w:val="ManualHeading3"/>
        <w:rPr>
          <w:spacing w:val="-4"/>
        </w:rPr>
      </w:pPr>
      <w:r w:rsidRPr="005F31CD">
        <w:rPr>
          <w:spacing w:val="-4"/>
        </w:rPr>
        <w:t>1.4.2.</w:t>
      </w:r>
      <w:r w:rsidRPr="005F31CD">
        <w:rPr>
          <w:spacing w:val="-4"/>
        </w:rPr>
        <w:tab/>
        <w:t>Osobitné ciele</w:t>
      </w:r>
      <w:r w:rsidR="005F31CD">
        <w:rPr>
          <w:spacing w:val="-4"/>
        </w:rPr>
        <w:t xml:space="preserve"> a </w:t>
      </w:r>
      <w:r w:rsidRPr="005F31CD">
        <w:rPr>
          <w:spacing w:val="-4"/>
        </w:rPr>
        <w:t>príslušné činnosti</w:t>
      </w:r>
      <w:r w:rsidR="005F31CD">
        <w:rPr>
          <w:spacing w:val="-4"/>
        </w:rPr>
        <w:t xml:space="preserve"> v </w:t>
      </w:r>
      <w:r w:rsidRPr="005F31CD">
        <w:rPr>
          <w:spacing w:val="-4"/>
        </w:rPr>
        <w:t>rámci ABM/ABB</w:t>
      </w:r>
    </w:p>
    <w:p w:rsidR="003C2110" w:rsidRPr="005F31CD" w:rsidRDefault="003C2110" w:rsidP="003C2110">
      <w:pPr>
        <w:pStyle w:val="Text1"/>
        <w:rPr>
          <w:spacing w:val="-4"/>
        </w:rPr>
      </w:pPr>
      <w:r w:rsidRPr="005F31CD">
        <w:rPr>
          <w:spacing w:val="-4"/>
          <w:u w:val="single"/>
        </w:rPr>
        <w:t>Osobitný cieľ:</w:t>
      </w:r>
      <w:r w:rsidRPr="005F31CD">
        <w:rPr>
          <w:spacing w:val="-4"/>
        </w:rPr>
        <w:t xml:space="preserve"> „Podpora prosperity za hranicami EÚ“</w:t>
      </w:r>
    </w:p>
    <w:p w:rsidR="003C2110" w:rsidRPr="005F31CD" w:rsidRDefault="003C2110" w:rsidP="003C2110">
      <w:pPr>
        <w:pStyle w:val="Text1"/>
        <w:rPr>
          <w:spacing w:val="-4"/>
          <w:u w:val="single"/>
        </w:rPr>
      </w:pPr>
      <w:r w:rsidRPr="005F31CD">
        <w:rPr>
          <w:spacing w:val="-4"/>
          <w:u w:val="single"/>
        </w:rPr>
        <w:t>Príslušné činnosti</w:t>
      </w:r>
      <w:r w:rsidR="005F31CD">
        <w:rPr>
          <w:spacing w:val="-4"/>
          <w:u w:val="single"/>
        </w:rPr>
        <w:t xml:space="preserve"> v </w:t>
      </w:r>
      <w:r w:rsidRPr="005F31CD">
        <w:rPr>
          <w:spacing w:val="-4"/>
          <w:u w:val="single"/>
        </w:rPr>
        <w:t>rámci ABM/ABB:</w:t>
      </w:r>
    </w:p>
    <w:p w:rsidR="003C2110" w:rsidRPr="005F31CD" w:rsidRDefault="003C2110" w:rsidP="003C2110">
      <w:pPr>
        <w:pStyle w:val="Point1"/>
        <w:rPr>
          <w:spacing w:val="-4"/>
        </w:rPr>
      </w:pPr>
      <w:bookmarkStart w:id="5" w:name="DQPStarAt1DQPStarAtF7758E04FF5D423898176"/>
      <w:r w:rsidRPr="005F31CD">
        <w:rPr>
          <w:spacing w:val="-4"/>
        </w:rPr>
        <w:t>a)</w:t>
      </w:r>
      <w:r w:rsidRPr="005F31CD">
        <w:rPr>
          <w:spacing w:val="-4"/>
        </w:rPr>
        <w:tab/>
        <w:t>podpora makrofinančnej stability</w:t>
      </w:r>
      <w:r w:rsidR="005F31CD">
        <w:rPr>
          <w:spacing w:val="-4"/>
        </w:rPr>
        <w:t xml:space="preserve"> a </w:t>
      </w:r>
      <w:r w:rsidRPr="005F31CD">
        <w:rPr>
          <w:spacing w:val="-4"/>
        </w:rPr>
        <w:t>podpora reforiem na podporu rastu mimo EÚ,</w:t>
      </w:r>
      <w:r w:rsidR="005F31CD">
        <w:rPr>
          <w:spacing w:val="-4"/>
        </w:rPr>
        <w:t xml:space="preserve"> a </w:t>
      </w:r>
      <w:r w:rsidRPr="005F31CD">
        <w:rPr>
          <w:spacing w:val="-4"/>
        </w:rPr>
        <w:t>to aj prostredníctvom pravidelného hospodárskeho dialógu</w:t>
      </w:r>
      <w:r w:rsidR="005F31CD">
        <w:rPr>
          <w:spacing w:val="-4"/>
        </w:rPr>
        <w:t xml:space="preserve"> s </w:t>
      </w:r>
      <w:r w:rsidRPr="005F31CD">
        <w:rPr>
          <w:spacing w:val="-4"/>
        </w:rPr>
        <w:t>kľúčovými partnermi</w:t>
      </w:r>
      <w:r w:rsidR="005F31CD">
        <w:rPr>
          <w:spacing w:val="-4"/>
        </w:rPr>
        <w:t xml:space="preserve"> a </w:t>
      </w:r>
      <w:r w:rsidRPr="005F31CD">
        <w:rPr>
          <w:spacing w:val="-4"/>
        </w:rPr>
        <w:t>poskytovaním makrofinančnej pomoci a</w:t>
      </w:r>
    </w:p>
    <w:bookmarkEnd w:id="5"/>
    <w:p w:rsidR="003C2110" w:rsidRPr="005F31CD" w:rsidRDefault="003C2110" w:rsidP="003C2110">
      <w:pPr>
        <w:pStyle w:val="Point1"/>
        <w:rPr>
          <w:spacing w:val="-4"/>
        </w:rPr>
      </w:pPr>
      <w:r w:rsidRPr="005F31CD">
        <w:rPr>
          <w:spacing w:val="-4"/>
        </w:rPr>
        <w:t>b)</w:t>
      </w:r>
      <w:r w:rsidRPr="005F31CD">
        <w:rPr>
          <w:spacing w:val="-4"/>
        </w:rPr>
        <w:tab/>
        <w:t>podpora procesu rozširovania, vykonávania susedskej politiky EÚ</w:t>
      </w:r>
      <w:r w:rsidR="005F31CD">
        <w:rPr>
          <w:spacing w:val="-4"/>
        </w:rPr>
        <w:t xml:space="preserve"> a </w:t>
      </w:r>
      <w:r w:rsidRPr="005F31CD">
        <w:rPr>
          <w:spacing w:val="-4"/>
        </w:rPr>
        <w:t>priorít EÚ</w:t>
      </w:r>
      <w:r w:rsidR="005F31CD">
        <w:rPr>
          <w:spacing w:val="-4"/>
        </w:rPr>
        <w:t xml:space="preserve"> v </w:t>
      </w:r>
      <w:r w:rsidRPr="005F31CD">
        <w:rPr>
          <w:spacing w:val="-4"/>
        </w:rPr>
        <w:t>iných tretích krajinách vykonávaním hospodárskej analýzy</w:t>
      </w:r>
      <w:r w:rsidR="005F31CD">
        <w:rPr>
          <w:spacing w:val="-4"/>
        </w:rPr>
        <w:t xml:space="preserve"> a </w:t>
      </w:r>
      <w:r w:rsidRPr="005F31CD">
        <w:rPr>
          <w:spacing w:val="-4"/>
        </w:rPr>
        <w:t>poskytovaním posúdení</w:t>
      </w:r>
      <w:r w:rsidR="005F31CD">
        <w:rPr>
          <w:spacing w:val="-4"/>
        </w:rPr>
        <w:t xml:space="preserve"> a </w:t>
      </w:r>
      <w:r w:rsidRPr="005F31CD">
        <w:rPr>
          <w:spacing w:val="-4"/>
        </w:rPr>
        <w:t>poradenstva pri tvorbe politík.</w:t>
      </w:r>
    </w:p>
    <w:p w:rsidR="003C2110" w:rsidRPr="005F31CD" w:rsidRDefault="003C2110" w:rsidP="003C2110">
      <w:pPr>
        <w:pStyle w:val="ManualHeading3"/>
        <w:rPr>
          <w:b/>
          <w:spacing w:val="-4"/>
        </w:rPr>
      </w:pPr>
      <w:r w:rsidRPr="005F31CD">
        <w:rPr>
          <w:spacing w:val="-4"/>
        </w:rPr>
        <w:t>1.4.3.</w:t>
      </w:r>
      <w:r w:rsidRPr="005F31CD">
        <w:rPr>
          <w:spacing w:val="-4"/>
        </w:rPr>
        <w:tab/>
        <w:t>Očakávané výsledky</w:t>
      </w:r>
      <w:r w:rsidR="005F31CD">
        <w:rPr>
          <w:spacing w:val="-4"/>
        </w:rPr>
        <w:t xml:space="preserve"> a </w:t>
      </w:r>
      <w:r w:rsidRPr="005F31CD">
        <w:rPr>
          <w:spacing w:val="-4"/>
        </w:rPr>
        <w:t>vplyv</w:t>
      </w:r>
    </w:p>
    <w:p w:rsidR="003C2110" w:rsidRPr="005F31CD" w:rsidRDefault="003C2110" w:rsidP="003C2110">
      <w:pPr>
        <w:pStyle w:val="Text1"/>
        <w:rPr>
          <w:spacing w:val="-4"/>
        </w:rPr>
      </w:pPr>
      <w:r w:rsidRPr="005F31CD">
        <w:rPr>
          <w:spacing w:val="-4"/>
        </w:rPr>
        <w:t>Navrhovanú pomoc tvorí úver EÚ vo výške do 35 miliónov EUR</w:t>
      </w:r>
      <w:r w:rsidR="005F31CD">
        <w:rPr>
          <w:spacing w:val="-4"/>
        </w:rPr>
        <w:t xml:space="preserve"> a </w:t>
      </w:r>
      <w:r w:rsidRPr="005F31CD">
        <w:rPr>
          <w:spacing w:val="-4"/>
        </w:rPr>
        <w:t>grant vo výške do 10 miliónov EUR pre Gruzínsko</w:t>
      </w:r>
      <w:r w:rsidR="005F31CD">
        <w:rPr>
          <w:spacing w:val="-4"/>
        </w:rPr>
        <w:t xml:space="preserve"> s </w:t>
      </w:r>
      <w:r w:rsidRPr="005F31CD">
        <w:rPr>
          <w:spacing w:val="-4"/>
        </w:rPr>
        <w:t>cieľom prispieť</w:t>
      </w:r>
      <w:r w:rsidR="005F31CD">
        <w:rPr>
          <w:spacing w:val="-4"/>
        </w:rPr>
        <w:t xml:space="preserve"> k </w:t>
      </w:r>
      <w:r w:rsidRPr="005F31CD">
        <w:rPr>
          <w:spacing w:val="-4"/>
        </w:rPr>
        <w:t>zvýšeniu udržateľnosti platobnej bilancie. Pomoc, ktorá sa má vyplatiť</w:t>
      </w:r>
      <w:r w:rsidR="005F31CD">
        <w:rPr>
          <w:spacing w:val="-4"/>
        </w:rPr>
        <w:t xml:space="preserve"> v </w:t>
      </w:r>
      <w:r w:rsidRPr="005F31CD">
        <w:rPr>
          <w:spacing w:val="-4"/>
        </w:rPr>
        <w:t>dvoch splátkach, by mala krajine pomôcť prekonať zložitú situáciu</w:t>
      </w:r>
      <w:r w:rsidR="005F31CD">
        <w:rPr>
          <w:spacing w:val="-4"/>
        </w:rPr>
        <w:t xml:space="preserve"> v </w:t>
      </w:r>
      <w:r w:rsidRPr="005F31CD">
        <w:rPr>
          <w:spacing w:val="-4"/>
        </w:rPr>
        <w:t>hospodárstve</w:t>
      </w:r>
      <w:r w:rsidR="005F31CD">
        <w:rPr>
          <w:spacing w:val="-4"/>
        </w:rPr>
        <w:t xml:space="preserve"> a v </w:t>
      </w:r>
      <w:r w:rsidRPr="005F31CD">
        <w:rPr>
          <w:spacing w:val="-4"/>
        </w:rPr>
        <w:t>oblasti platobnej bilancie. Zároveň sa ňou podporia štrukturálne reformy zamerané na zvýšenie udržateľného hospodárskeho rastu, zníženie makroekonomickej zraniteľnosti</w:t>
      </w:r>
      <w:r w:rsidR="005F31CD">
        <w:rPr>
          <w:spacing w:val="-4"/>
        </w:rPr>
        <w:t xml:space="preserve"> a </w:t>
      </w:r>
      <w:r w:rsidRPr="005F31CD">
        <w:rPr>
          <w:spacing w:val="-4"/>
        </w:rPr>
        <w:t>zlepšenie riadenia verejných financií.</w:t>
      </w:r>
    </w:p>
    <w:p w:rsidR="003C2110" w:rsidRPr="005F31CD" w:rsidRDefault="003C2110" w:rsidP="003C2110">
      <w:pPr>
        <w:pStyle w:val="ManualHeading3"/>
        <w:rPr>
          <w:spacing w:val="-4"/>
        </w:rPr>
      </w:pPr>
      <w:r w:rsidRPr="005F31CD">
        <w:rPr>
          <w:spacing w:val="-4"/>
        </w:rPr>
        <w:t>1.4.4.</w:t>
      </w:r>
      <w:r w:rsidRPr="005F31CD">
        <w:rPr>
          <w:spacing w:val="-4"/>
        </w:rPr>
        <w:tab/>
        <w:t>Ukazovatele výsledkov</w:t>
      </w:r>
      <w:r w:rsidR="005F31CD">
        <w:rPr>
          <w:spacing w:val="-4"/>
        </w:rPr>
        <w:t xml:space="preserve"> a </w:t>
      </w:r>
      <w:r w:rsidRPr="005F31CD">
        <w:rPr>
          <w:spacing w:val="-4"/>
        </w:rPr>
        <w:t>vplyvu</w:t>
      </w:r>
    </w:p>
    <w:p w:rsidR="003C2110" w:rsidRPr="005F31CD" w:rsidRDefault="003C2110" w:rsidP="003C2110">
      <w:pPr>
        <w:pStyle w:val="Text1"/>
        <w:rPr>
          <w:spacing w:val="-4"/>
        </w:rPr>
      </w:pPr>
      <w:r w:rsidRPr="005F31CD">
        <w:rPr>
          <w:spacing w:val="-4"/>
        </w:rPr>
        <w:t>Od orgánov sa bude vyžadovať, aby útvarom Komisie predkladali pravidelné správy</w:t>
      </w:r>
      <w:r w:rsidR="005F31CD">
        <w:rPr>
          <w:spacing w:val="-4"/>
        </w:rPr>
        <w:t xml:space="preserve"> o </w:t>
      </w:r>
      <w:r w:rsidRPr="005F31CD">
        <w:rPr>
          <w:spacing w:val="-4"/>
        </w:rPr>
        <w:t>súbore ukazovateľov</w:t>
      </w:r>
      <w:r w:rsidR="005F31CD">
        <w:rPr>
          <w:spacing w:val="-4"/>
        </w:rPr>
        <w:t xml:space="preserve"> a </w:t>
      </w:r>
      <w:r w:rsidRPr="005F31CD">
        <w:rPr>
          <w:spacing w:val="-4"/>
        </w:rPr>
        <w:t>pred vyplatením všetkých splátok pomoci predložili komplexnú správu</w:t>
      </w:r>
      <w:r w:rsidR="005F31CD">
        <w:rPr>
          <w:spacing w:val="-4"/>
        </w:rPr>
        <w:t xml:space="preserve"> o </w:t>
      </w:r>
      <w:r w:rsidRPr="005F31CD">
        <w:rPr>
          <w:spacing w:val="-4"/>
        </w:rPr>
        <w:t>plnení dohodnutých politických podmienok.</w:t>
      </w:r>
    </w:p>
    <w:p w:rsidR="003C2110" w:rsidRPr="005F31CD" w:rsidRDefault="003C2110" w:rsidP="003C2110">
      <w:pPr>
        <w:pStyle w:val="Text1"/>
        <w:rPr>
          <w:spacing w:val="-4"/>
        </w:rPr>
      </w:pPr>
      <w:r w:rsidRPr="005F31CD">
        <w:rPr>
          <w:spacing w:val="-4"/>
        </w:rPr>
        <w:t>Útvary Komisie budú naďalej monitorovať riadenie verejných financií</w:t>
      </w:r>
      <w:r w:rsidR="005F31CD">
        <w:rPr>
          <w:spacing w:val="-4"/>
        </w:rPr>
        <w:t xml:space="preserve"> v </w:t>
      </w:r>
      <w:r w:rsidRPr="005F31CD">
        <w:rPr>
          <w:spacing w:val="-4"/>
        </w:rPr>
        <w:t>nadväznosti na operatívne posúdenie finančných tokov</w:t>
      </w:r>
      <w:r w:rsidR="005F31CD">
        <w:rPr>
          <w:spacing w:val="-4"/>
        </w:rPr>
        <w:t xml:space="preserve"> a </w:t>
      </w:r>
      <w:r w:rsidRPr="005F31CD">
        <w:rPr>
          <w:spacing w:val="-4"/>
        </w:rPr>
        <w:t>administratívnych postupov</w:t>
      </w:r>
      <w:r w:rsidR="005F31CD">
        <w:rPr>
          <w:spacing w:val="-4"/>
        </w:rPr>
        <w:t xml:space="preserve"> v </w:t>
      </w:r>
      <w:r w:rsidRPr="005F31CD">
        <w:rPr>
          <w:spacing w:val="-4"/>
        </w:rPr>
        <w:t>Gruzínsku, ktoré sa vykonalo pri príprave tejto operácie. Delegácia EÚ</w:t>
      </w:r>
      <w:r w:rsidR="005F31CD">
        <w:rPr>
          <w:spacing w:val="-4"/>
        </w:rPr>
        <w:t xml:space="preserve"> v </w:t>
      </w:r>
      <w:r w:rsidRPr="005F31CD">
        <w:rPr>
          <w:spacing w:val="-4"/>
        </w:rPr>
        <w:t>Tbilisi bude predkladať aj pravidelné správy</w:t>
      </w:r>
      <w:r w:rsidR="005F31CD">
        <w:rPr>
          <w:spacing w:val="-4"/>
        </w:rPr>
        <w:t xml:space="preserve"> o </w:t>
      </w:r>
      <w:r w:rsidRPr="005F31CD">
        <w:rPr>
          <w:spacing w:val="-4"/>
        </w:rPr>
        <w:t>otázkach týkajúcich sa monitorovania pomoci. Útvary Komisie zostanú</w:t>
      </w:r>
      <w:r w:rsidR="005F31CD">
        <w:rPr>
          <w:spacing w:val="-4"/>
        </w:rPr>
        <w:t xml:space="preserve"> v </w:t>
      </w:r>
      <w:r w:rsidRPr="005F31CD">
        <w:rPr>
          <w:spacing w:val="-4"/>
        </w:rPr>
        <w:t>úzkom kontakte</w:t>
      </w:r>
      <w:r w:rsidR="005F31CD">
        <w:rPr>
          <w:spacing w:val="-4"/>
        </w:rPr>
        <w:t xml:space="preserve"> s </w:t>
      </w:r>
      <w:r w:rsidRPr="005F31CD">
        <w:rPr>
          <w:spacing w:val="-4"/>
        </w:rPr>
        <w:t>MMF</w:t>
      </w:r>
      <w:r w:rsidR="005F31CD">
        <w:rPr>
          <w:spacing w:val="-4"/>
        </w:rPr>
        <w:t xml:space="preserve"> a </w:t>
      </w:r>
      <w:r w:rsidRPr="005F31CD">
        <w:rPr>
          <w:spacing w:val="-4"/>
        </w:rPr>
        <w:t>Svetovou bankou, aby využili skúsenosti</w:t>
      </w:r>
      <w:r w:rsidR="005F31CD">
        <w:rPr>
          <w:spacing w:val="-4"/>
        </w:rPr>
        <w:t xml:space="preserve"> z </w:t>
      </w:r>
      <w:r w:rsidRPr="005F31CD">
        <w:rPr>
          <w:spacing w:val="-4"/>
        </w:rPr>
        <w:t>ich pretrvávajúcich aktivít</w:t>
      </w:r>
      <w:r w:rsidR="005F31CD">
        <w:rPr>
          <w:spacing w:val="-4"/>
        </w:rPr>
        <w:t xml:space="preserve"> v </w:t>
      </w:r>
      <w:r w:rsidRPr="005F31CD">
        <w:rPr>
          <w:spacing w:val="-4"/>
        </w:rPr>
        <w:t>Gruzínsku.</w:t>
      </w:r>
    </w:p>
    <w:p w:rsidR="003C2110" w:rsidRPr="005F31CD" w:rsidRDefault="003C2110" w:rsidP="003C2110">
      <w:pPr>
        <w:pStyle w:val="Text1"/>
        <w:rPr>
          <w:spacing w:val="-4"/>
        </w:rPr>
      </w:pPr>
      <w:r w:rsidRPr="005F31CD">
        <w:rPr>
          <w:spacing w:val="-4"/>
        </w:rPr>
        <w:t>V navrhovanom legislatívnom rozhodnutí sa počíta</w:t>
      </w:r>
      <w:r w:rsidR="005F31CD">
        <w:rPr>
          <w:spacing w:val="-4"/>
        </w:rPr>
        <w:t xml:space="preserve"> s </w:t>
      </w:r>
      <w:r w:rsidRPr="005F31CD">
        <w:rPr>
          <w:spacing w:val="-4"/>
        </w:rPr>
        <w:t>výročnou správou Rade</w:t>
      </w:r>
      <w:r w:rsidR="005F31CD">
        <w:rPr>
          <w:spacing w:val="-4"/>
        </w:rPr>
        <w:t xml:space="preserve"> a </w:t>
      </w:r>
      <w:r w:rsidRPr="005F31CD">
        <w:rPr>
          <w:spacing w:val="-4"/>
        </w:rPr>
        <w:t xml:space="preserve">Európskemu parlamentu, ktorá bude zahŕňať posúdenie vykonávania tejto operácie. Do dvoch rokov od skončenia obdobia dostupnosti sa uskutoční nezávislé hodnotenie </w:t>
      </w:r>
      <w:r w:rsidRPr="005F31CD">
        <w:rPr>
          <w:i/>
          <w:spacing w:val="-4"/>
        </w:rPr>
        <w:t>ex post</w:t>
      </w:r>
      <w:r w:rsidRPr="005F31CD">
        <w:rPr>
          <w:spacing w:val="-4"/>
        </w:rPr>
        <w:t xml:space="preserve"> týkajúce sa pomoci.</w:t>
      </w:r>
    </w:p>
    <w:p w:rsidR="003C2110" w:rsidRPr="005F31CD" w:rsidRDefault="003C2110" w:rsidP="003C2110">
      <w:pPr>
        <w:pStyle w:val="ManualHeading2"/>
        <w:rPr>
          <w:spacing w:val="-4"/>
        </w:rPr>
      </w:pPr>
      <w:r w:rsidRPr="005F31CD">
        <w:rPr>
          <w:spacing w:val="-4"/>
        </w:rPr>
        <w:t>1.5.</w:t>
      </w:r>
      <w:r w:rsidRPr="005F31CD">
        <w:rPr>
          <w:spacing w:val="-4"/>
        </w:rPr>
        <w:tab/>
        <w:t>Dôvody návrhu/iniciatívy</w:t>
      </w:r>
    </w:p>
    <w:p w:rsidR="003C2110" w:rsidRPr="005F31CD" w:rsidRDefault="003C2110" w:rsidP="003C2110">
      <w:pPr>
        <w:pStyle w:val="ManualHeading3"/>
        <w:rPr>
          <w:b/>
          <w:spacing w:val="-4"/>
        </w:rPr>
      </w:pPr>
      <w:r w:rsidRPr="005F31CD">
        <w:rPr>
          <w:spacing w:val="-4"/>
        </w:rPr>
        <w:t>1.5.1.</w:t>
      </w:r>
      <w:r w:rsidRPr="005F31CD">
        <w:rPr>
          <w:spacing w:val="-4"/>
        </w:rPr>
        <w:tab/>
        <w:t>Požiadavky, ktoré sa majú splniť</w:t>
      </w:r>
      <w:r w:rsidR="005F31CD">
        <w:rPr>
          <w:spacing w:val="-4"/>
        </w:rPr>
        <w:t xml:space="preserve"> v </w:t>
      </w:r>
      <w:r w:rsidRPr="005F31CD">
        <w:rPr>
          <w:spacing w:val="-4"/>
        </w:rPr>
        <w:t>krátkodobom alebo dlhodobom horizonte</w:t>
      </w:r>
    </w:p>
    <w:p w:rsidR="003C2110" w:rsidRPr="005F31CD" w:rsidRDefault="003C2110" w:rsidP="003C2110">
      <w:pPr>
        <w:pStyle w:val="Text1"/>
        <w:rPr>
          <w:spacing w:val="-4"/>
        </w:rPr>
      </w:pPr>
      <w:r w:rsidRPr="005F31CD">
        <w:rPr>
          <w:spacing w:val="-4"/>
        </w:rPr>
        <w:t>Vyplatenie pomoci bude podmienené uspokojivými výsledkami pri zavádzaní hospodárskeho programu medzi Gruzínskom</w:t>
      </w:r>
      <w:r w:rsidR="005F31CD">
        <w:rPr>
          <w:spacing w:val="-4"/>
        </w:rPr>
        <w:t xml:space="preserve"> a </w:t>
      </w:r>
      <w:r w:rsidRPr="005F31CD">
        <w:rPr>
          <w:spacing w:val="-4"/>
        </w:rPr>
        <w:t>MMF, ktorý schválila výkonná rada MMF 12</w:t>
      </w:r>
      <w:r w:rsidR="005F31CD">
        <w:rPr>
          <w:spacing w:val="-4"/>
        </w:rPr>
        <w:t>. apríla</w:t>
      </w:r>
      <w:r w:rsidRPr="005F31CD">
        <w:rPr>
          <w:spacing w:val="-4"/>
        </w:rPr>
        <w:t> 2017. Okrem toho sa Komisia musí</w:t>
      </w:r>
      <w:r w:rsidR="005F31CD">
        <w:rPr>
          <w:spacing w:val="-4"/>
        </w:rPr>
        <w:t xml:space="preserve"> s </w:t>
      </w:r>
      <w:r w:rsidRPr="005F31CD">
        <w:rPr>
          <w:spacing w:val="-4"/>
        </w:rPr>
        <w:t>gruzínskymi orgánmi dohodnúť na osobitných politických podmienkach uvedených</w:t>
      </w:r>
      <w:r w:rsidR="005F31CD">
        <w:rPr>
          <w:spacing w:val="-4"/>
        </w:rPr>
        <w:t xml:space="preserve"> v </w:t>
      </w:r>
      <w:r w:rsidRPr="005F31CD">
        <w:rPr>
          <w:spacing w:val="-4"/>
        </w:rPr>
        <w:t>memorande</w:t>
      </w:r>
      <w:r w:rsidR="005F31CD">
        <w:rPr>
          <w:spacing w:val="-4"/>
        </w:rPr>
        <w:t xml:space="preserve"> o </w:t>
      </w:r>
      <w:r w:rsidRPr="005F31CD">
        <w:rPr>
          <w:spacing w:val="-4"/>
        </w:rPr>
        <w:t>porozumení, ktoré musia byť uspokojivo splnené pred uvoľnením druhej splátky Komisiou.</w:t>
      </w:r>
    </w:p>
    <w:p w:rsidR="003C2110" w:rsidRPr="005F31CD" w:rsidRDefault="003C2110" w:rsidP="003C2110">
      <w:pPr>
        <w:pStyle w:val="ManualHeading3"/>
        <w:rPr>
          <w:spacing w:val="-4"/>
        </w:rPr>
      </w:pPr>
      <w:r w:rsidRPr="005F31CD">
        <w:rPr>
          <w:spacing w:val="-4"/>
        </w:rPr>
        <w:t>1.5.2.</w:t>
      </w:r>
      <w:r w:rsidRPr="005F31CD">
        <w:rPr>
          <w:spacing w:val="-4"/>
        </w:rPr>
        <w:tab/>
        <w:t>Prínos zapojenia Európskej únie</w:t>
      </w:r>
    </w:p>
    <w:p w:rsidR="003C2110" w:rsidRPr="005F31CD" w:rsidRDefault="003C2110" w:rsidP="003C2110">
      <w:pPr>
        <w:pStyle w:val="Text1"/>
        <w:rPr>
          <w:spacing w:val="-4"/>
        </w:rPr>
      </w:pPr>
      <w:r w:rsidRPr="005F31CD">
        <w:rPr>
          <w:spacing w:val="-4"/>
        </w:rPr>
        <w:t>Navrhovaná makrofinančná pomoc pomôže Gruzínsku prekonať dôsledky slabého vonkajšieho prostredia, ktoré prostredníctvom zníženého exportu</w:t>
      </w:r>
      <w:r w:rsidR="005F31CD">
        <w:rPr>
          <w:spacing w:val="-4"/>
        </w:rPr>
        <w:t xml:space="preserve"> a </w:t>
      </w:r>
      <w:r w:rsidRPr="005F31CD">
        <w:rPr>
          <w:spacing w:val="-4"/>
        </w:rPr>
        <w:t>remitencií prispelo</w:t>
      </w:r>
      <w:r w:rsidR="005F31CD">
        <w:rPr>
          <w:spacing w:val="-4"/>
        </w:rPr>
        <w:t xml:space="preserve"> k </w:t>
      </w:r>
      <w:r w:rsidRPr="005F31CD">
        <w:rPr>
          <w:spacing w:val="-4"/>
        </w:rPr>
        <w:t>pomerne utlmenému rastu HDP</w:t>
      </w:r>
      <w:r w:rsidR="005F31CD">
        <w:rPr>
          <w:spacing w:val="-4"/>
        </w:rPr>
        <w:t xml:space="preserve"> v </w:t>
      </w:r>
      <w:r w:rsidRPr="005F31CD">
        <w:rPr>
          <w:spacing w:val="-4"/>
        </w:rPr>
        <w:t>roku 2016, ako aj znížiť zraniteľnosť platobnej bilancie</w:t>
      </w:r>
      <w:r w:rsidR="005F31CD">
        <w:rPr>
          <w:spacing w:val="-4"/>
        </w:rPr>
        <w:t xml:space="preserve"> a </w:t>
      </w:r>
      <w:r w:rsidRPr="005F31CD">
        <w:rPr>
          <w:spacing w:val="-4"/>
        </w:rPr>
        <w:t>zvládnuť prispôsobovanie sa požiadavkám DCFTA. Navrhovaná makrofinančná pomoc pritom zároveň prispeje</w:t>
      </w:r>
      <w:r w:rsidR="005F31CD">
        <w:rPr>
          <w:spacing w:val="-4"/>
        </w:rPr>
        <w:t xml:space="preserve"> k </w:t>
      </w:r>
      <w:r w:rsidRPr="005F31CD">
        <w:rPr>
          <w:spacing w:val="-4"/>
        </w:rPr>
        <w:t>podpore makroekonomickej stability</w:t>
      </w:r>
      <w:r w:rsidR="005F31CD">
        <w:rPr>
          <w:spacing w:val="-4"/>
        </w:rPr>
        <w:t xml:space="preserve"> a </w:t>
      </w:r>
      <w:r w:rsidRPr="005F31CD">
        <w:rPr>
          <w:spacing w:val="-4"/>
        </w:rPr>
        <w:t>štrukturálnych reforiem</w:t>
      </w:r>
      <w:r w:rsidR="005F31CD">
        <w:rPr>
          <w:spacing w:val="-4"/>
        </w:rPr>
        <w:t xml:space="preserve"> v </w:t>
      </w:r>
      <w:r w:rsidRPr="005F31CD">
        <w:rPr>
          <w:spacing w:val="-4"/>
        </w:rPr>
        <w:t>krajine. Doplnením zdrojov, ktoré poskytujú medzinárodné finančné inštitúcie, iné nástroje EÚ</w:t>
      </w:r>
      <w:r w:rsidR="005F31CD">
        <w:rPr>
          <w:spacing w:val="-4"/>
        </w:rPr>
        <w:t xml:space="preserve"> a </w:t>
      </w:r>
      <w:r w:rsidRPr="005F31CD">
        <w:rPr>
          <w:spacing w:val="-4"/>
        </w:rPr>
        <w:t>iní darcovia, makrofinančná pomoc prispeje</w:t>
      </w:r>
      <w:r w:rsidR="005F31CD">
        <w:rPr>
          <w:spacing w:val="-4"/>
        </w:rPr>
        <w:t xml:space="preserve"> k </w:t>
      </w:r>
      <w:r w:rsidRPr="005F31CD">
        <w:rPr>
          <w:spacing w:val="-4"/>
        </w:rPr>
        <w:t>celkovej účinnosti balíka finančnej podpory, ktorý poskytlo medzinárodné spoločenstvo darcov.</w:t>
      </w:r>
    </w:p>
    <w:p w:rsidR="003C2110" w:rsidRPr="005F31CD" w:rsidRDefault="003C2110" w:rsidP="003C2110">
      <w:pPr>
        <w:pStyle w:val="Text1"/>
        <w:rPr>
          <w:spacing w:val="-4"/>
        </w:rPr>
      </w:pPr>
      <w:r w:rsidRPr="005F31CD">
        <w:rPr>
          <w:spacing w:val="-4"/>
        </w:rPr>
        <w:t>Navrhovaným programom sa posilní aj záväzok vlády uskutočňovať reformy</w:t>
      </w:r>
      <w:r w:rsidR="005F31CD">
        <w:rPr>
          <w:spacing w:val="-4"/>
        </w:rPr>
        <w:t xml:space="preserve"> a </w:t>
      </w:r>
      <w:r w:rsidRPr="005F31CD">
        <w:rPr>
          <w:spacing w:val="-4"/>
        </w:rPr>
        <w:t>jej ambícia prehlbovať vzťahy</w:t>
      </w:r>
      <w:r w:rsidR="005F31CD">
        <w:rPr>
          <w:spacing w:val="-4"/>
        </w:rPr>
        <w:t xml:space="preserve"> s </w:t>
      </w:r>
      <w:r w:rsidRPr="005F31CD">
        <w:rPr>
          <w:spacing w:val="-4"/>
        </w:rPr>
        <w:t>EÚ. Tento výsledok sa dosiahne okrem iného pomocou primeranej podmienenosti vyplácania pomoci.</w:t>
      </w:r>
      <w:r w:rsidR="005F31CD">
        <w:rPr>
          <w:spacing w:val="-4"/>
        </w:rPr>
        <w:t xml:space="preserve"> V </w:t>
      </w:r>
      <w:r w:rsidRPr="005F31CD">
        <w:rPr>
          <w:spacing w:val="-4"/>
        </w:rPr>
        <w:t>širšom kontexte bude tento program signalizovať ostatným krajinám</w:t>
      </w:r>
      <w:r w:rsidR="005F31CD">
        <w:rPr>
          <w:spacing w:val="-4"/>
        </w:rPr>
        <w:t xml:space="preserve"> v </w:t>
      </w:r>
      <w:r w:rsidRPr="005F31CD">
        <w:rPr>
          <w:spacing w:val="-4"/>
        </w:rPr>
        <w:t>regióne, že EÚ naďalej podporuje krajiny, ktoré sa vydajú na cestu politických reforiem, aj</w:t>
      </w:r>
      <w:r w:rsidR="005F31CD">
        <w:rPr>
          <w:spacing w:val="-4"/>
        </w:rPr>
        <w:t xml:space="preserve"> v </w:t>
      </w:r>
      <w:r w:rsidRPr="005F31CD">
        <w:rPr>
          <w:spacing w:val="-4"/>
        </w:rPr>
        <w:t>časoch, keď čelia hospodárskym ťažkostiam.</w:t>
      </w:r>
    </w:p>
    <w:p w:rsidR="003C2110" w:rsidRPr="005F31CD" w:rsidRDefault="003C2110" w:rsidP="003C2110">
      <w:pPr>
        <w:pStyle w:val="ManualHeading3"/>
        <w:rPr>
          <w:spacing w:val="-4"/>
        </w:rPr>
      </w:pPr>
      <w:r w:rsidRPr="005F31CD">
        <w:rPr>
          <w:spacing w:val="-4"/>
        </w:rPr>
        <w:t>1.5.3.</w:t>
      </w:r>
      <w:r w:rsidRPr="005F31CD">
        <w:rPr>
          <w:spacing w:val="-4"/>
        </w:rPr>
        <w:tab/>
        <w:t>Poznatky získané</w:t>
      </w:r>
      <w:r w:rsidR="005F31CD">
        <w:rPr>
          <w:spacing w:val="-4"/>
        </w:rPr>
        <w:t xml:space="preserve"> z </w:t>
      </w:r>
      <w:r w:rsidRPr="005F31CD">
        <w:rPr>
          <w:spacing w:val="-4"/>
        </w:rPr>
        <w:t>podobných skúseností</w:t>
      </w:r>
      <w:r w:rsidR="005F31CD">
        <w:rPr>
          <w:spacing w:val="-4"/>
        </w:rPr>
        <w:t xml:space="preserve"> v </w:t>
      </w:r>
      <w:r w:rsidRPr="005F31CD">
        <w:rPr>
          <w:spacing w:val="-4"/>
        </w:rPr>
        <w:t>minulosti</w:t>
      </w:r>
    </w:p>
    <w:p w:rsidR="003C2110" w:rsidRPr="005F31CD" w:rsidRDefault="003C2110" w:rsidP="003C2110">
      <w:pPr>
        <w:pStyle w:val="Text1"/>
        <w:rPr>
          <w:spacing w:val="-4"/>
        </w:rPr>
      </w:pPr>
      <w:r w:rsidRPr="005F31CD">
        <w:rPr>
          <w:spacing w:val="-4"/>
        </w:rPr>
        <w:t>Od roku 2004 sa</w:t>
      </w:r>
      <w:r w:rsidR="005F31CD">
        <w:rPr>
          <w:spacing w:val="-4"/>
        </w:rPr>
        <w:t xml:space="preserve"> v </w:t>
      </w:r>
      <w:r w:rsidRPr="005F31CD">
        <w:rPr>
          <w:spacing w:val="-4"/>
        </w:rPr>
        <w:t>súvislosti</w:t>
      </w:r>
      <w:r w:rsidR="005F31CD">
        <w:rPr>
          <w:spacing w:val="-4"/>
        </w:rPr>
        <w:t xml:space="preserve"> s </w:t>
      </w:r>
      <w:r w:rsidRPr="005F31CD">
        <w:rPr>
          <w:spacing w:val="-4"/>
        </w:rPr>
        <w:t xml:space="preserve">operáciami makrofinančnej pomoci vykonalo viac ako 15 hodnotení </w:t>
      </w:r>
      <w:r w:rsidRPr="005F31CD">
        <w:rPr>
          <w:i/>
          <w:spacing w:val="-4"/>
        </w:rPr>
        <w:t>ex post</w:t>
      </w:r>
      <w:r w:rsidRPr="005F31CD">
        <w:rPr>
          <w:spacing w:val="-4"/>
        </w:rPr>
        <w:t>.</w:t>
      </w:r>
      <w:r w:rsidR="005F31CD">
        <w:rPr>
          <w:spacing w:val="-4"/>
        </w:rPr>
        <w:t xml:space="preserve"> Z </w:t>
      </w:r>
      <w:r w:rsidRPr="005F31CD">
        <w:rPr>
          <w:spacing w:val="-4"/>
        </w:rPr>
        <w:t>týchto hodnotení vyplynulo, že operácie makrofinančnej pomoci prispievajú, aj keď niekedy skromne</w:t>
      </w:r>
      <w:r w:rsidR="005F31CD">
        <w:rPr>
          <w:spacing w:val="-4"/>
        </w:rPr>
        <w:t xml:space="preserve"> a </w:t>
      </w:r>
      <w:r w:rsidRPr="005F31CD">
        <w:rPr>
          <w:spacing w:val="-4"/>
        </w:rPr>
        <w:t>nepriamo,</w:t>
      </w:r>
      <w:r w:rsidR="005F31CD">
        <w:rPr>
          <w:spacing w:val="-4"/>
        </w:rPr>
        <w:t xml:space="preserve"> k </w:t>
      </w:r>
      <w:r w:rsidRPr="005F31CD">
        <w:rPr>
          <w:spacing w:val="-4"/>
        </w:rPr>
        <w:t>zlepšeniu vonkajšej udržateľnosti makroekonomickej stability</w:t>
      </w:r>
      <w:r w:rsidR="005F31CD">
        <w:rPr>
          <w:spacing w:val="-4"/>
        </w:rPr>
        <w:t xml:space="preserve"> a k </w:t>
      </w:r>
      <w:r w:rsidRPr="005F31CD">
        <w:rPr>
          <w:spacing w:val="-4"/>
        </w:rPr>
        <w:t>dosiahnutiu štrukturálnych reforiem</w:t>
      </w:r>
      <w:r w:rsidR="005F31CD">
        <w:rPr>
          <w:spacing w:val="-4"/>
        </w:rPr>
        <w:t xml:space="preserve"> v </w:t>
      </w:r>
      <w:r w:rsidRPr="005F31CD">
        <w:rPr>
          <w:spacing w:val="-4"/>
        </w:rPr>
        <w:t>prijímajúcej krajine. Operácie makrofinančnej pomoci mali vo väčšine prípadov pozitívny vplyv na platobnú bilanciu prijímajúcej krajiny</w:t>
      </w:r>
      <w:r w:rsidR="005F31CD">
        <w:rPr>
          <w:spacing w:val="-4"/>
        </w:rPr>
        <w:t xml:space="preserve"> a </w:t>
      </w:r>
      <w:r w:rsidRPr="005F31CD">
        <w:rPr>
          <w:spacing w:val="-4"/>
        </w:rPr>
        <w:t>prispeli</w:t>
      </w:r>
      <w:r w:rsidR="005F31CD">
        <w:rPr>
          <w:spacing w:val="-4"/>
        </w:rPr>
        <w:t xml:space="preserve"> k </w:t>
      </w:r>
      <w:r w:rsidRPr="005F31CD">
        <w:rPr>
          <w:spacing w:val="-4"/>
        </w:rPr>
        <w:t>uvoľneniu jej rozpočtových obmedzení. Viedli aj</w:t>
      </w:r>
      <w:r w:rsidR="005F31CD">
        <w:rPr>
          <w:spacing w:val="-4"/>
        </w:rPr>
        <w:t xml:space="preserve"> k </w:t>
      </w:r>
      <w:r w:rsidRPr="005F31CD">
        <w:rPr>
          <w:spacing w:val="-4"/>
        </w:rPr>
        <w:t>mierne vyššiemu hospodárskemu rastu.</w:t>
      </w:r>
    </w:p>
    <w:p w:rsidR="003C2110" w:rsidRPr="005F31CD" w:rsidRDefault="003C2110" w:rsidP="003C2110">
      <w:pPr>
        <w:pStyle w:val="ManualHeading3"/>
        <w:rPr>
          <w:spacing w:val="-4"/>
        </w:rPr>
      </w:pPr>
      <w:r w:rsidRPr="005F31CD">
        <w:rPr>
          <w:spacing w:val="-4"/>
        </w:rPr>
        <w:t>1.5.4.</w:t>
      </w:r>
      <w:r w:rsidRPr="005F31CD">
        <w:rPr>
          <w:spacing w:val="-4"/>
        </w:rPr>
        <w:tab/>
        <w:t>Zlučiteľnosť</w:t>
      </w:r>
      <w:r w:rsidR="005F31CD">
        <w:rPr>
          <w:spacing w:val="-4"/>
        </w:rPr>
        <w:t xml:space="preserve"> a </w:t>
      </w:r>
      <w:r w:rsidRPr="005F31CD">
        <w:rPr>
          <w:spacing w:val="-4"/>
        </w:rPr>
        <w:t>možná synergia</w:t>
      </w:r>
      <w:r w:rsidR="005F31CD">
        <w:rPr>
          <w:spacing w:val="-4"/>
        </w:rPr>
        <w:t xml:space="preserve"> s </w:t>
      </w:r>
      <w:r w:rsidRPr="005F31CD">
        <w:rPr>
          <w:spacing w:val="-4"/>
        </w:rPr>
        <w:t>inými vhodnými nástrojmi</w:t>
      </w:r>
    </w:p>
    <w:p w:rsidR="003C2110" w:rsidRPr="005F31CD" w:rsidRDefault="003C2110" w:rsidP="003C2110">
      <w:pPr>
        <w:pStyle w:val="Text1"/>
        <w:rPr>
          <w:spacing w:val="-4"/>
        </w:rPr>
      </w:pPr>
      <w:r w:rsidRPr="005F31CD">
        <w:rPr>
          <w:spacing w:val="-4"/>
        </w:rPr>
        <w:t>EÚ je najväčším darcom pre Gruzínsko. Pomoc EÚ vyčlenená pre Gruzínsko</w:t>
      </w:r>
      <w:r w:rsidR="005F31CD">
        <w:rPr>
          <w:spacing w:val="-4"/>
        </w:rPr>
        <w:t xml:space="preserve"> v </w:t>
      </w:r>
      <w:r w:rsidRPr="005F31CD">
        <w:rPr>
          <w:spacing w:val="-4"/>
        </w:rPr>
        <w:t>rámci nástroja európskeho susedstva</w:t>
      </w:r>
      <w:r w:rsidR="005F31CD">
        <w:rPr>
          <w:spacing w:val="-4"/>
        </w:rPr>
        <w:t xml:space="preserve"> a </w:t>
      </w:r>
      <w:r w:rsidRPr="005F31CD">
        <w:rPr>
          <w:spacing w:val="-4"/>
        </w:rPr>
        <w:t>partnerstva (ďalej len „ENPI“) na obdobie rokov 2007 – 2013 dosiahla celkovú výšku 452 miliónov EUR. Na obdobie rokov 2014 – 2020 sa</w:t>
      </w:r>
      <w:r w:rsidR="005F31CD">
        <w:rPr>
          <w:spacing w:val="-4"/>
        </w:rPr>
        <w:t xml:space="preserve"> v </w:t>
      </w:r>
      <w:r w:rsidRPr="005F31CD">
        <w:rPr>
          <w:spacing w:val="-4"/>
        </w:rPr>
        <w:t>rámci nástroja európskeho susedstva (ďalej len „ENI“) môže pomoc EÚ Gruzínsku pohybovať</w:t>
      </w:r>
      <w:r w:rsidR="005F31CD">
        <w:rPr>
          <w:spacing w:val="-4"/>
        </w:rPr>
        <w:t xml:space="preserve"> v </w:t>
      </w:r>
      <w:r w:rsidRPr="005F31CD">
        <w:rPr>
          <w:spacing w:val="-4"/>
        </w:rPr>
        <w:t>rozmedzí minimálneho príspevku vo výške 610 miliónov EUR</w:t>
      </w:r>
      <w:r w:rsidR="005F31CD">
        <w:rPr>
          <w:spacing w:val="-4"/>
        </w:rPr>
        <w:t xml:space="preserve"> a </w:t>
      </w:r>
      <w:r w:rsidRPr="005F31CD">
        <w:rPr>
          <w:spacing w:val="-4"/>
        </w:rPr>
        <w:t>maximálneho príspevku vo výške 746 miliónov EUR. Tieto prostriedky sa dopĺňajú</w:t>
      </w:r>
      <w:r w:rsidR="005F31CD">
        <w:rPr>
          <w:spacing w:val="-4"/>
        </w:rPr>
        <w:t xml:space="preserve"> o </w:t>
      </w:r>
      <w:r w:rsidRPr="005F31CD">
        <w:rPr>
          <w:spacing w:val="-4"/>
        </w:rPr>
        <w:t>financovanie</w:t>
      </w:r>
      <w:r w:rsidR="005F31CD">
        <w:rPr>
          <w:spacing w:val="-4"/>
        </w:rPr>
        <w:t xml:space="preserve"> z </w:t>
      </w:r>
      <w:r w:rsidRPr="005F31CD">
        <w:rPr>
          <w:spacing w:val="-4"/>
        </w:rPr>
        <w:t>iných nástrojov EÚ, ako je napríklad investičný nástroj európskej susedskej politiky (ďalej len „NIF“). Okrem bilaterálnych programov spolupráce využíva Gruzínsko aj rôzne regionálne programy, najmä</w:t>
      </w:r>
      <w:r w:rsidR="005F31CD">
        <w:rPr>
          <w:spacing w:val="-4"/>
        </w:rPr>
        <w:t xml:space="preserve"> v </w:t>
      </w:r>
      <w:r w:rsidRPr="005F31CD">
        <w:rPr>
          <w:spacing w:val="-4"/>
        </w:rPr>
        <w:t>oblasti dopravy, energetiky</w:t>
      </w:r>
      <w:r w:rsidR="005F31CD">
        <w:rPr>
          <w:spacing w:val="-4"/>
        </w:rPr>
        <w:t xml:space="preserve"> a </w:t>
      </w:r>
      <w:r w:rsidRPr="005F31CD">
        <w:rPr>
          <w:spacing w:val="-4"/>
        </w:rPr>
        <w:t>životného prostredia. Gruzínsko sa zúčastňuje aj na iniciatívach otvorených pre všetky susedské krajiny, ako sú napríklad Erasmus+, TAIEX</w:t>
      </w:r>
      <w:r w:rsidR="005F31CD">
        <w:rPr>
          <w:spacing w:val="-4"/>
        </w:rPr>
        <w:t xml:space="preserve"> a </w:t>
      </w:r>
      <w:r w:rsidRPr="005F31CD">
        <w:rPr>
          <w:spacing w:val="-4"/>
        </w:rPr>
        <w:t>SIGMA. Okrem ENI je Gruzínsko oprávnené na financovanie</w:t>
      </w:r>
      <w:r w:rsidR="005F31CD">
        <w:rPr>
          <w:spacing w:val="-4"/>
        </w:rPr>
        <w:t xml:space="preserve"> v </w:t>
      </w:r>
      <w:r w:rsidRPr="005F31CD">
        <w:rPr>
          <w:spacing w:val="-4"/>
        </w:rPr>
        <w:t>rámci týchto tematických nástrojov</w:t>
      </w:r>
      <w:r w:rsidR="005F31CD">
        <w:rPr>
          <w:spacing w:val="-4"/>
        </w:rPr>
        <w:t xml:space="preserve"> a </w:t>
      </w:r>
      <w:r w:rsidRPr="005F31CD">
        <w:rPr>
          <w:spacing w:val="-4"/>
        </w:rPr>
        <w:t>programov EÚ: európsky nástroj pre demokraciu</w:t>
      </w:r>
      <w:r w:rsidR="005F31CD">
        <w:rPr>
          <w:spacing w:val="-4"/>
        </w:rPr>
        <w:t xml:space="preserve"> a </w:t>
      </w:r>
      <w:r w:rsidRPr="005F31CD">
        <w:rPr>
          <w:spacing w:val="-4"/>
        </w:rPr>
        <w:t>ľudské práva (EIDHR), nástroj na podporu stability</w:t>
      </w:r>
      <w:r w:rsidR="005F31CD">
        <w:rPr>
          <w:spacing w:val="-4"/>
        </w:rPr>
        <w:t xml:space="preserve"> a </w:t>
      </w:r>
      <w:r w:rsidRPr="005F31CD">
        <w:rPr>
          <w:spacing w:val="-4"/>
        </w:rPr>
        <w:t>mieru (IcSP), ako aj programy pre organizácie občianskej spoločnosti</w:t>
      </w:r>
      <w:r w:rsidR="005F31CD">
        <w:rPr>
          <w:spacing w:val="-4"/>
        </w:rPr>
        <w:t xml:space="preserve"> a </w:t>
      </w:r>
      <w:r w:rsidRPr="005F31CD">
        <w:rPr>
          <w:spacing w:val="-4"/>
        </w:rPr>
        <w:t>miestne orgány</w:t>
      </w:r>
      <w:r w:rsidR="005F31CD">
        <w:rPr>
          <w:spacing w:val="-4"/>
        </w:rPr>
        <w:t xml:space="preserve"> a </w:t>
      </w:r>
      <w:r w:rsidRPr="005F31CD">
        <w:rPr>
          <w:spacing w:val="-4"/>
        </w:rPr>
        <w:t>programy</w:t>
      </w:r>
      <w:r w:rsidR="005F31CD">
        <w:rPr>
          <w:spacing w:val="-4"/>
        </w:rPr>
        <w:t xml:space="preserve"> v </w:t>
      </w:r>
      <w:r w:rsidRPr="005F31CD">
        <w:rPr>
          <w:spacing w:val="-4"/>
        </w:rPr>
        <w:t>oblasti rozvoja ľudských zdrojov</w:t>
      </w:r>
      <w:r w:rsidR="005F31CD">
        <w:rPr>
          <w:spacing w:val="-4"/>
        </w:rPr>
        <w:t xml:space="preserve"> a </w:t>
      </w:r>
      <w:r w:rsidRPr="005F31CD">
        <w:rPr>
          <w:spacing w:val="-4"/>
        </w:rPr>
        <w:t>migrácie</w:t>
      </w:r>
      <w:r w:rsidR="005F31CD">
        <w:rPr>
          <w:spacing w:val="-4"/>
        </w:rPr>
        <w:t xml:space="preserve"> a </w:t>
      </w:r>
      <w:r w:rsidRPr="005F31CD">
        <w:rPr>
          <w:spacing w:val="-4"/>
        </w:rPr>
        <w:t>azylu. Európska investičná banka od roku 2010 okrem toho poskytla úvery vo výške 1 267 miliónov EUR.</w:t>
      </w:r>
    </w:p>
    <w:p w:rsidR="003C2110" w:rsidRPr="005F31CD" w:rsidRDefault="003C2110" w:rsidP="003C2110">
      <w:pPr>
        <w:pStyle w:val="Text1"/>
        <w:rPr>
          <w:spacing w:val="-4"/>
        </w:rPr>
      </w:pPr>
      <w:r w:rsidRPr="005F31CD">
        <w:rPr>
          <w:spacing w:val="-4"/>
        </w:rPr>
        <w:t>Hlavným prínosom makrofinančnej pomoci</w:t>
      </w:r>
      <w:r w:rsidR="005F31CD">
        <w:rPr>
          <w:spacing w:val="-4"/>
        </w:rPr>
        <w:t xml:space="preserve"> v </w:t>
      </w:r>
      <w:r w:rsidRPr="005F31CD">
        <w:rPr>
          <w:spacing w:val="-4"/>
        </w:rPr>
        <w:t>porovnaní</w:t>
      </w:r>
      <w:r w:rsidR="005F31CD">
        <w:rPr>
          <w:spacing w:val="-4"/>
        </w:rPr>
        <w:t xml:space="preserve"> s </w:t>
      </w:r>
      <w:r w:rsidRPr="005F31CD">
        <w:rPr>
          <w:spacing w:val="-4"/>
        </w:rPr>
        <w:t>inými nástrojmi EÚ by bola pomoc pri vytváraní stabilného makroekonomického rámca,</w:t>
      </w:r>
      <w:r w:rsidR="005F31CD">
        <w:rPr>
          <w:spacing w:val="-4"/>
        </w:rPr>
        <w:t xml:space="preserve"> a </w:t>
      </w:r>
      <w:r w:rsidRPr="005F31CD">
        <w:rPr>
          <w:spacing w:val="-4"/>
        </w:rPr>
        <w:t>to aj prostredníctvom podpory udržateľnej platobnej bilancie</w:t>
      </w:r>
      <w:r w:rsidR="005F31CD">
        <w:rPr>
          <w:spacing w:val="-4"/>
        </w:rPr>
        <w:t xml:space="preserve"> a </w:t>
      </w:r>
      <w:r w:rsidRPr="005F31CD">
        <w:rPr>
          <w:spacing w:val="-4"/>
        </w:rPr>
        <w:t>rozpočtovej situácie</w:t>
      </w:r>
      <w:r w:rsidR="005F31CD">
        <w:rPr>
          <w:spacing w:val="-4"/>
        </w:rPr>
        <w:t xml:space="preserve"> a </w:t>
      </w:r>
      <w:r w:rsidRPr="005F31CD">
        <w:rPr>
          <w:spacing w:val="-4"/>
        </w:rPr>
        <w:t>vhodného rámca pre štrukturálne reformy. Makrofinančná pomoc neposkytuje pravidelnú finančnú podporu</w:t>
      </w:r>
      <w:r w:rsidR="005F31CD">
        <w:rPr>
          <w:spacing w:val="-4"/>
        </w:rPr>
        <w:t xml:space="preserve"> a </w:t>
      </w:r>
      <w:r w:rsidRPr="005F31CD">
        <w:rPr>
          <w:spacing w:val="-4"/>
        </w:rPr>
        <w:t>nie je určená ani na podporu dlhodobého hospodárskeho</w:t>
      </w:r>
      <w:r w:rsidR="005F31CD">
        <w:rPr>
          <w:spacing w:val="-4"/>
        </w:rPr>
        <w:t xml:space="preserve"> a </w:t>
      </w:r>
      <w:r w:rsidRPr="005F31CD">
        <w:rPr>
          <w:spacing w:val="-4"/>
        </w:rPr>
        <w:t>sociálneho rozvoja prijímajúcich krajín. Má sa ukončiť ihneď, ako sa vonkajšia finančná situácia krajiny vráti späť na udržateľnú cestu. Následne sa majú začať využívať nástroje pomoci EÚ</w:t>
      </w:r>
      <w:r w:rsidR="005F31CD">
        <w:rPr>
          <w:spacing w:val="-4"/>
        </w:rPr>
        <w:t xml:space="preserve"> v </w:t>
      </w:r>
      <w:r w:rsidRPr="005F31CD">
        <w:rPr>
          <w:spacing w:val="-4"/>
        </w:rPr>
        <w:t>rámci bežnej spolupráce.</w:t>
      </w:r>
    </w:p>
    <w:p w:rsidR="003C2110" w:rsidRPr="005F31CD" w:rsidRDefault="003C2110" w:rsidP="003C2110">
      <w:pPr>
        <w:pStyle w:val="Text1"/>
        <w:rPr>
          <w:spacing w:val="-4"/>
        </w:rPr>
      </w:pPr>
      <w:r w:rsidRPr="005F31CD">
        <w:rPr>
          <w:spacing w:val="-4"/>
        </w:rPr>
        <w:t>Makrofinančná pomoc má takisto dopĺňať intervencie medzinárodných finančných inštitúcií,</w:t>
      </w:r>
      <w:r w:rsidR="005F31CD">
        <w:rPr>
          <w:spacing w:val="-4"/>
        </w:rPr>
        <w:t xml:space="preserve"> a </w:t>
      </w:r>
      <w:r w:rsidRPr="005F31CD">
        <w:rPr>
          <w:spacing w:val="-4"/>
        </w:rPr>
        <w:t>to najmä program úprav</w:t>
      </w:r>
      <w:r w:rsidR="005F31CD">
        <w:rPr>
          <w:spacing w:val="-4"/>
        </w:rPr>
        <w:t xml:space="preserve"> a </w:t>
      </w:r>
      <w:r w:rsidRPr="005F31CD">
        <w:rPr>
          <w:spacing w:val="-4"/>
        </w:rPr>
        <w:t>reforiem podporovaný</w:t>
      </w:r>
      <w:r w:rsidR="005F31CD">
        <w:rPr>
          <w:spacing w:val="-4"/>
        </w:rPr>
        <w:t xml:space="preserve"> v </w:t>
      </w:r>
      <w:r w:rsidRPr="005F31CD">
        <w:rPr>
          <w:spacing w:val="-4"/>
        </w:rPr>
        <w:t>rámci nástroja rozšíreného fondu MMF</w:t>
      </w:r>
      <w:r w:rsidR="005F31CD">
        <w:rPr>
          <w:spacing w:val="-4"/>
        </w:rPr>
        <w:t xml:space="preserve"> a </w:t>
      </w:r>
      <w:r w:rsidRPr="005F31CD">
        <w:rPr>
          <w:spacing w:val="-4"/>
        </w:rPr>
        <w:t>úverov od Svetovej banky na politiku rozvoja.</w:t>
      </w:r>
    </w:p>
    <w:p w:rsidR="003C2110" w:rsidRPr="005F31CD" w:rsidRDefault="003C2110" w:rsidP="003C2110">
      <w:pPr>
        <w:pStyle w:val="ManualHeading2"/>
        <w:rPr>
          <w:spacing w:val="-4"/>
        </w:rPr>
      </w:pPr>
      <w:r w:rsidRPr="005F31CD">
        <w:rPr>
          <w:spacing w:val="-4"/>
        </w:rPr>
        <w:t>1.6.</w:t>
      </w:r>
      <w:r w:rsidRPr="005F31CD">
        <w:rPr>
          <w:spacing w:val="-4"/>
        </w:rPr>
        <w:tab/>
        <w:t>Trvanie</w:t>
      </w:r>
      <w:r w:rsidR="005F31CD">
        <w:rPr>
          <w:spacing w:val="-4"/>
        </w:rPr>
        <w:t xml:space="preserve"> a </w:t>
      </w:r>
      <w:r w:rsidRPr="005F31CD">
        <w:rPr>
          <w:spacing w:val="-4"/>
        </w:rPr>
        <w:t>finančný vplyv</w:t>
      </w:r>
    </w:p>
    <w:p w:rsidR="003C2110" w:rsidRPr="005F31CD" w:rsidRDefault="003C2110" w:rsidP="003C2110">
      <w:pPr>
        <w:pStyle w:val="Text1"/>
        <w:rPr>
          <w:b/>
          <w:spacing w:val="-4"/>
        </w:rPr>
      </w:pPr>
      <w:r w:rsidRPr="005F31CD">
        <w:rPr>
          <w:spacing w:val="-4"/>
        </w:rPr>
        <w:t>X Návrh/iniciatíva</w:t>
      </w:r>
      <w:r w:rsidR="005F31CD">
        <w:rPr>
          <w:spacing w:val="-4"/>
        </w:rPr>
        <w:t xml:space="preserve"> s </w:t>
      </w:r>
      <w:r w:rsidRPr="005F31CD">
        <w:rPr>
          <w:b/>
          <w:spacing w:val="-4"/>
        </w:rPr>
        <w:t>obmedzeným trvaním</w:t>
      </w:r>
    </w:p>
    <w:p w:rsidR="003C2110" w:rsidRPr="005F31CD" w:rsidRDefault="003C2110" w:rsidP="003C2110">
      <w:pPr>
        <w:pStyle w:val="Text1"/>
        <w:rPr>
          <w:spacing w:val="-4"/>
        </w:rPr>
      </w:pPr>
      <w:r w:rsidRPr="005F31CD">
        <w:rPr>
          <w:spacing w:val="-4"/>
        </w:rPr>
        <w:t>X Návrh/iniciatíva</w:t>
      </w:r>
      <w:r w:rsidR="005F31CD">
        <w:rPr>
          <w:spacing w:val="-4"/>
        </w:rPr>
        <w:t xml:space="preserve"> s </w:t>
      </w:r>
      <w:r w:rsidRPr="005F31CD">
        <w:rPr>
          <w:spacing w:val="-4"/>
        </w:rPr>
        <w:t>účinnosťou dva</w:t>
      </w:r>
      <w:r w:rsidR="005F31CD">
        <w:rPr>
          <w:spacing w:val="-4"/>
        </w:rPr>
        <w:t xml:space="preserve"> a </w:t>
      </w:r>
      <w:r w:rsidRPr="005F31CD">
        <w:rPr>
          <w:spacing w:val="-4"/>
        </w:rPr>
        <w:t>pol roka od nadobudnutia platnosti memoranda</w:t>
      </w:r>
      <w:r w:rsidR="005F31CD">
        <w:rPr>
          <w:spacing w:val="-4"/>
        </w:rPr>
        <w:t xml:space="preserve"> o </w:t>
      </w:r>
      <w:r w:rsidRPr="005F31CD">
        <w:rPr>
          <w:spacing w:val="-4"/>
        </w:rPr>
        <w:t>porozumení, ako sa uvádza</w:t>
      </w:r>
      <w:r w:rsidR="005F31CD">
        <w:rPr>
          <w:spacing w:val="-4"/>
        </w:rPr>
        <w:t xml:space="preserve"> v </w:t>
      </w:r>
      <w:r w:rsidRPr="005F31CD">
        <w:rPr>
          <w:spacing w:val="-4"/>
        </w:rPr>
        <w:t>článku 1 ods. 4 rozhodnutia</w:t>
      </w:r>
    </w:p>
    <w:p w:rsidR="003C2110" w:rsidRPr="005F31CD" w:rsidRDefault="003C2110" w:rsidP="003C2110">
      <w:pPr>
        <w:pStyle w:val="Text1"/>
        <w:rPr>
          <w:spacing w:val="-4"/>
        </w:rPr>
      </w:pPr>
      <w:r w:rsidRPr="005F31CD">
        <w:rPr>
          <w:spacing w:val="-4"/>
        </w:rPr>
        <w:t>X Finančný vplyv sa podľa očakávaní prejaví</w:t>
      </w:r>
      <w:r w:rsidR="005F31CD">
        <w:rPr>
          <w:spacing w:val="-4"/>
        </w:rPr>
        <w:t xml:space="preserve"> v </w:t>
      </w:r>
      <w:r w:rsidRPr="005F31CD">
        <w:rPr>
          <w:spacing w:val="-4"/>
        </w:rPr>
        <w:t>období rokov 2017 až 2020</w:t>
      </w:r>
    </w:p>
    <w:p w:rsidR="003C2110" w:rsidRPr="005F31CD" w:rsidRDefault="003C2110" w:rsidP="003C2110">
      <w:pPr>
        <w:pStyle w:val="ManualHeading2"/>
        <w:rPr>
          <w:rStyle w:val="FootnoteReference"/>
          <w:spacing w:val="-4"/>
        </w:rPr>
      </w:pPr>
      <w:r w:rsidRPr="005F31CD">
        <w:rPr>
          <w:spacing w:val="-4"/>
        </w:rPr>
        <w:t>1.7.</w:t>
      </w:r>
      <w:r w:rsidRPr="005F31CD">
        <w:rPr>
          <w:spacing w:val="-4"/>
        </w:rPr>
        <w:tab/>
        <w:t>Plánovaný spôsob hospodárenia</w:t>
      </w:r>
      <w:r w:rsidRPr="005F31CD">
        <w:rPr>
          <w:rStyle w:val="FootnoteReference"/>
          <w:spacing w:val="-4"/>
        </w:rPr>
        <w:footnoteReference w:id="16"/>
      </w:r>
    </w:p>
    <w:p w:rsidR="003C2110" w:rsidRPr="005F31CD" w:rsidRDefault="003C2110" w:rsidP="003C2110">
      <w:pPr>
        <w:pStyle w:val="Text1"/>
        <w:rPr>
          <w:spacing w:val="-4"/>
        </w:rPr>
      </w:pPr>
      <w:r w:rsidRPr="005F31CD">
        <w:rPr>
          <w:spacing w:val="-4"/>
        </w:rPr>
        <w:t xml:space="preserve">X </w:t>
      </w:r>
      <w:r w:rsidRPr="005F31CD">
        <w:rPr>
          <w:b/>
          <w:spacing w:val="-4"/>
        </w:rPr>
        <w:t>Priame hospodárenie</w:t>
      </w:r>
      <w:r w:rsidRPr="005F31CD">
        <w:rPr>
          <w:spacing w:val="-4"/>
        </w:rPr>
        <w:t xml:space="preserve"> na úrovni Komisie</w:t>
      </w:r>
    </w:p>
    <w:p w:rsidR="003C2110" w:rsidRPr="005F31CD" w:rsidRDefault="003C2110" w:rsidP="003C2110">
      <w:pPr>
        <w:pStyle w:val="ManualHeading1"/>
        <w:rPr>
          <w:spacing w:val="-4"/>
        </w:rPr>
      </w:pPr>
      <w:r w:rsidRPr="005F31CD">
        <w:rPr>
          <w:spacing w:val="-4"/>
        </w:rPr>
        <w:t>2.</w:t>
      </w:r>
      <w:r w:rsidRPr="005F31CD">
        <w:rPr>
          <w:spacing w:val="-4"/>
        </w:rPr>
        <w:tab/>
        <w:t>OPATRENIA</w:t>
      </w:r>
      <w:r w:rsidR="005F31CD">
        <w:rPr>
          <w:spacing w:val="-4"/>
        </w:rPr>
        <w:t xml:space="preserve"> V </w:t>
      </w:r>
      <w:r w:rsidRPr="005F31CD">
        <w:rPr>
          <w:spacing w:val="-4"/>
        </w:rPr>
        <w:t>OBLASTI RIADENIA</w:t>
      </w:r>
    </w:p>
    <w:p w:rsidR="003C2110" w:rsidRPr="005F31CD" w:rsidRDefault="003C2110" w:rsidP="003C2110">
      <w:pPr>
        <w:pStyle w:val="ManualHeading2"/>
        <w:rPr>
          <w:spacing w:val="-4"/>
        </w:rPr>
      </w:pPr>
      <w:r w:rsidRPr="005F31CD">
        <w:rPr>
          <w:spacing w:val="-4"/>
        </w:rPr>
        <w:t>2.1.</w:t>
      </w:r>
      <w:r w:rsidRPr="005F31CD">
        <w:rPr>
          <w:spacing w:val="-4"/>
        </w:rPr>
        <w:tab/>
        <w:t>Pravidlá týkajúce sa monitorovania</w:t>
      </w:r>
      <w:r w:rsidR="005F31CD">
        <w:rPr>
          <w:spacing w:val="-4"/>
        </w:rPr>
        <w:t xml:space="preserve"> a </w:t>
      </w:r>
      <w:r w:rsidRPr="005F31CD">
        <w:rPr>
          <w:spacing w:val="-4"/>
        </w:rPr>
        <w:t>predkladania správ</w:t>
      </w:r>
    </w:p>
    <w:p w:rsidR="003C2110" w:rsidRPr="005F31CD" w:rsidRDefault="003C2110" w:rsidP="003C2110">
      <w:pPr>
        <w:pStyle w:val="Text1"/>
        <w:rPr>
          <w:spacing w:val="-4"/>
        </w:rPr>
      </w:pPr>
      <w:r w:rsidRPr="005F31CD">
        <w:rPr>
          <w:spacing w:val="-4"/>
        </w:rPr>
        <w:t>Táto pomoc je makroekonomickej povahy</w:t>
      </w:r>
      <w:r w:rsidR="005F31CD">
        <w:rPr>
          <w:spacing w:val="-4"/>
        </w:rPr>
        <w:t xml:space="preserve"> a </w:t>
      </w:r>
      <w:r w:rsidRPr="005F31CD">
        <w:rPr>
          <w:spacing w:val="-4"/>
        </w:rPr>
        <w:t>jej koncepcia je</w:t>
      </w:r>
      <w:r w:rsidR="005F31CD">
        <w:rPr>
          <w:spacing w:val="-4"/>
        </w:rPr>
        <w:t xml:space="preserve"> v </w:t>
      </w:r>
      <w:r w:rsidRPr="005F31CD">
        <w:rPr>
          <w:spacing w:val="-4"/>
        </w:rPr>
        <w:t>súlade</w:t>
      </w:r>
      <w:r w:rsidR="005F31CD">
        <w:rPr>
          <w:spacing w:val="-4"/>
        </w:rPr>
        <w:t xml:space="preserve"> s </w:t>
      </w:r>
      <w:r w:rsidRPr="005F31CD">
        <w:rPr>
          <w:spacing w:val="-4"/>
        </w:rPr>
        <w:t>ekonomickým programom podporovaným MMF. Monitorovanie opatrení útvarmi Komisie sa uskutoční na základe pokroku vo vykonávaní programu MMF</w:t>
      </w:r>
      <w:r w:rsidR="005F31CD">
        <w:rPr>
          <w:spacing w:val="-4"/>
        </w:rPr>
        <w:t xml:space="preserve"> a </w:t>
      </w:r>
      <w:r w:rsidRPr="005F31CD">
        <w:rPr>
          <w:spacing w:val="-4"/>
        </w:rPr>
        <w:t>osobitných reformných opatrení, na ktorých sa majú dohodnúť</w:t>
      </w:r>
      <w:r w:rsidR="005F31CD">
        <w:rPr>
          <w:spacing w:val="-4"/>
        </w:rPr>
        <w:t xml:space="preserve"> s </w:t>
      </w:r>
      <w:r w:rsidRPr="005F31CD">
        <w:rPr>
          <w:spacing w:val="-4"/>
        </w:rPr>
        <w:t>gruzínskymi orgánmi</w:t>
      </w:r>
      <w:r w:rsidR="005F31CD">
        <w:rPr>
          <w:spacing w:val="-4"/>
        </w:rPr>
        <w:t xml:space="preserve"> v </w:t>
      </w:r>
      <w:r w:rsidRPr="005F31CD">
        <w:rPr>
          <w:spacing w:val="-4"/>
        </w:rPr>
        <w:t>memorande</w:t>
      </w:r>
      <w:r w:rsidR="005F31CD">
        <w:rPr>
          <w:spacing w:val="-4"/>
        </w:rPr>
        <w:t xml:space="preserve"> o </w:t>
      </w:r>
      <w:r w:rsidRPr="005F31CD">
        <w:rPr>
          <w:spacing w:val="-4"/>
        </w:rPr>
        <w:t>porozumení (pozri aj bod 1.4.4).</w:t>
      </w:r>
    </w:p>
    <w:p w:rsidR="003C2110" w:rsidRPr="005F31CD" w:rsidRDefault="003C2110" w:rsidP="003C2110">
      <w:pPr>
        <w:pStyle w:val="ManualHeading2"/>
        <w:rPr>
          <w:spacing w:val="-4"/>
        </w:rPr>
      </w:pPr>
      <w:r w:rsidRPr="005F31CD">
        <w:rPr>
          <w:spacing w:val="-4"/>
        </w:rPr>
        <w:t>2.2.</w:t>
      </w:r>
      <w:r w:rsidRPr="005F31CD">
        <w:rPr>
          <w:spacing w:val="-4"/>
        </w:rPr>
        <w:tab/>
        <w:t>Systémy riadenia</w:t>
      </w:r>
      <w:r w:rsidR="005F31CD">
        <w:rPr>
          <w:spacing w:val="-4"/>
        </w:rPr>
        <w:t xml:space="preserve"> a </w:t>
      </w:r>
      <w:r w:rsidRPr="005F31CD">
        <w:rPr>
          <w:spacing w:val="-4"/>
        </w:rPr>
        <w:t>kontroly</w:t>
      </w:r>
    </w:p>
    <w:p w:rsidR="003C2110" w:rsidRPr="005F31CD" w:rsidRDefault="003C2110" w:rsidP="003C2110">
      <w:pPr>
        <w:pStyle w:val="ManualHeading3"/>
        <w:rPr>
          <w:b/>
          <w:spacing w:val="-4"/>
        </w:rPr>
      </w:pPr>
      <w:r w:rsidRPr="005F31CD">
        <w:rPr>
          <w:spacing w:val="-4"/>
        </w:rPr>
        <w:t>2.2.1.</w:t>
      </w:r>
      <w:r w:rsidRPr="005F31CD">
        <w:rPr>
          <w:spacing w:val="-4"/>
        </w:rPr>
        <w:tab/>
        <w:t>Zistené riziká</w:t>
      </w:r>
    </w:p>
    <w:p w:rsidR="003C2110" w:rsidRPr="005F31CD" w:rsidRDefault="003C2110" w:rsidP="003C2110">
      <w:pPr>
        <w:pStyle w:val="Text1"/>
        <w:rPr>
          <w:spacing w:val="-4"/>
        </w:rPr>
      </w:pPr>
      <w:r w:rsidRPr="005F31CD">
        <w:rPr>
          <w:spacing w:val="-4"/>
        </w:rPr>
        <w:t>S navrhovanou operáciou makrofinančnej pomoci súvisia správcovské, metodické</w:t>
      </w:r>
      <w:r w:rsidR="005F31CD">
        <w:rPr>
          <w:spacing w:val="-4"/>
        </w:rPr>
        <w:t xml:space="preserve"> a </w:t>
      </w:r>
      <w:r w:rsidRPr="005F31CD">
        <w:rPr>
          <w:spacing w:val="-4"/>
        </w:rPr>
        <w:t>politické riziká.</w:t>
      </w:r>
    </w:p>
    <w:p w:rsidR="003C2110" w:rsidRPr="005F31CD" w:rsidRDefault="003C2110" w:rsidP="003C2110">
      <w:pPr>
        <w:pStyle w:val="Text1"/>
        <w:rPr>
          <w:spacing w:val="-4"/>
        </w:rPr>
      </w:pPr>
      <w:r w:rsidRPr="005F31CD">
        <w:rPr>
          <w:spacing w:val="-4"/>
        </w:rPr>
        <w:t>Existuje riziko, že makrofinančná pomoc by sa mohla použiť podvodne. Keďže makrofinančná pomoc nie je Gruzínskom vyhradená na konkrétne výdavky, toto riziko sa vzťahuje na faktory ako všeobecná kvalita riadiacich systémov centrálnej banky</w:t>
      </w:r>
      <w:r w:rsidR="005F31CD">
        <w:rPr>
          <w:spacing w:val="-4"/>
        </w:rPr>
        <w:t xml:space="preserve"> a </w:t>
      </w:r>
      <w:r w:rsidRPr="005F31CD">
        <w:rPr>
          <w:spacing w:val="-4"/>
        </w:rPr>
        <w:t>ministerstva financií</w:t>
      </w:r>
      <w:r w:rsidR="005F31CD">
        <w:rPr>
          <w:spacing w:val="-4"/>
        </w:rPr>
        <w:t xml:space="preserve"> a </w:t>
      </w:r>
      <w:r w:rsidRPr="005F31CD">
        <w:rPr>
          <w:spacing w:val="-4"/>
        </w:rPr>
        <w:t>primeranosť kapacity interného</w:t>
      </w:r>
      <w:r w:rsidR="005F31CD">
        <w:rPr>
          <w:spacing w:val="-4"/>
        </w:rPr>
        <w:t xml:space="preserve"> a </w:t>
      </w:r>
      <w:r w:rsidRPr="005F31CD">
        <w:rPr>
          <w:spacing w:val="-4"/>
        </w:rPr>
        <w:t>externého auditu.</w:t>
      </w:r>
    </w:p>
    <w:p w:rsidR="003C2110" w:rsidRPr="005F31CD" w:rsidRDefault="003C2110" w:rsidP="003C2110">
      <w:pPr>
        <w:pStyle w:val="Text1"/>
        <w:rPr>
          <w:spacing w:val="-4"/>
        </w:rPr>
      </w:pPr>
      <w:r w:rsidRPr="005F31CD">
        <w:rPr>
          <w:spacing w:val="-4"/>
        </w:rPr>
        <w:t>Druhé riziko vyplýva</w:t>
      </w:r>
      <w:r w:rsidR="005F31CD">
        <w:rPr>
          <w:spacing w:val="-4"/>
        </w:rPr>
        <w:t xml:space="preserve"> z </w:t>
      </w:r>
      <w:r w:rsidRPr="005F31CD">
        <w:rPr>
          <w:spacing w:val="-4"/>
        </w:rPr>
        <w:t>možnosti, že Gruzínsko si nebude plniť svoje finančné záväzky voči EÚ vyplývajúce</w:t>
      </w:r>
      <w:r w:rsidR="005F31CD">
        <w:rPr>
          <w:spacing w:val="-4"/>
        </w:rPr>
        <w:t xml:space="preserve"> z </w:t>
      </w:r>
      <w:r w:rsidRPr="005F31CD">
        <w:rPr>
          <w:spacing w:val="-4"/>
        </w:rPr>
        <w:t>navrhovaných úverov</w:t>
      </w:r>
      <w:r w:rsidR="005F31CD">
        <w:rPr>
          <w:spacing w:val="-4"/>
        </w:rPr>
        <w:t xml:space="preserve"> v </w:t>
      </w:r>
      <w:r w:rsidRPr="005F31CD">
        <w:rPr>
          <w:spacing w:val="-4"/>
        </w:rPr>
        <w:t>rámci makrofinančnej pomoci (riziko zlyhania alebo úverové riziko), čo by mohlo byť spôsobené napríklad významným ďalším zhoršením platobnej bilancie</w:t>
      </w:r>
      <w:r w:rsidR="005F31CD">
        <w:rPr>
          <w:spacing w:val="-4"/>
        </w:rPr>
        <w:t xml:space="preserve"> a </w:t>
      </w:r>
      <w:r w:rsidRPr="005F31CD">
        <w:rPr>
          <w:spacing w:val="-4"/>
        </w:rPr>
        <w:t>fiškálnej pozície krajiny.</w:t>
      </w:r>
    </w:p>
    <w:p w:rsidR="003C2110" w:rsidRPr="005F31CD" w:rsidRDefault="003C2110" w:rsidP="003C2110">
      <w:pPr>
        <w:pStyle w:val="Text1"/>
        <w:rPr>
          <w:spacing w:val="-4"/>
        </w:rPr>
      </w:pPr>
      <w:r w:rsidRPr="005F31CD">
        <w:rPr>
          <w:spacing w:val="-4"/>
        </w:rPr>
        <w:t>Ďalšie kľúčové riziko pre operáciu vyplýva</w:t>
      </w:r>
      <w:r w:rsidR="005F31CD">
        <w:rPr>
          <w:spacing w:val="-4"/>
        </w:rPr>
        <w:t xml:space="preserve"> z </w:t>
      </w:r>
      <w:r w:rsidRPr="005F31CD">
        <w:rPr>
          <w:spacing w:val="-4"/>
        </w:rPr>
        <w:t>regionálnej geopolitickej situácie, najmä zo stále zložitých vzťahov Gruzínska</w:t>
      </w:r>
      <w:r w:rsidR="005F31CD">
        <w:rPr>
          <w:spacing w:val="-4"/>
        </w:rPr>
        <w:t xml:space="preserve"> s </w:t>
      </w:r>
      <w:r w:rsidRPr="005F31CD">
        <w:rPr>
          <w:spacing w:val="-4"/>
        </w:rPr>
        <w:t>Ruskom</w:t>
      </w:r>
      <w:r w:rsidR="005F31CD">
        <w:rPr>
          <w:spacing w:val="-4"/>
        </w:rPr>
        <w:t xml:space="preserve"> a </w:t>
      </w:r>
      <w:r w:rsidRPr="005F31CD">
        <w:rPr>
          <w:spacing w:val="-4"/>
        </w:rPr>
        <w:t>separatistickými regiónmi Abcházsko</w:t>
      </w:r>
      <w:r w:rsidR="005F31CD">
        <w:rPr>
          <w:spacing w:val="-4"/>
        </w:rPr>
        <w:t xml:space="preserve"> a </w:t>
      </w:r>
      <w:r w:rsidRPr="005F31CD">
        <w:rPr>
          <w:spacing w:val="-4"/>
        </w:rPr>
        <w:t>Južné Osetsko. Zhoršenie tejto regionálnej geopolitickej situácie by mohlo mať negatívny vplyv na makroekonomickú stabilitu Gruzínska, čo by mohlo ovplyvniť plnenie programu MMF</w:t>
      </w:r>
      <w:r w:rsidR="005F31CD">
        <w:rPr>
          <w:spacing w:val="-4"/>
        </w:rPr>
        <w:t xml:space="preserve"> a </w:t>
      </w:r>
      <w:r w:rsidRPr="005F31CD">
        <w:rPr>
          <w:spacing w:val="-4"/>
        </w:rPr>
        <w:t>vyplácanie a/alebo splácanie navrhovanej makrofinančnej pomoci.</w:t>
      </w:r>
    </w:p>
    <w:p w:rsidR="003C2110" w:rsidRPr="005F31CD" w:rsidRDefault="003C2110" w:rsidP="003C2110">
      <w:pPr>
        <w:pStyle w:val="Text1"/>
        <w:rPr>
          <w:i/>
          <w:spacing w:val="-4"/>
        </w:rPr>
      </w:pPr>
      <w:r w:rsidRPr="005F31CD">
        <w:rPr>
          <w:spacing w:val="-4"/>
        </w:rPr>
        <w:t>A nakoniec, Gruzínske hospodárstvo čelí rozsiahlejším rizikám</w:t>
      </w:r>
      <w:r w:rsidR="005F31CD">
        <w:rPr>
          <w:spacing w:val="-4"/>
        </w:rPr>
        <w:t xml:space="preserve"> v </w:t>
      </w:r>
      <w:r w:rsidRPr="005F31CD">
        <w:rPr>
          <w:spacing w:val="-4"/>
        </w:rPr>
        <w:t>dôsledku neistého regionálneho</w:t>
      </w:r>
      <w:r w:rsidR="005F31CD">
        <w:rPr>
          <w:spacing w:val="-4"/>
        </w:rPr>
        <w:t xml:space="preserve"> a </w:t>
      </w:r>
      <w:r w:rsidRPr="005F31CD">
        <w:rPr>
          <w:spacing w:val="-4"/>
        </w:rPr>
        <w:t>celosvetového hospodárskeho výhľadu. Očakáva sa, že</w:t>
      </w:r>
      <w:r w:rsidR="005F31CD">
        <w:rPr>
          <w:spacing w:val="-4"/>
        </w:rPr>
        <w:t xml:space="preserve"> v </w:t>
      </w:r>
      <w:r w:rsidRPr="005F31CD">
        <w:rPr>
          <w:spacing w:val="-4"/>
        </w:rPr>
        <w:t>roku 2017 sa zvýši regionálny</w:t>
      </w:r>
      <w:r w:rsidR="005F31CD">
        <w:rPr>
          <w:spacing w:val="-4"/>
        </w:rPr>
        <w:t xml:space="preserve"> a </w:t>
      </w:r>
      <w:r w:rsidRPr="005F31CD">
        <w:rPr>
          <w:spacing w:val="-4"/>
        </w:rPr>
        <w:t>celosvetový rast, ktorý však naďalej zostane utlmený</w:t>
      </w:r>
      <w:r w:rsidR="005F31CD">
        <w:rPr>
          <w:spacing w:val="-4"/>
        </w:rPr>
        <w:t xml:space="preserve"> a </w:t>
      </w:r>
      <w:r w:rsidRPr="005F31CD">
        <w:rPr>
          <w:spacing w:val="-4"/>
        </w:rPr>
        <w:t>bude podliehať rizikám poklesu vyplývajúcim</w:t>
      </w:r>
      <w:r w:rsidR="005F31CD">
        <w:rPr>
          <w:spacing w:val="-4"/>
        </w:rPr>
        <w:t xml:space="preserve"> z </w:t>
      </w:r>
      <w:r w:rsidRPr="005F31CD">
        <w:rPr>
          <w:spacing w:val="-4"/>
        </w:rPr>
        <w:t>protekcionizmu, volatility na finančných trhoch</w:t>
      </w:r>
      <w:r w:rsidR="005F31CD">
        <w:rPr>
          <w:spacing w:val="-4"/>
        </w:rPr>
        <w:t xml:space="preserve"> a </w:t>
      </w:r>
      <w:r w:rsidRPr="005F31CD">
        <w:rPr>
          <w:spacing w:val="-4"/>
        </w:rPr>
        <w:t>možného ďalšieho zhodnocovania amerického dolára. Ak sa tieto riziká naplnia, mohli by viesť</w:t>
      </w:r>
      <w:r w:rsidR="005F31CD">
        <w:rPr>
          <w:spacing w:val="-4"/>
        </w:rPr>
        <w:t xml:space="preserve"> k </w:t>
      </w:r>
      <w:r w:rsidRPr="005F31CD">
        <w:rPr>
          <w:spacing w:val="-4"/>
        </w:rPr>
        <w:t>zníženiu hospodárskeho rastu</w:t>
      </w:r>
      <w:r w:rsidR="005F31CD">
        <w:rPr>
          <w:spacing w:val="-4"/>
        </w:rPr>
        <w:t xml:space="preserve"> v </w:t>
      </w:r>
      <w:r w:rsidRPr="005F31CD">
        <w:rPr>
          <w:spacing w:val="-4"/>
        </w:rPr>
        <w:t>Gruzínsku, čo by</w:t>
      </w:r>
      <w:r w:rsidR="005F31CD">
        <w:rPr>
          <w:spacing w:val="-4"/>
        </w:rPr>
        <w:t xml:space="preserve"> v </w:t>
      </w:r>
      <w:r w:rsidRPr="005F31CD">
        <w:rPr>
          <w:spacing w:val="-4"/>
        </w:rPr>
        <w:t>spojení</w:t>
      </w:r>
      <w:r w:rsidR="005F31CD">
        <w:rPr>
          <w:spacing w:val="-4"/>
        </w:rPr>
        <w:t xml:space="preserve"> s </w:t>
      </w:r>
      <w:r w:rsidRPr="005F31CD">
        <w:rPr>
          <w:spacing w:val="-4"/>
        </w:rPr>
        <w:t>trvalo vysokou nerovnosťou</w:t>
      </w:r>
      <w:r w:rsidR="005F31CD">
        <w:rPr>
          <w:spacing w:val="-4"/>
        </w:rPr>
        <w:t xml:space="preserve"> a </w:t>
      </w:r>
      <w:r w:rsidRPr="005F31CD">
        <w:rPr>
          <w:spacing w:val="-4"/>
        </w:rPr>
        <w:t>pomerne obmedzenou záchrannou sociálnou sieťou mohlo zaťažiť rozpočet</w:t>
      </w:r>
      <w:r w:rsidR="005F31CD">
        <w:rPr>
          <w:spacing w:val="-4"/>
        </w:rPr>
        <w:t xml:space="preserve"> a </w:t>
      </w:r>
      <w:r w:rsidRPr="005F31CD">
        <w:rPr>
          <w:spacing w:val="-4"/>
        </w:rPr>
        <w:t>znížiť domácu podporu štrukturálnych reforiem.</w:t>
      </w:r>
    </w:p>
    <w:p w:rsidR="003C2110" w:rsidRPr="005F31CD" w:rsidRDefault="003C2110" w:rsidP="003C2110">
      <w:pPr>
        <w:pStyle w:val="ManualHeading3"/>
        <w:rPr>
          <w:spacing w:val="-4"/>
        </w:rPr>
      </w:pPr>
      <w:r w:rsidRPr="005F31CD">
        <w:rPr>
          <w:spacing w:val="-4"/>
        </w:rPr>
        <w:t>2.2.2.</w:t>
      </w:r>
      <w:r w:rsidRPr="005F31CD">
        <w:rPr>
          <w:spacing w:val="-4"/>
        </w:rPr>
        <w:tab/>
        <w:t>Plánované metódy kontroly</w:t>
      </w:r>
    </w:p>
    <w:p w:rsidR="003C2110" w:rsidRPr="005F31CD" w:rsidRDefault="003C2110" w:rsidP="003C2110">
      <w:pPr>
        <w:pStyle w:val="Text1"/>
        <w:rPr>
          <w:spacing w:val="-4"/>
        </w:rPr>
      </w:pPr>
      <w:r w:rsidRPr="005F31CD">
        <w:rPr>
          <w:spacing w:val="-4"/>
        </w:rPr>
        <w:t>Makrofinančná pomoc bude podliehať overovaniu, kontrole</w:t>
      </w:r>
      <w:r w:rsidR="005F31CD">
        <w:rPr>
          <w:spacing w:val="-4"/>
        </w:rPr>
        <w:t xml:space="preserve"> a </w:t>
      </w:r>
      <w:r w:rsidRPr="005F31CD">
        <w:rPr>
          <w:spacing w:val="-4"/>
        </w:rPr>
        <w:t>postupom auditu</w:t>
      </w:r>
      <w:r w:rsidR="005F31CD">
        <w:rPr>
          <w:spacing w:val="-4"/>
        </w:rPr>
        <w:t xml:space="preserve"> v </w:t>
      </w:r>
      <w:r w:rsidRPr="005F31CD">
        <w:rPr>
          <w:spacing w:val="-4"/>
        </w:rPr>
        <w:t>rámci právomoci Komisie vrátane Európskeho úradu pre boj proti podvodom (OLAF)</w:t>
      </w:r>
      <w:r w:rsidR="005F31CD">
        <w:rPr>
          <w:spacing w:val="-4"/>
        </w:rPr>
        <w:t xml:space="preserve"> a </w:t>
      </w:r>
      <w:r w:rsidRPr="005F31CD">
        <w:rPr>
          <w:spacing w:val="-4"/>
        </w:rPr>
        <w:t>Európskeho dvora audítorov.</w:t>
      </w:r>
    </w:p>
    <w:p w:rsidR="003C2110" w:rsidRPr="005F31CD" w:rsidRDefault="003C2110" w:rsidP="003C2110">
      <w:pPr>
        <w:pStyle w:val="ManualHeading3"/>
        <w:rPr>
          <w:spacing w:val="-4"/>
        </w:rPr>
      </w:pPr>
      <w:r w:rsidRPr="005F31CD">
        <w:rPr>
          <w:spacing w:val="-4"/>
        </w:rPr>
        <w:t>2.2.3.</w:t>
      </w:r>
      <w:r w:rsidRPr="005F31CD">
        <w:rPr>
          <w:spacing w:val="-4"/>
        </w:rPr>
        <w:tab/>
        <w:t>Náklady</w:t>
      </w:r>
      <w:r w:rsidR="005F31CD">
        <w:rPr>
          <w:spacing w:val="-4"/>
        </w:rPr>
        <w:t xml:space="preserve"> a </w:t>
      </w:r>
      <w:r w:rsidRPr="005F31CD">
        <w:rPr>
          <w:spacing w:val="-4"/>
        </w:rPr>
        <w:t>prínosy kontrol</w:t>
      </w:r>
      <w:r w:rsidR="005F31CD">
        <w:rPr>
          <w:spacing w:val="-4"/>
        </w:rPr>
        <w:t xml:space="preserve"> a </w:t>
      </w:r>
      <w:r w:rsidRPr="005F31CD">
        <w:rPr>
          <w:spacing w:val="-4"/>
        </w:rPr>
        <w:t>pravdepodobná miera neplnenia požiadaviek</w:t>
      </w:r>
    </w:p>
    <w:p w:rsidR="003C2110" w:rsidRPr="005F31CD" w:rsidRDefault="003C2110" w:rsidP="003C2110">
      <w:pPr>
        <w:pStyle w:val="Text1"/>
        <w:rPr>
          <w:spacing w:val="-4"/>
        </w:rPr>
      </w:pPr>
      <w:r w:rsidRPr="005F31CD">
        <w:rPr>
          <w:spacing w:val="-4"/>
        </w:rPr>
        <w:t>Základné náklady Komisie súvisiace</w:t>
      </w:r>
      <w:r w:rsidR="005F31CD">
        <w:rPr>
          <w:spacing w:val="-4"/>
        </w:rPr>
        <w:t xml:space="preserve"> s </w:t>
      </w:r>
      <w:r w:rsidRPr="005F31CD">
        <w:rPr>
          <w:spacing w:val="-4"/>
        </w:rPr>
        <w:t>metódami overovania</w:t>
      </w:r>
      <w:r w:rsidR="005F31CD">
        <w:rPr>
          <w:spacing w:val="-4"/>
        </w:rPr>
        <w:t xml:space="preserve"> a </w:t>
      </w:r>
      <w:r w:rsidRPr="005F31CD">
        <w:rPr>
          <w:spacing w:val="-4"/>
        </w:rPr>
        <w:t>kontroly sú uvedené</w:t>
      </w:r>
      <w:r w:rsidR="005F31CD">
        <w:rPr>
          <w:spacing w:val="-4"/>
        </w:rPr>
        <w:t xml:space="preserve"> v </w:t>
      </w:r>
      <w:r w:rsidRPr="005F31CD">
        <w:rPr>
          <w:spacing w:val="-4"/>
        </w:rPr>
        <w:t>tabuľke 3.2.1. Okrem toho sú tu náklady Európskeho dvora audítorov</w:t>
      </w:r>
      <w:r w:rsidR="005F31CD">
        <w:rPr>
          <w:spacing w:val="-4"/>
        </w:rPr>
        <w:t xml:space="preserve"> a </w:t>
      </w:r>
      <w:r w:rsidRPr="005F31CD">
        <w:rPr>
          <w:spacing w:val="-4"/>
        </w:rPr>
        <w:t>náklady spojené</w:t>
      </w:r>
      <w:r w:rsidR="005F31CD">
        <w:rPr>
          <w:spacing w:val="-4"/>
        </w:rPr>
        <w:t xml:space="preserve"> s </w:t>
      </w:r>
      <w:r w:rsidRPr="005F31CD">
        <w:rPr>
          <w:spacing w:val="-4"/>
        </w:rPr>
        <w:t>prípadnou intervenciou úradu OLAF. Operatívne posúdenie finančných</w:t>
      </w:r>
      <w:r w:rsidR="005F31CD">
        <w:rPr>
          <w:spacing w:val="-4"/>
        </w:rPr>
        <w:t xml:space="preserve"> a </w:t>
      </w:r>
      <w:r w:rsidRPr="005F31CD">
        <w:rPr>
          <w:spacing w:val="-4"/>
        </w:rPr>
        <w:t>administratívnych tokov Gruzínska, ktoré majú útvary Komisie –</w:t>
      </w:r>
      <w:r w:rsidR="005F31CD">
        <w:rPr>
          <w:spacing w:val="-4"/>
        </w:rPr>
        <w:t xml:space="preserve"> s </w:t>
      </w:r>
      <w:r w:rsidRPr="005F31CD">
        <w:rPr>
          <w:spacing w:val="-4"/>
        </w:rPr>
        <w:t>podporou externých poradcov – dokončiť</w:t>
      </w:r>
      <w:r w:rsidR="005F31CD">
        <w:rPr>
          <w:spacing w:val="-4"/>
        </w:rPr>
        <w:t xml:space="preserve"> v </w:t>
      </w:r>
      <w:r w:rsidRPr="005F31CD">
        <w:rPr>
          <w:spacing w:val="-4"/>
        </w:rPr>
        <w:t>roku 2017, pomáha posúdiť riziká zneužitia finančných prostriedkov</w:t>
      </w:r>
      <w:r w:rsidR="005F31CD">
        <w:rPr>
          <w:spacing w:val="-4"/>
        </w:rPr>
        <w:t xml:space="preserve"> a </w:t>
      </w:r>
      <w:r w:rsidRPr="005F31CD">
        <w:rPr>
          <w:spacing w:val="-4"/>
        </w:rPr>
        <w:t>ako vedľajší prínos poskytuje aj užitočné informácie</w:t>
      </w:r>
      <w:r w:rsidR="005F31CD">
        <w:rPr>
          <w:spacing w:val="-4"/>
        </w:rPr>
        <w:t xml:space="preserve"> o </w:t>
      </w:r>
      <w:r w:rsidRPr="005F31CD">
        <w:rPr>
          <w:spacing w:val="-4"/>
        </w:rPr>
        <w:t>potrebných reformách</w:t>
      </w:r>
      <w:r w:rsidR="005F31CD">
        <w:rPr>
          <w:spacing w:val="-4"/>
        </w:rPr>
        <w:t xml:space="preserve"> v </w:t>
      </w:r>
      <w:r w:rsidRPr="005F31CD">
        <w:rPr>
          <w:spacing w:val="-4"/>
        </w:rPr>
        <w:t>oblasti riadenia verejných financií, ktoré sa môžu odzrkadliť</w:t>
      </w:r>
      <w:r w:rsidR="005F31CD">
        <w:rPr>
          <w:spacing w:val="-4"/>
        </w:rPr>
        <w:t xml:space="preserve"> v </w:t>
      </w:r>
      <w:r w:rsidRPr="005F31CD">
        <w:rPr>
          <w:spacing w:val="-4"/>
        </w:rPr>
        <w:t>politickej podmienenosti operácie. Vzhľadom na skúsenosti</w:t>
      </w:r>
      <w:r w:rsidR="005F31CD">
        <w:rPr>
          <w:spacing w:val="-4"/>
        </w:rPr>
        <w:t xml:space="preserve"> s </w:t>
      </w:r>
      <w:r w:rsidRPr="005F31CD">
        <w:rPr>
          <w:spacing w:val="-4"/>
        </w:rPr>
        <w:t>nástrojom makrofinančnej pomoci získané od jeho vytvorenia sa</w:t>
      </w:r>
      <w:r w:rsidR="005F31CD">
        <w:rPr>
          <w:spacing w:val="-4"/>
        </w:rPr>
        <w:t xml:space="preserve"> v </w:t>
      </w:r>
      <w:r w:rsidRPr="005F31CD">
        <w:rPr>
          <w:spacing w:val="-4"/>
        </w:rPr>
        <w:t>súvislosti</w:t>
      </w:r>
      <w:r w:rsidR="005F31CD">
        <w:rPr>
          <w:spacing w:val="-4"/>
        </w:rPr>
        <w:t xml:space="preserve"> s </w:t>
      </w:r>
      <w:r w:rsidRPr="005F31CD">
        <w:rPr>
          <w:spacing w:val="-4"/>
        </w:rPr>
        <w:t>pravdepodobnou mierou neplnenia požiadaviek riziko tohto neplnenia (vo forme nesplatenia úveru alebo zneužitia finančných prostriedkov) považuje za nízke.</w:t>
      </w:r>
    </w:p>
    <w:p w:rsidR="003C2110" w:rsidRPr="005F31CD" w:rsidRDefault="003C2110" w:rsidP="003C2110">
      <w:pPr>
        <w:pStyle w:val="ManualHeading2"/>
        <w:rPr>
          <w:spacing w:val="-4"/>
        </w:rPr>
      </w:pPr>
      <w:r w:rsidRPr="005F31CD">
        <w:rPr>
          <w:spacing w:val="-4"/>
        </w:rPr>
        <w:t>2.3.</w:t>
      </w:r>
      <w:r w:rsidRPr="005F31CD">
        <w:rPr>
          <w:spacing w:val="-4"/>
        </w:rPr>
        <w:tab/>
        <w:t>Opatrenia na predchádzanie podvodom</w:t>
      </w:r>
      <w:r w:rsidR="005F31CD">
        <w:rPr>
          <w:spacing w:val="-4"/>
        </w:rPr>
        <w:t xml:space="preserve"> a </w:t>
      </w:r>
      <w:r w:rsidRPr="005F31CD">
        <w:rPr>
          <w:spacing w:val="-4"/>
        </w:rPr>
        <w:t>nezrovnalostiam</w:t>
      </w:r>
    </w:p>
    <w:p w:rsidR="003C2110" w:rsidRPr="005F31CD" w:rsidRDefault="003C2110" w:rsidP="003C2110">
      <w:pPr>
        <w:pStyle w:val="Text1"/>
        <w:rPr>
          <w:spacing w:val="-4"/>
        </w:rPr>
      </w:pPr>
      <w:r w:rsidRPr="005F31CD">
        <w:rPr>
          <w:spacing w:val="-4"/>
        </w:rPr>
        <w:t>Na zmiernenie rizík podvodného používania sa prijme niekoľko opatrení:</w:t>
      </w:r>
    </w:p>
    <w:p w:rsidR="003C2110" w:rsidRPr="005F31CD" w:rsidRDefault="003C2110" w:rsidP="003C2110">
      <w:pPr>
        <w:pStyle w:val="Text1"/>
        <w:rPr>
          <w:spacing w:val="-4"/>
        </w:rPr>
      </w:pPr>
      <w:r w:rsidRPr="005F31CD">
        <w:rPr>
          <w:spacing w:val="-4"/>
        </w:rPr>
        <w:t>Po prvé, dohoda</w:t>
      </w:r>
      <w:r w:rsidR="005F31CD">
        <w:rPr>
          <w:spacing w:val="-4"/>
        </w:rPr>
        <w:t xml:space="preserve"> o </w:t>
      </w:r>
      <w:r w:rsidRPr="005F31CD">
        <w:rPr>
          <w:spacing w:val="-4"/>
        </w:rPr>
        <w:t>úvere</w:t>
      </w:r>
      <w:r w:rsidR="005F31CD">
        <w:rPr>
          <w:spacing w:val="-4"/>
        </w:rPr>
        <w:t xml:space="preserve"> a </w:t>
      </w:r>
      <w:r w:rsidRPr="005F31CD">
        <w:rPr>
          <w:spacing w:val="-4"/>
        </w:rPr>
        <w:t>dohoda</w:t>
      </w:r>
      <w:r w:rsidR="005F31CD">
        <w:rPr>
          <w:spacing w:val="-4"/>
        </w:rPr>
        <w:t xml:space="preserve"> o </w:t>
      </w:r>
      <w:r w:rsidRPr="005F31CD">
        <w:rPr>
          <w:spacing w:val="-4"/>
        </w:rPr>
        <w:t>grante budú zahŕňať súbor ustanovení</w:t>
      </w:r>
      <w:r w:rsidR="005F31CD">
        <w:rPr>
          <w:spacing w:val="-4"/>
        </w:rPr>
        <w:t xml:space="preserve"> o </w:t>
      </w:r>
      <w:r w:rsidRPr="005F31CD">
        <w:rPr>
          <w:spacing w:val="-4"/>
        </w:rPr>
        <w:t>inšpekciách, predchádzaní podvodom, auditoch</w:t>
      </w:r>
      <w:r w:rsidR="005F31CD">
        <w:rPr>
          <w:spacing w:val="-4"/>
        </w:rPr>
        <w:t xml:space="preserve"> a </w:t>
      </w:r>
      <w:r w:rsidRPr="005F31CD">
        <w:rPr>
          <w:spacing w:val="-4"/>
        </w:rPr>
        <w:t>vymáhaní finančných prostriedkov</w:t>
      </w:r>
      <w:r w:rsidR="005F31CD">
        <w:rPr>
          <w:spacing w:val="-4"/>
        </w:rPr>
        <w:t xml:space="preserve"> v </w:t>
      </w:r>
      <w:r w:rsidRPr="005F31CD">
        <w:rPr>
          <w:spacing w:val="-4"/>
        </w:rPr>
        <w:t>prípade podvodu alebo korupcie. Pomoc sa zároveň vyplatí na osobitný účet</w:t>
      </w:r>
      <w:r w:rsidR="005F31CD">
        <w:rPr>
          <w:spacing w:val="-4"/>
        </w:rPr>
        <w:t xml:space="preserve"> v </w:t>
      </w:r>
      <w:r w:rsidRPr="005F31CD">
        <w:rPr>
          <w:spacing w:val="-4"/>
        </w:rPr>
        <w:t>Národnej banke Gruzínska.</w:t>
      </w:r>
    </w:p>
    <w:p w:rsidR="003C2110" w:rsidRPr="005F31CD" w:rsidRDefault="003C2110" w:rsidP="003C2110">
      <w:pPr>
        <w:pStyle w:val="Text1"/>
        <w:rPr>
          <w:spacing w:val="-4"/>
        </w:rPr>
      </w:pPr>
      <w:r w:rsidRPr="005F31CD">
        <w:rPr>
          <w:spacing w:val="-4"/>
        </w:rPr>
        <w:t>Okrem toho útvary Komisie</w:t>
      </w:r>
      <w:r w:rsidR="005F31CD">
        <w:rPr>
          <w:spacing w:val="-4"/>
        </w:rPr>
        <w:t xml:space="preserve"> s </w:t>
      </w:r>
      <w:r w:rsidRPr="005F31CD">
        <w:rPr>
          <w:spacing w:val="-4"/>
        </w:rPr>
        <w:t>podporou externých poradcov</w:t>
      </w:r>
      <w:r w:rsidR="005F31CD">
        <w:rPr>
          <w:spacing w:val="-4"/>
        </w:rPr>
        <w:t xml:space="preserve"> v </w:t>
      </w:r>
      <w:r w:rsidRPr="005F31CD">
        <w:rPr>
          <w:spacing w:val="-4"/>
        </w:rPr>
        <w:t>súčasnosti dokončujú návrh operatívneho posúdenia spoľahlivosti finančných tokov</w:t>
      </w:r>
      <w:r w:rsidR="005F31CD">
        <w:rPr>
          <w:spacing w:val="-4"/>
        </w:rPr>
        <w:t xml:space="preserve"> a </w:t>
      </w:r>
      <w:r w:rsidRPr="005F31CD">
        <w:rPr>
          <w:spacing w:val="-4"/>
        </w:rPr>
        <w:t>administratívnych postupov Gruzínska, ktoré sú relevantné pre tento typ pomoci.</w:t>
      </w:r>
      <w:r w:rsidR="005F31CD">
        <w:rPr>
          <w:spacing w:val="-4"/>
        </w:rPr>
        <w:t xml:space="preserve"> V </w:t>
      </w:r>
      <w:r w:rsidRPr="005F31CD">
        <w:rPr>
          <w:spacing w:val="-4"/>
        </w:rPr>
        <w:t>predbežných zisteniach poradcov (poskytnutých</w:t>
      </w:r>
      <w:r w:rsidR="005F31CD">
        <w:rPr>
          <w:spacing w:val="-4"/>
        </w:rPr>
        <w:t xml:space="preserve"> v </w:t>
      </w:r>
      <w:r w:rsidRPr="005F31CD">
        <w:rPr>
          <w:spacing w:val="-4"/>
        </w:rPr>
        <w:t>septembri 2017) sa konštatuje, že súčasný stav administratívnych</w:t>
      </w:r>
      <w:r w:rsidR="005F31CD">
        <w:rPr>
          <w:spacing w:val="-4"/>
        </w:rPr>
        <w:t xml:space="preserve"> a </w:t>
      </w:r>
      <w:r w:rsidRPr="005F31CD">
        <w:rPr>
          <w:spacing w:val="-4"/>
        </w:rPr>
        <w:t>finančných tokov Gruzínska je primeraný na riadenie novej operácie makrofinančnej pomoci napriek tomu, že určité nedostatky pretrvávajú.</w:t>
      </w:r>
    </w:p>
    <w:p w:rsidR="003C2110" w:rsidRPr="005F31CD" w:rsidRDefault="003C2110" w:rsidP="003C2110">
      <w:pPr>
        <w:pStyle w:val="Text1"/>
        <w:rPr>
          <w:spacing w:val="-4"/>
        </w:rPr>
      </w:pPr>
      <w:r w:rsidRPr="005F31CD">
        <w:rPr>
          <w:spacing w:val="-4"/>
        </w:rPr>
        <w:t>Napokon, za overovanie, kontrolu</w:t>
      </w:r>
      <w:r w:rsidR="005F31CD">
        <w:rPr>
          <w:spacing w:val="-4"/>
        </w:rPr>
        <w:t xml:space="preserve"> a </w:t>
      </w:r>
      <w:r w:rsidRPr="005F31CD">
        <w:rPr>
          <w:spacing w:val="-4"/>
        </w:rPr>
        <w:t>audit pomoci bude zodpovedať Komisia vrátane Európskeho úradu pre boj proti podvodom (OLAF)</w:t>
      </w:r>
      <w:r w:rsidR="005F31CD">
        <w:rPr>
          <w:spacing w:val="-4"/>
        </w:rPr>
        <w:t xml:space="preserve"> a </w:t>
      </w:r>
      <w:r w:rsidRPr="005F31CD">
        <w:rPr>
          <w:spacing w:val="-4"/>
        </w:rPr>
        <w:t>Európsky dvor audítorov.</w:t>
      </w:r>
    </w:p>
    <w:p w:rsidR="003C2110" w:rsidRPr="005F31CD" w:rsidRDefault="003C2110" w:rsidP="003C2110">
      <w:pPr>
        <w:pStyle w:val="ManualHeading1"/>
        <w:rPr>
          <w:spacing w:val="-4"/>
        </w:rPr>
      </w:pPr>
      <w:r w:rsidRPr="005F31CD">
        <w:rPr>
          <w:spacing w:val="-4"/>
        </w:rPr>
        <w:t>3.</w:t>
      </w:r>
      <w:r w:rsidRPr="005F31CD">
        <w:rPr>
          <w:spacing w:val="-4"/>
        </w:rPr>
        <w:tab/>
        <w:t>ODHADOVANÝ FINANČNÝ VPLYV NÁVRHU/INICIATÍVY</w:t>
      </w:r>
    </w:p>
    <w:p w:rsidR="003C2110" w:rsidRPr="005F31CD" w:rsidRDefault="003C2110" w:rsidP="003C2110">
      <w:pPr>
        <w:pStyle w:val="ManualHeading2"/>
        <w:rPr>
          <w:i/>
          <w:spacing w:val="-4"/>
        </w:rPr>
      </w:pPr>
      <w:r w:rsidRPr="005F31CD">
        <w:rPr>
          <w:spacing w:val="-4"/>
        </w:rPr>
        <w:t>3.1.</w:t>
      </w:r>
      <w:r w:rsidRPr="005F31CD">
        <w:rPr>
          <w:spacing w:val="-4"/>
        </w:rPr>
        <w:tab/>
        <w:t>Príslušné okruhy viacročného finančného rámca</w:t>
      </w:r>
      <w:r w:rsidR="005F31CD">
        <w:rPr>
          <w:spacing w:val="-4"/>
        </w:rPr>
        <w:t xml:space="preserve"> a </w:t>
      </w:r>
      <w:r w:rsidRPr="005F31CD">
        <w:rPr>
          <w:spacing w:val="-4"/>
        </w:rPr>
        <w:t>rozpočtové riadky výdavkov</w:t>
      </w:r>
    </w:p>
    <w:p w:rsidR="003C2110" w:rsidRPr="005F31CD" w:rsidRDefault="003C2110" w:rsidP="003C2110">
      <w:pPr>
        <w:pStyle w:val="ListBullet1"/>
        <w:rPr>
          <w:spacing w:val="-4"/>
        </w:rPr>
      </w:pPr>
      <w:bookmarkStart w:id="6" w:name="DQPStarAt1DQPStarAt2DF7A59398DA49949E402"/>
      <w:r w:rsidRPr="005F31CD">
        <w:rPr>
          <w:spacing w:val="-4"/>
        </w:rPr>
        <w:t>Existujúce rozpočtové riadky</w:t>
      </w:r>
    </w:p>
    <w:bookmarkEnd w:id="6"/>
    <w:p w:rsidR="003C2110" w:rsidRPr="005F31CD" w:rsidRDefault="003C2110" w:rsidP="003C2110">
      <w:pPr>
        <w:pStyle w:val="Text1"/>
        <w:rPr>
          <w:spacing w:val="-4"/>
        </w:rPr>
      </w:pPr>
      <w:r w:rsidRPr="005F31CD">
        <w:rPr>
          <w:spacing w:val="-4"/>
        </w:rPr>
        <w:t>01 03 02: Makrofinančná pomoc</w:t>
      </w:r>
    </w:p>
    <w:p w:rsidR="003C2110" w:rsidRPr="005F31CD" w:rsidRDefault="003C2110" w:rsidP="003C2110">
      <w:pPr>
        <w:pStyle w:val="Text1"/>
        <w:rPr>
          <w:spacing w:val="-4"/>
        </w:rPr>
      </w:pPr>
      <w:r w:rsidRPr="005F31CD">
        <w:rPr>
          <w:spacing w:val="-4"/>
        </w:rPr>
        <w:t>01 03 06 – Financovanie Garančného fondu</w:t>
      </w:r>
    </w:p>
    <w:p w:rsidR="003C2110" w:rsidRPr="005F31CD" w:rsidRDefault="003C2110" w:rsidP="003C2110">
      <w:pPr>
        <w:pStyle w:val="Text1"/>
        <w:rPr>
          <w:spacing w:val="-4"/>
        </w:rPr>
      </w:pPr>
      <w:r w:rsidRPr="005F31CD">
        <w:rPr>
          <w:spacing w:val="-4"/>
        </w:rPr>
        <w:t>V poradí,</w:t>
      </w:r>
      <w:r w:rsidR="005F31CD">
        <w:rPr>
          <w:spacing w:val="-4"/>
        </w:rPr>
        <w:t xml:space="preserve"> v </w:t>
      </w:r>
      <w:r w:rsidRPr="005F31CD">
        <w:rPr>
          <w:spacing w:val="-4"/>
        </w:rPr>
        <w:t>akom za sebou nasledujú okruhy viacročného finančného rámca</w:t>
      </w:r>
      <w:r w:rsidR="005F31CD">
        <w:rPr>
          <w:spacing w:val="-4"/>
        </w:rPr>
        <w:t xml:space="preserve"> a </w:t>
      </w:r>
      <w:r w:rsidRPr="005F31CD">
        <w:rPr>
          <w:spacing w:val="-4"/>
        </w:rPr>
        <w:t>rozpočtové riadky.</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985"/>
        <w:gridCol w:w="1276"/>
        <w:gridCol w:w="1134"/>
        <w:gridCol w:w="1275"/>
        <w:gridCol w:w="1134"/>
        <w:gridCol w:w="1134"/>
      </w:tblGrid>
      <w:tr w:rsidR="003C2110" w:rsidRPr="005F31CD" w:rsidTr="00347B2F">
        <w:tc>
          <w:tcPr>
            <w:tcW w:w="1134" w:type="dxa"/>
            <w:vMerge w:val="restart"/>
            <w:vAlign w:val="center"/>
          </w:tcPr>
          <w:p w:rsidR="003C2110" w:rsidRPr="005F31CD" w:rsidRDefault="003C2110" w:rsidP="00347B2F">
            <w:pPr>
              <w:spacing w:before="60" w:after="60"/>
              <w:jc w:val="center"/>
              <w:rPr>
                <w:spacing w:val="-4"/>
              </w:rPr>
            </w:pPr>
            <w:r w:rsidRPr="005F31CD">
              <w:rPr>
                <w:spacing w:val="-4"/>
                <w:sz w:val="18"/>
              </w:rPr>
              <w:t>Okruh viacročného finančného rámca</w:t>
            </w:r>
          </w:p>
        </w:tc>
        <w:tc>
          <w:tcPr>
            <w:tcW w:w="1985" w:type="dxa"/>
            <w:vAlign w:val="center"/>
          </w:tcPr>
          <w:p w:rsidR="003C2110" w:rsidRPr="005F31CD" w:rsidRDefault="003C2110" w:rsidP="00347B2F">
            <w:pPr>
              <w:spacing w:before="60" w:after="60"/>
              <w:jc w:val="center"/>
              <w:rPr>
                <w:spacing w:val="-4"/>
              </w:rPr>
            </w:pPr>
            <w:r w:rsidRPr="005F31CD">
              <w:rPr>
                <w:spacing w:val="-4"/>
                <w:sz w:val="20"/>
              </w:rPr>
              <w:t>Rozpočtový riadok</w:t>
            </w:r>
          </w:p>
        </w:tc>
        <w:tc>
          <w:tcPr>
            <w:tcW w:w="1276" w:type="dxa"/>
            <w:vAlign w:val="center"/>
          </w:tcPr>
          <w:p w:rsidR="003C2110" w:rsidRPr="005F31CD" w:rsidRDefault="003C2110" w:rsidP="00347B2F">
            <w:pPr>
              <w:spacing w:before="60" w:after="60"/>
              <w:jc w:val="center"/>
              <w:rPr>
                <w:spacing w:val="-4"/>
              </w:rPr>
            </w:pPr>
            <w:r w:rsidRPr="005F31CD">
              <w:rPr>
                <w:spacing w:val="-4"/>
                <w:sz w:val="18"/>
              </w:rPr>
              <w:t xml:space="preserve">Druh </w:t>
            </w:r>
            <w:r w:rsidRPr="005F31CD">
              <w:rPr>
                <w:b/>
                <w:spacing w:val="-4"/>
                <w:sz w:val="18"/>
              </w:rPr>
              <w:br/>
            </w:r>
            <w:r w:rsidRPr="005F31CD">
              <w:rPr>
                <w:spacing w:val="-4"/>
                <w:sz w:val="18"/>
              </w:rPr>
              <w:t>výdavkov</w:t>
            </w:r>
          </w:p>
        </w:tc>
        <w:tc>
          <w:tcPr>
            <w:tcW w:w="4677" w:type="dxa"/>
            <w:gridSpan w:val="4"/>
            <w:vAlign w:val="center"/>
          </w:tcPr>
          <w:p w:rsidR="003C2110" w:rsidRPr="005F31CD" w:rsidRDefault="003C2110" w:rsidP="00347B2F">
            <w:pPr>
              <w:spacing w:before="60" w:after="60"/>
              <w:jc w:val="center"/>
              <w:rPr>
                <w:spacing w:val="-4"/>
              </w:rPr>
            </w:pPr>
            <w:r w:rsidRPr="005F31CD">
              <w:rPr>
                <w:spacing w:val="-4"/>
                <w:sz w:val="20"/>
              </w:rPr>
              <w:t xml:space="preserve">Príspevky </w:t>
            </w:r>
          </w:p>
        </w:tc>
      </w:tr>
      <w:tr w:rsidR="003C2110" w:rsidRPr="005F31CD" w:rsidTr="00347B2F">
        <w:tc>
          <w:tcPr>
            <w:tcW w:w="1134" w:type="dxa"/>
            <w:vMerge/>
            <w:vAlign w:val="center"/>
          </w:tcPr>
          <w:p w:rsidR="003C2110" w:rsidRPr="005F31CD" w:rsidRDefault="003C2110" w:rsidP="00347B2F">
            <w:pPr>
              <w:jc w:val="center"/>
              <w:rPr>
                <w:spacing w:val="-4"/>
              </w:rPr>
            </w:pPr>
          </w:p>
        </w:tc>
        <w:tc>
          <w:tcPr>
            <w:tcW w:w="1985" w:type="dxa"/>
            <w:vAlign w:val="center"/>
          </w:tcPr>
          <w:p w:rsidR="003C2110" w:rsidRPr="005F31CD" w:rsidRDefault="003C2110" w:rsidP="00347B2F">
            <w:pPr>
              <w:rPr>
                <w:spacing w:val="-4"/>
              </w:rPr>
            </w:pPr>
            <w:r w:rsidRPr="005F31CD">
              <w:rPr>
                <w:spacing w:val="-4"/>
                <w:sz w:val="20"/>
              </w:rPr>
              <w:t xml:space="preserve">Číslo </w:t>
            </w:r>
            <w:r w:rsidRPr="005F31CD">
              <w:rPr>
                <w:spacing w:val="-4"/>
                <w:sz w:val="20"/>
              </w:rPr>
              <w:br/>
              <w:t>[Názov………………...……….]</w:t>
            </w:r>
          </w:p>
        </w:tc>
        <w:tc>
          <w:tcPr>
            <w:tcW w:w="1276" w:type="dxa"/>
            <w:vAlign w:val="center"/>
          </w:tcPr>
          <w:p w:rsidR="003C2110" w:rsidRPr="005F31CD" w:rsidRDefault="003C2110" w:rsidP="00347B2F">
            <w:pPr>
              <w:jc w:val="center"/>
              <w:rPr>
                <w:spacing w:val="-4"/>
              </w:rPr>
            </w:pPr>
            <w:r w:rsidRPr="005F31CD">
              <w:rPr>
                <w:spacing w:val="-4"/>
                <w:sz w:val="18"/>
              </w:rPr>
              <w:t>DRP/NRP</w:t>
            </w:r>
            <w:r w:rsidRPr="005F31CD">
              <w:rPr>
                <w:spacing w:val="-4"/>
                <w:sz w:val="18"/>
              </w:rPr>
              <w:br/>
            </w:r>
            <w:r w:rsidRPr="005F31CD">
              <w:rPr>
                <w:spacing w:val="-4"/>
                <w:sz w:val="18"/>
                <w:vertAlign w:val="superscript"/>
              </w:rPr>
              <w:t>(</w:t>
            </w:r>
            <w:r w:rsidRPr="005F31CD">
              <w:rPr>
                <w:rStyle w:val="FootnoteReference"/>
                <w:spacing w:val="-4"/>
                <w:sz w:val="18"/>
              </w:rPr>
              <w:footnoteReference w:id="17"/>
            </w:r>
            <w:r w:rsidRPr="005F31CD">
              <w:rPr>
                <w:spacing w:val="-4"/>
                <w:sz w:val="18"/>
                <w:vertAlign w:val="superscript"/>
              </w:rPr>
              <w:t>)</w:t>
            </w:r>
          </w:p>
          <w:p w:rsidR="003C2110" w:rsidRPr="005F31CD" w:rsidRDefault="003C2110" w:rsidP="00347B2F">
            <w:pPr>
              <w:jc w:val="center"/>
              <w:rPr>
                <w:spacing w:val="-4"/>
              </w:rPr>
            </w:pPr>
          </w:p>
        </w:tc>
        <w:tc>
          <w:tcPr>
            <w:tcW w:w="1134" w:type="dxa"/>
            <w:vAlign w:val="center"/>
          </w:tcPr>
          <w:p w:rsidR="003C2110" w:rsidRPr="005F31CD" w:rsidRDefault="003C2110" w:rsidP="00347B2F">
            <w:pPr>
              <w:jc w:val="center"/>
              <w:rPr>
                <w:spacing w:val="-4"/>
              </w:rPr>
            </w:pPr>
            <w:r w:rsidRPr="005F31CD">
              <w:rPr>
                <w:spacing w:val="-4"/>
                <w:sz w:val="18"/>
              </w:rPr>
              <w:t>krajín EZVO</w:t>
            </w:r>
            <w:r w:rsidRPr="005F31CD">
              <w:rPr>
                <w:rStyle w:val="FootnoteReference"/>
                <w:spacing w:val="-4"/>
                <w:sz w:val="18"/>
              </w:rPr>
              <w:footnoteReference w:id="18"/>
            </w:r>
          </w:p>
          <w:p w:rsidR="003C2110" w:rsidRPr="005F31CD" w:rsidRDefault="003C2110" w:rsidP="00347B2F">
            <w:pPr>
              <w:jc w:val="center"/>
              <w:rPr>
                <w:b/>
                <w:spacing w:val="-4"/>
                <w:sz w:val="18"/>
              </w:rPr>
            </w:pPr>
          </w:p>
        </w:tc>
        <w:tc>
          <w:tcPr>
            <w:tcW w:w="1275" w:type="dxa"/>
            <w:vAlign w:val="center"/>
          </w:tcPr>
          <w:p w:rsidR="003C2110" w:rsidRPr="005F31CD" w:rsidRDefault="003C2110" w:rsidP="00347B2F">
            <w:pPr>
              <w:jc w:val="center"/>
              <w:rPr>
                <w:spacing w:val="-4"/>
              </w:rPr>
            </w:pPr>
            <w:r w:rsidRPr="005F31CD">
              <w:rPr>
                <w:spacing w:val="-4"/>
                <w:sz w:val="18"/>
              </w:rPr>
              <w:t>kandidátskych krajín</w:t>
            </w:r>
            <w:r w:rsidRPr="005F31CD">
              <w:rPr>
                <w:rStyle w:val="FootnoteReference"/>
                <w:spacing w:val="-4"/>
                <w:sz w:val="18"/>
              </w:rPr>
              <w:footnoteReference w:id="19"/>
            </w:r>
          </w:p>
          <w:p w:rsidR="003C2110" w:rsidRPr="005F31CD" w:rsidRDefault="003C2110" w:rsidP="00347B2F">
            <w:pPr>
              <w:jc w:val="center"/>
              <w:rPr>
                <w:spacing w:val="-4"/>
                <w:sz w:val="18"/>
              </w:rPr>
            </w:pPr>
          </w:p>
        </w:tc>
        <w:tc>
          <w:tcPr>
            <w:tcW w:w="1134" w:type="dxa"/>
            <w:vAlign w:val="center"/>
          </w:tcPr>
          <w:p w:rsidR="003C2110" w:rsidRPr="005F31CD" w:rsidRDefault="003C2110" w:rsidP="00347B2F">
            <w:pPr>
              <w:jc w:val="center"/>
              <w:rPr>
                <w:spacing w:val="-4"/>
                <w:sz w:val="18"/>
              </w:rPr>
            </w:pPr>
            <w:r w:rsidRPr="005F31CD">
              <w:rPr>
                <w:spacing w:val="-4"/>
                <w:sz w:val="18"/>
              </w:rPr>
              <w:t>tretích krajín</w:t>
            </w:r>
          </w:p>
          <w:p w:rsidR="003C2110" w:rsidRPr="005F31CD" w:rsidRDefault="003C2110" w:rsidP="00347B2F">
            <w:pPr>
              <w:jc w:val="center"/>
              <w:rPr>
                <w:spacing w:val="-4"/>
              </w:rPr>
            </w:pPr>
          </w:p>
        </w:tc>
        <w:tc>
          <w:tcPr>
            <w:tcW w:w="1134" w:type="dxa"/>
            <w:vAlign w:val="center"/>
          </w:tcPr>
          <w:p w:rsidR="003C2110" w:rsidRPr="005F31CD" w:rsidRDefault="003C2110" w:rsidP="00347B2F">
            <w:pPr>
              <w:jc w:val="center"/>
              <w:rPr>
                <w:spacing w:val="-4"/>
              </w:rPr>
            </w:pPr>
            <w:r w:rsidRPr="005F31CD">
              <w:rPr>
                <w:spacing w:val="-4"/>
                <w:sz w:val="16"/>
              </w:rPr>
              <w:t>v zmysle článku 18 ods. 1 písm. aa) nariadenia</w:t>
            </w:r>
            <w:r w:rsidR="005F31CD">
              <w:rPr>
                <w:spacing w:val="-4"/>
                <w:sz w:val="16"/>
              </w:rPr>
              <w:t xml:space="preserve"> o </w:t>
            </w:r>
            <w:r w:rsidRPr="005F31CD">
              <w:rPr>
                <w:spacing w:val="-4"/>
                <w:sz w:val="16"/>
              </w:rPr>
              <w:t xml:space="preserve">rozpočtových pravidlách </w:t>
            </w:r>
          </w:p>
        </w:tc>
      </w:tr>
      <w:tr w:rsidR="003C2110" w:rsidRPr="005F31CD" w:rsidTr="00347B2F">
        <w:tc>
          <w:tcPr>
            <w:tcW w:w="1134" w:type="dxa"/>
            <w:vAlign w:val="center"/>
          </w:tcPr>
          <w:p w:rsidR="003C2110" w:rsidRPr="005F31CD" w:rsidRDefault="003C2110" w:rsidP="00347B2F">
            <w:pPr>
              <w:jc w:val="center"/>
              <w:rPr>
                <w:spacing w:val="-4"/>
              </w:rPr>
            </w:pPr>
            <w:r w:rsidRPr="005F31CD">
              <w:rPr>
                <w:spacing w:val="-4"/>
              </w:rPr>
              <w:t>4</w:t>
            </w:r>
          </w:p>
        </w:tc>
        <w:tc>
          <w:tcPr>
            <w:tcW w:w="1985" w:type="dxa"/>
            <w:vAlign w:val="center"/>
          </w:tcPr>
          <w:p w:rsidR="003C2110" w:rsidRPr="005F31CD" w:rsidRDefault="003C2110" w:rsidP="00347B2F">
            <w:pPr>
              <w:autoSpaceDE w:val="0"/>
              <w:autoSpaceDN w:val="0"/>
              <w:adjustRightInd w:val="0"/>
              <w:spacing w:before="0" w:after="0"/>
              <w:jc w:val="left"/>
              <w:rPr>
                <w:rFonts w:ascii="TimesNewRoman" w:hAnsi="TimesNewRoman" w:cs="TimesNewRoman"/>
                <w:spacing w:val="-4"/>
                <w:sz w:val="23"/>
                <w:szCs w:val="23"/>
              </w:rPr>
            </w:pPr>
            <w:r w:rsidRPr="005F31CD">
              <w:rPr>
                <w:rFonts w:ascii="TimesNewRoman" w:hAnsi="TimesNewRoman"/>
                <w:spacing w:val="-4"/>
                <w:sz w:val="23"/>
              </w:rPr>
              <w:t>01 03 02</w:t>
            </w:r>
          </w:p>
          <w:p w:rsidR="003C2110" w:rsidRPr="005F31CD" w:rsidRDefault="003C2110" w:rsidP="00347B2F">
            <w:pPr>
              <w:spacing w:after="60"/>
              <w:rPr>
                <w:spacing w:val="-4"/>
                <w:szCs w:val="24"/>
              </w:rPr>
            </w:pPr>
            <w:r w:rsidRPr="005F31CD">
              <w:rPr>
                <w:rFonts w:ascii="TimesNewRoman" w:hAnsi="TimesNewRoman"/>
                <w:spacing w:val="-4"/>
                <w:szCs w:val="24"/>
              </w:rPr>
              <w:t>Makrofinan</w:t>
            </w:r>
            <w:r w:rsidRPr="005F31CD">
              <w:rPr>
                <w:spacing w:val="-4"/>
              </w:rPr>
              <w:t>č</w:t>
            </w:r>
            <w:r w:rsidRPr="005F31CD">
              <w:rPr>
                <w:rFonts w:ascii="TimesNewRoman" w:hAnsi="TimesNewRoman"/>
                <w:spacing w:val="-4"/>
                <w:szCs w:val="24"/>
              </w:rPr>
              <w:t>ná pomoc</w:t>
            </w:r>
          </w:p>
        </w:tc>
        <w:tc>
          <w:tcPr>
            <w:tcW w:w="1276" w:type="dxa"/>
            <w:vAlign w:val="center"/>
          </w:tcPr>
          <w:p w:rsidR="003C2110" w:rsidRPr="005F31CD" w:rsidRDefault="003C2110" w:rsidP="00347B2F">
            <w:pPr>
              <w:jc w:val="center"/>
              <w:rPr>
                <w:spacing w:val="-4"/>
              </w:rPr>
            </w:pPr>
            <w:r w:rsidRPr="005F31CD">
              <w:rPr>
                <w:spacing w:val="-4"/>
              </w:rPr>
              <w:t>DRP</w:t>
            </w:r>
          </w:p>
        </w:tc>
        <w:tc>
          <w:tcPr>
            <w:tcW w:w="1134" w:type="dxa"/>
            <w:vAlign w:val="center"/>
          </w:tcPr>
          <w:p w:rsidR="003C2110" w:rsidRPr="005F31CD" w:rsidRDefault="003C2110" w:rsidP="00347B2F">
            <w:pPr>
              <w:jc w:val="center"/>
              <w:rPr>
                <w:spacing w:val="-4"/>
              </w:rPr>
            </w:pPr>
            <w:r w:rsidRPr="005F31CD">
              <w:rPr>
                <w:spacing w:val="-4"/>
              </w:rPr>
              <w:t>NIE</w:t>
            </w:r>
          </w:p>
        </w:tc>
        <w:tc>
          <w:tcPr>
            <w:tcW w:w="1275" w:type="dxa"/>
            <w:vAlign w:val="center"/>
          </w:tcPr>
          <w:p w:rsidR="003C2110" w:rsidRPr="005F31CD" w:rsidRDefault="003C2110" w:rsidP="00347B2F">
            <w:pPr>
              <w:jc w:val="center"/>
              <w:rPr>
                <w:spacing w:val="-4"/>
              </w:rPr>
            </w:pPr>
            <w:r w:rsidRPr="005F31CD">
              <w:rPr>
                <w:spacing w:val="-4"/>
              </w:rPr>
              <w:t>NIE</w:t>
            </w:r>
          </w:p>
        </w:tc>
        <w:tc>
          <w:tcPr>
            <w:tcW w:w="1134" w:type="dxa"/>
            <w:vAlign w:val="center"/>
          </w:tcPr>
          <w:p w:rsidR="003C2110" w:rsidRPr="005F31CD" w:rsidRDefault="003C2110" w:rsidP="00347B2F">
            <w:pPr>
              <w:jc w:val="center"/>
              <w:rPr>
                <w:spacing w:val="-4"/>
              </w:rPr>
            </w:pPr>
            <w:r w:rsidRPr="005F31CD">
              <w:rPr>
                <w:spacing w:val="-4"/>
              </w:rPr>
              <w:t>NIE</w:t>
            </w:r>
          </w:p>
        </w:tc>
        <w:tc>
          <w:tcPr>
            <w:tcW w:w="1134" w:type="dxa"/>
            <w:vAlign w:val="center"/>
          </w:tcPr>
          <w:p w:rsidR="003C2110" w:rsidRPr="005F31CD" w:rsidRDefault="003C2110" w:rsidP="00347B2F">
            <w:pPr>
              <w:jc w:val="center"/>
              <w:rPr>
                <w:spacing w:val="-4"/>
              </w:rPr>
            </w:pPr>
            <w:r w:rsidRPr="005F31CD">
              <w:rPr>
                <w:spacing w:val="-4"/>
              </w:rPr>
              <w:t>NIE</w:t>
            </w:r>
          </w:p>
        </w:tc>
      </w:tr>
      <w:tr w:rsidR="003C2110" w:rsidRPr="005F31CD" w:rsidTr="00347B2F">
        <w:tc>
          <w:tcPr>
            <w:tcW w:w="1134" w:type="dxa"/>
            <w:vAlign w:val="center"/>
          </w:tcPr>
          <w:p w:rsidR="003C2110" w:rsidRPr="005F31CD" w:rsidRDefault="003C2110" w:rsidP="00347B2F">
            <w:pPr>
              <w:jc w:val="center"/>
              <w:rPr>
                <w:spacing w:val="-4"/>
              </w:rPr>
            </w:pPr>
            <w:r w:rsidRPr="005F31CD">
              <w:rPr>
                <w:spacing w:val="-4"/>
              </w:rPr>
              <w:t>4</w:t>
            </w:r>
          </w:p>
        </w:tc>
        <w:tc>
          <w:tcPr>
            <w:tcW w:w="1985" w:type="dxa"/>
            <w:vAlign w:val="center"/>
          </w:tcPr>
          <w:p w:rsidR="003C2110" w:rsidRPr="005F31CD" w:rsidRDefault="003C2110" w:rsidP="00347B2F">
            <w:pPr>
              <w:spacing w:before="60"/>
              <w:jc w:val="left"/>
              <w:rPr>
                <w:spacing w:val="-4"/>
              </w:rPr>
            </w:pPr>
            <w:r w:rsidRPr="005F31CD">
              <w:rPr>
                <w:spacing w:val="-4"/>
              </w:rPr>
              <w:t>01 03 06</w:t>
            </w:r>
          </w:p>
          <w:p w:rsidR="003C2110" w:rsidRPr="005F31CD" w:rsidRDefault="003C2110" w:rsidP="00347B2F">
            <w:pPr>
              <w:spacing w:before="60"/>
              <w:jc w:val="left"/>
              <w:rPr>
                <w:spacing w:val="-4"/>
              </w:rPr>
            </w:pPr>
            <w:r w:rsidRPr="005F31CD">
              <w:rPr>
                <w:spacing w:val="-4"/>
              </w:rPr>
              <w:t>Financovanie Garančného fondu</w:t>
            </w:r>
          </w:p>
        </w:tc>
        <w:tc>
          <w:tcPr>
            <w:tcW w:w="1276" w:type="dxa"/>
            <w:vAlign w:val="center"/>
          </w:tcPr>
          <w:p w:rsidR="003C2110" w:rsidRPr="005F31CD" w:rsidRDefault="003C2110" w:rsidP="00347B2F">
            <w:pPr>
              <w:jc w:val="center"/>
              <w:rPr>
                <w:spacing w:val="-4"/>
              </w:rPr>
            </w:pPr>
            <w:r w:rsidRPr="005F31CD">
              <w:rPr>
                <w:spacing w:val="-4"/>
              </w:rPr>
              <w:t>NRP</w:t>
            </w:r>
          </w:p>
        </w:tc>
        <w:tc>
          <w:tcPr>
            <w:tcW w:w="1134" w:type="dxa"/>
            <w:vAlign w:val="center"/>
          </w:tcPr>
          <w:p w:rsidR="003C2110" w:rsidRPr="005F31CD" w:rsidRDefault="003C2110" w:rsidP="00347B2F">
            <w:pPr>
              <w:jc w:val="center"/>
              <w:rPr>
                <w:spacing w:val="-4"/>
              </w:rPr>
            </w:pPr>
            <w:r w:rsidRPr="005F31CD">
              <w:rPr>
                <w:spacing w:val="-4"/>
              </w:rPr>
              <w:t>NIE</w:t>
            </w:r>
          </w:p>
        </w:tc>
        <w:tc>
          <w:tcPr>
            <w:tcW w:w="1275" w:type="dxa"/>
            <w:vAlign w:val="center"/>
          </w:tcPr>
          <w:p w:rsidR="003C2110" w:rsidRPr="005F31CD" w:rsidRDefault="003C2110" w:rsidP="00347B2F">
            <w:pPr>
              <w:jc w:val="center"/>
              <w:rPr>
                <w:spacing w:val="-4"/>
              </w:rPr>
            </w:pPr>
            <w:r w:rsidRPr="005F31CD">
              <w:rPr>
                <w:spacing w:val="-4"/>
              </w:rPr>
              <w:t>NIE</w:t>
            </w:r>
          </w:p>
        </w:tc>
        <w:tc>
          <w:tcPr>
            <w:tcW w:w="1134" w:type="dxa"/>
            <w:vAlign w:val="center"/>
          </w:tcPr>
          <w:p w:rsidR="003C2110" w:rsidRPr="005F31CD" w:rsidRDefault="003C2110" w:rsidP="00347B2F">
            <w:pPr>
              <w:jc w:val="center"/>
              <w:rPr>
                <w:spacing w:val="-4"/>
              </w:rPr>
            </w:pPr>
            <w:r w:rsidRPr="005F31CD">
              <w:rPr>
                <w:spacing w:val="-4"/>
              </w:rPr>
              <w:t>NIE</w:t>
            </w:r>
          </w:p>
        </w:tc>
        <w:tc>
          <w:tcPr>
            <w:tcW w:w="1134" w:type="dxa"/>
            <w:vAlign w:val="center"/>
          </w:tcPr>
          <w:p w:rsidR="003C2110" w:rsidRPr="005F31CD" w:rsidRDefault="003C2110" w:rsidP="00347B2F">
            <w:pPr>
              <w:jc w:val="center"/>
              <w:rPr>
                <w:spacing w:val="-4"/>
              </w:rPr>
            </w:pPr>
            <w:r w:rsidRPr="005F31CD">
              <w:rPr>
                <w:spacing w:val="-4"/>
              </w:rPr>
              <w:t>NIE</w:t>
            </w:r>
          </w:p>
        </w:tc>
      </w:tr>
    </w:tbl>
    <w:p w:rsidR="003C2110" w:rsidRPr="005F31CD" w:rsidRDefault="003C2110" w:rsidP="003C2110">
      <w:pPr>
        <w:pStyle w:val="Text1"/>
        <w:rPr>
          <w:spacing w:val="-4"/>
        </w:rPr>
      </w:pPr>
      <w:r w:rsidRPr="005F31CD">
        <w:rPr>
          <w:spacing w:val="-4"/>
        </w:rPr>
        <w:t>Garančný fond pre vonkajšie opatrenia musí byť financovaný</w:t>
      </w:r>
      <w:r w:rsidR="005F31CD">
        <w:rPr>
          <w:spacing w:val="-4"/>
        </w:rPr>
        <w:t xml:space="preserve"> v </w:t>
      </w:r>
      <w:r w:rsidRPr="005F31CD">
        <w:rPr>
          <w:spacing w:val="-4"/>
        </w:rPr>
        <w:t>súlade</w:t>
      </w:r>
      <w:r w:rsidR="005F31CD">
        <w:rPr>
          <w:spacing w:val="-4"/>
        </w:rPr>
        <w:t xml:space="preserve"> s </w:t>
      </w:r>
      <w:r w:rsidRPr="005F31CD">
        <w:rPr>
          <w:spacing w:val="-4"/>
        </w:rPr>
        <w:t>nariadením</w:t>
      </w:r>
      <w:r w:rsidR="005F31CD">
        <w:rPr>
          <w:spacing w:val="-4"/>
        </w:rPr>
        <w:t xml:space="preserve"> o </w:t>
      </w:r>
      <w:r w:rsidRPr="005F31CD">
        <w:rPr>
          <w:spacing w:val="-4"/>
        </w:rPr>
        <w:t>fonde</w:t>
      </w:r>
      <w:r w:rsidRPr="005F31CD">
        <w:rPr>
          <w:rStyle w:val="FootnoteReference"/>
          <w:spacing w:val="-4"/>
        </w:rPr>
        <w:footnoteReference w:id="20"/>
      </w:r>
      <w:r w:rsidRPr="005F31CD">
        <w:rPr>
          <w:spacing w:val="-4"/>
        </w:rPr>
        <w:t xml:space="preserve"> prostredníctvom rozpočtových prostriedkov</w:t>
      </w:r>
      <w:r w:rsidR="005F31CD">
        <w:rPr>
          <w:spacing w:val="-4"/>
        </w:rPr>
        <w:t xml:space="preserve"> v </w:t>
      </w:r>
      <w:r w:rsidRPr="005F31CD">
        <w:rPr>
          <w:spacing w:val="-4"/>
        </w:rPr>
        <w:t>rámci rozpočtového riadku 01 03 06 („financovanie garančného fondu“) vo výške 9</w:t>
      </w:r>
      <w:r w:rsidR="005F31CD">
        <w:rPr>
          <w:spacing w:val="-4"/>
        </w:rPr>
        <w:t> % z </w:t>
      </w:r>
      <w:r w:rsidRPr="005F31CD">
        <w:rPr>
          <w:spacing w:val="-4"/>
        </w:rPr>
        <w:t>celkových nesplatených záväzkov. Požadovaná suma financovania sa vypočíta na začiatku roka „n“ ako rozdiel medzi cieľovou sumou</w:t>
      </w:r>
      <w:r w:rsidR="005F31CD">
        <w:rPr>
          <w:spacing w:val="-4"/>
        </w:rPr>
        <w:t xml:space="preserve"> a </w:t>
      </w:r>
      <w:r w:rsidRPr="005F31CD">
        <w:rPr>
          <w:spacing w:val="-4"/>
        </w:rPr>
        <w:t>čistými aktívami fondu na konci roka „n – 1“. Táto suma financovania je zahrnutá</w:t>
      </w:r>
      <w:r w:rsidR="005F31CD">
        <w:rPr>
          <w:spacing w:val="-4"/>
        </w:rPr>
        <w:t xml:space="preserve"> v </w:t>
      </w:r>
      <w:r w:rsidRPr="005F31CD">
        <w:rPr>
          <w:spacing w:val="-4"/>
        </w:rPr>
        <w:t>roku „n“ do návrhu rozpočtu roku „n + 1“</w:t>
      </w:r>
      <w:r w:rsidR="005F31CD">
        <w:rPr>
          <w:spacing w:val="-4"/>
        </w:rPr>
        <w:t xml:space="preserve"> a v </w:t>
      </w:r>
      <w:r w:rsidRPr="005F31CD">
        <w:rPr>
          <w:spacing w:val="-4"/>
        </w:rPr>
        <w:t>skutočnosti sa vyplatí</w:t>
      </w:r>
      <w:r w:rsidR="005F31CD">
        <w:rPr>
          <w:spacing w:val="-4"/>
        </w:rPr>
        <w:t xml:space="preserve"> v </w:t>
      </w:r>
      <w:r w:rsidRPr="005F31CD">
        <w:rPr>
          <w:spacing w:val="-4"/>
        </w:rPr>
        <w:t>rámci jednej transakcie na začiatku roku „n + 1“</w:t>
      </w:r>
      <w:r w:rsidR="005F31CD">
        <w:rPr>
          <w:spacing w:val="-4"/>
        </w:rPr>
        <w:t xml:space="preserve"> z </w:t>
      </w:r>
      <w:r w:rsidRPr="005F31CD">
        <w:rPr>
          <w:spacing w:val="-4"/>
        </w:rPr>
        <w:t>rozpočtového riadku „Financovanie garančného fondu“ (rozpočtový riadok 01 03 06).</w:t>
      </w:r>
      <w:r w:rsidR="005F31CD">
        <w:rPr>
          <w:spacing w:val="-4"/>
        </w:rPr>
        <w:t xml:space="preserve"> V </w:t>
      </w:r>
      <w:r w:rsidRPr="005F31CD">
        <w:rPr>
          <w:spacing w:val="-4"/>
        </w:rPr>
        <w:t>dôsledku toho sa 9</w:t>
      </w:r>
      <w:r w:rsidR="005F31CD">
        <w:rPr>
          <w:spacing w:val="-4"/>
        </w:rPr>
        <w:t> %</w:t>
      </w:r>
      <w:r w:rsidRPr="005F31CD">
        <w:rPr>
          <w:spacing w:val="-4"/>
        </w:rPr>
        <w:t xml:space="preserve"> (t. j. najviac 3,15 milióna EUR) skutočne vyplatenej sumy bude pri výpočte financovania fondu zohľadňovať</w:t>
      </w:r>
      <w:r w:rsidR="005F31CD">
        <w:rPr>
          <w:spacing w:val="-4"/>
        </w:rPr>
        <w:t xml:space="preserve"> v </w:t>
      </w:r>
      <w:r w:rsidRPr="005F31CD">
        <w:rPr>
          <w:spacing w:val="-4"/>
        </w:rPr>
        <w:t>cieľovej sume na konci roka „n – 1“.</w:t>
      </w:r>
    </w:p>
    <w:p w:rsidR="003C2110" w:rsidRPr="005F31CD" w:rsidRDefault="003C2110" w:rsidP="003C2110">
      <w:pPr>
        <w:autoSpaceDE w:val="0"/>
        <w:autoSpaceDN w:val="0"/>
        <w:adjustRightInd w:val="0"/>
        <w:spacing w:before="240" w:after="240"/>
        <w:rPr>
          <w:spacing w:val="-4"/>
        </w:rPr>
      </w:pPr>
      <w:r w:rsidRPr="005F31CD">
        <w:rPr>
          <w:spacing w:val="-4"/>
        </w:rPr>
        <w:t>Požadované nové rozpočtové riadky: neuplatňuje sa.</w:t>
      </w:r>
    </w:p>
    <w:p w:rsidR="003C2110" w:rsidRPr="005F31CD" w:rsidRDefault="003C2110" w:rsidP="003C2110">
      <w:pPr>
        <w:pStyle w:val="ManualHeading2"/>
        <w:rPr>
          <w:spacing w:val="-4"/>
        </w:rPr>
      </w:pPr>
      <w:r w:rsidRPr="005F31CD">
        <w:rPr>
          <w:spacing w:val="-4"/>
        </w:rPr>
        <w:t>3.2.</w:t>
      </w:r>
      <w:r w:rsidRPr="005F31CD">
        <w:rPr>
          <w:spacing w:val="-4"/>
        </w:rPr>
        <w:tab/>
        <w:t>Odhadovaný vplyv na výdavky</w:t>
      </w:r>
    </w:p>
    <w:p w:rsidR="003C2110" w:rsidRPr="005F31CD" w:rsidRDefault="003C2110" w:rsidP="003C2110">
      <w:pPr>
        <w:pStyle w:val="ManualHeading3"/>
        <w:spacing w:before="240"/>
        <w:rPr>
          <w:spacing w:val="-4"/>
          <w:u w:val="single"/>
        </w:rPr>
      </w:pPr>
      <w:r w:rsidRPr="005F31CD">
        <w:rPr>
          <w:spacing w:val="-4"/>
        </w:rPr>
        <w:t>3.2.1.</w:t>
      </w:r>
      <w:r w:rsidRPr="005F31CD">
        <w:rPr>
          <w:spacing w:val="-4"/>
        </w:rPr>
        <w:tab/>
        <w:t xml:space="preserve">Zhrnutie odhadovaného vplyvu na výdavky </w:t>
      </w:r>
    </w:p>
    <w:tbl>
      <w:tblPr>
        <w:tblW w:w="10942" w:type="dxa"/>
        <w:tblInd w:w="-318" w:type="dxa"/>
        <w:tblLayout w:type="fixed"/>
        <w:tblLook w:val="01E0" w:firstRow="1" w:lastRow="1" w:firstColumn="1" w:lastColumn="1" w:noHBand="0" w:noVBand="0"/>
      </w:tblPr>
      <w:tblGrid>
        <w:gridCol w:w="3686"/>
        <w:gridCol w:w="1345"/>
        <w:gridCol w:w="748"/>
        <w:gridCol w:w="34"/>
        <w:gridCol w:w="714"/>
        <w:gridCol w:w="33"/>
        <w:gridCol w:w="270"/>
        <w:gridCol w:w="439"/>
        <w:gridCol w:w="6"/>
        <w:gridCol w:w="748"/>
        <w:gridCol w:w="96"/>
        <w:gridCol w:w="652"/>
        <w:gridCol w:w="57"/>
        <w:gridCol w:w="670"/>
        <w:gridCol w:w="1375"/>
        <w:gridCol w:w="43"/>
        <w:gridCol w:w="26"/>
      </w:tblGrid>
      <w:tr w:rsidR="003C2110" w:rsidRPr="005F31CD" w:rsidTr="00347B2F">
        <w:trPr>
          <w:gridAfter w:val="1"/>
          <w:wAfter w:w="26" w:type="dxa"/>
        </w:trPr>
        <w:tc>
          <w:tcPr>
            <w:tcW w:w="3686" w:type="dxa"/>
          </w:tcPr>
          <w:p w:rsidR="003C2110" w:rsidRPr="005F31CD" w:rsidRDefault="003C2110" w:rsidP="00347B2F">
            <w:pPr>
              <w:jc w:val="center"/>
              <w:rPr>
                <w:spacing w:val="-4"/>
              </w:rPr>
            </w:pPr>
            <w:r w:rsidRPr="005F31CD">
              <w:rPr>
                <w:b/>
                <w:spacing w:val="-4"/>
              </w:rPr>
              <w:t>Okruh viacročného finančného rámca:</w:t>
            </w:r>
          </w:p>
        </w:tc>
        <w:tc>
          <w:tcPr>
            <w:tcW w:w="1345" w:type="dxa"/>
          </w:tcPr>
          <w:p w:rsidR="003C2110" w:rsidRPr="005F31CD" w:rsidRDefault="003C2110" w:rsidP="00347B2F">
            <w:pPr>
              <w:jc w:val="center"/>
              <w:rPr>
                <w:b/>
                <w:spacing w:val="-4"/>
                <w:sz w:val="20"/>
              </w:rPr>
            </w:pPr>
            <w:r w:rsidRPr="005F31CD">
              <w:rPr>
                <w:b/>
                <w:spacing w:val="-4"/>
                <w:sz w:val="20"/>
              </w:rPr>
              <w:br/>
              <w:t>4</w:t>
            </w:r>
          </w:p>
        </w:tc>
        <w:tc>
          <w:tcPr>
            <w:tcW w:w="748" w:type="dxa"/>
          </w:tcPr>
          <w:p w:rsidR="003C2110" w:rsidRPr="005F31CD" w:rsidRDefault="003C2110" w:rsidP="00347B2F">
            <w:pPr>
              <w:jc w:val="center"/>
              <w:rPr>
                <w:spacing w:val="-4"/>
                <w:sz w:val="20"/>
              </w:rPr>
            </w:pPr>
          </w:p>
        </w:tc>
        <w:tc>
          <w:tcPr>
            <w:tcW w:w="1051" w:type="dxa"/>
            <w:gridSpan w:val="4"/>
          </w:tcPr>
          <w:p w:rsidR="003C2110" w:rsidRPr="005F31CD" w:rsidRDefault="003C2110" w:rsidP="00347B2F">
            <w:pPr>
              <w:jc w:val="right"/>
              <w:rPr>
                <w:spacing w:val="-4"/>
                <w:sz w:val="20"/>
              </w:rPr>
            </w:pPr>
          </w:p>
        </w:tc>
        <w:tc>
          <w:tcPr>
            <w:tcW w:w="4086" w:type="dxa"/>
            <w:gridSpan w:val="9"/>
            <w:vAlign w:val="bottom"/>
          </w:tcPr>
          <w:p w:rsidR="003C2110" w:rsidRPr="005F31CD" w:rsidRDefault="003C2110" w:rsidP="00347B2F">
            <w:pPr>
              <w:jc w:val="right"/>
              <w:rPr>
                <w:spacing w:val="-4"/>
              </w:rPr>
            </w:pPr>
            <w:r w:rsidRPr="005F31CD">
              <w:rPr>
                <w:spacing w:val="-4"/>
                <w:sz w:val="20"/>
              </w:rPr>
              <w:t>v mil. EUR (zaokrúhlené na 3 desatinné miesta)</w:t>
            </w:r>
          </w:p>
        </w:tc>
      </w:tr>
      <w:tr w:rsidR="003C2110" w:rsidRPr="005F31CD" w:rsidTr="00347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9" w:type="dxa"/>
        </w:trPr>
        <w:tc>
          <w:tcPr>
            <w:tcW w:w="3686" w:type="dxa"/>
            <w:tcBorders>
              <w:top w:val="single" w:sz="4" w:space="0" w:color="auto"/>
            </w:tcBorders>
            <w:vAlign w:val="center"/>
          </w:tcPr>
          <w:p w:rsidR="003C2110" w:rsidRPr="005F31CD" w:rsidRDefault="003C2110" w:rsidP="00347B2F">
            <w:pPr>
              <w:jc w:val="center"/>
              <w:rPr>
                <w:spacing w:val="-4"/>
              </w:rPr>
            </w:pPr>
            <w:r w:rsidRPr="005F31CD">
              <w:rPr>
                <w:spacing w:val="-4"/>
                <w:sz w:val="22"/>
              </w:rPr>
              <w:t xml:space="preserve">GR: </w:t>
            </w:r>
            <w:r w:rsidRPr="005F31CD">
              <w:rPr>
                <w:spacing w:val="-4"/>
              </w:rPr>
              <w:t>GR pre hospodárske</w:t>
            </w:r>
            <w:r w:rsidR="005F31CD">
              <w:rPr>
                <w:spacing w:val="-4"/>
              </w:rPr>
              <w:t xml:space="preserve"> a </w:t>
            </w:r>
            <w:r w:rsidRPr="005F31CD">
              <w:rPr>
                <w:spacing w:val="-4"/>
              </w:rPr>
              <w:t>finančné záležitosti</w:t>
            </w:r>
          </w:p>
        </w:tc>
        <w:tc>
          <w:tcPr>
            <w:tcW w:w="1345" w:type="dxa"/>
            <w:tcBorders>
              <w:top w:val="single" w:sz="4" w:space="0" w:color="auto"/>
            </w:tcBorders>
          </w:tcPr>
          <w:p w:rsidR="003C2110" w:rsidRPr="005F31CD" w:rsidRDefault="003C2110" w:rsidP="00347B2F">
            <w:pPr>
              <w:rPr>
                <w:spacing w:val="-4"/>
                <w:sz w:val="20"/>
              </w:rPr>
            </w:pPr>
          </w:p>
        </w:tc>
        <w:tc>
          <w:tcPr>
            <w:tcW w:w="748" w:type="dxa"/>
            <w:tcBorders>
              <w:top w:val="single" w:sz="4" w:space="0" w:color="auto"/>
            </w:tcBorders>
          </w:tcPr>
          <w:p w:rsidR="003C2110" w:rsidRPr="005F31CD" w:rsidRDefault="003C2110" w:rsidP="00347B2F">
            <w:pPr>
              <w:jc w:val="center"/>
              <w:rPr>
                <w:spacing w:val="-4"/>
                <w:sz w:val="20"/>
              </w:rPr>
            </w:pPr>
          </w:p>
        </w:tc>
        <w:tc>
          <w:tcPr>
            <w:tcW w:w="748" w:type="dxa"/>
            <w:gridSpan w:val="2"/>
            <w:tcBorders>
              <w:top w:val="single" w:sz="4" w:space="0" w:color="auto"/>
            </w:tcBorders>
            <w:vAlign w:val="center"/>
          </w:tcPr>
          <w:p w:rsidR="003C2110" w:rsidRPr="005F31CD" w:rsidRDefault="003C2110" w:rsidP="00347B2F">
            <w:pPr>
              <w:jc w:val="center"/>
              <w:rPr>
                <w:spacing w:val="-4"/>
                <w:sz w:val="20"/>
              </w:rPr>
            </w:pPr>
            <w:r w:rsidRPr="005F31CD">
              <w:rPr>
                <w:spacing w:val="-4"/>
                <w:sz w:val="20"/>
              </w:rPr>
              <w:t xml:space="preserve">Rok </w:t>
            </w:r>
            <w:r w:rsidRPr="005F31CD">
              <w:rPr>
                <w:b/>
                <w:spacing w:val="-4"/>
                <w:sz w:val="20"/>
              </w:rPr>
              <w:t>2017</w:t>
            </w:r>
            <w:r w:rsidRPr="005F31CD">
              <w:rPr>
                <w:rStyle w:val="FootnoteReference"/>
                <w:b/>
                <w:spacing w:val="-4"/>
                <w:sz w:val="20"/>
              </w:rPr>
              <w:footnoteReference w:id="21"/>
            </w:r>
          </w:p>
        </w:tc>
        <w:tc>
          <w:tcPr>
            <w:tcW w:w="748" w:type="dxa"/>
            <w:gridSpan w:val="4"/>
            <w:vAlign w:val="center"/>
          </w:tcPr>
          <w:p w:rsidR="003C2110" w:rsidRPr="005F31CD" w:rsidRDefault="003C2110" w:rsidP="00347B2F">
            <w:pPr>
              <w:jc w:val="center"/>
              <w:rPr>
                <w:spacing w:val="-4"/>
              </w:rPr>
            </w:pPr>
            <w:r w:rsidRPr="005F31CD">
              <w:rPr>
                <w:spacing w:val="-4"/>
                <w:sz w:val="20"/>
              </w:rPr>
              <w:t>Rok</w:t>
            </w:r>
            <w:r w:rsidRPr="005F31CD">
              <w:rPr>
                <w:spacing w:val="-4"/>
                <w:sz w:val="20"/>
              </w:rPr>
              <w:br/>
            </w:r>
            <w:r w:rsidRPr="005F31CD">
              <w:rPr>
                <w:b/>
                <w:spacing w:val="-4"/>
                <w:sz w:val="20"/>
              </w:rPr>
              <w:t>2018</w:t>
            </w:r>
          </w:p>
        </w:tc>
        <w:tc>
          <w:tcPr>
            <w:tcW w:w="748" w:type="dxa"/>
            <w:vAlign w:val="center"/>
          </w:tcPr>
          <w:p w:rsidR="003C2110" w:rsidRPr="005F31CD" w:rsidRDefault="003C2110" w:rsidP="00347B2F">
            <w:pPr>
              <w:jc w:val="center"/>
              <w:rPr>
                <w:spacing w:val="-4"/>
              </w:rPr>
            </w:pPr>
            <w:r w:rsidRPr="005F31CD">
              <w:rPr>
                <w:spacing w:val="-4"/>
                <w:sz w:val="20"/>
              </w:rPr>
              <w:t>Rok</w:t>
            </w:r>
            <w:r w:rsidRPr="005F31CD">
              <w:rPr>
                <w:spacing w:val="-4"/>
                <w:sz w:val="20"/>
              </w:rPr>
              <w:br/>
            </w:r>
            <w:r w:rsidRPr="005F31CD">
              <w:rPr>
                <w:b/>
                <w:spacing w:val="-4"/>
                <w:sz w:val="20"/>
              </w:rPr>
              <w:t>2019</w:t>
            </w:r>
          </w:p>
        </w:tc>
        <w:tc>
          <w:tcPr>
            <w:tcW w:w="748" w:type="dxa"/>
            <w:gridSpan w:val="2"/>
            <w:vAlign w:val="center"/>
          </w:tcPr>
          <w:p w:rsidR="003C2110" w:rsidRPr="005F31CD" w:rsidRDefault="003C2110" w:rsidP="00347B2F">
            <w:pPr>
              <w:jc w:val="center"/>
              <w:rPr>
                <w:spacing w:val="-4"/>
              </w:rPr>
            </w:pPr>
            <w:r w:rsidRPr="005F31CD">
              <w:rPr>
                <w:spacing w:val="-4"/>
                <w:sz w:val="20"/>
              </w:rPr>
              <w:t>Rok</w:t>
            </w:r>
            <w:r w:rsidRPr="005F31CD">
              <w:rPr>
                <w:spacing w:val="-4"/>
                <w:sz w:val="20"/>
              </w:rPr>
              <w:br/>
            </w:r>
            <w:r w:rsidRPr="005F31CD">
              <w:rPr>
                <w:b/>
                <w:spacing w:val="-4"/>
                <w:sz w:val="20"/>
              </w:rPr>
              <w:t>2020</w:t>
            </w:r>
          </w:p>
        </w:tc>
        <w:tc>
          <w:tcPr>
            <w:tcW w:w="727" w:type="dxa"/>
            <w:gridSpan w:val="2"/>
          </w:tcPr>
          <w:p w:rsidR="003C2110" w:rsidRPr="005F31CD" w:rsidRDefault="003C2110" w:rsidP="00347B2F">
            <w:pPr>
              <w:jc w:val="center"/>
              <w:rPr>
                <w:b/>
                <w:spacing w:val="-4"/>
                <w:sz w:val="20"/>
              </w:rPr>
            </w:pPr>
            <w:r w:rsidRPr="005F31CD">
              <w:rPr>
                <w:spacing w:val="-4"/>
                <w:sz w:val="20"/>
              </w:rPr>
              <w:t>Rok</w:t>
            </w:r>
            <w:r w:rsidRPr="005F31CD">
              <w:rPr>
                <w:spacing w:val="-4"/>
                <w:sz w:val="20"/>
              </w:rPr>
              <w:br/>
            </w:r>
            <w:r w:rsidRPr="005F31CD">
              <w:rPr>
                <w:b/>
                <w:spacing w:val="-4"/>
                <w:sz w:val="20"/>
              </w:rPr>
              <w:t>2021</w:t>
            </w:r>
          </w:p>
        </w:tc>
        <w:tc>
          <w:tcPr>
            <w:tcW w:w="1375" w:type="dxa"/>
            <w:vAlign w:val="center"/>
          </w:tcPr>
          <w:p w:rsidR="003C2110" w:rsidRPr="005F31CD" w:rsidRDefault="003C2110" w:rsidP="00347B2F">
            <w:pPr>
              <w:jc w:val="center"/>
              <w:rPr>
                <w:b/>
                <w:spacing w:val="-4"/>
                <w:sz w:val="20"/>
              </w:rPr>
            </w:pPr>
            <w:r w:rsidRPr="005F31CD">
              <w:rPr>
                <w:b/>
                <w:spacing w:val="-4"/>
                <w:sz w:val="20"/>
              </w:rPr>
              <w:t>SPOLU</w:t>
            </w:r>
          </w:p>
        </w:tc>
      </w:tr>
      <w:tr w:rsidR="003C2110" w:rsidRPr="005F31CD" w:rsidTr="00347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9" w:type="dxa"/>
          <w:trHeight w:val="213"/>
        </w:trPr>
        <w:tc>
          <w:tcPr>
            <w:tcW w:w="5779" w:type="dxa"/>
            <w:gridSpan w:val="3"/>
            <w:vAlign w:val="center"/>
          </w:tcPr>
          <w:p w:rsidR="003C2110" w:rsidRPr="005F31CD" w:rsidRDefault="003C2110" w:rsidP="00347B2F">
            <w:pPr>
              <w:spacing w:before="20" w:after="20"/>
              <w:rPr>
                <w:spacing w:val="-4"/>
              </w:rPr>
            </w:pPr>
            <w:r w:rsidRPr="005F31CD">
              <w:rPr>
                <w:spacing w:val="-4"/>
                <w:sz w:val="21"/>
                <w:szCs w:val="20"/>
              </w:rPr>
              <w:sym w:font="Wingdings" w:char="F09F"/>
            </w:r>
            <w:r w:rsidRPr="005F31CD">
              <w:rPr>
                <w:spacing w:val="-4"/>
                <w:sz w:val="21"/>
              </w:rPr>
              <w:t xml:space="preserve"> Operačné rozpočtové prostriedky</w:t>
            </w:r>
          </w:p>
        </w:tc>
        <w:tc>
          <w:tcPr>
            <w:tcW w:w="748" w:type="dxa"/>
            <w:gridSpan w:val="2"/>
            <w:vAlign w:val="center"/>
          </w:tcPr>
          <w:p w:rsidR="003C2110" w:rsidRPr="005F31CD" w:rsidRDefault="003C2110" w:rsidP="00347B2F">
            <w:pPr>
              <w:jc w:val="center"/>
              <w:rPr>
                <w:spacing w:val="-4"/>
                <w:sz w:val="20"/>
              </w:rPr>
            </w:pPr>
          </w:p>
        </w:tc>
        <w:tc>
          <w:tcPr>
            <w:tcW w:w="748" w:type="dxa"/>
            <w:gridSpan w:val="4"/>
            <w:vAlign w:val="center"/>
          </w:tcPr>
          <w:p w:rsidR="003C2110" w:rsidRPr="005F31CD" w:rsidRDefault="003C2110" w:rsidP="00347B2F">
            <w:pPr>
              <w:jc w:val="center"/>
              <w:rPr>
                <w:spacing w:val="-4"/>
                <w:sz w:val="20"/>
              </w:rPr>
            </w:pPr>
          </w:p>
        </w:tc>
        <w:tc>
          <w:tcPr>
            <w:tcW w:w="748" w:type="dxa"/>
            <w:vAlign w:val="center"/>
          </w:tcPr>
          <w:p w:rsidR="003C2110" w:rsidRPr="005F31CD" w:rsidRDefault="003C2110" w:rsidP="00347B2F">
            <w:pPr>
              <w:jc w:val="center"/>
              <w:rPr>
                <w:spacing w:val="-4"/>
                <w:sz w:val="20"/>
              </w:rPr>
            </w:pPr>
          </w:p>
        </w:tc>
        <w:tc>
          <w:tcPr>
            <w:tcW w:w="748" w:type="dxa"/>
            <w:gridSpan w:val="2"/>
            <w:vAlign w:val="center"/>
          </w:tcPr>
          <w:p w:rsidR="003C2110" w:rsidRPr="005F31CD" w:rsidRDefault="003C2110" w:rsidP="00347B2F">
            <w:pPr>
              <w:jc w:val="center"/>
              <w:rPr>
                <w:spacing w:val="-4"/>
                <w:sz w:val="20"/>
              </w:rPr>
            </w:pPr>
          </w:p>
        </w:tc>
        <w:tc>
          <w:tcPr>
            <w:tcW w:w="727" w:type="dxa"/>
            <w:gridSpan w:val="2"/>
            <w:vAlign w:val="center"/>
          </w:tcPr>
          <w:p w:rsidR="003C2110" w:rsidRPr="005F31CD" w:rsidRDefault="003C2110" w:rsidP="00347B2F">
            <w:pPr>
              <w:jc w:val="center"/>
              <w:rPr>
                <w:b/>
                <w:spacing w:val="-4"/>
                <w:sz w:val="20"/>
              </w:rPr>
            </w:pPr>
          </w:p>
        </w:tc>
        <w:tc>
          <w:tcPr>
            <w:tcW w:w="1375" w:type="dxa"/>
            <w:vAlign w:val="center"/>
          </w:tcPr>
          <w:p w:rsidR="003C2110" w:rsidRPr="005F31CD" w:rsidRDefault="003C2110" w:rsidP="00347B2F">
            <w:pPr>
              <w:jc w:val="center"/>
              <w:rPr>
                <w:b/>
                <w:spacing w:val="-4"/>
                <w:sz w:val="20"/>
              </w:rPr>
            </w:pPr>
          </w:p>
        </w:tc>
      </w:tr>
      <w:tr w:rsidR="003C2110" w:rsidRPr="005F31CD" w:rsidTr="00347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9" w:type="dxa"/>
        </w:trPr>
        <w:tc>
          <w:tcPr>
            <w:tcW w:w="3686" w:type="dxa"/>
            <w:vMerge w:val="restart"/>
            <w:vAlign w:val="center"/>
          </w:tcPr>
          <w:p w:rsidR="003C2110" w:rsidRPr="005F31CD" w:rsidRDefault="003C2110" w:rsidP="00347B2F">
            <w:pPr>
              <w:jc w:val="left"/>
              <w:rPr>
                <w:spacing w:val="-4"/>
                <w:sz w:val="20"/>
                <w:szCs w:val="20"/>
              </w:rPr>
            </w:pPr>
            <w:r w:rsidRPr="005F31CD">
              <w:rPr>
                <w:spacing w:val="-4"/>
                <w:sz w:val="20"/>
              </w:rPr>
              <w:t xml:space="preserve">Rozpočtový riadok 01 03 02 Makrofinančná pomoc </w:t>
            </w:r>
          </w:p>
        </w:tc>
        <w:tc>
          <w:tcPr>
            <w:tcW w:w="1345" w:type="dxa"/>
            <w:vAlign w:val="center"/>
          </w:tcPr>
          <w:p w:rsidR="003C2110" w:rsidRPr="005F31CD" w:rsidRDefault="003C2110" w:rsidP="00347B2F">
            <w:pPr>
              <w:spacing w:before="20" w:after="20"/>
              <w:rPr>
                <w:spacing w:val="-4"/>
              </w:rPr>
            </w:pPr>
            <w:r w:rsidRPr="005F31CD">
              <w:rPr>
                <w:spacing w:val="-4"/>
                <w:sz w:val="18"/>
              </w:rPr>
              <w:t>Záväzky</w:t>
            </w:r>
          </w:p>
        </w:tc>
        <w:tc>
          <w:tcPr>
            <w:tcW w:w="748" w:type="dxa"/>
            <w:vAlign w:val="center"/>
          </w:tcPr>
          <w:p w:rsidR="003C2110" w:rsidRPr="005F31CD" w:rsidRDefault="003C2110" w:rsidP="00347B2F">
            <w:pPr>
              <w:spacing w:before="20" w:after="20"/>
              <w:jc w:val="center"/>
              <w:rPr>
                <w:spacing w:val="-4"/>
                <w:sz w:val="14"/>
              </w:rPr>
            </w:pPr>
            <w:r w:rsidRPr="005F31CD">
              <w:rPr>
                <w:spacing w:val="-4"/>
                <w:sz w:val="14"/>
              </w:rPr>
              <w:t>(1)</w:t>
            </w:r>
          </w:p>
        </w:tc>
        <w:tc>
          <w:tcPr>
            <w:tcW w:w="748" w:type="dxa"/>
            <w:gridSpan w:val="2"/>
            <w:vAlign w:val="center"/>
          </w:tcPr>
          <w:p w:rsidR="003C2110" w:rsidRPr="005F31CD" w:rsidRDefault="003C2110" w:rsidP="00347B2F">
            <w:pPr>
              <w:spacing w:before="40" w:after="40"/>
              <w:jc w:val="center"/>
              <w:rPr>
                <w:spacing w:val="-4"/>
                <w:sz w:val="20"/>
                <w:szCs w:val="20"/>
              </w:rPr>
            </w:pPr>
          </w:p>
        </w:tc>
        <w:tc>
          <w:tcPr>
            <w:tcW w:w="748" w:type="dxa"/>
            <w:gridSpan w:val="4"/>
            <w:vAlign w:val="center"/>
          </w:tcPr>
          <w:p w:rsidR="003C2110" w:rsidRPr="005F31CD" w:rsidRDefault="003C2110" w:rsidP="00347B2F">
            <w:pPr>
              <w:spacing w:before="40" w:after="40"/>
              <w:jc w:val="center"/>
              <w:rPr>
                <w:spacing w:val="-4"/>
                <w:sz w:val="20"/>
                <w:szCs w:val="20"/>
              </w:rPr>
            </w:pPr>
            <w:r w:rsidRPr="005F31CD">
              <w:rPr>
                <w:spacing w:val="-4"/>
                <w:sz w:val="20"/>
              </w:rPr>
              <w:t>10</w:t>
            </w:r>
          </w:p>
        </w:tc>
        <w:tc>
          <w:tcPr>
            <w:tcW w:w="748" w:type="dxa"/>
            <w:vAlign w:val="center"/>
          </w:tcPr>
          <w:p w:rsidR="003C2110" w:rsidRPr="005F31CD" w:rsidRDefault="003C2110" w:rsidP="00347B2F">
            <w:pPr>
              <w:spacing w:before="20" w:after="20"/>
              <w:jc w:val="center"/>
              <w:rPr>
                <w:spacing w:val="-4"/>
                <w:sz w:val="20"/>
                <w:szCs w:val="20"/>
              </w:rPr>
            </w:pPr>
          </w:p>
        </w:tc>
        <w:tc>
          <w:tcPr>
            <w:tcW w:w="748" w:type="dxa"/>
            <w:gridSpan w:val="2"/>
            <w:vAlign w:val="center"/>
          </w:tcPr>
          <w:p w:rsidR="003C2110" w:rsidRPr="005F31CD" w:rsidRDefault="003C2110" w:rsidP="00347B2F">
            <w:pPr>
              <w:spacing w:before="20" w:after="20"/>
              <w:jc w:val="center"/>
              <w:rPr>
                <w:spacing w:val="-4"/>
                <w:sz w:val="20"/>
                <w:szCs w:val="20"/>
              </w:rPr>
            </w:pPr>
          </w:p>
        </w:tc>
        <w:tc>
          <w:tcPr>
            <w:tcW w:w="727" w:type="dxa"/>
            <w:gridSpan w:val="2"/>
            <w:vAlign w:val="center"/>
          </w:tcPr>
          <w:p w:rsidR="003C2110" w:rsidRPr="005F31CD" w:rsidRDefault="003C2110" w:rsidP="00347B2F">
            <w:pPr>
              <w:spacing w:before="20" w:after="20"/>
              <w:jc w:val="center"/>
              <w:rPr>
                <w:b/>
                <w:spacing w:val="-4"/>
                <w:sz w:val="20"/>
                <w:szCs w:val="20"/>
              </w:rPr>
            </w:pPr>
          </w:p>
        </w:tc>
        <w:tc>
          <w:tcPr>
            <w:tcW w:w="1375" w:type="dxa"/>
            <w:vAlign w:val="center"/>
          </w:tcPr>
          <w:p w:rsidR="003C2110" w:rsidRPr="005F31CD" w:rsidRDefault="003C2110" w:rsidP="00347B2F">
            <w:pPr>
              <w:spacing w:before="20" w:after="20"/>
              <w:jc w:val="center"/>
              <w:rPr>
                <w:b/>
                <w:spacing w:val="-4"/>
                <w:sz w:val="20"/>
                <w:szCs w:val="20"/>
              </w:rPr>
            </w:pPr>
            <w:r w:rsidRPr="005F31CD">
              <w:rPr>
                <w:b/>
                <w:spacing w:val="-4"/>
                <w:sz w:val="20"/>
              </w:rPr>
              <w:t>10</w:t>
            </w:r>
          </w:p>
        </w:tc>
      </w:tr>
      <w:tr w:rsidR="003C2110" w:rsidRPr="005F31CD" w:rsidTr="00347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9" w:type="dxa"/>
          <w:trHeight w:val="331"/>
        </w:trPr>
        <w:tc>
          <w:tcPr>
            <w:tcW w:w="3686" w:type="dxa"/>
            <w:vMerge/>
          </w:tcPr>
          <w:p w:rsidR="003C2110" w:rsidRPr="005F31CD" w:rsidRDefault="003C2110" w:rsidP="00347B2F">
            <w:pPr>
              <w:jc w:val="center"/>
              <w:rPr>
                <w:spacing w:val="-4"/>
                <w:sz w:val="20"/>
                <w:szCs w:val="20"/>
              </w:rPr>
            </w:pPr>
          </w:p>
        </w:tc>
        <w:tc>
          <w:tcPr>
            <w:tcW w:w="1345" w:type="dxa"/>
            <w:vAlign w:val="center"/>
          </w:tcPr>
          <w:p w:rsidR="003C2110" w:rsidRPr="005F31CD" w:rsidRDefault="003C2110" w:rsidP="00347B2F">
            <w:pPr>
              <w:spacing w:before="20" w:after="20"/>
              <w:rPr>
                <w:spacing w:val="-4"/>
              </w:rPr>
            </w:pPr>
            <w:r w:rsidRPr="005F31CD">
              <w:rPr>
                <w:spacing w:val="-4"/>
                <w:sz w:val="18"/>
              </w:rPr>
              <w:t>Platby</w:t>
            </w:r>
          </w:p>
        </w:tc>
        <w:tc>
          <w:tcPr>
            <w:tcW w:w="748" w:type="dxa"/>
            <w:vAlign w:val="center"/>
          </w:tcPr>
          <w:p w:rsidR="003C2110" w:rsidRPr="005F31CD" w:rsidRDefault="003C2110" w:rsidP="00347B2F">
            <w:pPr>
              <w:spacing w:before="20" w:after="20"/>
              <w:jc w:val="center"/>
              <w:rPr>
                <w:spacing w:val="-4"/>
                <w:sz w:val="14"/>
              </w:rPr>
            </w:pPr>
            <w:r w:rsidRPr="005F31CD">
              <w:rPr>
                <w:spacing w:val="-4"/>
                <w:sz w:val="14"/>
              </w:rPr>
              <w:t>(2)</w:t>
            </w:r>
          </w:p>
        </w:tc>
        <w:tc>
          <w:tcPr>
            <w:tcW w:w="748" w:type="dxa"/>
            <w:gridSpan w:val="2"/>
            <w:vAlign w:val="center"/>
          </w:tcPr>
          <w:p w:rsidR="003C2110" w:rsidRPr="005F31CD" w:rsidRDefault="003C2110" w:rsidP="00347B2F">
            <w:pPr>
              <w:spacing w:before="40" w:after="40"/>
              <w:jc w:val="center"/>
              <w:rPr>
                <w:spacing w:val="-4"/>
                <w:sz w:val="20"/>
                <w:szCs w:val="20"/>
              </w:rPr>
            </w:pPr>
          </w:p>
        </w:tc>
        <w:tc>
          <w:tcPr>
            <w:tcW w:w="748" w:type="dxa"/>
            <w:gridSpan w:val="4"/>
            <w:vAlign w:val="center"/>
          </w:tcPr>
          <w:p w:rsidR="003C2110" w:rsidRPr="005F31CD" w:rsidRDefault="003C2110" w:rsidP="00347B2F">
            <w:pPr>
              <w:spacing w:before="40" w:after="40"/>
              <w:jc w:val="center"/>
              <w:rPr>
                <w:spacing w:val="-4"/>
                <w:sz w:val="20"/>
                <w:szCs w:val="20"/>
              </w:rPr>
            </w:pPr>
            <w:r w:rsidRPr="005F31CD">
              <w:rPr>
                <w:spacing w:val="-4"/>
                <w:sz w:val="20"/>
              </w:rPr>
              <w:t>10</w:t>
            </w:r>
          </w:p>
        </w:tc>
        <w:tc>
          <w:tcPr>
            <w:tcW w:w="748" w:type="dxa"/>
            <w:vAlign w:val="center"/>
          </w:tcPr>
          <w:p w:rsidR="003C2110" w:rsidRPr="005F31CD" w:rsidRDefault="003C2110" w:rsidP="00347B2F">
            <w:pPr>
              <w:spacing w:before="20" w:after="20"/>
              <w:jc w:val="center"/>
              <w:rPr>
                <w:spacing w:val="-4"/>
                <w:sz w:val="20"/>
                <w:szCs w:val="20"/>
              </w:rPr>
            </w:pPr>
          </w:p>
        </w:tc>
        <w:tc>
          <w:tcPr>
            <w:tcW w:w="748" w:type="dxa"/>
            <w:gridSpan w:val="2"/>
            <w:vAlign w:val="center"/>
          </w:tcPr>
          <w:p w:rsidR="003C2110" w:rsidRPr="005F31CD" w:rsidRDefault="003C2110" w:rsidP="00347B2F">
            <w:pPr>
              <w:spacing w:before="20" w:after="20"/>
              <w:jc w:val="center"/>
              <w:rPr>
                <w:spacing w:val="-4"/>
                <w:sz w:val="20"/>
                <w:szCs w:val="20"/>
              </w:rPr>
            </w:pPr>
          </w:p>
        </w:tc>
        <w:tc>
          <w:tcPr>
            <w:tcW w:w="727" w:type="dxa"/>
            <w:gridSpan w:val="2"/>
            <w:vAlign w:val="center"/>
          </w:tcPr>
          <w:p w:rsidR="003C2110" w:rsidRPr="005F31CD" w:rsidRDefault="003C2110" w:rsidP="00347B2F">
            <w:pPr>
              <w:spacing w:before="20" w:after="20"/>
              <w:jc w:val="center"/>
              <w:rPr>
                <w:b/>
                <w:spacing w:val="-4"/>
                <w:sz w:val="20"/>
              </w:rPr>
            </w:pPr>
          </w:p>
        </w:tc>
        <w:tc>
          <w:tcPr>
            <w:tcW w:w="1375" w:type="dxa"/>
            <w:vAlign w:val="center"/>
          </w:tcPr>
          <w:p w:rsidR="003C2110" w:rsidRPr="005F31CD" w:rsidRDefault="003C2110" w:rsidP="00347B2F">
            <w:pPr>
              <w:spacing w:before="20" w:after="20"/>
              <w:jc w:val="center"/>
              <w:rPr>
                <w:b/>
                <w:spacing w:val="-4"/>
                <w:sz w:val="20"/>
                <w:szCs w:val="20"/>
              </w:rPr>
            </w:pPr>
            <w:r w:rsidRPr="005F31CD">
              <w:rPr>
                <w:b/>
                <w:spacing w:val="-4"/>
                <w:sz w:val="20"/>
              </w:rPr>
              <w:t>10</w:t>
            </w:r>
          </w:p>
        </w:tc>
      </w:tr>
      <w:tr w:rsidR="003C2110" w:rsidRPr="005F31CD" w:rsidTr="00347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9" w:type="dxa"/>
        </w:trPr>
        <w:tc>
          <w:tcPr>
            <w:tcW w:w="3686" w:type="dxa"/>
            <w:vMerge w:val="restart"/>
          </w:tcPr>
          <w:p w:rsidR="003C2110" w:rsidRPr="005F31CD" w:rsidRDefault="003C2110" w:rsidP="00347B2F">
            <w:pPr>
              <w:jc w:val="left"/>
              <w:rPr>
                <w:spacing w:val="-4"/>
                <w:sz w:val="20"/>
                <w:szCs w:val="20"/>
              </w:rPr>
            </w:pPr>
            <w:r w:rsidRPr="005F31CD">
              <w:rPr>
                <w:spacing w:val="-4"/>
                <w:sz w:val="20"/>
              </w:rPr>
              <w:t>Rozpočtový riadok 01 03 06 Financovanie Garančného fondu</w:t>
            </w:r>
          </w:p>
        </w:tc>
        <w:tc>
          <w:tcPr>
            <w:tcW w:w="1345" w:type="dxa"/>
            <w:vAlign w:val="center"/>
          </w:tcPr>
          <w:p w:rsidR="003C2110" w:rsidRPr="005F31CD" w:rsidRDefault="003C2110" w:rsidP="00347B2F">
            <w:pPr>
              <w:spacing w:before="20" w:after="20"/>
              <w:rPr>
                <w:spacing w:val="-4"/>
              </w:rPr>
            </w:pPr>
            <w:r w:rsidRPr="005F31CD">
              <w:rPr>
                <w:spacing w:val="-4"/>
                <w:sz w:val="18"/>
              </w:rPr>
              <w:t>Záväzky</w:t>
            </w:r>
          </w:p>
        </w:tc>
        <w:tc>
          <w:tcPr>
            <w:tcW w:w="748" w:type="dxa"/>
            <w:vAlign w:val="center"/>
          </w:tcPr>
          <w:p w:rsidR="003C2110" w:rsidRPr="005F31CD" w:rsidRDefault="003C2110" w:rsidP="00347B2F">
            <w:pPr>
              <w:spacing w:before="20" w:after="20"/>
              <w:jc w:val="center"/>
              <w:rPr>
                <w:spacing w:val="-4"/>
                <w:sz w:val="14"/>
              </w:rPr>
            </w:pPr>
            <w:r w:rsidRPr="005F31CD">
              <w:rPr>
                <w:spacing w:val="-4"/>
                <w:sz w:val="14"/>
              </w:rPr>
              <w:t>(1a)</w:t>
            </w:r>
          </w:p>
        </w:tc>
        <w:tc>
          <w:tcPr>
            <w:tcW w:w="748" w:type="dxa"/>
            <w:gridSpan w:val="2"/>
            <w:vAlign w:val="center"/>
          </w:tcPr>
          <w:p w:rsidR="003C2110" w:rsidRPr="005F31CD" w:rsidRDefault="003C2110" w:rsidP="00347B2F">
            <w:pPr>
              <w:spacing w:before="20" w:after="20"/>
              <w:jc w:val="center"/>
              <w:rPr>
                <w:spacing w:val="-4"/>
                <w:sz w:val="20"/>
                <w:szCs w:val="20"/>
              </w:rPr>
            </w:pPr>
          </w:p>
        </w:tc>
        <w:tc>
          <w:tcPr>
            <w:tcW w:w="748" w:type="dxa"/>
            <w:gridSpan w:val="4"/>
            <w:vAlign w:val="center"/>
          </w:tcPr>
          <w:p w:rsidR="003C2110" w:rsidRPr="005F31CD" w:rsidRDefault="003C2110" w:rsidP="00347B2F">
            <w:pPr>
              <w:spacing w:before="20" w:after="20"/>
              <w:jc w:val="center"/>
              <w:rPr>
                <w:spacing w:val="-4"/>
                <w:sz w:val="20"/>
                <w:szCs w:val="20"/>
              </w:rPr>
            </w:pPr>
          </w:p>
        </w:tc>
        <w:tc>
          <w:tcPr>
            <w:tcW w:w="748" w:type="dxa"/>
            <w:vAlign w:val="center"/>
          </w:tcPr>
          <w:p w:rsidR="003C2110" w:rsidRPr="005F31CD" w:rsidRDefault="003C2110" w:rsidP="00347B2F">
            <w:pPr>
              <w:spacing w:before="20" w:after="20"/>
              <w:jc w:val="center"/>
              <w:rPr>
                <w:spacing w:val="-4"/>
                <w:sz w:val="20"/>
                <w:szCs w:val="20"/>
              </w:rPr>
            </w:pPr>
          </w:p>
        </w:tc>
        <w:tc>
          <w:tcPr>
            <w:tcW w:w="748" w:type="dxa"/>
            <w:gridSpan w:val="2"/>
            <w:vAlign w:val="center"/>
          </w:tcPr>
          <w:p w:rsidR="003C2110" w:rsidRPr="005F31CD" w:rsidRDefault="003C2110" w:rsidP="00347B2F">
            <w:pPr>
              <w:spacing w:before="20" w:after="20"/>
              <w:jc w:val="center"/>
              <w:rPr>
                <w:spacing w:val="-4"/>
                <w:sz w:val="20"/>
                <w:szCs w:val="20"/>
              </w:rPr>
            </w:pPr>
            <w:r w:rsidRPr="005F31CD">
              <w:rPr>
                <w:spacing w:val="-4"/>
                <w:sz w:val="20"/>
              </w:rPr>
              <w:t>3,15</w:t>
            </w:r>
          </w:p>
        </w:tc>
        <w:tc>
          <w:tcPr>
            <w:tcW w:w="727" w:type="dxa"/>
            <w:gridSpan w:val="2"/>
            <w:vAlign w:val="center"/>
          </w:tcPr>
          <w:p w:rsidR="003C2110" w:rsidRPr="005F31CD" w:rsidRDefault="003C2110" w:rsidP="00347B2F">
            <w:pPr>
              <w:spacing w:before="20" w:after="20"/>
              <w:jc w:val="center"/>
              <w:rPr>
                <w:b/>
                <w:spacing w:val="-4"/>
                <w:sz w:val="20"/>
                <w:szCs w:val="20"/>
              </w:rPr>
            </w:pPr>
          </w:p>
        </w:tc>
        <w:tc>
          <w:tcPr>
            <w:tcW w:w="1375" w:type="dxa"/>
            <w:vAlign w:val="center"/>
          </w:tcPr>
          <w:p w:rsidR="003C2110" w:rsidRPr="005F31CD" w:rsidRDefault="003C2110" w:rsidP="00347B2F">
            <w:pPr>
              <w:spacing w:before="20" w:after="20"/>
              <w:jc w:val="center"/>
              <w:rPr>
                <w:b/>
                <w:spacing w:val="-4"/>
                <w:sz w:val="20"/>
                <w:szCs w:val="20"/>
              </w:rPr>
            </w:pPr>
            <w:r w:rsidRPr="005F31CD">
              <w:rPr>
                <w:b/>
                <w:spacing w:val="-4"/>
                <w:sz w:val="20"/>
              </w:rPr>
              <w:t>3,15</w:t>
            </w:r>
          </w:p>
        </w:tc>
      </w:tr>
      <w:tr w:rsidR="003C2110" w:rsidRPr="005F31CD" w:rsidTr="00347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9" w:type="dxa"/>
        </w:trPr>
        <w:tc>
          <w:tcPr>
            <w:tcW w:w="3686" w:type="dxa"/>
            <w:vMerge/>
          </w:tcPr>
          <w:p w:rsidR="003C2110" w:rsidRPr="005F31CD" w:rsidRDefault="003C2110" w:rsidP="00347B2F">
            <w:pPr>
              <w:jc w:val="center"/>
              <w:rPr>
                <w:spacing w:val="-4"/>
                <w:sz w:val="20"/>
                <w:szCs w:val="20"/>
              </w:rPr>
            </w:pPr>
          </w:p>
        </w:tc>
        <w:tc>
          <w:tcPr>
            <w:tcW w:w="1345" w:type="dxa"/>
            <w:vAlign w:val="center"/>
          </w:tcPr>
          <w:p w:rsidR="003C2110" w:rsidRPr="005F31CD" w:rsidRDefault="003C2110" w:rsidP="00347B2F">
            <w:pPr>
              <w:spacing w:before="20" w:after="20"/>
              <w:rPr>
                <w:spacing w:val="-4"/>
              </w:rPr>
            </w:pPr>
            <w:r w:rsidRPr="005F31CD">
              <w:rPr>
                <w:spacing w:val="-4"/>
                <w:sz w:val="18"/>
              </w:rPr>
              <w:t>Platby</w:t>
            </w:r>
          </w:p>
        </w:tc>
        <w:tc>
          <w:tcPr>
            <w:tcW w:w="748" w:type="dxa"/>
            <w:vAlign w:val="center"/>
          </w:tcPr>
          <w:p w:rsidR="003C2110" w:rsidRPr="005F31CD" w:rsidRDefault="003C2110" w:rsidP="00347B2F">
            <w:pPr>
              <w:spacing w:before="20" w:after="20"/>
              <w:jc w:val="center"/>
              <w:rPr>
                <w:spacing w:val="-4"/>
                <w:sz w:val="14"/>
              </w:rPr>
            </w:pPr>
            <w:r w:rsidRPr="005F31CD">
              <w:rPr>
                <w:spacing w:val="-4"/>
                <w:sz w:val="14"/>
              </w:rPr>
              <w:t>(2a)</w:t>
            </w:r>
          </w:p>
        </w:tc>
        <w:tc>
          <w:tcPr>
            <w:tcW w:w="748" w:type="dxa"/>
            <w:gridSpan w:val="2"/>
            <w:vAlign w:val="center"/>
          </w:tcPr>
          <w:p w:rsidR="003C2110" w:rsidRPr="005F31CD" w:rsidRDefault="003C2110" w:rsidP="00347B2F">
            <w:pPr>
              <w:spacing w:before="20" w:after="20"/>
              <w:jc w:val="center"/>
              <w:rPr>
                <w:spacing w:val="-4"/>
                <w:sz w:val="20"/>
                <w:szCs w:val="20"/>
              </w:rPr>
            </w:pPr>
          </w:p>
        </w:tc>
        <w:tc>
          <w:tcPr>
            <w:tcW w:w="748" w:type="dxa"/>
            <w:gridSpan w:val="4"/>
            <w:vAlign w:val="center"/>
          </w:tcPr>
          <w:p w:rsidR="003C2110" w:rsidRPr="005F31CD" w:rsidRDefault="003C2110" w:rsidP="00347B2F">
            <w:pPr>
              <w:spacing w:before="20" w:after="20"/>
              <w:jc w:val="center"/>
              <w:rPr>
                <w:spacing w:val="-4"/>
                <w:sz w:val="20"/>
                <w:szCs w:val="20"/>
              </w:rPr>
            </w:pPr>
          </w:p>
        </w:tc>
        <w:tc>
          <w:tcPr>
            <w:tcW w:w="748" w:type="dxa"/>
            <w:vAlign w:val="center"/>
          </w:tcPr>
          <w:p w:rsidR="003C2110" w:rsidRPr="005F31CD" w:rsidRDefault="003C2110" w:rsidP="00347B2F">
            <w:pPr>
              <w:spacing w:before="20" w:after="20"/>
              <w:jc w:val="center"/>
              <w:rPr>
                <w:spacing w:val="-4"/>
                <w:sz w:val="20"/>
                <w:szCs w:val="20"/>
              </w:rPr>
            </w:pPr>
          </w:p>
        </w:tc>
        <w:tc>
          <w:tcPr>
            <w:tcW w:w="748" w:type="dxa"/>
            <w:gridSpan w:val="2"/>
            <w:vAlign w:val="center"/>
          </w:tcPr>
          <w:p w:rsidR="003C2110" w:rsidRPr="005F31CD" w:rsidRDefault="003C2110" w:rsidP="00347B2F">
            <w:pPr>
              <w:spacing w:before="20" w:after="20"/>
              <w:jc w:val="center"/>
              <w:rPr>
                <w:spacing w:val="-4"/>
                <w:sz w:val="20"/>
                <w:szCs w:val="20"/>
              </w:rPr>
            </w:pPr>
            <w:r w:rsidRPr="005F31CD">
              <w:rPr>
                <w:spacing w:val="-4"/>
                <w:sz w:val="20"/>
              </w:rPr>
              <w:t>3,15</w:t>
            </w:r>
          </w:p>
        </w:tc>
        <w:tc>
          <w:tcPr>
            <w:tcW w:w="727" w:type="dxa"/>
            <w:gridSpan w:val="2"/>
            <w:vAlign w:val="center"/>
          </w:tcPr>
          <w:p w:rsidR="003C2110" w:rsidRPr="005F31CD" w:rsidDel="00936E2E" w:rsidRDefault="003C2110" w:rsidP="00347B2F">
            <w:pPr>
              <w:spacing w:before="20" w:after="20"/>
              <w:jc w:val="center"/>
              <w:rPr>
                <w:b/>
                <w:spacing w:val="-4"/>
                <w:sz w:val="20"/>
                <w:szCs w:val="20"/>
              </w:rPr>
            </w:pPr>
          </w:p>
        </w:tc>
        <w:tc>
          <w:tcPr>
            <w:tcW w:w="1375" w:type="dxa"/>
            <w:vAlign w:val="center"/>
          </w:tcPr>
          <w:p w:rsidR="003C2110" w:rsidRPr="005F31CD" w:rsidRDefault="003C2110" w:rsidP="00347B2F">
            <w:pPr>
              <w:spacing w:before="20" w:after="20"/>
              <w:jc w:val="center"/>
              <w:rPr>
                <w:b/>
                <w:spacing w:val="-4"/>
                <w:sz w:val="20"/>
                <w:szCs w:val="20"/>
              </w:rPr>
            </w:pPr>
            <w:r w:rsidRPr="005F31CD">
              <w:rPr>
                <w:b/>
                <w:spacing w:val="-4"/>
                <w:sz w:val="20"/>
              </w:rPr>
              <w:t>3,15</w:t>
            </w:r>
          </w:p>
        </w:tc>
      </w:tr>
      <w:tr w:rsidR="003C2110" w:rsidRPr="005F31CD" w:rsidTr="00347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9" w:type="dxa"/>
          <w:trHeight w:val="231"/>
        </w:trPr>
        <w:tc>
          <w:tcPr>
            <w:tcW w:w="5779" w:type="dxa"/>
            <w:gridSpan w:val="3"/>
            <w:vAlign w:val="center"/>
          </w:tcPr>
          <w:p w:rsidR="003C2110" w:rsidRPr="005F31CD" w:rsidRDefault="003C2110" w:rsidP="00347B2F">
            <w:pPr>
              <w:autoSpaceDE w:val="0"/>
              <w:autoSpaceDN w:val="0"/>
              <w:adjustRightInd w:val="0"/>
              <w:spacing w:before="0" w:after="0"/>
              <w:jc w:val="left"/>
              <w:rPr>
                <w:spacing w:val="-4"/>
                <w:sz w:val="20"/>
                <w:szCs w:val="20"/>
              </w:rPr>
            </w:pPr>
            <w:r w:rsidRPr="005F31CD">
              <w:rPr>
                <w:rFonts w:ascii="TimesNewRoman" w:hAnsi="TimesNewRoman"/>
                <w:spacing w:val="-4"/>
                <w:sz w:val="20"/>
              </w:rPr>
              <w:t>Operatívne posúdenie</w:t>
            </w:r>
            <w:r w:rsidR="005F31CD">
              <w:rPr>
                <w:rFonts w:ascii="TimesNewRoman" w:hAnsi="TimesNewRoman"/>
                <w:spacing w:val="-4"/>
                <w:sz w:val="20"/>
              </w:rPr>
              <w:t xml:space="preserve"> a </w:t>
            </w:r>
            <w:r w:rsidRPr="005F31CD">
              <w:rPr>
                <w:rFonts w:ascii="TimesNewRoman" w:hAnsi="TimesNewRoman"/>
                <w:spacing w:val="-4"/>
                <w:sz w:val="20"/>
              </w:rPr>
              <w:t xml:space="preserve">hodnotenie </w:t>
            </w:r>
            <w:r w:rsidRPr="005F31CD">
              <w:rPr>
                <w:rFonts w:ascii="TimesNewRoman" w:hAnsi="TimesNewRoman"/>
                <w:i/>
                <w:spacing w:val="-4"/>
                <w:sz w:val="20"/>
              </w:rPr>
              <w:t>ex post</w:t>
            </w:r>
          </w:p>
        </w:tc>
        <w:tc>
          <w:tcPr>
            <w:tcW w:w="748" w:type="dxa"/>
            <w:gridSpan w:val="2"/>
            <w:vAlign w:val="center"/>
          </w:tcPr>
          <w:p w:rsidR="003C2110" w:rsidRPr="005F31CD" w:rsidRDefault="003C2110" w:rsidP="00347B2F">
            <w:pPr>
              <w:jc w:val="center"/>
              <w:rPr>
                <w:spacing w:val="-4"/>
                <w:sz w:val="20"/>
                <w:szCs w:val="20"/>
              </w:rPr>
            </w:pPr>
          </w:p>
        </w:tc>
        <w:tc>
          <w:tcPr>
            <w:tcW w:w="748" w:type="dxa"/>
            <w:gridSpan w:val="4"/>
            <w:vAlign w:val="center"/>
          </w:tcPr>
          <w:p w:rsidR="003C2110" w:rsidRPr="005F31CD" w:rsidRDefault="003C2110" w:rsidP="00347B2F">
            <w:pPr>
              <w:jc w:val="center"/>
              <w:rPr>
                <w:spacing w:val="-4"/>
                <w:sz w:val="20"/>
                <w:szCs w:val="20"/>
              </w:rPr>
            </w:pPr>
          </w:p>
        </w:tc>
        <w:tc>
          <w:tcPr>
            <w:tcW w:w="748" w:type="dxa"/>
            <w:vAlign w:val="center"/>
          </w:tcPr>
          <w:p w:rsidR="003C2110" w:rsidRPr="005F31CD" w:rsidRDefault="003C2110" w:rsidP="00347B2F">
            <w:pPr>
              <w:jc w:val="center"/>
              <w:rPr>
                <w:spacing w:val="-4"/>
                <w:sz w:val="20"/>
                <w:szCs w:val="20"/>
              </w:rPr>
            </w:pPr>
          </w:p>
        </w:tc>
        <w:tc>
          <w:tcPr>
            <w:tcW w:w="748" w:type="dxa"/>
            <w:gridSpan w:val="2"/>
            <w:vAlign w:val="center"/>
          </w:tcPr>
          <w:p w:rsidR="003C2110" w:rsidRPr="005F31CD" w:rsidRDefault="003C2110" w:rsidP="00347B2F">
            <w:pPr>
              <w:jc w:val="center"/>
              <w:rPr>
                <w:spacing w:val="-4"/>
                <w:sz w:val="20"/>
                <w:szCs w:val="20"/>
              </w:rPr>
            </w:pPr>
          </w:p>
        </w:tc>
        <w:tc>
          <w:tcPr>
            <w:tcW w:w="727" w:type="dxa"/>
            <w:gridSpan w:val="2"/>
            <w:vAlign w:val="center"/>
          </w:tcPr>
          <w:p w:rsidR="003C2110" w:rsidRPr="005F31CD" w:rsidRDefault="003C2110" w:rsidP="00347B2F">
            <w:pPr>
              <w:jc w:val="center"/>
              <w:rPr>
                <w:b/>
                <w:spacing w:val="-4"/>
                <w:sz w:val="20"/>
                <w:szCs w:val="20"/>
              </w:rPr>
            </w:pPr>
          </w:p>
        </w:tc>
        <w:tc>
          <w:tcPr>
            <w:tcW w:w="1375" w:type="dxa"/>
            <w:vAlign w:val="center"/>
          </w:tcPr>
          <w:p w:rsidR="003C2110" w:rsidRPr="005F31CD" w:rsidRDefault="003C2110" w:rsidP="00347B2F">
            <w:pPr>
              <w:jc w:val="center"/>
              <w:rPr>
                <w:b/>
                <w:spacing w:val="-4"/>
                <w:sz w:val="20"/>
                <w:szCs w:val="20"/>
              </w:rPr>
            </w:pPr>
          </w:p>
        </w:tc>
      </w:tr>
      <w:tr w:rsidR="003C2110" w:rsidRPr="005F31CD" w:rsidTr="00347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9" w:type="dxa"/>
          <w:trHeight w:val="319"/>
        </w:trPr>
        <w:tc>
          <w:tcPr>
            <w:tcW w:w="3686" w:type="dxa"/>
            <w:vAlign w:val="center"/>
          </w:tcPr>
          <w:p w:rsidR="003C2110" w:rsidRPr="005F31CD" w:rsidRDefault="003C2110" w:rsidP="00347B2F">
            <w:pPr>
              <w:spacing w:before="60" w:after="60"/>
              <w:rPr>
                <w:spacing w:val="-4"/>
                <w:sz w:val="20"/>
                <w:szCs w:val="20"/>
              </w:rPr>
            </w:pPr>
            <w:r w:rsidRPr="005F31CD">
              <w:rPr>
                <w:spacing w:val="-4"/>
                <w:sz w:val="20"/>
              </w:rPr>
              <w:t>Rozpočtový riadok 01 03 02 Makrofinančná pomoc</w:t>
            </w:r>
          </w:p>
        </w:tc>
        <w:tc>
          <w:tcPr>
            <w:tcW w:w="1345" w:type="dxa"/>
            <w:vAlign w:val="center"/>
          </w:tcPr>
          <w:p w:rsidR="003C2110" w:rsidRPr="005F31CD" w:rsidRDefault="003C2110" w:rsidP="00347B2F">
            <w:pPr>
              <w:spacing w:before="40" w:after="40"/>
              <w:jc w:val="left"/>
              <w:rPr>
                <w:spacing w:val="-4"/>
                <w:sz w:val="18"/>
              </w:rPr>
            </w:pPr>
            <w:r w:rsidRPr="005F31CD">
              <w:rPr>
                <w:spacing w:val="-4"/>
                <w:sz w:val="18"/>
              </w:rPr>
              <w:t>Záväzky</w:t>
            </w:r>
          </w:p>
        </w:tc>
        <w:tc>
          <w:tcPr>
            <w:tcW w:w="748" w:type="dxa"/>
            <w:vAlign w:val="center"/>
          </w:tcPr>
          <w:p w:rsidR="003C2110" w:rsidRPr="005F31CD" w:rsidRDefault="003C2110" w:rsidP="00347B2F">
            <w:pPr>
              <w:spacing w:before="40" w:after="40"/>
              <w:jc w:val="center"/>
              <w:rPr>
                <w:spacing w:val="-4"/>
                <w:sz w:val="14"/>
              </w:rPr>
            </w:pPr>
            <w:r w:rsidRPr="005F31CD">
              <w:rPr>
                <w:spacing w:val="-4"/>
                <w:sz w:val="14"/>
              </w:rPr>
              <w:t>(3)</w:t>
            </w:r>
          </w:p>
        </w:tc>
        <w:tc>
          <w:tcPr>
            <w:tcW w:w="748" w:type="dxa"/>
            <w:gridSpan w:val="2"/>
            <w:vAlign w:val="center"/>
          </w:tcPr>
          <w:p w:rsidR="003C2110" w:rsidRPr="005F31CD" w:rsidRDefault="003C2110" w:rsidP="00347B2F">
            <w:pPr>
              <w:spacing w:before="40" w:after="40"/>
              <w:jc w:val="center"/>
              <w:rPr>
                <w:spacing w:val="-4"/>
                <w:sz w:val="20"/>
                <w:szCs w:val="20"/>
              </w:rPr>
            </w:pPr>
            <w:r w:rsidRPr="005F31CD">
              <w:rPr>
                <w:spacing w:val="-4"/>
                <w:sz w:val="20"/>
              </w:rPr>
              <w:t>0,07</w:t>
            </w:r>
          </w:p>
        </w:tc>
        <w:tc>
          <w:tcPr>
            <w:tcW w:w="748" w:type="dxa"/>
            <w:gridSpan w:val="4"/>
            <w:vAlign w:val="center"/>
          </w:tcPr>
          <w:p w:rsidR="003C2110" w:rsidRPr="005F31CD" w:rsidRDefault="003C2110" w:rsidP="00347B2F">
            <w:pPr>
              <w:spacing w:before="40" w:after="40"/>
              <w:jc w:val="center"/>
              <w:rPr>
                <w:spacing w:val="-4"/>
                <w:sz w:val="20"/>
                <w:szCs w:val="20"/>
              </w:rPr>
            </w:pPr>
          </w:p>
        </w:tc>
        <w:tc>
          <w:tcPr>
            <w:tcW w:w="748" w:type="dxa"/>
            <w:vAlign w:val="center"/>
          </w:tcPr>
          <w:p w:rsidR="003C2110" w:rsidRPr="005F31CD" w:rsidRDefault="003C2110" w:rsidP="00347B2F">
            <w:pPr>
              <w:spacing w:before="40" w:after="40"/>
              <w:jc w:val="center"/>
              <w:rPr>
                <w:spacing w:val="-4"/>
                <w:sz w:val="20"/>
                <w:szCs w:val="20"/>
              </w:rPr>
            </w:pPr>
          </w:p>
        </w:tc>
        <w:tc>
          <w:tcPr>
            <w:tcW w:w="748" w:type="dxa"/>
            <w:gridSpan w:val="2"/>
            <w:vAlign w:val="center"/>
          </w:tcPr>
          <w:p w:rsidR="003C2110" w:rsidRPr="005F31CD" w:rsidRDefault="003C2110" w:rsidP="00347B2F">
            <w:pPr>
              <w:spacing w:before="40" w:after="40"/>
              <w:jc w:val="center"/>
              <w:rPr>
                <w:spacing w:val="-4"/>
                <w:sz w:val="20"/>
                <w:szCs w:val="20"/>
              </w:rPr>
            </w:pPr>
            <w:r w:rsidRPr="005F31CD">
              <w:rPr>
                <w:spacing w:val="-4"/>
                <w:sz w:val="20"/>
              </w:rPr>
              <w:t>0,15</w:t>
            </w:r>
          </w:p>
        </w:tc>
        <w:tc>
          <w:tcPr>
            <w:tcW w:w="727" w:type="dxa"/>
            <w:gridSpan w:val="2"/>
            <w:vAlign w:val="center"/>
          </w:tcPr>
          <w:p w:rsidR="003C2110" w:rsidRPr="005F31CD" w:rsidRDefault="003C2110" w:rsidP="00347B2F">
            <w:pPr>
              <w:spacing w:before="40" w:after="40"/>
              <w:jc w:val="center"/>
              <w:rPr>
                <w:b/>
                <w:spacing w:val="-4"/>
                <w:sz w:val="20"/>
                <w:szCs w:val="20"/>
              </w:rPr>
            </w:pPr>
          </w:p>
        </w:tc>
        <w:tc>
          <w:tcPr>
            <w:tcW w:w="1375" w:type="dxa"/>
            <w:vAlign w:val="center"/>
          </w:tcPr>
          <w:p w:rsidR="003C2110" w:rsidRPr="005F31CD" w:rsidRDefault="003C2110" w:rsidP="00347B2F">
            <w:pPr>
              <w:spacing w:before="40" w:after="40"/>
              <w:jc w:val="center"/>
              <w:rPr>
                <w:b/>
                <w:spacing w:val="-4"/>
                <w:sz w:val="20"/>
                <w:szCs w:val="20"/>
              </w:rPr>
            </w:pPr>
            <w:r w:rsidRPr="005F31CD">
              <w:rPr>
                <w:b/>
                <w:spacing w:val="-4"/>
                <w:sz w:val="20"/>
              </w:rPr>
              <w:t>0,22</w:t>
            </w:r>
          </w:p>
        </w:tc>
      </w:tr>
      <w:tr w:rsidR="003C2110" w:rsidRPr="005F31CD" w:rsidTr="00347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9" w:type="dxa"/>
          <w:trHeight w:val="319"/>
        </w:trPr>
        <w:tc>
          <w:tcPr>
            <w:tcW w:w="3686" w:type="dxa"/>
            <w:vAlign w:val="center"/>
          </w:tcPr>
          <w:p w:rsidR="003C2110" w:rsidRPr="005F31CD" w:rsidRDefault="003C2110" w:rsidP="00347B2F">
            <w:pPr>
              <w:spacing w:before="60" w:after="60"/>
              <w:rPr>
                <w:spacing w:val="-4"/>
                <w:sz w:val="20"/>
              </w:rPr>
            </w:pPr>
          </w:p>
        </w:tc>
        <w:tc>
          <w:tcPr>
            <w:tcW w:w="1345" w:type="dxa"/>
            <w:vAlign w:val="center"/>
          </w:tcPr>
          <w:p w:rsidR="003C2110" w:rsidRPr="005F31CD" w:rsidRDefault="003C2110" w:rsidP="00347B2F">
            <w:pPr>
              <w:spacing w:before="40" w:after="40"/>
              <w:jc w:val="left"/>
              <w:rPr>
                <w:spacing w:val="-4"/>
                <w:sz w:val="18"/>
              </w:rPr>
            </w:pPr>
            <w:r w:rsidRPr="005F31CD">
              <w:rPr>
                <w:spacing w:val="-4"/>
                <w:sz w:val="18"/>
              </w:rPr>
              <w:t>Platby</w:t>
            </w:r>
          </w:p>
        </w:tc>
        <w:tc>
          <w:tcPr>
            <w:tcW w:w="748" w:type="dxa"/>
            <w:vAlign w:val="center"/>
          </w:tcPr>
          <w:p w:rsidR="003C2110" w:rsidRPr="005F31CD" w:rsidRDefault="003C2110" w:rsidP="00347B2F">
            <w:pPr>
              <w:spacing w:before="40" w:after="40"/>
              <w:jc w:val="center"/>
              <w:rPr>
                <w:spacing w:val="-4"/>
                <w:sz w:val="14"/>
              </w:rPr>
            </w:pPr>
            <w:r w:rsidRPr="005F31CD">
              <w:rPr>
                <w:spacing w:val="-4"/>
                <w:sz w:val="14"/>
              </w:rPr>
              <w:t>(3a)</w:t>
            </w:r>
          </w:p>
        </w:tc>
        <w:tc>
          <w:tcPr>
            <w:tcW w:w="748" w:type="dxa"/>
            <w:gridSpan w:val="2"/>
            <w:vAlign w:val="center"/>
          </w:tcPr>
          <w:p w:rsidR="003C2110" w:rsidRPr="005F31CD" w:rsidRDefault="003C2110" w:rsidP="00347B2F">
            <w:pPr>
              <w:spacing w:before="40" w:after="40"/>
              <w:jc w:val="center"/>
              <w:rPr>
                <w:spacing w:val="-4"/>
                <w:sz w:val="20"/>
                <w:szCs w:val="20"/>
              </w:rPr>
            </w:pPr>
            <w:r w:rsidRPr="005F31CD">
              <w:rPr>
                <w:spacing w:val="-4"/>
                <w:sz w:val="20"/>
              </w:rPr>
              <w:t>0,07</w:t>
            </w:r>
          </w:p>
        </w:tc>
        <w:tc>
          <w:tcPr>
            <w:tcW w:w="748" w:type="dxa"/>
            <w:gridSpan w:val="4"/>
            <w:vAlign w:val="center"/>
          </w:tcPr>
          <w:p w:rsidR="003C2110" w:rsidRPr="005F31CD" w:rsidRDefault="003C2110" w:rsidP="00347B2F">
            <w:pPr>
              <w:spacing w:before="40" w:after="40"/>
              <w:jc w:val="center"/>
              <w:rPr>
                <w:spacing w:val="-4"/>
                <w:sz w:val="20"/>
                <w:szCs w:val="20"/>
              </w:rPr>
            </w:pPr>
          </w:p>
        </w:tc>
        <w:tc>
          <w:tcPr>
            <w:tcW w:w="748" w:type="dxa"/>
            <w:vAlign w:val="center"/>
          </w:tcPr>
          <w:p w:rsidR="003C2110" w:rsidRPr="005F31CD" w:rsidRDefault="003C2110" w:rsidP="00347B2F">
            <w:pPr>
              <w:spacing w:before="40" w:after="40"/>
              <w:jc w:val="center"/>
              <w:rPr>
                <w:spacing w:val="-4"/>
                <w:sz w:val="20"/>
                <w:szCs w:val="20"/>
              </w:rPr>
            </w:pPr>
          </w:p>
        </w:tc>
        <w:tc>
          <w:tcPr>
            <w:tcW w:w="748" w:type="dxa"/>
            <w:gridSpan w:val="2"/>
            <w:vAlign w:val="center"/>
          </w:tcPr>
          <w:p w:rsidR="003C2110" w:rsidRPr="005F31CD" w:rsidRDefault="003C2110" w:rsidP="00347B2F">
            <w:pPr>
              <w:spacing w:before="40" w:after="40"/>
              <w:jc w:val="center"/>
              <w:rPr>
                <w:spacing w:val="-4"/>
                <w:sz w:val="20"/>
                <w:szCs w:val="20"/>
              </w:rPr>
            </w:pPr>
          </w:p>
        </w:tc>
        <w:tc>
          <w:tcPr>
            <w:tcW w:w="727" w:type="dxa"/>
            <w:gridSpan w:val="2"/>
            <w:vAlign w:val="center"/>
          </w:tcPr>
          <w:p w:rsidR="003C2110" w:rsidRPr="005F31CD" w:rsidRDefault="003C2110" w:rsidP="00347B2F">
            <w:pPr>
              <w:spacing w:before="40" w:after="40"/>
              <w:jc w:val="center"/>
              <w:rPr>
                <w:b/>
                <w:spacing w:val="-4"/>
                <w:sz w:val="20"/>
                <w:szCs w:val="20"/>
              </w:rPr>
            </w:pPr>
            <w:r w:rsidRPr="005F31CD">
              <w:rPr>
                <w:spacing w:val="-4"/>
                <w:sz w:val="20"/>
              </w:rPr>
              <w:t>0,15</w:t>
            </w:r>
          </w:p>
        </w:tc>
        <w:tc>
          <w:tcPr>
            <w:tcW w:w="1375" w:type="dxa"/>
            <w:vAlign w:val="center"/>
          </w:tcPr>
          <w:p w:rsidR="003C2110" w:rsidRPr="005F31CD" w:rsidRDefault="003C2110" w:rsidP="00347B2F">
            <w:pPr>
              <w:spacing w:before="40" w:after="40"/>
              <w:jc w:val="center"/>
              <w:rPr>
                <w:b/>
                <w:spacing w:val="-4"/>
                <w:sz w:val="20"/>
                <w:szCs w:val="20"/>
              </w:rPr>
            </w:pPr>
            <w:r w:rsidRPr="005F31CD">
              <w:rPr>
                <w:b/>
                <w:spacing w:val="-4"/>
                <w:sz w:val="20"/>
              </w:rPr>
              <w:t>0,22</w:t>
            </w:r>
          </w:p>
        </w:tc>
      </w:tr>
      <w:tr w:rsidR="003C2110" w:rsidRPr="005F31CD" w:rsidTr="00347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9" w:type="dxa"/>
        </w:trPr>
        <w:tc>
          <w:tcPr>
            <w:tcW w:w="3686" w:type="dxa"/>
            <w:vMerge w:val="restart"/>
            <w:vAlign w:val="center"/>
          </w:tcPr>
          <w:p w:rsidR="003C2110" w:rsidRPr="005F31CD" w:rsidRDefault="003C2110" w:rsidP="00347B2F">
            <w:pPr>
              <w:jc w:val="center"/>
              <w:rPr>
                <w:b/>
                <w:spacing w:val="-4"/>
              </w:rPr>
            </w:pPr>
            <w:r w:rsidRPr="005F31CD">
              <w:rPr>
                <w:b/>
                <w:spacing w:val="-4"/>
                <w:sz w:val="22"/>
              </w:rPr>
              <w:t>Rozpočtové prostriedky</w:t>
            </w:r>
            <w:r w:rsidRPr="005F31CD">
              <w:rPr>
                <w:b/>
                <w:spacing w:val="-4"/>
                <w:sz w:val="22"/>
              </w:rPr>
              <w:br/>
            </w:r>
            <w:r w:rsidRPr="005F31CD">
              <w:rPr>
                <w:b/>
                <w:spacing w:val="-4"/>
              </w:rPr>
              <w:t>pre GR pre hospodárske</w:t>
            </w:r>
            <w:r w:rsidR="005F31CD">
              <w:rPr>
                <w:b/>
                <w:spacing w:val="-4"/>
              </w:rPr>
              <w:t xml:space="preserve"> a </w:t>
            </w:r>
            <w:r w:rsidRPr="005F31CD">
              <w:rPr>
                <w:b/>
                <w:spacing w:val="-4"/>
              </w:rPr>
              <w:t>finančné záležitosti SPOLU</w:t>
            </w:r>
          </w:p>
        </w:tc>
        <w:tc>
          <w:tcPr>
            <w:tcW w:w="1345" w:type="dxa"/>
            <w:vAlign w:val="center"/>
          </w:tcPr>
          <w:p w:rsidR="003C2110" w:rsidRPr="005F31CD" w:rsidRDefault="003C2110" w:rsidP="00347B2F">
            <w:pPr>
              <w:rPr>
                <w:spacing w:val="-4"/>
              </w:rPr>
            </w:pPr>
            <w:r w:rsidRPr="005F31CD">
              <w:rPr>
                <w:spacing w:val="-4"/>
                <w:sz w:val="18"/>
              </w:rPr>
              <w:t>Záväzky</w:t>
            </w:r>
          </w:p>
        </w:tc>
        <w:tc>
          <w:tcPr>
            <w:tcW w:w="748" w:type="dxa"/>
            <w:vAlign w:val="center"/>
          </w:tcPr>
          <w:p w:rsidR="003C2110" w:rsidRPr="005F31CD" w:rsidRDefault="003C2110" w:rsidP="00347B2F">
            <w:pPr>
              <w:jc w:val="center"/>
              <w:rPr>
                <w:spacing w:val="-4"/>
              </w:rPr>
            </w:pPr>
            <w:r w:rsidRPr="005F31CD">
              <w:rPr>
                <w:spacing w:val="-4"/>
                <w:sz w:val="14"/>
              </w:rPr>
              <w:t>(4) =1+1a +3</w:t>
            </w:r>
          </w:p>
        </w:tc>
        <w:tc>
          <w:tcPr>
            <w:tcW w:w="748" w:type="dxa"/>
            <w:gridSpan w:val="2"/>
            <w:vAlign w:val="center"/>
          </w:tcPr>
          <w:p w:rsidR="003C2110" w:rsidRPr="005F31CD" w:rsidRDefault="003C2110" w:rsidP="00347B2F">
            <w:pPr>
              <w:spacing w:before="20" w:after="20"/>
              <w:jc w:val="center"/>
              <w:rPr>
                <w:spacing w:val="-4"/>
                <w:sz w:val="20"/>
                <w:szCs w:val="20"/>
              </w:rPr>
            </w:pPr>
            <w:r w:rsidRPr="005F31CD">
              <w:rPr>
                <w:spacing w:val="-4"/>
                <w:sz w:val="20"/>
              </w:rPr>
              <w:t>0,07</w:t>
            </w:r>
          </w:p>
        </w:tc>
        <w:tc>
          <w:tcPr>
            <w:tcW w:w="748" w:type="dxa"/>
            <w:gridSpan w:val="4"/>
            <w:vAlign w:val="center"/>
          </w:tcPr>
          <w:p w:rsidR="003C2110" w:rsidRPr="005F31CD" w:rsidRDefault="003C2110" w:rsidP="00347B2F">
            <w:pPr>
              <w:spacing w:before="20" w:after="20"/>
              <w:jc w:val="center"/>
              <w:rPr>
                <w:spacing w:val="-4"/>
                <w:sz w:val="20"/>
                <w:szCs w:val="20"/>
              </w:rPr>
            </w:pPr>
            <w:r w:rsidRPr="005F31CD">
              <w:rPr>
                <w:spacing w:val="-4"/>
                <w:sz w:val="20"/>
              </w:rPr>
              <w:t>10</w:t>
            </w:r>
          </w:p>
        </w:tc>
        <w:tc>
          <w:tcPr>
            <w:tcW w:w="748" w:type="dxa"/>
            <w:vAlign w:val="center"/>
          </w:tcPr>
          <w:p w:rsidR="003C2110" w:rsidRPr="005F31CD" w:rsidRDefault="003C2110" w:rsidP="00347B2F">
            <w:pPr>
              <w:spacing w:before="20" w:after="20"/>
              <w:jc w:val="center"/>
              <w:rPr>
                <w:spacing w:val="-4"/>
                <w:sz w:val="20"/>
                <w:szCs w:val="20"/>
              </w:rPr>
            </w:pPr>
          </w:p>
        </w:tc>
        <w:tc>
          <w:tcPr>
            <w:tcW w:w="748" w:type="dxa"/>
            <w:gridSpan w:val="2"/>
            <w:vAlign w:val="center"/>
          </w:tcPr>
          <w:p w:rsidR="003C2110" w:rsidRPr="005F31CD" w:rsidRDefault="003C2110" w:rsidP="00347B2F">
            <w:pPr>
              <w:spacing w:before="20" w:after="20"/>
              <w:jc w:val="center"/>
              <w:rPr>
                <w:spacing w:val="-4"/>
                <w:sz w:val="20"/>
                <w:szCs w:val="20"/>
              </w:rPr>
            </w:pPr>
            <w:r w:rsidRPr="005F31CD">
              <w:rPr>
                <w:spacing w:val="-4"/>
                <w:sz w:val="20"/>
              </w:rPr>
              <w:t>3,3</w:t>
            </w:r>
          </w:p>
        </w:tc>
        <w:tc>
          <w:tcPr>
            <w:tcW w:w="727" w:type="dxa"/>
            <w:gridSpan w:val="2"/>
            <w:vAlign w:val="center"/>
          </w:tcPr>
          <w:p w:rsidR="003C2110" w:rsidRPr="005F31CD" w:rsidDel="002B084A" w:rsidRDefault="003C2110" w:rsidP="00347B2F">
            <w:pPr>
              <w:spacing w:before="20" w:after="20"/>
              <w:jc w:val="center"/>
              <w:rPr>
                <w:b/>
                <w:spacing w:val="-4"/>
                <w:sz w:val="20"/>
                <w:szCs w:val="20"/>
              </w:rPr>
            </w:pPr>
          </w:p>
        </w:tc>
        <w:tc>
          <w:tcPr>
            <w:tcW w:w="1375" w:type="dxa"/>
            <w:vAlign w:val="center"/>
          </w:tcPr>
          <w:p w:rsidR="003C2110" w:rsidRPr="005F31CD" w:rsidRDefault="003C2110" w:rsidP="00347B2F">
            <w:pPr>
              <w:spacing w:before="20" w:after="20"/>
              <w:jc w:val="center"/>
              <w:rPr>
                <w:b/>
                <w:spacing w:val="-4"/>
                <w:sz w:val="20"/>
                <w:szCs w:val="20"/>
              </w:rPr>
            </w:pPr>
            <w:r w:rsidRPr="005F31CD">
              <w:rPr>
                <w:b/>
                <w:spacing w:val="-4"/>
                <w:sz w:val="20"/>
              </w:rPr>
              <w:t>13,37</w:t>
            </w:r>
          </w:p>
        </w:tc>
      </w:tr>
      <w:tr w:rsidR="003C2110" w:rsidRPr="005F31CD" w:rsidTr="00347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9" w:type="dxa"/>
        </w:trPr>
        <w:tc>
          <w:tcPr>
            <w:tcW w:w="3686" w:type="dxa"/>
            <w:vMerge/>
          </w:tcPr>
          <w:p w:rsidR="003C2110" w:rsidRPr="005F31CD" w:rsidRDefault="003C2110" w:rsidP="00347B2F">
            <w:pPr>
              <w:rPr>
                <w:spacing w:val="-4"/>
                <w:sz w:val="20"/>
              </w:rPr>
            </w:pPr>
          </w:p>
        </w:tc>
        <w:tc>
          <w:tcPr>
            <w:tcW w:w="1345" w:type="dxa"/>
            <w:vAlign w:val="center"/>
          </w:tcPr>
          <w:p w:rsidR="003C2110" w:rsidRPr="005F31CD" w:rsidRDefault="003C2110" w:rsidP="00347B2F">
            <w:pPr>
              <w:rPr>
                <w:spacing w:val="-4"/>
              </w:rPr>
            </w:pPr>
            <w:r w:rsidRPr="005F31CD">
              <w:rPr>
                <w:spacing w:val="-4"/>
                <w:sz w:val="18"/>
              </w:rPr>
              <w:t>Platby</w:t>
            </w:r>
          </w:p>
        </w:tc>
        <w:tc>
          <w:tcPr>
            <w:tcW w:w="748" w:type="dxa"/>
            <w:vAlign w:val="center"/>
          </w:tcPr>
          <w:p w:rsidR="003C2110" w:rsidRPr="005F31CD" w:rsidRDefault="003C2110" w:rsidP="00347B2F">
            <w:pPr>
              <w:jc w:val="center"/>
              <w:rPr>
                <w:spacing w:val="-4"/>
                <w:sz w:val="14"/>
              </w:rPr>
            </w:pPr>
            <w:r w:rsidRPr="005F31CD">
              <w:rPr>
                <w:spacing w:val="-4"/>
                <w:sz w:val="14"/>
              </w:rPr>
              <w:t>(5) =2+2a</w:t>
            </w:r>
          </w:p>
          <w:p w:rsidR="003C2110" w:rsidRPr="005F31CD" w:rsidRDefault="003C2110" w:rsidP="00347B2F">
            <w:pPr>
              <w:jc w:val="center"/>
              <w:rPr>
                <w:spacing w:val="-4"/>
                <w:sz w:val="14"/>
              </w:rPr>
            </w:pPr>
            <w:r w:rsidRPr="005F31CD">
              <w:rPr>
                <w:spacing w:val="-4"/>
                <w:sz w:val="14"/>
              </w:rPr>
              <w:t>+3</w:t>
            </w:r>
          </w:p>
        </w:tc>
        <w:tc>
          <w:tcPr>
            <w:tcW w:w="748" w:type="dxa"/>
            <w:gridSpan w:val="2"/>
            <w:vAlign w:val="center"/>
          </w:tcPr>
          <w:p w:rsidR="003C2110" w:rsidRPr="005F31CD" w:rsidRDefault="003C2110" w:rsidP="00347B2F">
            <w:pPr>
              <w:spacing w:before="20" w:after="20"/>
              <w:jc w:val="center"/>
              <w:rPr>
                <w:spacing w:val="-4"/>
                <w:sz w:val="20"/>
                <w:szCs w:val="20"/>
              </w:rPr>
            </w:pPr>
            <w:r w:rsidRPr="005F31CD">
              <w:rPr>
                <w:spacing w:val="-4"/>
                <w:sz w:val="20"/>
              </w:rPr>
              <w:t>0,07</w:t>
            </w:r>
          </w:p>
        </w:tc>
        <w:tc>
          <w:tcPr>
            <w:tcW w:w="748" w:type="dxa"/>
            <w:gridSpan w:val="4"/>
            <w:vAlign w:val="center"/>
          </w:tcPr>
          <w:p w:rsidR="003C2110" w:rsidRPr="005F31CD" w:rsidRDefault="003C2110" w:rsidP="00347B2F">
            <w:pPr>
              <w:spacing w:before="20" w:after="20"/>
              <w:jc w:val="center"/>
              <w:rPr>
                <w:spacing w:val="-4"/>
                <w:sz w:val="20"/>
                <w:szCs w:val="20"/>
              </w:rPr>
            </w:pPr>
            <w:r w:rsidRPr="005F31CD">
              <w:rPr>
                <w:spacing w:val="-4"/>
                <w:sz w:val="20"/>
              </w:rPr>
              <w:t>10</w:t>
            </w:r>
          </w:p>
        </w:tc>
        <w:tc>
          <w:tcPr>
            <w:tcW w:w="748" w:type="dxa"/>
            <w:vAlign w:val="center"/>
          </w:tcPr>
          <w:p w:rsidR="003C2110" w:rsidRPr="005F31CD" w:rsidRDefault="003C2110" w:rsidP="00347B2F">
            <w:pPr>
              <w:spacing w:before="20" w:after="20"/>
              <w:jc w:val="center"/>
              <w:rPr>
                <w:spacing w:val="-4"/>
                <w:sz w:val="20"/>
                <w:szCs w:val="20"/>
              </w:rPr>
            </w:pPr>
          </w:p>
        </w:tc>
        <w:tc>
          <w:tcPr>
            <w:tcW w:w="748" w:type="dxa"/>
            <w:gridSpan w:val="2"/>
            <w:vAlign w:val="center"/>
          </w:tcPr>
          <w:p w:rsidR="003C2110" w:rsidRPr="005F31CD" w:rsidRDefault="003C2110" w:rsidP="00347B2F">
            <w:pPr>
              <w:spacing w:before="20" w:after="20"/>
              <w:jc w:val="center"/>
              <w:rPr>
                <w:spacing w:val="-4"/>
                <w:sz w:val="20"/>
                <w:szCs w:val="20"/>
              </w:rPr>
            </w:pPr>
            <w:r w:rsidRPr="005F31CD">
              <w:rPr>
                <w:spacing w:val="-4"/>
                <w:sz w:val="20"/>
              </w:rPr>
              <w:t>3,15</w:t>
            </w:r>
          </w:p>
        </w:tc>
        <w:tc>
          <w:tcPr>
            <w:tcW w:w="727" w:type="dxa"/>
            <w:gridSpan w:val="2"/>
            <w:vAlign w:val="center"/>
          </w:tcPr>
          <w:p w:rsidR="003C2110" w:rsidRPr="005F31CD" w:rsidDel="002B084A" w:rsidRDefault="003C2110" w:rsidP="00347B2F">
            <w:pPr>
              <w:spacing w:before="20" w:after="20"/>
              <w:jc w:val="center"/>
              <w:rPr>
                <w:spacing w:val="-4"/>
                <w:sz w:val="20"/>
                <w:szCs w:val="20"/>
              </w:rPr>
            </w:pPr>
            <w:r w:rsidRPr="005F31CD">
              <w:rPr>
                <w:spacing w:val="-4"/>
                <w:sz w:val="20"/>
              </w:rPr>
              <w:t>0,15</w:t>
            </w:r>
          </w:p>
        </w:tc>
        <w:tc>
          <w:tcPr>
            <w:tcW w:w="1375" w:type="dxa"/>
            <w:vAlign w:val="center"/>
          </w:tcPr>
          <w:p w:rsidR="003C2110" w:rsidRPr="005F31CD" w:rsidRDefault="003C2110" w:rsidP="00347B2F">
            <w:pPr>
              <w:spacing w:before="20" w:after="20"/>
              <w:jc w:val="center"/>
              <w:rPr>
                <w:b/>
                <w:spacing w:val="-4"/>
                <w:sz w:val="20"/>
                <w:szCs w:val="20"/>
              </w:rPr>
            </w:pPr>
            <w:r w:rsidRPr="005F31CD">
              <w:rPr>
                <w:b/>
                <w:spacing w:val="-4"/>
                <w:sz w:val="20"/>
              </w:rPr>
              <w:t>13,37</w:t>
            </w:r>
          </w:p>
        </w:tc>
      </w:tr>
      <w:tr w:rsidR="003C2110" w:rsidRPr="005F31CD" w:rsidTr="00347B2F">
        <w:tc>
          <w:tcPr>
            <w:tcW w:w="5031" w:type="dxa"/>
            <w:gridSpan w:val="2"/>
          </w:tcPr>
          <w:p w:rsidR="003C2110" w:rsidRPr="005F31CD" w:rsidRDefault="003C2110" w:rsidP="00347B2F">
            <w:pPr>
              <w:rPr>
                <w:spacing w:val="-4"/>
                <w:sz w:val="18"/>
              </w:rPr>
            </w:pPr>
          </w:p>
        </w:tc>
        <w:tc>
          <w:tcPr>
            <w:tcW w:w="782" w:type="dxa"/>
            <w:gridSpan w:val="2"/>
          </w:tcPr>
          <w:p w:rsidR="003C2110" w:rsidRPr="005F31CD" w:rsidRDefault="003C2110" w:rsidP="00347B2F">
            <w:pPr>
              <w:jc w:val="center"/>
              <w:rPr>
                <w:spacing w:val="-4"/>
                <w:sz w:val="14"/>
              </w:rPr>
            </w:pPr>
          </w:p>
        </w:tc>
        <w:tc>
          <w:tcPr>
            <w:tcW w:w="747" w:type="dxa"/>
            <w:gridSpan w:val="2"/>
          </w:tcPr>
          <w:p w:rsidR="003C2110" w:rsidRPr="005F31CD" w:rsidRDefault="003C2110" w:rsidP="00347B2F">
            <w:pPr>
              <w:spacing w:before="20" w:after="20"/>
              <w:jc w:val="right"/>
              <w:rPr>
                <w:spacing w:val="-4"/>
                <w:sz w:val="20"/>
                <w:szCs w:val="20"/>
              </w:rPr>
            </w:pPr>
          </w:p>
        </w:tc>
        <w:tc>
          <w:tcPr>
            <w:tcW w:w="709" w:type="dxa"/>
            <w:gridSpan w:val="2"/>
          </w:tcPr>
          <w:p w:rsidR="003C2110" w:rsidRPr="005F31CD" w:rsidRDefault="003C2110" w:rsidP="00347B2F">
            <w:pPr>
              <w:spacing w:before="20" w:after="20"/>
              <w:jc w:val="right"/>
              <w:rPr>
                <w:spacing w:val="-4"/>
                <w:sz w:val="20"/>
                <w:szCs w:val="20"/>
              </w:rPr>
            </w:pPr>
          </w:p>
        </w:tc>
        <w:tc>
          <w:tcPr>
            <w:tcW w:w="850" w:type="dxa"/>
            <w:gridSpan w:val="3"/>
          </w:tcPr>
          <w:p w:rsidR="003C2110" w:rsidRPr="005F31CD" w:rsidRDefault="003C2110" w:rsidP="00347B2F">
            <w:pPr>
              <w:spacing w:before="20" w:after="20"/>
              <w:jc w:val="right"/>
              <w:rPr>
                <w:color w:val="FF0000"/>
                <w:spacing w:val="-4"/>
                <w:sz w:val="20"/>
                <w:szCs w:val="20"/>
              </w:rPr>
            </w:pPr>
          </w:p>
        </w:tc>
        <w:tc>
          <w:tcPr>
            <w:tcW w:w="709" w:type="dxa"/>
            <w:gridSpan w:val="2"/>
          </w:tcPr>
          <w:p w:rsidR="003C2110" w:rsidRPr="005F31CD" w:rsidRDefault="003C2110" w:rsidP="00347B2F">
            <w:pPr>
              <w:spacing w:before="20" w:after="20"/>
              <w:jc w:val="right"/>
              <w:rPr>
                <w:color w:val="FF0000"/>
                <w:spacing w:val="-4"/>
                <w:sz w:val="20"/>
                <w:szCs w:val="20"/>
              </w:rPr>
            </w:pPr>
          </w:p>
        </w:tc>
        <w:tc>
          <w:tcPr>
            <w:tcW w:w="670" w:type="dxa"/>
          </w:tcPr>
          <w:p w:rsidR="003C2110" w:rsidRPr="005F31CD" w:rsidRDefault="003C2110" w:rsidP="00347B2F">
            <w:pPr>
              <w:spacing w:before="20" w:after="20"/>
              <w:jc w:val="center"/>
              <w:rPr>
                <w:b/>
                <w:color w:val="FF0000"/>
                <w:spacing w:val="-4"/>
                <w:sz w:val="20"/>
                <w:szCs w:val="20"/>
              </w:rPr>
            </w:pPr>
          </w:p>
        </w:tc>
        <w:tc>
          <w:tcPr>
            <w:tcW w:w="1444" w:type="dxa"/>
            <w:gridSpan w:val="3"/>
          </w:tcPr>
          <w:p w:rsidR="003C2110" w:rsidRPr="005F31CD" w:rsidRDefault="003C2110" w:rsidP="00347B2F">
            <w:pPr>
              <w:spacing w:before="20" w:after="20"/>
              <w:jc w:val="center"/>
              <w:rPr>
                <w:b/>
                <w:color w:val="FF0000"/>
                <w:spacing w:val="-4"/>
                <w:sz w:val="20"/>
                <w:szCs w:val="20"/>
              </w:rPr>
            </w:pPr>
          </w:p>
        </w:tc>
      </w:tr>
      <w:tr w:rsidR="003C2110" w:rsidRPr="005F31CD" w:rsidTr="00347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vMerge w:val="restart"/>
            <w:shd w:val="clear" w:color="C0C0C0" w:fill="auto"/>
            <w:vAlign w:val="center"/>
          </w:tcPr>
          <w:p w:rsidR="003C2110" w:rsidRPr="005F31CD" w:rsidRDefault="003C2110" w:rsidP="00347B2F">
            <w:pPr>
              <w:jc w:val="center"/>
              <w:rPr>
                <w:spacing w:val="-4"/>
              </w:rPr>
            </w:pPr>
            <w:r w:rsidRPr="005F31CD">
              <w:rPr>
                <w:b/>
                <w:spacing w:val="-4"/>
                <w:sz w:val="22"/>
              </w:rPr>
              <w:t xml:space="preserve">Rozpočtové prostriedky </w:t>
            </w:r>
            <w:r w:rsidRPr="005F31CD">
              <w:rPr>
                <w:b/>
                <w:spacing w:val="-4"/>
                <w:sz w:val="22"/>
              </w:rPr>
              <w:br/>
              <w:t>OKRUHU 4</w:t>
            </w:r>
            <w:r w:rsidRPr="005F31CD">
              <w:rPr>
                <w:b/>
                <w:spacing w:val="-4"/>
                <w:sz w:val="22"/>
              </w:rPr>
              <w:br/>
            </w:r>
            <w:r w:rsidRPr="005F31CD">
              <w:rPr>
                <w:spacing w:val="-4"/>
                <w:sz w:val="22"/>
              </w:rPr>
              <w:t xml:space="preserve">viacročného finančného rámca </w:t>
            </w:r>
            <w:r w:rsidRPr="005F31CD">
              <w:rPr>
                <w:b/>
                <w:spacing w:val="-4"/>
                <w:sz w:val="22"/>
              </w:rPr>
              <w:t>SPOLU</w:t>
            </w:r>
          </w:p>
        </w:tc>
        <w:tc>
          <w:tcPr>
            <w:tcW w:w="1345" w:type="dxa"/>
            <w:vAlign w:val="center"/>
          </w:tcPr>
          <w:p w:rsidR="003C2110" w:rsidRPr="005F31CD" w:rsidRDefault="003C2110" w:rsidP="00347B2F">
            <w:pPr>
              <w:rPr>
                <w:spacing w:val="-4"/>
              </w:rPr>
            </w:pPr>
            <w:r w:rsidRPr="005F31CD">
              <w:rPr>
                <w:spacing w:val="-4"/>
                <w:sz w:val="18"/>
              </w:rPr>
              <w:t>Záväzky</w:t>
            </w:r>
          </w:p>
        </w:tc>
        <w:tc>
          <w:tcPr>
            <w:tcW w:w="782" w:type="dxa"/>
            <w:gridSpan w:val="2"/>
            <w:vAlign w:val="center"/>
          </w:tcPr>
          <w:p w:rsidR="003C2110" w:rsidRPr="005F31CD" w:rsidRDefault="003C2110" w:rsidP="00347B2F">
            <w:pPr>
              <w:jc w:val="center"/>
              <w:rPr>
                <w:spacing w:val="-4"/>
                <w:sz w:val="14"/>
              </w:rPr>
            </w:pPr>
            <w:r w:rsidRPr="005F31CD">
              <w:rPr>
                <w:spacing w:val="-4"/>
                <w:sz w:val="14"/>
              </w:rPr>
              <w:t>= 4</w:t>
            </w:r>
          </w:p>
        </w:tc>
        <w:tc>
          <w:tcPr>
            <w:tcW w:w="747" w:type="dxa"/>
            <w:gridSpan w:val="2"/>
            <w:vAlign w:val="center"/>
          </w:tcPr>
          <w:p w:rsidR="003C2110" w:rsidRPr="005F31CD" w:rsidRDefault="003C2110" w:rsidP="00347B2F">
            <w:pPr>
              <w:spacing w:before="20" w:after="20"/>
              <w:jc w:val="center"/>
              <w:rPr>
                <w:spacing w:val="-4"/>
                <w:sz w:val="20"/>
                <w:szCs w:val="20"/>
              </w:rPr>
            </w:pPr>
            <w:r w:rsidRPr="005F31CD">
              <w:rPr>
                <w:spacing w:val="-4"/>
                <w:sz w:val="20"/>
              </w:rPr>
              <w:t>0,07</w:t>
            </w:r>
          </w:p>
        </w:tc>
        <w:tc>
          <w:tcPr>
            <w:tcW w:w="709" w:type="dxa"/>
            <w:gridSpan w:val="2"/>
            <w:vAlign w:val="center"/>
          </w:tcPr>
          <w:p w:rsidR="003C2110" w:rsidRPr="005F31CD" w:rsidRDefault="003C2110" w:rsidP="00347B2F">
            <w:pPr>
              <w:spacing w:before="20" w:after="20"/>
              <w:jc w:val="center"/>
              <w:rPr>
                <w:spacing w:val="-4"/>
                <w:sz w:val="20"/>
                <w:szCs w:val="20"/>
              </w:rPr>
            </w:pPr>
            <w:r w:rsidRPr="005F31CD">
              <w:rPr>
                <w:spacing w:val="-4"/>
                <w:sz w:val="20"/>
              </w:rPr>
              <w:t>10</w:t>
            </w:r>
          </w:p>
        </w:tc>
        <w:tc>
          <w:tcPr>
            <w:tcW w:w="850" w:type="dxa"/>
            <w:gridSpan w:val="3"/>
            <w:vAlign w:val="center"/>
          </w:tcPr>
          <w:p w:rsidR="003C2110" w:rsidRPr="005F31CD" w:rsidRDefault="003C2110" w:rsidP="00347B2F">
            <w:pPr>
              <w:spacing w:before="20" w:after="20"/>
              <w:jc w:val="center"/>
              <w:rPr>
                <w:spacing w:val="-4"/>
                <w:sz w:val="20"/>
                <w:szCs w:val="20"/>
              </w:rPr>
            </w:pPr>
          </w:p>
        </w:tc>
        <w:tc>
          <w:tcPr>
            <w:tcW w:w="709" w:type="dxa"/>
            <w:gridSpan w:val="2"/>
            <w:vAlign w:val="center"/>
          </w:tcPr>
          <w:p w:rsidR="003C2110" w:rsidRPr="005F31CD" w:rsidRDefault="003C2110" w:rsidP="00347B2F">
            <w:pPr>
              <w:spacing w:before="20" w:after="20"/>
              <w:jc w:val="center"/>
              <w:rPr>
                <w:spacing w:val="-4"/>
                <w:sz w:val="20"/>
                <w:szCs w:val="20"/>
              </w:rPr>
            </w:pPr>
            <w:r w:rsidRPr="005F31CD">
              <w:rPr>
                <w:spacing w:val="-4"/>
                <w:sz w:val="20"/>
              </w:rPr>
              <w:t>3,3</w:t>
            </w:r>
          </w:p>
        </w:tc>
        <w:tc>
          <w:tcPr>
            <w:tcW w:w="670" w:type="dxa"/>
          </w:tcPr>
          <w:p w:rsidR="003C2110" w:rsidRPr="005F31CD" w:rsidDel="00B039B7" w:rsidRDefault="003C2110" w:rsidP="00347B2F">
            <w:pPr>
              <w:spacing w:before="20" w:after="20"/>
              <w:jc w:val="center"/>
              <w:rPr>
                <w:b/>
                <w:spacing w:val="-4"/>
                <w:sz w:val="20"/>
                <w:szCs w:val="20"/>
              </w:rPr>
            </w:pPr>
          </w:p>
        </w:tc>
        <w:tc>
          <w:tcPr>
            <w:tcW w:w="1444" w:type="dxa"/>
            <w:gridSpan w:val="3"/>
            <w:vAlign w:val="center"/>
          </w:tcPr>
          <w:p w:rsidR="003C2110" w:rsidRPr="005F31CD" w:rsidRDefault="003C2110" w:rsidP="00347B2F">
            <w:pPr>
              <w:spacing w:before="20" w:after="20"/>
              <w:jc w:val="center"/>
              <w:rPr>
                <w:b/>
                <w:spacing w:val="-4"/>
                <w:sz w:val="20"/>
                <w:szCs w:val="20"/>
              </w:rPr>
            </w:pPr>
            <w:r w:rsidRPr="005F31CD">
              <w:rPr>
                <w:b/>
                <w:spacing w:val="-4"/>
                <w:sz w:val="20"/>
              </w:rPr>
              <w:t>13,37</w:t>
            </w:r>
          </w:p>
        </w:tc>
      </w:tr>
      <w:tr w:rsidR="003C2110" w:rsidRPr="005F31CD" w:rsidTr="00347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vMerge/>
            <w:shd w:val="thinDiagStripe" w:color="C0C0C0" w:fill="auto"/>
          </w:tcPr>
          <w:p w:rsidR="003C2110" w:rsidRPr="005F31CD" w:rsidRDefault="003C2110" w:rsidP="00347B2F">
            <w:pPr>
              <w:rPr>
                <w:spacing w:val="-4"/>
                <w:sz w:val="20"/>
              </w:rPr>
            </w:pPr>
          </w:p>
        </w:tc>
        <w:tc>
          <w:tcPr>
            <w:tcW w:w="1345" w:type="dxa"/>
            <w:vAlign w:val="center"/>
          </w:tcPr>
          <w:p w:rsidR="003C2110" w:rsidRPr="005F31CD" w:rsidRDefault="003C2110" w:rsidP="00347B2F">
            <w:pPr>
              <w:rPr>
                <w:spacing w:val="-4"/>
              </w:rPr>
            </w:pPr>
            <w:r w:rsidRPr="005F31CD">
              <w:rPr>
                <w:spacing w:val="-4"/>
                <w:sz w:val="18"/>
              </w:rPr>
              <w:t>Platby</w:t>
            </w:r>
          </w:p>
        </w:tc>
        <w:tc>
          <w:tcPr>
            <w:tcW w:w="782" w:type="dxa"/>
            <w:gridSpan w:val="2"/>
            <w:vAlign w:val="center"/>
          </w:tcPr>
          <w:p w:rsidR="003C2110" w:rsidRPr="005F31CD" w:rsidRDefault="003C2110" w:rsidP="00347B2F">
            <w:pPr>
              <w:jc w:val="center"/>
              <w:rPr>
                <w:spacing w:val="-4"/>
                <w:sz w:val="14"/>
              </w:rPr>
            </w:pPr>
            <w:r w:rsidRPr="005F31CD">
              <w:rPr>
                <w:spacing w:val="-4"/>
                <w:sz w:val="14"/>
              </w:rPr>
              <w:t>= 5</w:t>
            </w:r>
          </w:p>
        </w:tc>
        <w:tc>
          <w:tcPr>
            <w:tcW w:w="747" w:type="dxa"/>
            <w:gridSpan w:val="2"/>
            <w:vAlign w:val="center"/>
          </w:tcPr>
          <w:p w:rsidR="003C2110" w:rsidRPr="005F31CD" w:rsidRDefault="003C2110" w:rsidP="00347B2F">
            <w:pPr>
              <w:spacing w:before="20" w:after="20"/>
              <w:jc w:val="center"/>
              <w:rPr>
                <w:spacing w:val="-4"/>
                <w:sz w:val="20"/>
                <w:szCs w:val="20"/>
              </w:rPr>
            </w:pPr>
            <w:r w:rsidRPr="005F31CD">
              <w:rPr>
                <w:spacing w:val="-4"/>
                <w:sz w:val="20"/>
              </w:rPr>
              <w:t>0,07</w:t>
            </w:r>
          </w:p>
        </w:tc>
        <w:tc>
          <w:tcPr>
            <w:tcW w:w="709" w:type="dxa"/>
            <w:gridSpan w:val="2"/>
            <w:vAlign w:val="center"/>
          </w:tcPr>
          <w:p w:rsidR="003C2110" w:rsidRPr="005F31CD" w:rsidRDefault="003C2110" w:rsidP="00347B2F">
            <w:pPr>
              <w:spacing w:before="20" w:after="20"/>
              <w:jc w:val="center"/>
              <w:rPr>
                <w:spacing w:val="-4"/>
                <w:sz w:val="20"/>
                <w:szCs w:val="20"/>
              </w:rPr>
            </w:pPr>
            <w:r w:rsidRPr="005F31CD">
              <w:rPr>
                <w:spacing w:val="-4"/>
                <w:sz w:val="20"/>
              </w:rPr>
              <w:t>10</w:t>
            </w:r>
          </w:p>
        </w:tc>
        <w:tc>
          <w:tcPr>
            <w:tcW w:w="850" w:type="dxa"/>
            <w:gridSpan w:val="3"/>
            <w:vAlign w:val="center"/>
          </w:tcPr>
          <w:p w:rsidR="003C2110" w:rsidRPr="005F31CD" w:rsidRDefault="003C2110" w:rsidP="00347B2F">
            <w:pPr>
              <w:spacing w:before="20" w:after="20"/>
              <w:jc w:val="center"/>
              <w:rPr>
                <w:spacing w:val="-4"/>
                <w:sz w:val="20"/>
                <w:szCs w:val="20"/>
              </w:rPr>
            </w:pPr>
          </w:p>
        </w:tc>
        <w:tc>
          <w:tcPr>
            <w:tcW w:w="709" w:type="dxa"/>
            <w:gridSpan w:val="2"/>
            <w:vAlign w:val="center"/>
          </w:tcPr>
          <w:p w:rsidR="003C2110" w:rsidRPr="005F31CD" w:rsidRDefault="003C2110" w:rsidP="00347B2F">
            <w:pPr>
              <w:spacing w:before="20" w:after="20"/>
              <w:jc w:val="center"/>
              <w:rPr>
                <w:spacing w:val="-4"/>
                <w:sz w:val="20"/>
                <w:szCs w:val="20"/>
              </w:rPr>
            </w:pPr>
            <w:r w:rsidRPr="005F31CD">
              <w:rPr>
                <w:spacing w:val="-4"/>
                <w:sz w:val="20"/>
              </w:rPr>
              <w:t>3,15</w:t>
            </w:r>
          </w:p>
        </w:tc>
        <w:tc>
          <w:tcPr>
            <w:tcW w:w="670" w:type="dxa"/>
            <w:vAlign w:val="center"/>
          </w:tcPr>
          <w:p w:rsidR="003C2110" w:rsidRPr="005F31CD" w:rsidRDefault="003C2110" w:rsidP="00347B2F">
            <w:pPr>
              <w:spacing w:before="20" w:after="20"/>
              <w:jc w:val="center"/>
              <w:rPr>
                <w:spacing w:val="-4"/>
                <w:sz w:val="20"/>
                <w:szCs w:val="20"/>
              </w:rPr>
            </w:pPr>
            <w:r w:rsidRPr="005F31CD">
              <w:rPr>
                <w:spacing w:val="-4"/>
                <w:sz w:val="20"/>
              </w:rPr>
              <w:t>0,15</w:t>
            </w:r>
          </w:p>
        </w:tc>
        <w:tc>
          <w:tcPr>
            <w:tcW w:w="1444" w:type="dxa"/>
            <w:gridSpan w:val="3"/>
            <w:vAlign w:val="center"/>
          </w:tcPr>
          <w:p w:rsidR="003C2110" w:rsidRPr="005F31CD" w:rsidRDefault="003C2110" w:rsidP="00347B2F">
            <w:pPr>
              <w:spacing w:before="20" w:after="20"/>
              <w:jc w:val="center"/>
              <w:rPr>
                <w:b/>
                <w:spacing w:val="-4"/>
                <w:sz w:val="20"/>
                <w:szCs w:val="20"/>
              </w:rPr>
            </w:pPr>
            <w:r w:rsidRPr="005F31CD">
              <w:rPr>
                <w:b/>
                <w:spacing w:val="-4"/>
                <w:sz w:val="20"/>
              </w:rPr>
              <w:t>13,37</w:t>
            </w:r>
          </w:p>
        </w:tc>
      </w:tr>
    </w:tbl>
    <w:p w:rsidR="003C2110" w:rsidRPr="005F31CD" w:rsidRDefault="003C2110" w:rsidP="003C2110">
      <w:pPr>
        <w:spacing w:after="40"/>
        <w:rPr>
          <w:b/>
          <w:sz w:val="22"/>
          <w:u w:val="single"/>
        </w:rPr>
      </w:pPr>
    </w:p>
    <w:p w:rsidR="003C2110" w:rsidRPr="005F31CD" w:rsidRDefault="003C2110" w:rsidP="003C2110">
      <w:pPr>
        <w:spacing w:before="0" w:after="200" w:line="276" w:lineRule="auto"/>
        <w:jc w:val="left"/>
      </w:pPr>
      <w:r w:rsidRPr="005F31CD">
        <w:br w:type="page"/>
      </w:r>
    </w:p>
    <w:p w:rsidR="003C2110" w:rsidRPr="005F31CD" w:rsidRDefault="003C2110" w:rsidP="003C2110">
      <w:r w:rsidRPr="005F31CD">
        <w:rPr>
          <w:b/>
          <w:sz w:val="22"/>
          <w:u w:val="single"/>
        </w:rPr>
        <w:t>Ak má návrh/iniciatíva vplyv na viaceré okruhy:</w:t>
      </w:r>
    </w:p>
    <w:p w:rsidR="003C2110" w:rsidRPr="005F31CD" w:rsidRDefault="003C2110" w:rsidP="003C2110">
      <w:pPr>
        <w:spacing w:before="240"/>
        <w:jc w:val="right"/>
        <w:rPr>
          <w:sz w:val="20"/>
        </w:rPr>
      </w:pPr>
      <w:r w:rsidRPr="005F31CD">
        <w:rPr>
          <w:sz w:val="20"/>
        </w:rPr>
        <w:t>v mil. EUR (zaokrúhlené na 3 desatinné miesta)</w:t>
      </w:r>
    </w:p>
    <w:tbl>
      <w:tblPr>
        <w:tblW w:w="109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3"/>
        <w:gridCol w:w="1842"/>
        <w:gridCol w:w="851"/>
        <w:gridCol w:w="142"/>
        <w:gridCol w:w="709"/>
        <w:gridCol w:w="142"/>
        <w:gridCol w:w="708"/>
        <w:gridCol w:w="851"/>
        <w:gridCol w:w="993"/>
        <w:gridCol w:w="993"/>
        <w:gridCol w:w="708"/>
      </w:tblGrid>
      <w:tr w:rsidR="003C2110" w:rsidRPr="005F31CD" w:rsidTr="00347B2F">
        <w:tc>
          <w:tcPr>
            <w:tcW w:w="3053" w:type="dxa"/>
            <w:vAlign w:val="center"/>
          </w:tcPr>
          <w:p w:rsidR="003C2110" w:rsidRPr="005F31CD" w:rsidRDefault="003C2110" w:rsidP="00347B2F">
            <w:pPr>
              <w:ind w:left="-174" w:right="-108"/>
              <w:jc w:val="center"/>
            </w:pPr>
            <w:r w:rsidRPr="005F31CD">
              <w:rPr>
                <w:b/>
              </w:rPr>
              <w:t>Okruh viacročného finančného rámca:</w:t>
            </w:r>
          </w:p>
        </w:tc>
        <w:tc>
          <w:tcPr>
            <w:tcW w:w="1842" w:type="dxa"/>
          </w:tcPr>
          <w:p w:rsidR="003C2110" w:rsidRPr="005F31CD" w:rsidRDefault="003C2110" w:rsidP="00347B2F">
            <w:pPr>
              <w:jc w:val="center"/>
              <w:rPr>
                <w:sz w:val="20"/>
              </w:rPr>
            </w:pPr>
            <w:r w:rsidRPr="005F31CD">
              <w:rPr>
                <w:b/>
                <w:sz w:val="20"/>
              </w:rPr>
              <w:br/>
              <w:t>5</w:t>
            </w:r>
          </w:p>
        </w:tc>
        <w:tc>
          <w:tcPr>
            <w:tcW w:w="993" w:type="dxa"/>
            <w:gridSpan w:val="2"/>
          </w:tcPr>
          <w:p w:rsidR="003C2110" w:rsidRPr="005F31CD" w:rsidRDefault="003C2110" w:rsidP="00347B2F">
            <w:pPr>
              <w:jc w:val="center"/>
              <w:rPr>
                <w:sz w:val="22"/>
              </w:rPr>
            </w:pPr>
          </w:p>
        </w:tc>
        <w:tc>
          <w:tcPr>
            <w:tcW w:w="5104" w:type="dxa"/>
            <w:gridSpan w:val="7"/>
            <w:vAlign w:val="center"/>
          </w:tcPr>
          <w:p w:rsidR="003C2110" w:rsidRPr="005F31CD" w:rsidRDefault="003C2110" w:rsidP="00347B2F">
            <w:pPr>
              <w:jc w:val="center"/>
              <w:rPr>
                <w:b/>
                <w:sz w:val="20"/>
              </w:rPr>
            </w:pPr>
            <w:r w:rsidRPr="005F31CD">
              <w:rPr>
                <w:sz w:val="22"/>
              </w:rPr>
              <w:t>„Administratívne výdavky“</w:t>
            </w:r>
          </w:p>
        </w:tc>
      </w:tr>
      <w:tr w:rsidR="003C2110" w:rsidRPr="005F31CD" w:rsidTr="00347B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8" w:type="dxa"/>
        </w:trPr>
        <w:tc>
          <w:tcPr>
            <w:tcW w:w="3053" w:type="dxa"/>
          </w:tcPr>
          <w:p w:rsidR="003C2110" w:rsidRPr="005F31CD" w:rsidRDefault="003C2110" w:rsidP="00347B2F">
            <w:pPr>
              <w:jc w:val="center"/>
            </w:pPr>
          </w:p>
        </w:tc>
        <w:tc>
          <w:tcPr>
            <w:tcW w:w="1842" w:type="dxa"/>
          </w:tcPr>
          <w:p w:rsidR="003C2110" w:rsidRPr="005F31CD" w:rsidRDefault="003C2110" w:rsidP="00347B2F">
            <w:pPr>
              <w:rPr>
                <w:sz w:val="20"/>
              </w:rPr>
            </w:pPr>
          </w:p>
        </w:tc>
        <w:tc>
          <w:tcPr>
            <w:tcW w:w="851" w:type="dxa"/>
          </w:tcPr>
          <w:p w:rsidR="003C2110" w:rsidRPr="005F31CD" w:rsidRDefault="003C2110" w:rsidP="00347B2F">
            <w:pPr>
              <w:jc w:val="center"/>
              <w:rPr>
                <w:sz w:val="20"/>
              </w:rPr>
            </w:pPr>
            <w:r w:rsidRPr="005F31CD">
              <w:rPr>
                <w:sz w:val="20"/>
              </w:rPr>
              <w:t>Rok</w:t>
            </w:r>
            <w:r w:rsidRPr="005F31CD">
              <w:rPr>
                <w:sz w:val="20"/>
              </w:rPr>
              <w:br/>
            </w:r>
            <w:r w:rsidRPr="005F31CD">
              <w:rPr>
                <w:b/>
                <w:sz w:val="20"/>
              </w:rPr>
              <w:t>2017</w:t>
            </w:r>
          </w:p>
        </w:tc>
        <w:tc>
          <w:tcPr>
            <w:tcW w:w="851" w:type="dxa"/>
            <w:gridSpan w:val="2"/>
          </w:tcPr>
          <w:p w:rsidR="003C2110" w:rsidRPr="005F31CD" w:rsidRDefault="003C2110" w:rsidP="00347B2F">
            <w:pPr>
              <w:jc w:val="center"/>
            </w:pPr>
            <w:r w:rsidRPr="005F31CD">
              <w:rPr>
                <w:sz w:val="20"/>
              </w:rPr>
              <w:t>Rok</w:t>
            </w:r>
            <w:r w:rsidRPr="005F31CD">
              <w:rPr>
                <w:sz w:val="20"/>
              </w:rPr>
              <w:br/>
            </w:r>
            <w:r w:rsidRPr="005F31CD">
              <w:rPr>
                <w:b/>
                <w:sz w:val="20"/>
              </w:rPr>
              <w:t>2018</w:t>
            </w:r>
          </w:p>
        </w:tc>
        <w:tc>
          <w:tcPr>
            <w:tcW w:w="850" w:type="dxa"/>
            <w:gridSpan w:val="2"/>
          </w:tcPr>
          <w:p w:rsidR="003C2110" w:rsidRPr="005F31CD" w:rsidRDefault="003C2110" w:rsidP="00347B2F">
            <w:pPr>
              <w:jc w:val="center"/>
            </w:pPr>
            <w:r w:rsidRPr="005F31CD">
              <w:rPr>
                <w:sz w:val="20"/>
              </w:rPr>
              <w:t>Rok</w:t>
            </w:r>
            <w:r w:rsidRPr="005F31CD">
              <w:rPr>
                <w:sz w:val="20"/>
              </w:rPr>
              <w:br/>
            </w:r>
            <w:r w:rsidRPr="005F31CD">
              <w:rPr>
                <w:b/>
                <w:sz w:val="20"/>
              </w:rPr>
              <w:t>2019</w:t>
            </w:r>
          </w:p>
        </w:tc>
        <w:tc>
          <w:tcPr>
            <w:tcW w:w="851" w:type="dxa"/>
          </w:tcPr>
          <w:p w:rsidR="003C2110" w:rsidRPr="005F31CD" w:rsidRDefault="003C2110" w:rsidP="00347B2F">
            <w:pPr>
              <w:jc w:val="center"/>
              <w:rPr>
                <w:b/>
                <w:sz w:val="20"/>
              </w:rPr>
            </w:pPr>
            <w:r w:rsidRPr="005F31CD">
              <w:rPr>
                <w:sz w:val="20"/>
              </w:rPr>
              <w:t>Rok</w:t>
            </w:r>
            <w:r w:rsidRPr="005F31CD">
              <w:rPr>
                <w:sz w:val="20"/>
              </w:rPr>
              <w:br/>
            </w:r>
            <w:r w:rsidRPr="005F31CD">
              <w:rPr>
                <w:b/>
                <w:sz w:val="20"/>
              </w:rPr>
              <w:t>2020</w:t>
            </w:r>
          </w:p>
        </w:tc>
        <w:tc>
          <w:tcPr>
            <w:tcW w:w="993" w:type="dxa"/>
          </w:tcPr>
          <w:p w:rsidR="003C2110" w:rsidRPr="005F31CD" w:rsidRDefault="003C2110" w:rsidP="00347B2F">
            <w:pPr>
              <w:jc w:val="center"/>
              <w:rPr>
                <w:b/>
                <w:sz w:val="20"/>
              </w:rPr>
            </w:pPr>
            <w:r w:rsidRPr="005F31CD">
              <w:rPr>
                <w:sz w:val="20"/>
              </w:rPr>
              <w:t>Rok</w:t>
            </w:r>
            <w:r w:rsidRPr="005F31CD">
              <w:rPr>
                <w:b/>
                <w:sz w:val="20"/>
              </w:rPr>
              <w:br/>
              <w:t>2021</w:t>
            </w:r>
          </w:p>
        </w:tc>
        <w:tc>
          <w:tcPr>
            <w:tcW w:w="993" w:type="dxa"/>
          </w:tcPr>
          <w:p w:rsidR="003C2110" w:rsidRPr="005F31CD" w:rsidRDefault="003C2110" w:rsidP="00347B2F">
            <w:pPr>
              <w:jc w:val="center"/>
              <w:rPr>
                <w:b/>
                <w:sz w:val="20"/>
              </w:rPr>
            </w:pPr>
            <w:r w:rsidRPr="005F31CD">
              <w:rPr>
                <w:b/>
                <w:sz w:val="20"/>
              </w:rPr>
              <w:t>SPOLU</w:t>
            </w:r>
          </w:p>
        </w:tc>
      </w:tr>
      <w:tr w:rsidR="003C2110" w:rsidRPr="005F31CD" w:rsidTr="00347B2F">
        <w:trPr>
          <w:gridAfter w:val="5"/>
          <w:wAfter w:w="4253" w:type="dxa"/>
        </w:trPr>
        <w:tc>
          <w:tcPr>
            <w:tcW w:w="3053" w:type="dxa"/>
            <w:vAlign w:val="center"/>
          </w:tcPr>
          <w:p w:rsidR="003C2110" w:rsidRPr="005F31CD" w:rsidRDefault="003C2110" w:rsidP="00347B2F">
            <w:pPr>
              <w:spacing w:before="60" w:after="60"/>
              <w:jc w:val="center"/>
            </w:pPr>
            <w:r w:rsidRPr="005F31CD">
              <w:rPr>
                <w:sz w:val="22"/>
              </w:rPr>
              <w:t>GR: GR pre hospodárske</w:t>
            </w:r>
            <w:r w:rsidR="005F31CD">
              <w:rPr>
                <w:sz w:val="22"/>
              </w:rPr>
              <w:t xml:space="preserve"> a </w:t>
            </w:r>
            <w:r w:rsidRPr="005F31CD">
              <w:rPr>
                <w:sz w:val="22"/>
              </w:rPr>
              <w:t>finančné záležitosti</w:t>
            </w:r>
          </w:p>
        </w:tc>
        <w:tc>
          <w:tcPr>
            <w:tcW w:w="2693" w:type="dxa"/>
            <w:gridSpan w:val="2"/>
            <w:tcBorders>
              <w:top w:val="nil"/>
              <w:right w:val="nil"/>
            </w:tcBorders>
          </w:tcPr>
          <w:p w:rsidR="003C2110" w:rsidRPr="005F31CD" w:rsidRDefault="003C2110" w:rsidP="00347B2F">
            <w:pPr>
              <w:spacing w:before="60" w:after="60"/>
              <w:jc w:val="center"/>
            </w:pPr>
          </w:p>
        </w:tc>
        <w:tc>
          <w:tcPr>
            <w:tcW w:w="993" w:type="dxa"/>
            <w:gridSpan w:val="3"/>
            <w:tcBorders>
              <w:top w:val="nil"/>
              <w:right w:val="nil"/>
            </w:tcBorders>
          </w:tcPr>
          <w:p w:rsidR="003C2110" w:rsidRPr="005F31CD" w:rsidRDefault="003C2110" w:rsidP="00347B2F">
            <w:pPr>
              <w:spacing w:before="60" w:after="60"/>
              <w:jc w:val="center"/>
            </w:pPr>
          </w:p>
        </w:tc>
      </w:tr>
      <w:tr w:rsidR="003C2110" w:rsidRPr="005F31CD" w:rsidTr="00347B2F">
        <w:trPr>
          <w:gridAfter w:val="1"/>
          <w:wAfter w:w="708" w:type="dxa"/>
          <w:trHeight w:val="313"/>
        </w:trPr>
        <w:tc>
          <w:tcPr>
            <w:tcW w:w="4895" w:type="dxa"/>
            <w:gridSpan w:val="2"/>
            <w:vAlign w:val="center"/>
          </w:tcPr>
          <w:p w:rsidR="003C2110" w:rsidRPr="005F31CD" w:rsidRDefault="003C2110" w:rsidP="00347B2F">
            <w:pPr>
              <w:spacing w:before="20" w:after="20"/>
            </w:pPr>
            <w:r w:rsidRPr="005F31CD">
              <w:rPr>
                <w:sz w:val="22"/>
              </w:rPr>
              <w:sym w:font="Wingdings" w:char="F09F"/>
            </w:r>
            <w:r w:rsidRPr="005F31CD">
              <w:rPr>
                <w:sz w:val="22"/>
              </w:rPr>
              <w:t xml:space="preserve"> Ľudské zdroje</w:t>
            </w:r>
          </w:p>
        </w:tc>
        <w:tc>
          <w:tcPr>
            <w:tcW w:w="851" w:type="dxa"/>
            <w:vAlign w:val="center"/>
          </w:tcPr>
          <w:p w:rsidR="003C2110" w:rsidRPr="005F31CD" w:rsidRDefault="003C2110" w:rsidP="00347B2F">
            <w:pPr>
              <w:spacing w:before="60" w:after="60" w:line="200" w:lineRule="exact"/>
              <w:jc w:val="center"/>
              <w:rPr>
                <w:sz w:val="20"/>
                <w:szCs w:val="20"/>
              </w:rPr>
            </w:pPr>
            <w:r w:rsidRPr="005F31CD">
              <w:rPr>
                <w:sz w:val="20"/>
              </w:rPr>
              <w:t>0,041</w:t>
            </w:r>
          </w:p>
        </w:tc>
        <w:tc>
          <w:tcPr>
            <w:tcW w:w="851" w:type="dxa"/>
            <w:gridSpan w:val="2"/>
            <w:vAlign w:val="center"/>
          </w:tcPr>
          <w:p w:rsidR="003C2110" w:rsidRPr="005F31CD" w:rsidRDefault="003C2110" w:rsidP="00347B2F">
            <w:pPr>
              <w:spacing w:before="60" w:after="60" w:line="200" w:lineRule="exact"/>
              <w:jc w:val="center"/>
              <w:rPr>
                <w:sz w:val="20"/>
                <w:szCs w:val="20"/>
              </w:rPr>
            </w:pPr>
            <w:r w:rsidRPr="005F31CD">
              <w:rPr>
                <w:sz w:val="20"/>
              </w:rPr>
              <w:t>0,058</w:t>
            </w:r>
          </w:p>
        </w:tc>
        <w:tc>
          <w:tcPr>
            <w:tcW w:w="850" w:type="dxa"/>
            <w:gridSpan w:val="2"/>
            <w:vAlign w:val="center"/>
          </w:tcPr>
          <w:p w:rsidR="003C2110" w:rsidRPr="005F31CD" w:rsidRDefault="003C2110" w:rsidP="00347B2F">
            <w:pPr>
              <w:spacing w:before="60" w:after="60" w:line="200" w:lineRule="exact"/>
              <w:jc w:val="center"/>
              <w:rPr>
                <w:sz w:val="20"/>
                <w:szCs w:val="20"/>
              </w:rPr>
            </w:pPr>
            <w:r w:rsidRPr="005F31CD">
              <w:rPr>
                <w:sz w:val="20"/>
              </w:rPr>
              <w:t>0,006</w:t>
            </w:r>
          </w:p>
        </w:tc>
        <w:tc>
          <w:tcPr>
            <w:tcW w:w="851" w:type="dxa"/>
            <w:vAlign w:val="center"/>
          </w:tcPr>
          <w:p w:rsidR="003C2110" w:rsidRPr="005F31CD" w:rsidRDefault="003C2110" w:rsidP="00347B2F">
            <w:pPr>
              <w:spacing w:before="60" w:after="60" w:line="200" w:lineRule="exact"/>
              <w:jc w:val="center"/>
              <w:rPr>
                <w:sz w:val="20"/>
                <w:szCs w:val="20"/>
              </w:rPr>
            </w:pPr>
            <w:r w:rsidRPr="005F31CD">
              <w:rPr>
                <w:sz w:val="20"/>
              </w:rPr>
              <w:t>0,010</w:t>
            </w:r>
          </w:p>
        </w:tc>
        <w:tc>
          <w:tcPr>
            <w:tcW w:w="993" w:type="dxa"/>
            <w:vAlign w:val="center"/>
          </w:tcPr>
          <w:p w:rsidR="003C2110" w:rsidRPr="005F31CD" w:rsidRDefault="003C2110" w:rsidP="00347B2F">
            <w:pPr>
              <w:spacing w:before="20" w:after="20"/>
              <w:jc w:val="center"/>
              <w:rPr>
                <w:sz w:val="20"/>
                <w:szCs w:val="20"/>
              </w:rPr>
            </w:pPr>
            <w:r w:rsidRPr="005F31CD">
              <w:rPr>
                <w:sz w:val="20"/>
              </w:rPr>
              <w:t>0,010</w:t>
            </w:r>
          </w:p>
        </w:tc>
        <w:tc>
          <w:tcPr>
            <w:tcW w:w="993" w:type="dxa"/>
            <w:vAlign w:val="center"/>
          </w:tcPr>
          <w:p w:rsidR="003C2110" w:rsidRPr="005F31CD" w:rsidRDefault="003C2110" w:rsidP="00347B2F">
            <w:pPr>
              <w:spacing w:before="20" w:after="20"/>
              <w:jc w:val="center"/>
              <w:rPr>
                <w:b/>
                <w:sz w:val="20"/>
                <w:szCs w:val="20"/>
              </w:rPr>
            </w:pPr>
            <w:r w:rsidRPr="005F31CD">
              <w:rPr>
                <w:b/>
                <w:sz w:val="20"/>
              </w:rPr>
              <w:t>0,125</w:t>
            </w:r>
          </w:p>
        </w:tc>
      </w:tr>
      <w:tr w:rsidR="003C2110" w:rsidRPr="005F31CD" w:rsidTr="00347B2F">
        <w:trPr>
          <w:gridAfter w:val="1"/>
          <w:wAfter w:w="708" w:type="dxa"/>
          <w:trHeight w:val="351"/>
        </w:trPr>
        <w:tc>
          <w:tcPr>
            <w:tcW w:w="4895" w:type="dxa"/>
            <w:gridSpan w:val="2"/>
            <w:vAlign w:val="center"/>
          </w:tcPr>
          <w:p w:rsidR="003C2110" w:rsidRPr="005F31CD" w:rsidRDefault="003C2110" w:rsidP="00347B2F">
            <w:pPr>
              <w:spacing w:before="20" w:after="20"/>
            </w:pPr>
            <w:r w:rsidRPr="005F31CD">
              <w:rPr>
                <w:sz w:val="22"/>
              </w:rPr>
              <w:sym w:font="Wingdings" w:char="F09F"/>
            </w:r>
            <w:r w:rsidRPr="005F31CD">
              <w:rPr>
                <w:sz w:val="22"/>
              </w:rPr>
              <w:t xml:space="preserve"> Ostatné administratívne výdavky</w:t>
            </w:r>
          </w:p>
        </w:tc>
        <w:tc>
          <w:tcPr>
            <w:tcW w:w="851" w:type="dxa"/>
            <w:vAlign w:val="center"/>
          </w:tcPr>
          <w:p w:rsidR="003C2110" w:rsidRPr="005F31CD" w:rsidRDefault="003C2110" w:rsidP="00347B2F">
            <w:pPr>
              <w:spacing w:before="20" w:after="20"/>
              <w:jc w:val="center"/>
              <w:rPr>
                <w:sz w:val="20"/>
                <w:szCs w:val="20"/>
              </w:rPr>
            </w:pPr>
            <w:r w:rsidRPr="005F31CD">
              <w:rPr>
                <w:sz w:val="20"/>
              </w:rPr>
              <w:t>0,010</w:t>
            </w:r>
          </w:p>
        </w:tc>
        <w:tc>
          <w:tcPr>
            <w:tcW w:w="851" w:type="dxa"/>
            <w:gridSpan w:val="2"/>
            <w:vAlign w:val="center"/>
          </w:tcPr>
          <w:p w:rsidR="003C2110" w:rsidRPr="005F31CD" w:rsidRDefault="003C2110" w:rsidP="00347B2F">
            <w:pPr>
              <w:spacing w:before="20" w:after="20"/>
              <w:jc w:val="center"/>
              <w:rPr>
                <w:sz w:val="20"/>
                <w:szCs w:val="20"/>
              </w:rPr>
            </w:pPr>
            <w:r w:rsidRPr="005F31CD">
              <w:rPr>
                <w:sz w:val="20"/>
              </w:rPr>
              <w:t>0,020</w:t>
            </w:r>
          </w:p>
        </w:tc>
        <w:tc>
          <w:tcPr>
            <w:tcW w:w="850" w:type="dxa"/>
            <w:gridSpan w:val="2"/>
            <w:vAlign w:val="center"/>
          </w:tcPr>
          <w:p w:rsidR="003C2110" w:rsidRPr="005F31CD" w:rsidRDefault="003C2110" w:rsidP="00347B2F">
            <w:pPr>
              <w:spacing w:before="20" w:after="20"/>
              <w:jc w:val="center"/>
              <w:rPr>
                <w:sz w:val="20"/>
                <w:szCs w:val="20"/>
              </w:rPr>
            </w:pPr>
          </w:p>
        </w:tc>
        <w:tc>
          <w:tcPr>
            <w:tcW w:w="851" w:type="dxa"/>
            <w:vAlign w:val="center"/>
          </w:tcPr>
          <w:p w:rsidR="003C2110" w:rsidRPr="005F31CD" w:rsidRDefault="003C2110" w:rsidP="00347B2F">
            <w:pPr>
              <w:spacing w:before="20" w:after="20"/>
              <w:jc w:val="center"/>
              <w:rPr>
                <w:b/>
                <w:sz w:val="20"/>
                <w:szCs w:val="20"/>
              </w:rPr>
            </w:pPr>
          </w:p>
        </w:tc>
        <w:tc>
          <w:tcPr>
            <w:tcW w:w="993" w:type="dxa"/>
            <w:vAlign w:val="center"/>
          </w:tcPr>
          <w:p w:rsidR="003C2110" w:rsidRPr="005F31CD" w:rsidRDefault="003C2110" w:rsidP="00347B2F">
            <w:pPr>
              <w:spacing w:before="20" w:after="20"/>
              <w:jc w:val="center"/>
              <w:rPr>
                <w:sz w:val="20"/>
                <w:szCs w:val="20"/>
              </w:rPr>
            </w:pPr>
          </w:p>
        </w:tc>
        <w:tc>
          <w:tcPr>
            <w:tcW w:w="993" w:type="dxa"/>
            <w:vAlign w:val="center"/>
          </w:tcPr>
          <w:p w:rsidR="003C2110" w:rsidRPr="005F31CD" w:rsidRDefault="003C2110" w:rsidP="00347B2F">
            <w:pPr>
              <w:spacing w:before="20" w:after="20"/>
              <w:jc w:val="center"/>
              <w:rPr>
                <w:b/>
                <w:sz w:val="20"/>
                <w:szCs w:val="20"/>
              </w:rPr>
            </w:pPr>
            <w:r w:rsidRPr="005F31CD">
              <w:rPr>
                <w:b/>
                <w:sz w:val="20"/>
              </w:rPr>
              <w:t>0,030</w:t>
            </w:r>
          </w:p>
        </w:tc>
      </w:tr>
      <w:tr w:rsidR="003C2110" w:rsidRPr="005F31CD" w:rsidTr="00347B2F">
        <w:trPr>
          <w:gridAfter w:val="1"/>
          <w:wAfter w:w="708" w:type="dxa"/>
        </w:trPr>
        <w:tc>
          <w:tcPr>
            <w:tcW w:w="3053" w:type="dxa"/>
            <w:vAlign w:val="center"/>
          </w:tcPr>
          <w:p w:rsidR="003C2110" w:rsidRPr="005F31CD" w:rsidRDefault="003C2110" w:rsidP="00347B2F">
            <w:pPr>
              <w:jc w:val="center"/>
              <w:rPr>
                <w:b/>
              </w:rPr>
            </w:pPr>
            <w:r w:rsidRPr="005F31CD">
              <w:rPr>
                <w:b/>
              </w:rPr>
              <w:t>GR</w:t>
            </w:r>
            <w:r w:rsidRPr="005F31CD">
              <w:t xml:space="preserve"> pre hospodárske</w:t>
            </w:r>
            <w:r w:rsidR="005F31CD">
              <w:t xml:space="preserve"> a </w:t>
            </w:r>
            <w:r w:rsidRPr="005F31CD">
              <w:t xml:space="preserve">finančné záležitosti </w:t>
            </w:r>
            <w:r w:rsidRPr="005F31CD">
              <w:rPr>
                <w:b/>
              </w:rPr>
              <w:t>SPOLU</w:t>
            </w:r>
          </w:p>
        </w:tc>
        <w:tc>
          <w:tcPr>
            <w:tcW w:w="1842" w:type="dxa"/>
            <w:vAlign w:val="center"/>
          </w:tcPr>
          <w:p w:rsidR="003C2110" w:rsidRPr="005F31CD" w:rsidRDefault="003C2110" w:rsidP="00347B2F">
            <w:r w:rsidRPr="005F31CD">
              <w:rPr>
                <w:sz w:val="18"/>
              </w:rPr>
              <w:t xml:space="preserve">Rozpočtové prostriedky </w:t>
            </w:r>
          </w:p>
        </w:tc>
        <w:tc>
          <w:tcPr>
            <w:tcW w:w="851" w:type="dxa"/>
            <w:vAlign w:val="center"/>
          </w:tcPr>
          <w:p w:rsidR="003C2110" w:rsidRPr="005F31CD" w:rsidRDefault="003C2110" w:rsidP="00347B2F">
            <w:pPr>
              <w:spacing w:before="60" w:after="60" w:line="200" w:lineRule="exact"/>
              <w:jc w:val="center"/>
              <w:rPr>
                <w:sz w:val="20"/>
                <w:szCs w:val="20"/>
              </w:rPr>
            </w:pPr>
            <w:r w:rsidRPr="005F31CD">
              <w:rPr>
                <w:sz w:val="20"/>
              </w:rPr>
              <w:t>0,051</w:t>
            </w:r>
          </w:p>
        </w:tc>
        <w:tc>
          <w:tcPr>
            <w:tcW w:w="851" w:type="dxa"/>
            <w:gridSpan w:val="2"/>
            <w:vAlign w:val="center"/>
          </w:tcPr>
          <w:p w:rsidR="003C2110" w:rsidRPr="005F31CD" w:rsidRDefault="003C2110" w:rsidP="00347B2F">
            <w:pPr>
              <w:spacing w:before="60" w:after="60" w:line="200" w:lineRule="exact"/>
              <w:jc w:val="center"/>
              <w:rPr>
                <w:sz w:val="20"/>
                <w:szCs w:val="20"/>
              </w:rPr>
            </w:pPr>
            <w:r w:rsidRPr="005F31CD">
              <w:rPr>
                <w:sz w:val="20"/>
              </w:rPr>
              <w:t>0,078</w:t>
            </w:r>
          </w:p>
        </w:tc>
        <w:tc>
          <w:tcPr>
            <w:tcW w:w="850" w:type="dxa"/>
            <w:gridSpan w:val="2"/>
            <w:vAlign w:val="center"/>
          </w:tcPr>
          <w:p w:rsidR="003C2110" w:rsidRPr="005F31CD" w:rsidRDefault="003C2110" w:rsidP="00347B2F">
            <w:pPr>
              <w:spacing w:before="60" w:after="60" w:line="200" w:lineRule="exact"/>
              <w:jc w:val="center"/>
              <w:rPr>
                <w:sz w:val="20"/>
                <w:szCs w:val="20"/>
              </w:rPr>
            </w:pPr>
            <w:r w:rsidRPr="005F31CD">
              <w:rPr>
                <w:sz w:val="20"/>
              </w:rPr>
              <w:t>0,006</w:t>
            </w:r>
          </w:p>
        </w:tc>
        <w:tc>
          <w:tcPr>
            <w:tcW w:w="851" w:type="dxa"/>
            <w:vAlign w:val="center"/>
          </w:tcPr>
          <w:p w:rsidR="003C2110" w:rsidRPr="005F31CD" w:rsidRDefault="003C2110" w:rsidP="00347B2F">
            <w:pPr>
              <w:spacing w:before="60" w:after="60" w:line="200" w:lineRule="exact"/>
              <w:jc w:val="center"/>
              <w:rPr>
                <w:sz w:val="20"/>
                <w:szCs w:val="20"/>
              </w:rPr>
            </w:pPr>
            <w:r w:rsidRPr="005F31CD">
              <w:rPr>
                <w:sz w:val="20"/>
              </w:rPr>
              <w:t>0,010</w:t>
            </w:r>
          </w:p>
        </w:tc>
        <w:tc>
          <w:tcPr>
            <w:tcW w:w="993" w:type="dxa"/>
            <w:vAlign w:val="center"/>
          </w:tcPr>
          <w:p w:rsidR="003C2110" w:rsidRPr="005F31CD" w:rsidRDefault="003C2110" w:rsidP="00347B2F">
            <w:pPr>
              <w:spacing w:before="20" w:after="20"/>
              <w:jc w:val="center"/>
              <w:rPr>
                <w:sz w:val="20"/>
                <w:szCs w:val="20"/>
              </w:rPr>
            </w:pPr>
            <w:r w:rsidRPr="005F31CD">
              <w:rPr>
                <w:sz w:val="20"/>
              </w:rPr>
              <w:t>0,010</w:t>
            </w:r>
          </w:p>
        </w:tc>
        <w:tc>
          <w:tcPr>
            <w:tcW w:w="993" w:type="dxa"/>
            <w:vAlign w:val="center"/>
          </w:tcPr>
          <w:p w:rsidR="003C2110" w:rsidRPr="005F31CD" w:rsidRDefault="003C2110" w:rsidP="00347B2F">
            <w:pPr>
              <w:spacing w:before="20" w:after="20"/>
              <w:jc w:val="center"/>
              <w:rPr>
                <w:b/>
                <w:sz w:val="20"/>
                <w:szCs w:val="20"/>
              </w:rPr>
            </w:pPr>
            <w:r w:rsidRPr="005F31CD">
              <w:rPr>
                <w:b/>
                <w:sz w:val="20"/>
              </w:rPr>
              <w:t>0,155</w:t>
            </w:r>
          </w:p>
        </w:tc>
      </w:tr>
      <w:tr w:rsidR="003C2110" w:rsidRPr="005F31CD" w:rsidTr="00347B2F">
        <w:trPr>
          <w:gridAfter w:val="1"/>
          <w:wAfter w:w="708" w:type="dxa"/>
        </w:trPr>
        <w:tc>
          <w:tcPr>
            <w:tcW w:w="3053" w:type="dxa"/>
            <w:shd w:val="clear" w:color="C0C0C0" w:fill="auto"/>
            <w:vAlign w:val="center"/>
          </w:tcPr>
          <w:p w:rsidR="003C2110" w:rsidRPr="005F31CD" w:rsidRDefault="003C2110" w:rsidP="00347B2F">
            <w:pPr>
              <w:jc w:val="center"/>
            </w:pPr>
            <w:r w:rsidRPr="005F31CD">
              <w:rPr>
                <w:b/>
                <w:sz w:val="22"/>
              </w:rPr>
              <w:t>Rozpočtové prostriedky</w:t>
            </w:r>
            <w:r w:rsidRPr="005F31CD">
              <w:rPr>
                <w:b/>
                <w:sz w:val="22"/>
              </w:rPr>
              <w:br/>
              <w:t>OKRUHU 5</w:t>
            </w:r>
            <w:r w:rsidRPr="005F31CD">
              <w:rPr>
                <w:b/>
                <w:sz w:val="22"/>
              </w:rPr>
              <w:br/>
            </w:r>
            <w:r w:rsidRPr="005F31CD">
              <w:rPr>
                <w:sz w:val="22"/>
              </w:rPr>
              <w:t xml:space="preserve">viacročného finančného rámca </w:t>
            </w:r>
            <w:r w:rsidRPr="005F31CD">
              <w:rPr>
                <w:b/>
                <w:sz w:val="22"/>
              </w:rPr>
              <w:t xml:space="preserve">SPOLU </w:t>
            </w:r>
          </w:p>
        </w:tc>
        <w:tc>
          <w:tcPr>
            <w:tcW w:w="1842" w:type="dxa"/>
            <w:vAlign w:val="center"/>
          </w:tcPr>
          <w:p w:rsidR="003C2110" w:rsidRPr="005F31CD" w:rsidRDefault="003C2110" w:rsidP="00347B2F">
            <w:pPr>
              <w:spacing w:before="40" w:after="40"/>
            </w:pPr>
            <w:r w:rsidRPr="005F31CD">
              <w:rPr>
                <w:sz w:val="18"/>
              </w:rPr>
              <w:t>(Záväzky spolu = Platby spolu)</w:t>
            </w:r>
          </w:p>
        </w:tc>
        <w:tc>
          <w:tcPr>
            <w:tcW w:w="851" w:type="dxa"/>
            <w:vAlign w:val="center"/>
          </w:tcPr>
          <w:p w:rsidR="003C2110" w:rsidRPr="005F31CD" w:rsidRDefault="003C2110" w:rsidP="00347B2F">
            <w:pPr>
              <w:spacing w:before="60" w:after="60" w:line="200" w:lineRule="exact"/>
              <w:jc w:val="center"/>
              <w:rPr>
                <w:sz w:val="20"/>
                <w:szCs w:val="20"/>
              </w:rPr>
            </w:pPr>
            <w:r w:rsidRPr="005F31CD">
              <w:rPr>
                <w:sz w:val="20"/>
              </w:rPr>
              <w:t>0,051</w:t>
            </w:r>
          </w:p>
        </w:tc>
        <w:tc>
          <w:tcPr>
            <w:tcW w:w="851" w:type="dxa"/>
            <w:gridSpan w:val="2"/>
            <w:vAlign w:val="center"/>
          </w:tcPr>
          <w:p w:rsidR="003C2110" w:rsidRPr="005F31CD" w:rsidRDefault="003C2110" w:rsidP="00347B2F">
            <w:pPr>
              <w:spacing w:before="60" w:after="60" w:line="200" w:lineRule="exact"/>
              <w:jc w:val="center"/>
              <w:rPr>
                <w:sz w:val="20"/>
                <w:szCs w:val="20"/>
              </w:rPr>
            </w:pPr>
            <w:r w:rsidRPr="005F31CD">
              <w:rPr>
                <w:sz w:val="20"/>
              </w:rPr>
              <w:t>0,078</w:t>
            </w:r>
          </w:p>
        </w:tc>
        <w:tc>
          <w:tcPr>
            <w:tcW w:w="850" w:type="dxa"/>
            <w:gridSpan w:val="2"/>
            <w:vAlign w:val="center"/>
          </w:tcPr>
          <w:p w:rsidR="003C2110" w:rsidRPr="005F31CD" w:rsidRDefault="003C2110" w:rsidP="00347B2F">
            <w:pPr>
              <w:spacing w:before="60" w:after="60" w:line="200" w:lineRule="exact"/>
              <w:jc w:val="center"/>
              <w:rPr>
                <w:sz w:val="20"/>
                <w:szCs w:val="20"/>
              </w:rPr>
            </w:pPr>
            <w:r w:rsidRPr="005F31CD">
              <w:rPr>
                <w:sz w:val="20"/>
              </w:rPr>
              <w:t>0,006</w:t>
            </w:r>
          </w:p>
        </w:tc>
        <w:tc>
          <w:tcPr>
            <w:tcW w:w="851" w:type="dxa"/>
            <w:vAlign w:val="center"/>
          </w:tcPr>
          <w:p w:rsidR="003C2110" w:rsidRPr="005F31CD" w:rsidRDefault="003C2110" w:rsidP="00347B2F">
            <w:pPr>
              <w:spacing w:before="60" w:after="60" w:line="200" w:lineRule="exact"/>
              <w:jc w:val="center"/>
              <w:rPr>
                <w:sz w:val="20"/>
                <w:szCs w:val="20"/>
              </w:rPr>
            </w:pPr>
            <w:r w:rsidRPr="005F31CD">
              <w:rPr>
                <w:sz w:val="20"/>
              </w:rPr>
              <w:t>0,010</w:t>
            </w:r>
          </w:p>
        </w:tc>
        <w:tc>
          <w:tcPr>
            <w:tcW w:w="993" w:type="dxa"/>
            <w:vAlign w:val="center"/>
          </w:tcPr>
          <w:p w:rsidR="003C2110" w:rsidRPr="005F31CD" w:rsidRDefault="003C2110" w:rsidP="00347B2F">
            <w:pPr>
              <w:spacing w:before="60" w:after="60" w:line="200" w:lineRule="exact"/>
              <w:jc w:val="center"/>
              <w:rPr>
                <w:sz w:val="20"/>
                <w:szCs w:val="20"/>
              </w:rPr>
            </w:pPr>
            <w:r w:rsidRPr="005F31CD">
              <w:rPr>
                <w:sz w:val="20"/>
              </w:rPr>
              <w:t>0,010</w:t>
            </w:r>
          </w:p>
        </w:tc>
        <w:tc>
          <w:tcPr>
            <w:tcW w:w="993" w:type="dxa"/>
            <w:vAlign w:val="center"/>
          </w:tcPr>
          <w:p w:rsidR="003C2110" w:rsidRPr="005F31CD" w:rsidRDefault="003C2110" w:rsidP="00347B2F">
            <w:pPr>
              <w:spacing w:before="60" w:after="60" w:line="200" w:lineRule="exact"/>
              <w:jc w:val="center"/>
              <w:rPr>
                <w:sz w:val="20"/>
                <w:szCs w:val="20"/>
              </w:rPr>
            </w:pPr>
            <w:r w:rsidRPr="005F31CD">
              <w:rPr>
                <w:sz w:val="20"/>
              </w:rPr>
              <w:t>0,155</w:t>
            </w:r>
          </w:p>
        </w:tc>
      </w:tr>
    </w:tbl>
    <w:p w:rsidR="003C2110" w:rsidRPr="005F31CD" w:rsidRDefault="003C2110" w:rsidP="003C2110">
      <w:pPr>
        <w:spacing w:before="240"/>
        <w:jc w:val="right"/>
        <w:rPr>
          <w:sz w:val="20"/>
        </w:rPr>
      </w:pPr>
      <w:r w:rsidRPr="005F31CD">
        <w:rPr>
          <w:sz w:val="20"/>
        </w:rPr>
        <w:t>v mil. EUR (zaokrúhlené na 3 desatinné miesta)</w:t>
      </w:r>
    </w:p>
    <w:tbl>
      <w:tblPr>
        <w:tblW w:w="1028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1842"/>
        <w:gridCol w:w="993"/>
        <w:gridCol w:w="851"/>
        <w:gridCol w:w="851"/>
        <w:gridCol w:w="850"/>
        <w:gridCol w:w="851"/>
        <w:gridCol w:w="992"/>
      </w:tblGrid>
      <w:tr w:rsidR="003C2110" w:rsidRPr="005F31CD" w:rsidTr="00347B2F">
        <w:tc>
          <w:tcPr>
            <w:tcW w:w="3054" w:type="dxa"/>
            <w:tcBorders>
              <w:top w:val="nil"/>
              <w:left w:val="nil"/>
              <w:right w:val="nil"/>
            </w:tcBorders>
            <w:vAlign w:val="center"/>
          </w:tcPr>
          <w:p w:rsidR="003C2110" w:rsidRPr="005F31CD" w:rsidRDefault="003C2110" w:rsidP="00347B2F">
            <w:pPr>
              <w:jc w:val="center"/>
            </w:pPr>
          </w:p>
        </w:tc>
        <w:tc>
          <w:tcPr>
            <w:tcW w:w="1842" w:type="dxa"/>
            <w:tcBorders>
              <w:top w:val="nil"/>
              <w:left w:val="nil"/>
            </w:tcBorders>
          </w:tcPr>
          <w:p w:rsidR="003C2110" w:rsidRPr="005F31CD" w:rsidRDefault="003C2110" w:rsidP="00347B2F">
            <w:pPr>
              <w:rPr>
                <w:sz w:val="20"/>
              </w:rPr>
            </w:pPr>
          </w:p>
        </w:tc>
        <w:tc>
          <w:tcPr>
            <w:tcW w:w="993" w:type="dxa"/>
          </w:tcPr>
          <w:p w:rsidR="003C2110" w:rsidRPr="005F31CD" w:rsidRDefault="003C2110" w:rsidP="00347B2F">
            <w:pPr>
              <w:jc w:val="center"/>
            </w:pPr>
            <w:r w:rsidRPr="005F31CD">
              <w:rPr>
                <w:sz w:val="20"/>
              </w:rPr>
              <w:t>Rok</w:t>
            </w:r>
            <w:r w:rsidRPr="005F31CD">
              <w:rPr>
                <w:sz w:val="20"/>
              </w:rPr>
              <w:br/>
            </w:r>
            <w:r w:rsidRPr="005F31CD">
              <w:rPr>
                <w:b/>
                <w:sz w:val="20"/>
              </w:rPr>
              <w:t>2017</w:t>
            </w:r>
          </w:p>
        </w:tc>
        <w:tc>
          <w:tcPr>
            <w:tcW w:w="851" w:type="dxa"/>
          </w:tcPr>
          <w:p w:rsidR="003C2110" w:rsidRPr="005F31CD" w:rsidRDefault="003C2110" w:rsidP="00347B2F">
            <w:pPr>
              <w:jc w:val="center"/>
              <w:rPr>
                <w:sz w:val="20"/>
              </w:rPr>
            </w:pPr>
            <w:r w:rsidRPr="005F31CD">
              <w:rPr>
                <w:sz w:val="20"/>
              </w:rPr>
              <w:t>Rok</w:t>
            </w:r>
            <w:r w:rsidRPr="005F31CD">
              <w:rPr>
                <w:sz w:val="20"/>
              </w:rPr>
              <w:br/>
            </w:r>
            <w:r w:rsidRPr="005F31CD">
              <w:rPr>
                <w:b/>
                <w:sz w:val="20"/>
              </w:rPr>
              <w:t>2018</w:t>
            </w:r>
          </w:p>
        </w:tc>
        <w:tc>
          <w:tcPr>
            <w:tcW w:w="851" w:type="dxa"/>
          </w:tcPr>
          <w:p w:rsidR="003C2110" w:rsidRPr="005F31CD" w:rsidRDefault="003C2110" w:rsidP="00347B2F">
            <w:pPr>
              <w:jc w:val="center"/>
            </w:pPr>
            <w:r w:rsidRPr="005F31CD">
              <w:rPr>
                <w:sz w:val="20"/>
              </w:rPr>
              <w:t>Rok</w:t>
            </w:r>
            <w:r w:rsidRPr="005F31CD">
              <w:rPr>
                <w:sz w:val="20"/>
              </w:rPr>
              <w:br/>
            </w:r>
            <w:r w:rsidRPr="005F31CD">
              <w:rPr>
                <w:b/>
                <w:sz w:val="20"/>
              </w:rPr>
              <w:t>2019</w:t>
            </w:r>
          </w:p>
        </w:tc>
        <w:tc>
          <w:tcPr>
            <w:tcW w:w="850" w:type="dxa"/>
          </w:tcPr>
          <w:p w:rsidR="003C2110" w:rsidRPr="005F31CD" w:rsidRDefault="003C2110" w:rsidP="00347B2F">
            <w:pPr>
              <w:jc w:val="center"/>
            </w:pPr>
            <w:r w:rsidRPr="005F31CD">
              <w:rPr>
                <w:sz w:val="20"/>
              </w:rPr>
              <w:t>Rok</w:t>
            </w:r>
            <w:r w:rsidRPr="005F31CD">
              <w:rPr>
                <w:sz w:val="20"/>
              </w:rPr>
              <w:br/>
            </w:r>
            <w:r w:rsidRPr="005F31CD">
              <w:rPr>
                <w:b/>
                <w:sz w:val="20"/>
              </w:rPr>
              <w:t>2020</w:t>
            </w:r>
          </w:p>
        </w:tc>
        <w:tc>
          <w:tcPr>
            <w:tcW w:w="851" w:type="dxa"/>
          </w:tcPr>
          <w:p w:rsidR="003C2110" w:rsidRPr="005F31CD" w:rsidRDefault="003C2110" w:rsidP="00347B2F">
            <w:pPr>
              <w:jc w:val="center"/>
            </w:pPr>
            <w:r w:rsidRPr="005F31CD">
              <w:rPr>
                <w:sz w:val="20"/>
              </w:rPr>
              <w:t>Rok</w:t>
            </w:r>
            <w:r w:rsidRPr="005F31CD">
              <w:rPr>
                <w:b/>
                <w:sz w:val="20"/>
              </w:rPr>
              <w:br/>
              <w:t>2021</w:t>
            </w:r>
          </w:p>
        </w:tc>
        <w:tc>
          <w:tcPr>
            <w:tcW w:w="992" w:type="dxa"/>
          </w:tcPr>
          <w:p w:rsidR="003C2110" w:rsidRPr="005F31CD" w:rsidRDefault="003C2110" w:rsidP="00347B2F">
            <w:pPr>
              <w:jc w:val="center"/>
              <w:rPr>
                <w:b/>
                <w:sz w:val="20"/>
              </w:rPr>
            </w:pPr>
            <w:r w:rsidRPr="005F31CD">
              <w:rPr>
                <w:b/>
                <w:sz w:val="20"/>
              </w:rPr>
              <w:t>SPOLU</w:t>
            </w:r>
          </w:p>
        </w:tc>
      </w:tr>
      <w:tr w:rsidR="003C2110" w:rsidRPr="005F31CD" w:rsidTr="00347B2F">
        <w:tc>
          <w:tcPr>
            <w:tcW w:w="3054" w:type="dxa"/>
            <w:vMerge w:val="restart"/>
            <w:shd w:val="clear" w:color="auto" w:fill="C0C0C0"/>
            <w:vAlign w:val="center"/>
          </w:tcPr>
          <w:p w:rsidR="003C2110" w:rsidRPr="005F31CD" w:rsidRDefault="003C2110" w:rsidP="00347B2F">
            <w:pPr>
              <w:jc w:val="center"/>
            </w:pPr>
            <w:r w:rsidRPr="005F31CD">
              <w:rPr>
                <w:b/>
                <w:sz w:val="22"/>
              </w:rPr>
              <w:t xml:space="preserve">Rozpočtové prostriedky </w:t>
            </w:r>
            <w:r w:rsidRPr="005F31CD">
              <w:rPr>
                <w:b/>
                <w:sz w:val="22"/>
              </w:rPr>
              <w:br/>
              <w:t>OKRUHOV 1 až 5</w:t>
            </w:r>
            <w:r w:rsidRPr="005F31CD">
              <w:rPr>
                <w:b/>
                <w:sz w:val="22"/>
              </w:rPr>
              <w:br/>
            </w:r>
            <w:r w:rsidRPr="005F31CD">
              <w:rPr>
                <w:sz w:val="22"/>
              </w:rPr>
              <w:t xml:space="preserve">viacročného finančného rámca </w:t>
            </w:r>
            <w:r w:rsidRPr="005F31CD">
              <w:rPr>
                <w:b/>
                <w:sz w:val="22"/>
              </w:rPr>
              <w:t xml:space="preserve">SPOLU </w:t>
            </w:r>
          </w:p>
        </w:tc>
        <w:tc>
          <w:tcPr>
            <w:tcW w:w="1842" w:type="dxa"/>
            <w:vAlign w:val="center"/>
          </w:tcPr>
          <w:p w:rsidR="003C2110" w:rsidRPr="005F31CD" w:rsidRDefault="003C2110" w:rsidP="00347B2F">
            <w:r w:rsidRPr="005F31CD">
              <w:rPr>
                <w:sz w:val="18"/>
              </w:rPr>
              <w:t>Záväzky</w:t>
            </w:r>
          </w:p>
        </w:tc>
        <w:tc>
          <w:tcPr>
            <w:tcW w:w="993" w:type="dxa"/>
            <w:vAlign w:val="center"/>
          </w:tcPr>
          <w:p w:rsidR="003C2110" w:rsidRPr="005F31CD" w:rsidRDefault="003C2110" w:rsidP="00347B2F">
            <w:pPr>
              <w:spacing w:before="60" w:after="60"/>
              <w:jc w:val="center"/>
              <w:rPr>
                <w:sz w:val="20"/>
                <w:szCs w:val="20"/>
              </w:rPr>
            </w:pPr>
            <w:r w:rsidRPr="005F31CD">
              <w:rPr>
                <w:sz w:val="20"/>
              </w:rPr>
              <w:t>0,</w:t>
            </w:r>
            <w:r w:rsidRPr="005F31CD">
              <w:rPr>
                <w:sz w:val="20"/>
                <w:szCs w:val="20"/>
              </w:rPr>
              <w:t>121</w:t>
            </w:r>
          </w:p>
        </w:tc>
        <w:tc>
          <w:tcPr>
            <w:tcW w:w="851" w:type="dxa"/>
            <w:vAlign w:val="center"/>
          </w:tcPr>
          <w:p w:rsidR="003C2110" w:rsidRPr="005F31CD" w:rsidRDefault="003C2110" w:rsidP="00347B2F">
            <w:pPr>
              <w:spacing w:before="60" w:after="60"/>
              <w:jc w:val="center"/>
              <w:rPr>
                <w:sz w:val="20"/>
                <w:szCs w:val="20"/>
              </w:rPr>
            </w:pPr>
            <w:r w:rsidRPr="005F31CD">
              <w:rPr>
                <w:sz w:val="20"/>
              </w:rPr>
              <w:t>10,078</w:t>
            </w:r>
          </w:p>
        </w:tc>
        <w:tc>
          <w:tcPr>
            <w:tcW w:w="851" w:type="dxa"/>
            <w:vAlign w:val="center"/>
          </w:tcPr>
          <w:p w:rsidR="003C2110" w:rsidRPr="005F31CD" w:rsidRDefault="003C2110" w:rsidP="00347B2F">
            <w:pPr>
              <w:spacing w:before="60" w:after="60"/>
              <w:jc w:val="center"/>
              <w:rPr>
                <w:sz w:val="20"/>
                <w:szCs w:val="20"/>
              </w:rPr>
            </w:pPr>
            <w:r w:rsidRPr="005F31CD">
              <w:rPr>
                <w:sz w:val="20"/>
              </w:rPr>
              <w:t>0,006</w:t>
            </w:r>
          </w:p>
        </w:tc>
        <w:tc>
          <w:tcPr>
            <w:tcW w:w="850" w:type="dxa"/>
            <w:vAlign w:val="center"/>
          </w:tcPr>
          <w:p w:rsidR="003C2110" w:rsidRPr="005F31CD" w:rsidRDefault="003C2110" w:rsidP="00347B2F">
            <w:pPr>
              <w:spacing w:before="60" w:after="60"/>
              <w:jc w:val="center"/>
              <w:rPr>
                <w:sz w:val="20"/>
                <w:szCs w:val="20"/>
              </w:rPr>
            </w:pPr>
            <w:r w:rsidRPr="005F31CD">
              <w:rPr>
                <w:sz w:val="20"/>
              </w:rPr>
              <w:t>3,310</w:t>
            </w:r>
          </w:p>
        </w:tc>
        <w:tc>
          <w:tcPr>
            <w:tcW w:w="851" w:type="dxa"/>
            <w:vAlign w:val="center"/>
          </w:tcPr>
          <w:p w:rsidR="003C2110" w:rsidRPr="005F31CD" w:rsidRDefault="003C2110" w:rsidP="00347B2F">
            <w:pPr>
              <w:spacing w:before="60" w:after="60"/>
              <w:jc w:val="center"/>
              <w:rPr>
                <w:sz w:val="20"/>
                <w:szCs w:val="20"/>
              </w:rPr>
            </w:pPr>
            <w:r w:rsidRPr="005F31CD">
              <w:rPr>
                <w:sz w:val="20"/>
                <w:szCs w:val="20"/>
              </w:rPr>
              <w:t>0.010</w:t>
            </w:r>
          </w:p>
        </w:tc>
        <w:tc>
          <w:tcPr>
            <w:tcW w:w="992" w:type="dxa"/>
            <w:vAlign w:val="center"/>
          </w:tcPr>
          <w:p w:rsidR="003C2110" w:rsidRPr="005F31CD" w:rsidRDefault="003C2110" w:rsidP="00347B2F">
            <w:pPr>
              <w:spacing w:before="60" w:after="60"/>
              <w:jc w:val="center"/>
              <w:rPr>
                <w:b/>
                <w:sz w:val="20"/>
                <w:szCs w:val="20"/>
              </w:rPr>
            </w:pPr>
            <w:r w:rsidRPr="005F31CD">
              <w:rPr>
                <w:b/>
                <w:sz w:val="20"/>
                <w:szCs w:val="20"/>
              </w:rPr>
              <w:t>13.525</w:t>
            </w:r>
          </w:p>
        </w:tc>
      </w:tr>
      <w:tr w:rsidR="003C2110" w:rsidRPr="005F31CD" w:rsidTr="00347B2F">
        <w:tc>
          <w:tcPr>
            <w:tcW w:w="3054" w:type="dxa"/>
            <w:vMerge/>
            <w:shd w:val="clear" w:color="auto" w:fill="C0C0C0"/>
          </w:tcPr>
          <w:p w:rsidR="003C2110" w:rsidRPr="005F31CD" w:rsidRDefault="003C2110" w:rsidP="00347B2F">
            <w:pPr>
              <w:rPr>
                <w:sz w:val="20"/>
              </w:rPr>
            </w:pPr>
          </w:p>
        </w:tc>
        <w:tc>
          <w:tcPr>
            <w:tcW w:w="1842" w:type="dxa"/>
            <w:vAlign w:val="center"/>
          </w:tcPr>
          <w:p w:rsidR="003C2110" w:rsidRPr="005F31CD" w:rsidRDefault="003C2110" w:rsidP="00347B2F">
            <w:r w:rsidRPr="005F31CD">
              <w:rPr>
                <w:sz w:val="18"/>
              </w:rPr>
              <w:t>Platby</w:t>
            </w:r>
          </w:p>
        </w:tc>
        <w:tc>
          <w:tcPr>
            <w:tcW w:w="993" w:type="dxa"/>
            <w:vAlign w:val="center"/>
          </w:tcPr>
          <w:p w:rsidR="003C2110" w:rsidRPr="005F31CD" w:rsidRDefault="003C2110" w:rsidP="00347B2F">
            <w:pPr>
              <w:spacing w:before="60" w:after="60"/>
              <w:jc w:val="center"/>
              <w:rPr>
                <w:sz w:val="20"/>
                <w:szCs w:val="20"/>
              </w:rPr>
            </w:pPr>
            <w:r w:rsidRPr="005F31CD">
              <w:rPr>
                <w:sz w:val="20"/>
              </w:rPr>
              <w:t>0,</w:t>
            </w:r>
            <w:r w:rsidRPr="005F31CD">
              <w:rPr>
                <w:sz w:val="20"/>
                <w:szCs w:val="20"/>
              </w:rPr>
              <w:t>121</w:t>
            </w:r>
          </w:p>
        </w:tc>
        <w:tc>
          <w:tcPr>
            <w:tcW w:w="851" w:type="dxa"/>
            <w:vAlign w:val="center"/>
          </w:tcPr>
          <w:p w:rsidR="003C2110" w:rsidRPr="005F31CD" w:rsidRDefault="003C2110" w:rsidP="00347B2F">
            <w:pPr>
              <w:spacing w:before="60" w:after="60"/>
              <w:jc w:val="center"/>
              <w:rPr>
                <w:sz w:val="20"/>
                <w:szCs w:val="20"/>
              </w:rPr>
            </w:pPr>
            <w:r w:rsidRPr="005F31CD">
              <w:rPr>
                <w:sz w:val="20"/>
              </w:rPr>
              <w:t>10,078</w:t>
            </w:r>
          </w:p>
        </w:tc>
        <w:tc>
          <w:tcPr>
            <w:tcW w:w="851" w:type="dxa"/>
            <w:vAlign w:val="center"/>
          </w:tcPr>
          <w:p w:rsidR="003C2110" w:rsidRPr="005F31CD" w:rsidRDefault="003C2110" w:rsidP="00347B2F">
            <w:pPr>
              <w:spacing w:before="60" w:after="60"/>
              <w:jc w:val="center"/>
              <w:rPr>
                <w:sz w:val="20"/>
                <w:szCs w:val="20"/>
              </w:rPr>
            </w:pPr>
            <w:r w:rsidRPr="005F31CD">
              <w:rPr>
                <w:sz w:val="20"/>
              </w:rPr>
              <w:t>0,006</w:t>
            </w:r>
          </w:p>
        </w:tc>
        <w:tc>
          <w:tcPr>
            <w:tcW w:w="850" w:type="dxa"/>
            <w:vAlign w:val="center"/>
          </w:tcPr>
          <w:p w:rsidR="003C2110" w:rsidRPr="005F31CD" w:rsidRDefault="003C2110" w:rsidP="00347B2F">
            <w:pPr>
              <w:spacing w:before="60" w:after="60"/>
              <w:jc w:val="center"/>
              <w:rPr>
                <w:sz w:val="20"/>
                <w:szCs w:val="20"/>
              </w:rPr>
            </w:pPr>
            <w:r w:rsidRPr="005F31CD">
              <w:rPr>
                <w:sz w:val="20"/>
              </w:rPr>
              <w:t>3,16</w:t>
            </w:r>
          </w:p>
        </w:tc>
        <w:tc>
          <w:tcPr>
            <w:tcW w:w="851" w:type="dxa"/>
            <w:vAlign w:val="center"/>
          </w:tcPr>
          <w:p w:rsidR="003C2110" w:rsidRPr="005F31CD" w:rsidRDefault="003C2110" w:rsidP="00347B2F">
            <w:pPr>
              <w:spacing w:before="60" w:after="60"/>
              <w:jc w:val="center"/>
              <w:rPr>
                <w:sz w:val="20"/>
                <w:szCs w:val="20"/>
              </w:rPr>
            </w:pPr>
            <w:r w:rsidRPr="005F31CD">
              <w:rPr>
                <w:sz w:val="20"/>
              </w:rPr>
              <w:t>0,16</w:t>
            </w:r>
          </w:p>
        </w:tc>
        <w:tc>
          <w:tcPr>
            <w:tcW w:w="992" w:type="dxa"/>
            <w:vAlign w:val="center"/>
          </w:tcPr>
          <w:p w:rsidR="003C2110" w:rsidRPr="005F31CD" w:rsidRDefault="003C2110" w:rsidP="00347B2F">
            <w:pPr>
              <w:spacing w:before="60" w:after="60"/>
              <w:jc w:val="center"/>
              <w:rPr>
                <w:b/>
                <w:sz w:val="20"/>
                <w:szCs w:val="20"/>
              </w:rPr>
            </w:pPr>
            <w:r w:rsidRPr="005F31CD">
              <w:rPr>
                <w:b/>
                <w:sz w:val="20"/>
                <w:szCs w:val="20"/>
              </w:rPr>
              <w:t>13.525</w:t>
            </w:r>
          </w:p>
        </w:tc>
      </w:tr>
    </w:tbl>
    <w:p w:rsidR="003C2110" w:rsidRPr="005F31CD" w:rsidRDefault="003C2110" w:rsidP="003C2110">
      <w:pPr>
        <w:sectPr w:rsidR="003C2110" w:rsidRPr="005F31CD" w:rsidSect="005D0524">
          <w:pgSz w:w="11907" w:h="16840" w:code="9"/>
          <w:pgMar w:top="1418" w:right="1134" w:bottom="1418" w:left="1134" w:header="709" w:footer="709" w:gutter="0"/>
          <w:cols w:space="708"/>
          <w:docGrid w:linePitch="360"/>
        </w:sectPr>
      </w:pPr>
    </w:p>
    <w:p w:rsidR="003C2110" w:rsidRPr="005F31CD" w:rsidRDefault="003C2110" w:rsidP="003C2110">
      <w:pPr>
        <w:pStyle w:val="ManualHeading3"/>
      </w:pPr>
      <w:r w:rsidRPr="005F31CD">
        <w:t>3.2.2.</w:t>
      </w:r>
      <w:r w:rsidRPr="005F31CD">
        <w:tab/>
        <w:t>Odhadovaný vplyv na operačné rozpočtové prostriedky</w:t>
      </w:r>
    </w:p>
    <w:p w:rsidR="003C2110" w:rsidRPr="005F31CD" w:rsidRDefault="003C2110" w:rsidP="003C2110">
      <w:pPr>
        <w:pStyle w:val="ListDash1"/>
      </w:pPr>
      <w:bookmarkStart w:id="7" w:name="DQPStarAt1DQPStarAtDDA9311F93CF48F7BD539"/>
      <w:r w:rsidRPr="005F31CD">
        <w:sym w:font="Wingdings" w:char="F0A8"/>
      </w:r>
      <w:r w:rsidRPr="005F31CD">
        <w:tab/>
        <w:t>Návrh/iniciatíva si nevyžaduje použitie operačných rozpočtových prostriedkov</w:t>
      </w:r>
    </w:p>
    <w:bookmarkEnd w:id="7"/>
    <w:p w:rsidR="003C2110" w:rsidRPr="005F31CD" w:rsidRDefault="003C2110" w:rsidP="003C2110">
      <w:pPr>
        <w:pStyle w:val="ListDash1"/>
      </w:pPr>
      <w:r w:rsidRPr="005F31CD">
        <w:t>X Návrh/iniciatíva si vyžaduje použitie operačných rozpočtových prostriedkov, ako je uvedené</w:t>
      </w:r>
      <w:r w:rsidR="005F31CD">
        <w:t xml:space="preserve"> v </w:t>
      </w:r>
      <w:r w:rsidRPr="005F31CD">
        <w:t>nasledujúcej tabuľke:</w:t>
      </w:r>
    </w:p>
    <w:p w:rsidR="003C2110" w:rsidRPr="005F31CD" w:rsidRDefault="003C2110" w:rsidP="003C2110">
      <w:pPr>
        <w:spacing w:before="480"/>
        <w:jc w:val="right"/>
        <w:rPr>
          <w:sz w:val="4"/>
          <w:szCs w:val="4"/>
        </w:rPr>
      </w:pPr>
      <w:r w:rsidRPr="005F31CD">
        <w:rPr>
          <w:sz w:val="20"/>
        </w:rPr>
        <w:t>viazané rozpočtové prostriedky</w:t>
      </w:r>
      <w:r w:rsidR="005F31CD">
        <w:rPr>
          <w:sz w:val="20"/>
        </w:rPr>
        <w:t xml:space="preserve"> v </w:t>
      </w:r>
      <w:r w:rsidRPr="005F31CD">
        <w:rPr>
          <w:sz w:val="20"/>
        </w:rPr>
        <w:t>mil. EUR (zaokrúhlené na 3 desatinné miesta)</w:t>
      </w:r>
    </w:p>
    <w:tbl>
      <w:tblPr>
        <w:tblW w:w="0" w:type="auto"/>
        <w:tblInd w:w="534" w:type="dxa"/>
        <w:tblLook w:val="01E0" w:firstRow="1" w:lastRow="1" w:firstColumn="1" w:lastColumn="1" w:noHBand="0" w:noVBand="0"/>
      </w:tblPr>
      <w:tblGrid>
        <w:gridCol w:w="1358"/>
        <w:gridCol w:w="1571"/>
        <w:gridCol w:w="784"/>
        <w:gridCol w:w="1118"/>
        <w:gridCol w:w="2332"/>
        <w:gridCol w:w="1020"/>
        <w:gridCol w:w="1500"/>
        <w:gridCol w:w="2104"/>
        <w:gridCol w:w="1899"/>
      </w:tblGrid>
      <w:tr w:rsidR="003C2110" w:rsidRPr="005F31CD" w:rsidTr="00347B2F">
        <w:trPr>
          <w:gridAfter w:val="1"/>
          <w:wAfter w:w="1899" w:type="dxa"/>
        </w:trPr>
        <w:tc>
          <w:tcPr>
            <w:tcW w:w="1358" w:type="dxa"/>
          </w:tcPr>
          <w:p w:rsidR="003C2110" w:rsidRPr="005F31CD" w:rsidRDefault="003C2110" w:rsidP="00347B2F">
            <w:pPr>
              <w:ind w:right="-29"/>
              <w:jc w:val="center"/>
              <w:rPr>
                <w:sz w:val="4"/>
                <w:szCs w:val="4"/>
              </w:rPr>
            </w:pPr>
          </w:p>
        </w:tc>
        <w:tc>
          <w:tcPr>
            <w:tcW w:w="1571" w:type="dxa"/>
          </w:tcPr>
          <w:p w:rsidR="003C2110" w:rsidRPr="005F31CD" w:rsidRDefault="003C2110" w:rsidP="00347B2F">
            <w:pPr>
              <w:ind w:right="-29"/>
              <w:jc w:val="center"/>
              <w:rPr>
                <w:sz w:val="4"/>
                <w:szCs w:val="4"/>
              </w:rPr>
            </w:pPr>
          </w:p>
        </w:tc>
        <w:tc>
          <w:tcPr>
            <w:tcW w:w="784" w:type="dxa"/>
          </w:tcPr>
          <w:p w:rsidR="003C2110" w:rsidRPr="005F31CD" w:rsidRDefault="003C2110" w:rsidP="00347B2F">
            <w:pPr>
              <w:ind w:right="-29"/>
              <w:jc w:val="center"/>
              <w:rPr>
                <w:sz w:val="4"/>
                <w:szCs w:val="4"/>
              </w:rPr>
            </w:pPr>
          </w:p>
        </w:tc>
        <w:tc>
          <w:tcPr>
            <w:tcW w:w="1118" w:type="dxa"/>
          </w:tcPr>
          <w:p w:rsidR="003C2110" w:rsidRPr="005F31CD" w:rsidRDefault="003C2110" w:rsidP="00347B2F">
            <w:pPr>
              <w:ind w:right="-29"/>
              <w:jc w:val="center"/>
              <w:rPr>
                <w:sz w:val="4"/>
                <w:szCs w:val="4"/>
              </w:rPr>
            </w:pPr>
          </w:p>
        </w:tc>
        <w:tc>
          <w:tcPr>
            <w:tcW w:w="2332" w:type="dxa"/>
          </w:tcPr>
          <w:p w:rsidR="003C2110" w:rsidRPr="005F31CD" w:rsidRDefault="003C2110" w:rsidP="00347B2F">
            <w:pPr>
              <w:ind w:right="-29"/>
              <w:jc w:val="center"/>
              <w:rPr>
                <w:sz w:val="4"/>
                <w:szCs w:val="4"/>
              </w:rPr>
            </w:pPr>
          </w:p>
        </w:tc>
        <w:tc>
          <w:tcPr>
            <w:tcW w:w="1020" w:type="dxa"/>
          </w:tcPr>
          <w:p w:rsidR="003C2110" w:rsidRPr="005F31CD" w:rsidRDefault="003C2110" w:rsidP="00347B2F">
            <w:pPr>
              <w:ind w:right="-29"/>
              <w:jc w:val="center"/>
              <w:rPr>
                <w:b/>
                <w:sz w:val="4"/>
                <w:szCs w:val="4"/>
              </w:rPr>
            </w:pPr>
          </w:p>
        </w:tc>
        <w:tc>
          <w:tcPr>
            <w:tcW w:w="1500" w:type="dxa"/>
          </w:tcPr>
          <w:p w:rsidR="003C2110" w:rsidRPr="005F31CD" w:rsidRDefault="003C2110" w:rsidP="00347B2F">
            <w:pPr>
              <w:ind w:right="-29"/>
              <w:jc w:val="center"/>
              <w:rPr>
                <w:sz w:val="4"/>
                <w:szCs w:val="4"/>
              </w:rPr>
            </w:pPr>
          </w:p>
        </w:tc>
        <w:tc>
          <w:tcPr>
            <w:tcW w:w="2104" w:type="dxa"/>
          </w:tcPr>
          <w:p w:rsidR="003C2110" w:rsidRPr="005F31CD" w:rsidRDefault="003C2110" w:rsidP="00347B2F">
            <w:pPr>
              <w:ind w:right="-29"/>
              <w:jc w:val="center"/>
              <w:rPr>
                <w:sz w:val="4"/>
                <w:szCs w:val="4"/>
              </w:rPr>
            </w:pPr>
          </w:p>
        </w:tc>
      </w:tr>
      <w:tr w:rsidR="003C2110" w:rsidRPr="005F31CD" w:rsidTr="00347B2F">
        <w:tc>
          <w:tcPr>
            <w:tcW w:w="13686" w:type="dxa"/>
            <w:gridSpan w:val="9"/>
          </w:tcPr>
          <w:tbl>
            <w:tblPr>
              <w:tblStyle w:val="TableGrid"/>
              <w:tblW w:w="13151" w:type="dxa"/>
              <w:tblLook w:val="04A0" w:firstRow="1" w:lastRow="0" w:firstColumn="1" w:lastColumn="0" w:noHBand="0" w:noVBand="1"/>
            </w:tblPr>
            <w:tblGrid>
              <w:gridCol w:w="1301"/>
              <w:gridCol w:w="1656"/>
              <w:gridCol w:w="733"/>
              <w:gridCol w:w="13"/>
              <w:gridCol w:w="797"/>
              <w:gridCol w:w="746"/>
              <w:gridCol w:w="9"/>
              <w:gridCol w:w="788"/>
              <w:gridCol w:w="733"/>
              <w:gridCol w:w="13"/>
              <w:gridCol w:w="797"/>
              <w:gridCol w:w="746"/>
              <w:gridCol w:w="18"/>
              <w:gridCol w:w="782"/>
              <w:gridCol w:w="746"/>
              <w:gridCol w:w="797"/>
              <w:gridCol w:w="1238"/>
              <w:gridCol w:w="1238"/>
            </w:tblGrid>
            <w:tr w:rsidR="003C2110" w:rsidRPr="005F31CD" w:rsidTr="00347B2F">
              <w:tc>
                <w:tcPr>
                  <w:tcW w:w="1376" w:type="dxa"/>
                  <w:vMerge w:val="restart"/>
                </w:tcPr>
                <w:p w:rsidR="003C2110" w:rsidRPr="005F31CD" w:rsidRDefault="003C2110" w:rsidP="00347B2F">
                  <w:pPr>
                    <w:ind w:right="-29"/>
                    <w:jc w:val="center"/>
                    <w:rPr>
                      <w:b/>
                      <w:sz w:val="18"/>
                    </w:rPr>
                  </w:pPr>
                  <w:r w:rsidRPr="005F31CD">
                    <w:rPr>
                      <w:sz w:val="18"/>
                    </w:rPr>
                    <w:t xml:space="preserve"> </w:t>
                  </w:r>
                  <w:r w:rsidRPr="005F31CD">
                    <w:rPr>
                      <w:b/>
                      <w:sz w:val="18"/>
                    </w:rPr>
                    <w:t>Uveďte ciele</w:t>
                  </w:r>
                  <w:r w:rsidR="005F31CD">
                    <w:rPr>
                      <w:b/>
                      <w:sz w:val="18"/>
                    </w:rPr>
                    <w:t xml:space="preserve"> a </w:t>
                  </w:r>
                  <w:r w:rsidRPr="005F31CD">
                    <w:rPr>
                      <w:b/>
                      <w:sz w:val="18"/>
                    </w:rPr>
                    <w:t>výstupy</w:t>
                  </w:r>
                </w:p>
                <w:p w:rsidR="003C2110" w:rsidRPr="005F31CD" w:rsidRDefault="003C2110" w:rsidP="00347B2F">
                  <w:pPr>
                    <w:ind w:right="-29"/>
                    <w:jc w:val="center"/>
                    <w:rPr>
                      <w:b/>
                      <w:sz w:val="18"/>
                    </w:rPr>
                  </w:pPr>
                </w:p>
                <w:p w:rsidR="003C2110" w:rsidRPr="005F31CD" w:rsidRDefault="003C2110" w:rsidP="00347B2F">
                  <w:pPr>
                    <w:ind w:right="-29"/>
                    <w:jc w:val="center"/>
                    <w:rPr>
                      <w:sz w:val="18"/>
                    </w:rPr>
                  </w:pPr>
                  <w:r w:rsidRPr="005F31CD">
                    <w:rPr>
                      <w:sz w:val="18"/>
                      <w:szCs w:val="18"/>
                    </w:rPr>
                    <w:sym w:font="Wingdings" w:char="F0F2"/>
                  </w:r>
                </w:p>
              </w:tc>
              <w:tc>
                <w:tcPr>
                  <w:tcW w:w="1755" w:type="dxa"/>
                </w:tcPr>
                <w:p w:rsidR="003C2110" w:rsidRPr="005F31CD" w:rsidRDefault="003C2110" w:rsidP="00347B2F">
                  <w:pPr>
                    <w:ind w:right="-29"/>
                    <w:rPr>
                      <w:sz w:val="18"/>
                    </w:rPr>
                  </w:pPr>
                </w:p>
              </w:tc>
              <w:tc>
                <w:tcPr>
                  <w:tcW w:w="1469" w:type="dxa"/>
                  <w:gridSpan w:val="3"/>
                </w:tcPr>
                <w:p w:rsidR="003C2110" w:rsidRPr="005F31CD" w:rsidRDefault="003C2110" w:rsidP="00347B2F">
                  <w:pPr>
                    <w:ind w:right="-29"/>
                    <w:jc w:val="center"/>
                    <w:rPr>
                      <w:sz w:val="18"/>
                    </w:rPr>
                  </w:pPr>
                  <w:r w:rsidRPr="005F31CD">
                    <w:rPr>
                      <w:sz w:val="18"/>
                    </w:rPr>
                    <w:t xml:space="preserve">Rok </w:t>
                  </w:r>
                  <w:r w:rsidRPr="005F31CD">
                    <w:rPr>
                      <w:b/>
                      <w:sz w:val="18"/>
                    </w:rPr>
                    <w:t>2017</w:t>
                  </w:r>
                </w:p>
              </w:tc>
              <w:tc>
                <w:tcPr>
                  <w:tcW w:w="1470" w:type="dxa"/>
                  <w:gridSpan w:val="3"/>
                </w:tcPr>
                <w:p w:rsidR="003C2110" w:rsidRPr="005F31CD" w:rsidRDefault="003C2110" w:rsidP="00347B2F">
                  <w:pPr>
                    <w:ind w:right="-29"/>
                    <w:jc w:val="center"/>
                    <w:rPr>
                      <w:sz w:val="18"/>
                    </w:rPr>
                  </w:pPr>
                  <w:r w:rsidRPr="005F31CD">
                    <w:rPr>
                      <w:sz w:val="18"/>
                    </w:rPr>
                    <w:t xml:space="preserve">Rok </w:t>
                  </w:r>
                  <w:r w:rsidRPr="005F31CD">
                    <w:rPr>
                      <w:b/>
                      <w:sz w:val="18"/>
                    </w:rPr>
                    <w:t>2018</w:t>
                  </w:r>
                </w:p>
              </w:tc>
              <w:tc>
                <w:tcPr>
                  <w:tcW w:w="1465" w:type="dxa"/>
                  <w:gridSpan w:val="3"/>
                </w:tcPr>
                <w:p w:rsidR="003C2110" w:rsidRPr="005F31CD" w:rsidRDefault="003C2110" w:rsidP="00347B2F">
                  <w:pPr>
                    <w:ind w:right="-29"/>
                    <w:jc w:val="center"/>
                    <w:rPr>
                      <w:b/>
                      <w:sz w:val="18"/>
                    </w:rPr>
                  </w:pPr>
                  <w:r w:rsidRPr="005F31CD">
                    <w:rPr>
                      <w:sz w:val="18"/>
                    </w:rPr>
                    <w:t xml:space="preserve">Rok </w:t>
                  </w:r>
                  <w:r w:rsidRPr="005F31CD">
                    <w:rPr>
                      <w:b/>
                      <w:sz w:val="18"/>
                    </w:rPr>
                    <w:t>2019</w:t>
                  </w:r>
                </w:p>
              </w:tc>
              <w:tc>
                <w:tcPr>
                  <w:tcW w:w="1462" w:type="dxa"/>
                  <w:gridSpan w:val="3"/>
                </w:tcPr>
                <w:p w:rsidR="003C2110" w:rsidRPr="005F31CD" w:rsidRDefault="003C2110" w:rsidP="00347B2F">
                  <w:pPr>
                    <w:ind w:right="-29"/>
                    <w:jc w:val="center"/>
                    <w:rPr>
                      <w:sz w:val="18"/>
                    </w:rPr>
                  </w:pPr>
                  <w:r w:rsidRPr="005F31CD">
                    <w:rPr>
                      <w:sz w:val="18"/>
                    </w:rPr>
                    <w:t xml:space="preserve">Rok </w:t>
                  </w:r>
                  <w:r w:rsidRPr="005F31CD">
                    <w:rPr>
                      <w:b/>
                      <w:sz w:val="18"/>
                    </w:rPr>
                    <w:t>2020</w:t>
                  </w:r>
                </w:p>
              </w:tc>
              <w:tc>
                <w:tcPr>
                  <w:tcW w:w="1504" w:type="dxa"/>
                  <w:gridSpan w:val="2"/>
                </w:tcPr>
                <w:p w:rsidR="003C2110" w:rsidRPr="005F31CD" w:rsidRDefault="003C2110" w:rsidP="00347B2F">
                  <w:pPr>
                    <w:ind w:right="-29"/>
                    <w:jc w:val="center"/>
                    <w:rPr>
                      <w:sz w:val="18"/>
                    </w:rPr>
                  </w:pPr>
                  <w:r w:rsidRPr="005F31CD">
                    <w:rPr>
                      <w:sz w:val="18"/>
                    </w:rPr>
                    <w:t xml:space="preserve">Rok </w:t>
                  </w:r>
                  <w:r w:rsidRPr="005F31CD">
                    <w:rPr>
                      <w:b/>
                      <w:sz w:val="18"/>
                    </w:rPr>
                    <w:t>2021</w:t>
                  </w:r>
                </w:p>
              </w:tc>
              <w:tc>
                <w:tcPr>
                  <w:tcW w:w="2650" w:type="dxa"/>
                  <w:gridSpan w:val="2"/>
                </w:tcPr>
                <w:p w:rsidR="003C2110" w:rsidRPr="005F31CD" w:rsidRDefault="003C2110" w:rsidP="00347B2F">
                  <w:pPr>
                    <w:ind w:right="-29"/>
                    <w:jc w:val="center"/>
                    <w:rPr>
                      <w:b/>
                      <w:sz w:val="18"/>
                    </w:rPr>
                  </w:pPr>
                  <w:r w:rsidRPr="005F31CD">
                    <w:rPr>
                      <w:b/>
                      <w:sz w:val="18"/>
                    </w:rPr>
                    <w:t>SPOLU</w:t>
                  </w:r>
                </w:p>
              </w:tc>
            </w:tr>
            <w:tr w:rsidR="003C2110" w:rsidRPr="005F31CD" w:rsidTr="00347B2F">
              <w:tc>
                <w:tcPr>
                  <w:tcW w:w="1376" w:type="dxa"/>
                  <w:vMerge/>
                </w:tcPr>
                <w:p w:rsidR="003C2110" w:rsidRPr="005F31CD" w:rsidRDefault="003C2110" w:rsidP="00347B2F">
                  <w:pPr>
                    <w:ind w:right="-29"/>
                    <w:rPr>
                      <w:sz w:val="18"/>
                    </w:rPr>
                  </w:pPr>
                </w:p>
              </w:tc>
              <w:tc>
                <w:tcPr>
                  <w:tcW w:w="11775" w:type="dxa"/>
                  <w:gridSpan w:val="17"/>
                </w:tcPr>
                <w:p w:rsidR="003C2110" w:rsidRPr="005F31CD" w:rsidRDefault="003C2110" w:rsidP="00347B2F">
                  <w:pPr>
                    <w:ind w:right="-29"/>
                    <w:rPr>
                      <w:sz w:val="18"/>
                    </w:rPr>
                  </w:pPr>
                </w:p>
              </w:tc>
            </w:tr>
            <w:tr w:rsidR="003C2110" w:rsidRPr="005F31CD" w:rsidTr="00347B2F">
              <w:tc>
                <w:tcPr>
                  <w:tcW w:w="1376" w:type="dxa"/>
                  <w:vMerge/>
                </w:tcPr>
                <w:p w:rsidR="003C2110" w:rsidRPr="005F31CD" w:rsidRDefault="003C2110" w:rsidP="00347B2F">
                  <w:pPr>
                    <w:ind w:right="-29"/>
                    <w:rPr>
                      <w:sz w:val="18"/>
                    </w:rPr>
                  </w:pPr>
                </w:p>
              </w:tc>
              <w:tc>
                <w:tcPr>
                  <w:tcW w:w="1755" w:type="dxa"/>
                  <w:vAlign w:val="center"/>
                </w:tcPr>
                <w:p w:rsidR="003C2110" w:rsidRPr="005F31CD" w:rsidRDefault="003C2110" w:rsidP="00347B2F">
                  <w:pPr>
                    <w:ind w:right="-29"/>
                    <w:jc w:val="center"/>
                    <w:rPr>
                      <w:sz w:val="18"/>
                    </w:rPr>
                  </w:pPr>
                  <w:r w:rsidRPr="005F31CD">
                    <w:rPr>
                      <w:sz w:val="18"/>
                    </w:rPr>
                    <w:t>Druh</w:t>
                  </w:r>
                  <w:r w:rsidRPr="005F31CD">
                    <w:rPr>
                      <w:rStyle w:val="FootnoteReference"/>
                      <w:sz w:val="18"/>
                    </w:rPr>
                    <w:footnoteReference w:id="22"/>
                  </w:r>
                </w:p>
              </w:tc>
              <w:tc>
                <w:tcPr>
                  <w:tcW w:w="777" w:type="dxa"/>
                  <w:gridSpan w:val="2"/>
                  <w:shd w:val="clear" w:color="auto" w:fill="D9D9D9" w:themeFill="background1" w:themeFillShade="D9"/>
                  <w:vAlign w:val="center"/>
                </w:tcPr>
                <w:p w:rsidR="003C2110" w:rsidRPr="005F31CD" w:rsidRDefault="003C2110" w:rsidP="00347B2F">
                  <w:pPr>
                    <w:ind w:right="-29"/>
                    <w:jc w:val="center"/>
                    <w:rPr>
                      <w:sz w:val="18"/>
                    </w:rPr>
                  </w:pPr>
                  <w:r w:rsidRPr="005F31CD">
                    <w:rPr>
                      <w:sz w:val="18"/>
                    </w:rPr>
                    <w:t>Počet</w:t>
                  </w:r>
                </w:p>
              </w:tc>
              <w:tc>
                <w:tcPr>
                  <w:tcW w:w="692" w:type="dxa"/>
                  <w:shd w:val="clear" w:color="auto" w:fill="D9D9D9" w:themeFill="background1" w:themeFillShade="D9"/>
                  <w:vAlign w:val="center"/>
                </w:tcPr>
                <w:p w:rsidR="003C2110" w:rsidRPr="005F31CD" w:rsidRDefault="003C2110" w:rsidP="00347B2F">
                  <w:pPr>
                    <w:ind w:right="-29"/>
                    <w:jc w:val="center"/>
                    <w:rPr>
                      <w:sz w:val="18"/>
                    </w:rPr>
                  </w:pPr>
                  <w:r w:rsidRPr="005F31CD">
                    <w:rPr>
                      <w:sz w:val="18"/>
                    </w:rPr>
                    <w:t>Náklady</w:t>
                  </w:r>
                </w:p>
              </w:tc>
              <w:tc>
                <w:tcPr>
                  <w:tcW w:w="777" w:type="dxa"/>
                  <w:shd w:val="clear" w:color="auto" w:fill="D9D9D9" w:themeFill="background1" w:themeFillShade="D9"/>
                  <w:vAlign w:val="center"/>
                </w:tcPr>
                <w:p w:rsidR="003C2110" w:rsidRPr="005F31CD" w:rsidRDefault="003C2110" w:rsidP="00347B2F">
                  <w:pPr>
                    <w:ind w:right="-29"/>
                    <w:jc w:val="center"/>
                    <w:rPr>
                      <w:sz w:val="18"/>
                    </w:rPr>
                  </w:pPr>
                  <w:r w:rsidRPr="005F31CD">
                    <w:rPr>
                      <w:sz w:val="18"/>
                    </w:rPr>
                    <w:t>Počet</w:t>
                  </w:r>
                </w:p>
              </w:tc>
              <w:tc>
                <w:tcPr>
                  <w:tcW w:w="693" w:type="dxa"/>
                  <w:gridSpan w:val="2"/>
                  <w:shd w:val="clear" w:color="auto" w:fill="D9D9D9" w:themeFill="background1" w:themeFillShade="D9"/>
                  <w:vAlign w:val="center"/>
                </w:tcPr>
                <w:p w:rsidR="003C2110" w:rsidRPr="005F31CD" w:rsidRDefault="003C2110" w:rsidP="00347B2F">
                  <w:pPr>
                    <w:ind w:right="-29"/>
                    <w:jc w:val="center"/>
                    <w:rPr>
                      <w:sz w:val="18"/>
                    </w:rPr>
                  </w:pPr>
                  <w:r w:rsidRPr="005F31CD">
                    <w:rPr>
                      <w:sz w:val="18"/>
                    </w:rPr>
                    <w:t>Náklady</w:t>
                  </w:r>
                </w:p>
              </w:tc>
              <w:tc>
                <w:tcPr>
                  <w:tcW w:w="777" w:type="dxa"/>
                  <w:gridSpan w:val="2"/>
                  <w:shd w:val="clear" w:color="auto" w:fill="D9D9D9" w:themeFill="background1" w:themeFillShade="D9"/>
                  <w:vAlign w:val="center"/>
                </w:tcPr>
                <w:p w:rsidR="003C2110" w:rsidRPr="005F31CD" w:rsidRDefault="003C2110" w:rsidP="00347B2F">
                  <w:pPr>
                    <w:ind w:right="-29"/>
                    <w:jc w:val="center"/>
                    <w:rPr>
                      <w:sz w:val="18"/>
                    </w:rPr>
                  </w:pPr>
                  <w:r w:rsidRPr="005F31CD">
                    <w:rPr>
                      <w:sz w:val="18"/>
                    </w:rPr>
                    <w:t>Počet</w:t>
                  </w:r>
                </w:p>
              </w:tc>
              <w:tc>
                <w:tcPr>
                  <w:tcW w:w="688" w:type="dxa"/>
                  <w:shd w:val="clear" w:color="auto" w:fill="D9D9D9" w:themeFill="background1" w:themeFillShade="D9"/>
                  <w:vAlign w:val="center"/>
                </w:tcPr>
                <w:p w:rsidR="003C2110" w:rsidRPr="005F31CD" w:rsidRDefault="003C2110" w:rsidP="00347B2F">
                  <w:pPr>
                    <w:ind w:right="-29"/>
                    <w:jc w:val="center"/>
                    <w:rPr>
                      <w:sz w:val="18"/>
                    </w:rPr>
                  </w:pPr>
                  <w:r w:rsidRPr="005F31CD">
                    <w:rPr>
                      <w:sz w:val="18"/>
                    </w:rPr>
                    <w:t>Náklady</w:t>
                  </w:r>
                </w:p>
              </w:tc>
              <w:tc>
                <w:tcPr>
                  <w:tcW w:w="777" w:type="dxa"/>
                  <w:shd w:val="clear" w:color="auto" w:fill="D9D9D9" w:themeFill="background1" w:themeFillShade="D9"/>
                  <w:vAlign w:val="center"/>
                </w:tcPr>
                <w:p w:rsidR="003C2110" w:rsidRPr="005F31CD" w:rsidRDefault="003C2110" w:rsidP="00347B2F">
                  <w:pPr>
                    <w:ind w:right="-29"/>
                    <w:jc w:val="center"/>
                    <w:rPr>
                      <w:sz w:val="18"/>
                    </w:rPr>
                  </w:pPr>
                  <w:r w:rsidRPr="005F31CD">
                    <w:rPr>
                      <w:sz w:val="18"/>
                    </w:rPr>
                    <w:t>Počet</w:t>
                  </w:r>
                </w:p>
              </w:tc>
              <w:tc>
                <w:tcPr>
                  <w:tcW w:w="685" w:type="dxa"/>
                  <w:gridSpan w:val="2"/>
                  <w:shd w:val="clear" w:color="auto" w:fill="D9D9D9" w:themeFill="background1" w:themeFillShade="D9"/>
                  <w:vAlign w:val="center"/>
                </w:tcPr>
                <w:p w:rsidR="003C2110" w:rsidRPr="005F31CD" w:rsidRDefault="003C2110" w:rsidP="00347B2F">
                  <w:pPr>
                    <w:ind w:right="-29"/>
                    <w:jc w:val="center"/>
                    <w:rPr>
                      <w:sz w:val="18"/>
                    </w:rPr>
                  </w:pPr>
                  <w:r w:rsidRPr="005F31CD">
                    <w:rPr>
                      <w:sz w:val="18"/>
                    </w:rPr>
                    <w:t>Náklady</w:t>
                  </w:r>
                </w:p>
              </w:tc>
              <w:tc>
                <w:tcPr>
                  <w:tcW w:w="777" w:type="dxa"/>
                  <w:shd w:val="clear" w:color="auto" w:fill="D9D9D9" w:themeFill="background1" w:themeFillShade="D9"/>
                  <w:vAlign w:val="center"/>
                </w:tcPr>
                <w:p w:rsidR="003C2110" w:rsidRPr="005F31CD" w:rsidRDefault="003C2110" w:rsidP="00347B2F">
                  <w:pPr>
                    <w:ind w:right="-29"/>
                    <w:jc w:val="center"/>
                    <w:rPr>
                      <w:sz w:val="18"/>
                    </w:rPr>
                  </w:pPr>
                  <w:r w:rsidRPr="005F31CD">
                    <w:rPr>
                      <w:sz w:val="18"/>
                    </w:rPr>
                    <w:t>Počet</w:t>
                  </w:r>
                </w:p>
              </w:tc>
              <w:tc>
                <w:tcPr>
                  <w:tcW w:w="727" w:type="dxa"/>
                  <w:shd w:val="clear" w:color="auto" w:fill="D9D9D9" w:themeFill="background1" w:themeFillShade="D9"/>
                  <w:vAlign w:val="center"/>
                </w:tcPr>
                <w:p w:rsidR="003C2110" w:rsidRPr="005F31CD" w:rsidRDefault="003C2110" w:rsidP="00347B2F">
                  <w:pPr>
                    <w:ind w:right="-29"/>
                    <w:jc w:val="center"/>
                    <w:rPr>
                      <w:sz w:val="18"/>
                    </w:rPr>
                  </w:pPr>
                  <w:r w:rsidRPr="005F31CD">
                    <w:rPr>
                      <w:sz w:val="18"/>
                    </w:rPr>
                    <w:t>Náklady</w:t>
                  </w:r>
                </w:p>
              </w:tc>
              <w:tc>
                <w:tcPr>
                  <w:tcW w:w="1325" w:type="dxa"/>
                  <w:shd w:val="clear" w:color="auto" w:fill="D9D9D9" w:themeFill="background1" w:themeFillShade="D9"/>
                  <w:vAlign w:val="center"/>
                </w:tcPr>
                <w:p w:rsidR="003C2110" w:rsidRPr="005F31CD" w:rsidRDefault="003C2110" w:rsidP="00347B2F">
                  <w:pPr>
                    <w:ind w:right="-29"/>
                    <w:jc w:val="center"/>
                    <w:rPr>
                      <w:sz w:val="18"/>
                    </w:rPr>
                  </w:pPr>
                  <w:r w:rsidRPr="005F31CD">
                    <w:rPr>
                      <w:sz w:val="18"/>
                    </w:rPr>
                    <w:t>Celkový počet</w:t>
                  </w:r>
                </w:p>
              </w:tc>
              <w:tc>
                <w:tcPr>
                  <w:tcW w:w="1325" w:type="dxa"/>
                  <w:shd w:val="clear" w:color="auto" w:fill="D9D9D9" w:themeFill="background1" w:themeFillShade="D9"/>
                  <w:vAlign w:val="center"/>
                </w:tcPr>
                <w:p w:rsidR="003C2110" w:rsidRPr="005F31CD" w:rsidRDefault="003C2110" w:rsidP="00347B2F">
                  <w:pPr>
                    <w:ind w:right="-29"/>
                    <w:jc w:val="center"/>
                    <w:rPr>
                      <w:sz w:val="18"/>
                    </w:rPr>
                  </w:pPr>
                  <w:r w:rsidRPr="005F31CD">
                    <w:rPr>
                      <w:sz w:val="18"/>
                    </w:rPr>
                    <w:t>Náklady spolu</w:t>
                  </w:r>
                </w:p>
              </w:tc>
            </w:tr>
            <w:tr w:rsidR="003C2110" w:rsidRPr="005F31CD" w:rsidTr="00347B2F">
              <w:tc>
                <w:tcPr>
                  <w:tcW w:w="13151" w:type="dxa"/>
                  <w:gridSpan w:val="18"/>
                </w:tcPr>
                <w:p w:rsidR="003C2110" w:rsidRPr="005F31CD" w:rsidRDefault="003C2110" w:rsidP="00347B2F">
                  <w:pPr>
                    <w:ind w:right="-29"/>
                    <w:rPr>
                      <w:sz w:val="18"/>
                    </w:rPr>
                  </w:pPr>
                  <w:r w:rsidRPr="005F31CD">
                    <w:rPr>
                      <w:sz w:val="18"/>
                    </w:rPr>
                    <w:t xml:space="preserve">OSOBITNÝ CIEĽ </w:t>
                  </w:r>
                  <w:r w:rsidR="005F31CD">
                    <w:rPr>
                      <w:sz w:val="18"/>
                    </w:rPr>
                    <w:t>č. </w:t>
                  </w:r>
                  <w:r w:rsidRPr="005F31CD">
                    <w:rPr>
                      <w:sz w:val="18"/>
                    </w:rPr>
                    <w:t>1</w:t>
                  </w:r>
                  <w:r w:rsidRPr="005F31CD">
                    <w:rPr>
                      <w:rStyle w:val="FootnoteReference"/>
                      <w:sz w:val="18"/>
                    </w:rPr>
                    <w:footnoteReference w:id="23"/>
                  </w:r>
                </w:p>
              </w:tc>
            </w:tr>
            <w:tr w:rsidR="003C2110" w:rsidRPr="005F31CD" w:rsidTr="00347B2F">
              <w:tc>
                <w:tcPr>
                  <w:tcW w:w="1376" w:type="dxa"/>
                  <w:vAlign w:val="center"/>
                </w:tcPr>
                <w:p w:rsidR="003C2110" w:rsidRPr="005F31CD" w:rsidRDefault="003C2110" w:rsidP="00347B2F">
                  <w:pPr>
                    <w:ind w:right="-29"/>
                    <w:jc w:val="center"/>
                    <w:rPr>
                      <w:sz w:val="18"/>
                    </w:rPr>
                  </w:pPr>
                  <w:r w:rsidRPr="005F31CD">
                    <w:rPr>
                      <w:sz w:val="18"/>
                    </w:rPr>
                    <w:t>– Výstup 1</w:t>
                  </w:r>
                </w:p>
              </w:tc>
              <w:tc>
                <w:tcPr>
                  <w:tcW w:w="1755" w:type="dxa"/>
                  <w:vAlign w:val="center"/>
                </w:tcPr>
                <w:p w:rsidR="003C2110" w:rsidRPr="005F31CD" w:rsidRDefault="003C2110" w:rsidP="00347B2F">
                  <w:pPr>
                    <w:ind w:right="-29"/>
                    <w:jc w:val="center"/>
                    <w:rPr>
                      <w:sz w:val="18"/>
                      <w:szCs w:val="18"/>
                    </w:rPr>
                  </w:pPr>
                  <w:r w:rsidRPr="005F31CD">
                    <w:rPr>
                      <w:sz w:val="18"/>
                    </w:rPr>
                    <w:t>Vyplatenie grantov</w:t>
                  </w:r>
                </w:p>
              </w:tc>
              <w:tc>
                <w:tcPr>
                  <w:tcW w:w="763" w:type="dxa"/>
                  <w:vAlign w:val="center"/>
                </w:tcPr>
                <w:p w:rsidR="003C2110" w:rsidRPr="005F31CD" w:rsidRDefault="003C2110" w:rsidP="00347B2F">
                  <w:pPr>
                    <w:ind w:right="-29"/>
                    <w:jc w:val="center"/>
                    <w:rPr>
                      <w:sz w:val="18"/>
                    </w:rPr>
                  </w:pPr>
                </w:p>
              </w:tc>
              <w:tc>
                <w:tcPr>
                  <w:tcW w:w="706" w:type="dxa"/>
                  <w:gridSpan w:val="2"/>
                  <w:vAlign w:val="center"/>
                </w:tcPr>
                <w:p w:rsidR="003C2110" w:rsidRPr="005F31CD" w:rsidRDefault="003C2110" w:rsidP="00347B2F">
                  <w:pPr>
                    <w:ind w:right="-29"/>
                    <w:jc w:val="center"/>
                    <w:rPr>
                      <w:sz w:val="18"/>
                    </w:rPr>
                  </w:pPr>
                </w:p>
              </w:tc>
              <w:tc>
                <w:tcPr>
                  <w:tcW w:w="784" w:type="dxa"/>
                  <w:gridSpan w:val="2"/>
                  <w:vAlign w:val="center"/>
                </w:tcPr>
                <w:p w:rsidR="003C2110" w:rsidRPr="005F31CD" w:rsidRDefault="003C2110" w:rsidP="00347B2F">
                  <w:pPr>
                    <w:ind w:right="-29"/>
                    <w:jc w:val="center"/>
                    <w:rPr>
                      <w:sz w:val="18"/>
                    </w:rPr>
                  </w:pPr>
                  <w:r w:rsidRPr="005F31CD">
                    <w:rPr>
                      <w:sz w:val="18"/>
                    </w:rPr>
                    <w:t>2</w:t>
                  </w:r>
                </w:p>
              </w:tc>
              <w:tc>
                <w:tcPr>
                  <w:tcW w:w="686" w:type="dxa"/>
                  <w:vAlign w:val="center"/>
                </w:tcPr>
                <w:p w:rsidR="003C2110" w:rsidRPr="005F31CD" w:rsidRDefault="003C2110" w:rsidP="00347B2F">
                  <w:pPr>
                    <w:ind w:right="-29"/>
                    <w:jc w:val="center"/>
                    <w:rPr>
                      <w:sz w:val="18"/>
                    </w:rPr>
                  </w:pPr>
                  <w:r w:rsidRPr="005F31CD">
                    <w:rPr>
                      <w:sz w:val="18"/>
                    </w:rPr>
                    <w:t>10</w:t>
                  </w:r>
                </w:p>
              </w:tc>
              <w:tc>
                <w:tcPr>
                  <w:tcW w:w="763" w:type="dxa"/>
                  <w:vAlign w:val="center"/>
                </w:tcPr>
                <w:p w:rsidR="003C2110" w:rsidRPr="005F31CD" w:rsidRDefault="003C2110" w:rsidP="00347B2F">
                  <w:pPr>
                    <w:ind w:right="-29"/>
                    <w:jc w:val="center"/>
                    <w:rPr>
                      <w:sz w:val="18"/>
                    </w:rPr>
                  </w:pPr>
                </w:p>
              </w:tc>
              <w:tc>
                <w:tcPr>
                  <w:tcW w:w="702" w:type="dxa"/>
                  <w:gridSpan w:val="2"/>
                  <w:vAlign w:val="center"/>
                </w:tcPr>
                <w:p w:rsidR="003C2110" w:rsidRPr="005F31CD" w:rsidRDefault="003C2110" w:rsidP="00347B2F">
                  <w:pPr>
                    <w:ind w:right="-29"/>
                    <w:jc w:val="center"/>
                    <w:rPr>
                      <w:sz w:val="18"/>
                    </w:rPr>
                  </w:pPr>
                </w:p>
              </w:tc>
              <w:tc>
                <w:tcPr>
                  <w:tcW w:w="795" w:type="dxa"/>
                  <w:gridSpan w:val="2"/>
                  <w:vAlign w:val="center"/>
                </w:tcPr>
                <w:p w:rsidR="003C2110" w:rsidRPr="005F31CD" w:rsidRDefault="003C2110" w:rsidP="00347B2F">
                  <w:pPr>
                    <w:ind w:right="-29"/>
                    <w:jc w:val="center"/>
                    <w:rPr>
                      <w:sz w:val="18"/>
                    </w:rPr>
                  </w:pPr>
                </w:p>
              </w:tc>
              <w:tc>
                <w:tcPr>
                  <w:tcW w:w="667" w:type="dxa"/>
                  <w:vAlign w:val="center"/>
                </w:tcPr>
                <w:p w:rsidR="003C2110" w:rsidRPr="005F31CD" w:rsidRDefault="003C2110" w:rsidP="00347B2F">
                  <w:pPr>
                    <w:ind w:right="-29"/>
                    <w:jc w:val="center"/>
                    <w:rPr>
                      <w:sz w:val="18"/>
                    </w:rPr>
                  </w:pPr>
                </w:p>
              </w:tc>
              <w:tc>
                <w:tcPr>
                  <w:tcW w:w="777" w:type="dxa"/>
                  <w:vAlign w:val="center"/>
                </w:tcPr>
                <w:p w:rsidR="003C2110" w:rsidRPr="005F31CD" w:rsidRDefault="003C2110" w:rsidP="00347B2F">
                  <w:pPr>
                    <w:ind w:right="-29"/>
                    <w:jc w:val="center"/>
                    <w:rPr>
                      <w:sz w:val="18"/>
                    </w:rPr>
                  </w:pPr>
                </w:p>
              </w:tc>
              <w:tc>
                <w:tcPr>
                  <w:tcW w:w="727" w:type="dxa"/>
                  <w:vAlign w:val="center"/>
                </w:tcPr>
                <w:p w:rsidR="003C2110" w:rsidRPr="005F31CD" w:rsidRDefault="003C2110" w:rsidP="00347B2F">
                  <w:pPr>
                    <w:ind w:right="-29"/>
                    <w:jc w:val="center"/>
                    <w:rPr>
                      <w:sz w:val="18"/>
                    </w:rPr>
                  </w:pPr>
                </w:p>
              </w:tc>
              <w:tc>
                <w:tcPr>
                  <w:tcW w:w="1325" w:type="dxa"/>
                  <w:vAlign w:val="center"/>
                </w:tcPr>
                <w:p w:rsidR="003C2110" w:rsidRPr="005F31CD" w:rsidRDefault="003C2110" w:rsidP="00347B2F">
                  <w:pPr>
                    <w:ind w:right="-29"/>
                    <w:jc w:val="center"/>
                    <w:rPr>
                      <w:sz w:val="18"/>
                    </w:rPr>
                  </w:pPr>
                  <w:r w:rsidRPr="005F31CD">
                    <w:rPr>
                      <w:sz w:val="18"/>
                    </w:rPr>
                    <w:t>2</w:t>
                  </w:r>
                </w:p>
              </w:tc>
              <w:tc>
                <w:tcPr>
                  <w:tcW w:w="1325" w:type="dxa"/>
                  <w:vAlign w:val="center"/>
                </w:tcPr>
                <w:p w:rsidR="003C2110" w:rsidRPr="005F31CD" w:rsidRDefault="003C2110" w:rsidP="00347B2F">
                  <w:pPr>
                    <w:ind w:right="-29"/>
                    <w:jc w:val="center"/>
                    <w:rPr>
                      <w:sz w:val="18"/>
                    </w:rPr>
                  </w:pPr>
                  <w:r w:rsidRPr="005F31CD">
                    <w:rPr>
                      <w:sz w:val="18"/>
                    </w:rPr>
                    <w:t>10</w:t>
                  </w:r>
                </w:p>
              </w:tc>
            </w:tr>
            <w:tr w:rsidR="003C2110" w:rsidRPr="005F31CD" w:rsidTr="00347B2F">
              <w:tc>
                <w:tcPr>
                  <w:tcW w:w="1376" w:type="dxa"/>
                  <w:vAlign w:val="center"/>
                </w:tcPr>
                <w:p w:rsidR="003C2110" w:rsidRPr="005F31CD" w:rsidRDefault="003C2110" w:rsidP="00347B2F">
                  <w:pPr>
                    <w:ind w:right="-29"/>
                    <w:jc w:val="center"/>
                    <w:rPr>
                      <w:sz w:val="18"/>
                    </w:rPr>
                  </w:pPr>
                  <w:r w:rsidRPr="005F31CD">
                    <w:rPr>
                      <w:sz w:val="18"/>
                    </w:rPr>
                    <w:t>– Výstup 2</w:t>
                  </w:r>
                </w:p>
              </w:tc>
              <w:tc>
                <w:tcPr>
                  <w:tcW w:w="1755" w:type="dxa"/>
                  <w:vAlign w:val="center"/>
                </w:tcPr>
                <w:p w:rsidR="003C2110" w:rsidRPr="005F31CD" w:rsidRDefault="003C2110" w:rsidP="00347B2F">
                  <w:pPr>
                    <w:ind w:right="-29"/>
                    <w:jc w:val="center"/>
                    <w:rPr>
                      <w:sz w:val="18"/>
                    </w:rPr>
                  </w:pPr>
                  <w:r w:rsidRPr="005F31CD">
                    <w:rPr>
                      <w:sz w:val="18"/>
                    </w:rPr>
                    <w:t>Financovanie Garančného fondu</w:t>
                  </w:r>
                </w:p>
              </w:tc>
              <w:tc>
                <w:tcPr>
                  <w:tcW w:w="763" w:type="dxa"/>
                  <w:vAlign w:val="center"/>
                </w:tcPr>
                <w:p w:rsidR="003C2110" w:rsidRPr="005F31CD" w:rsidRDefault="003C2110" w:rsidP="00347B2F">
                  <w:pPr>
                    <w:ind w:right="-29"/>
                    <w:jc w:val="center"/>
                    <w:rPr>
                      <w:sz w:val="18"/>
                    </w:rPr>
                  </w:pPr>
                </w:p>
              </w:tc>
              <w:tc>
                <w:tcPr>
                  <w:tcW w:w="706" w:type="dxa"/>
                  <w:gridSpan w:val="2"/>
                  <w:vAlign w:val="center"/>
                </w:tcPr>
                <w:p w:rsidR="003C2110" w:rsidRPr="005F31CD" w:rsidRDefault="003C2110" w:rsidP="00347B2F">
                  <w:pPr>
                    <w:ind w:right="-29"/>
                    <w:jc w:val="center"/>
                    <w:rPr>
                      <w:sz w:val="18"/>
                    </w:rPr>
                  </w:pPr>
                </w:p>
              </w:tc>
              <w:tc>
                <w:tcPr>
                  <w:tcW w:w="784" w:type="dxa"/>
                  <w:gridSpan w:val="2"/>
                  <w:vAlign w:val="center"/>
                </w:tcPr>
                <w:p w:rsidR="003C2110" w:rsidRPr="005F31CD" w:rsidRDefault="003C2110" w:rsidP="00347B2F">
                  <w:pPr>
                    <w:ind w:right="-29"/>
                    <w:jc w:val="center"/>
                    <w:rPr>
                      <w:sz w:val="18"/>
                    </w:rPr>
                  </w:pPr>
                </w:p>
              </w:tc>
              <w:tc>
                <w:tcPr>
                  <w:tcW w:w="686" w:type="dxa"/>
                  <w:vAlign w:val="center"/>
                </w:tcPr>
                <w:p w:rsidR="003C2110" w:rsidRPr="005F31CD" w:rsidRDefault="003C2110" w:rsidP="00347B2F">
                  <w:pPr>
                    <w:ind w:right="-29"/>
                    <w:jc w:val="center"/>
                    <w:rPr>
                      <w:sz w:val="18"/>
                    </w:rPr>
                  </w:pPr>
                </w:p>
              </w:tc>
              <w:tc>
                <w:tcPr>
                  <w:tcW w:w="763" w:type="dxa"/>
                  <w:vAlign w:val="center"/>
                </w:tcPr>
                <w:p w:rsidR="003C2110" w:rsidRPr="005F31CD" w:rsidRDefault="003C2110" w:rsidP="00347B2F">
                  <w:pPr>
                    <w:ind w:right="-29"/>
                    <w:jc w:val="center"/>
                    <w:rPr>
                      <w:sz w:val="18"/>
                    </w:rPr>
                  </w:pPr>
                </w:p>
              </w:tc>
              <w:tc>
                <w:tcPr>
                  <w:tcW w:w="702" w:type="dxa"/>
                  <w:gridSpan w:val="2"/>
                  <w:vAlign w:val="center"/>
                </w:tcPr>
                <w:p w:rsidR="003C2110" w:rsidRPr="005F31CD" w:rsidRDefault="003C2110" w:rsidP="00347B2F">
                  <w:pPr>
                    <w:ind w:right="-29"/>
                    <w:jc w:val="center"/>
                    <w:rPr>
                      <w:sz w:val="18"/>
                    </w:rPr>
                  </w:pPr>
                </w:p>
              </w:tc>
              <w:tc>
                <w:tcPr>
                  <w:tcW w:w="795" w:type="dxa"/>
                  <w:gridSpan w:val="2"/>
                  <w:vAlign w:val="center"/>
                </w:tcPr>
                <w:p w:rsidR="003C2110" w:rsidRPr="005F31CD" w:rsidRDefault="003C2110" w:rsidP="00347B2F">
                  <w:pPr>
                    <w:ind w:right="-29"/>
                    <w:jc w:val="center"/>
                    <w:rPr>
                      <w:sz w:val="18"/>
                    </w:rPr>
                  </w:pPr>
                  <w:r w:rsidRPr="005F31CD">
                    <w:rPr>
                      <w:sz w:val="18"/>
                    </w:rPr>
                    <w:t>1</w:t>
                  </w:r>
                </w:p>
              </w:tc>
              <w:tc>
                <w:tcPr>
                  <w:tcW w:w="667" w:type="dxa"/>
                  <w:vAlign w:val="center"/>
                </w:tcPr>
                <w:p w:rsidR="003C2110" w:rsidRPr="005F31CD" w:rsidRDefault="003C2110" w:rsidP="00347B2F">
                  <w:pPr>
                    <w:ind w:right="-29"/>
                    <w:jc w:val="center"/>
                    <w:rPr>
                      <w:sz w:val="18"/>
                    </w:rPr>
                  </w:pPr>
                  <w:r w:rsidRPr="005F31CD">
                    <w:rPr>
                      <w:sz w:val="18"/>
                    </w:rPr>
                    <w:t>3,15</w:t>
                  </w:r>
                </w:p>
              </w:tc>
              <w:tc>
                <w:tcPr>
                  <w:tcW w:w="777" w:type="dxa"/>
                  <w:vAlign w:val="center"/>
                </w:tcPr>
                <w:p w:rsidR="003C2110" w:rsidRPr="005F31CD" w:rsidRDefault="003C2110" w:rsidP="00347B2F">
                  <w:pPr>
                    <w:ind w:right="-29"/>
                    <w:jc w:val="center"/>
                    <w:rPr>
                      <w:sz w:val="18"/>
                    </w:rPr>
                  </w:pPr>
                </w:p>
              </w:tc>
              <w:tc>
                <w:tcPr>
                  <w:tcW w:w="727" w:type="dxa"/>
                  <w:vAlign w:val="center"/>
                </w:tcPr>
                <w:p w:rsidR="003C2110" w:rsidRPr="005F31CD" w:rsidRDefault="003C2110" w:rsidP="00347B2F">
                  <w:pPr>
                    <w:ind w:right="-29"/>
                    <w:jc w:val="center"/>
                    <w:rPr>
                      <w:sz w:val="18"/>
                    </w:rPr>
                  </w:pPr>
                </w:p>
              </w:tc>
              <w:tc>
                <w:tcPr>
                  <w:tcW w:w="1325" w:type="dxa"/>
                  <w:vAlign w:val="center"/>
                </w:tcPr>
                <w:p w:rsidR="003C2110" w:rsidRPr="005F31CD" w:rsidRDefault="003C2110" w:rsidP="00347B2F">
                  <w:pPr>
                    <w:ind w:right="-29"/>
                    <w:jc w:val="center"/>
                    <w:rPr>
                      <w:sz w:val="18"/>
                    </w:rPr>
                  </w:pPr>
                  <w:r w:rsidRPr="005F31CD">
                    <w:rPr>
                      <w:sz w:val="18"/>
                    </w:rPr>
                    <w:t>1</w:t>
                  </w:r>
                </w:p>
              </w:tc>
              <w:tc>
                <w:tcPr>
                  <w:tcW w:w="1325" w:type="dxa"/>
                  <w:vAlign w:val="center"/>
                </w:tcPr>
                <w:p w:rsidR="003C2110" w:rsidRPr="005F31CD" w:rsidRDefault="003C2110" w:rsidP="00347B2F">
                  <w:pPr>
                    <w:ind w:right="-29"/>
                    <w:jc w:val="center"/>
                    <w:rPr>
                      <w:sz w:val="18"/>
                    </w:rPr>
                  </w:pPr>
                  <w:r w:rsidRPr="005F31CD">
                    <w:rPr>
                      <w:sz w:val="18"/>
                    </w:rPr>
                    <w:t>3,15</w:t>
                  </w:r>
                </w:p>
              </w:tc>
            </w:tr>
            <w:tr w:rsidR="003C2110" w:rsidRPr="005F31CD" w:rsidTr="00347B2F">
              <w:tc>
                <w:tcPr>
                  <w:tcW w:w="1376" w:type="dxa"/>
                  <w:vAlign w:val="center"/>
                </w:tcPr>
                <w:p w:rsidR="003C2110" w:rsidRPr="005F31CD" w:rsidRDefault="003C2110" w:rsidP="00347B2F">
                  <w:pPr>
                    <w:ind w:right="-29"/>
                    <w:jc w:val="center"/>
                    <w:rPr>
                      <w:sz w:val="18"/>
                    </w:rPr>
                  </w:pPr>
                  <w:r w:rsidRPr="005F31CD">
                    <w:rPr>
                      <w:sz w:val="18"/>
                    </w:rPr>
                    <w:t>– Výstup 3</w:t>
                  </w:r>
                </w:p>
              </w:tc>
              <w:tc>
                <w:tcPr>
                  <w:tcW w:w="1755" w:type="dxa"/>
                  <w:vAlign w:val="center"/>
                </w:tcPr>
                <w:p w:rsidR="003C2110" w:rsidRPr="005F31CD" w:rsidRDefault="003C2110" w:rsidP="00347B2F">
                  <w:pPr>
                    <w:ind w:right="-29"/>
                    <w:jc w:val="center"/>
                    <w:rPr>
                      <w:sz w:val="18"/>
                    </w:rPr>
                  </w:pPr>
                  <w:r w:rsidRPr="005F31CD">
                    <w:rPr>
                      <w:sz w:val="18"/>
                    </w:rPr>
                    <w:t>Operatívne posúdenie</w:t>
                  </w:r>
                </w:p>
              </w:tc>
              <w:tc>
                <w:tcPr>
                  <w:tcW w:w="763" w:type="dxa"/>
                  <w:vAlign w:val="center"/>
                </w:tcPr>
                <w:p w:rsidR="003C2110" w:rsidRPr="005F31CD" w:rsidRDefault="003C2110" w:rsidP="00347B2F">
                  <w:pPr>
                    <w:ind w:right="-29"/>
                    <w:jc w:val="center"/>
                    <w:rPr>
                      <w:sz w:val="18"/>
                    </w:rPr>
                  </w:pPr>
                  <w:r w:rsidRPr="005F31CD">
                    <w:rPr>
                      <w:sz w:val="18"/>
                    </w:rPr>
                    <w:t>1</w:t>
                  </w:r>
                </w:p>
              </w:tc>
              <w:tc>
                <w:tcPr>
                  <w:tcW w:w="706" w:type="dxa"/>
                  <w:gridSpan w:val="2"/>
                  <w:vAlign w:val="center"/>
                </w:tcPr>
                <w:p w:rsidR="003C2110" w:rsidRPr="005F31CD" w:rsidRDefault="003C2110" w:rsidP="00347B2F">
                  <w:pPr>
                    <w:ind w:right="-29"/>
                    <w:jc w:val="center"/>
                    <w:rPr>
                      <w:sz w:val="18"/>
                    </w:rPr>
                  </w:pPr>
                  <w:r w:rsidRPr="005F31CD">
                    <w:rPr>
                      <w:sz w:val="18"/>
                    </w:rPr>
                    <w:t>0,07</w:t>
                  </w:r>
                </w:p>
              </w:tc>
              <w:tc>
                <w:tcPr>
                  <w:tcW w:w="784" w:type="dxa"/>
                  <w:gridSpan w:val="2"/>
                  <w:vAlign w:val="center"/>
                </w:tcPr>
                <w:p w:rsidR="003C2110" w:rsidRPr="005F31CD" w:rsidRDefault="003C2110" w:rsidP="00347B2F">
                  <w:pPr>
                    <w:ind w:right="-29"/>
                    <w:jc w:val="center"/>
                    <w:rPr>
                      <w:sz w:val="18"/>
                    </w:rPr>
                  </w:pPr>
                </w:p>
              </w:tc>
              <w:tc>
                <w:tcPr>
                  <w:tcW w:w="686" w:type="dxa"/>
                  <w:vAlign w:val="center"/>
                </w:tcPr>
                <w:p w:rsidR="003C2110" w:rsidRPr="005F31CD" w:rsidRDefault="003C2110" w:rsidP="00347B2F">
                  <w:pPr>
                    <w:ind w:right="-29"/>
                    <w:jc w:val="center"/>
                    <w:rPr>
                      <w:sz w:val="18"/>
                    </w:rPr>
                  </w:pPr>
                </w:p>
              </w:tc>
              <w:tc>
                <w:tcPr>
                  <w:tcW w:w="763" w:type="dxa"/>
                  <w:vAlign w:val="center"/>
                </w:tcPr>
                <w:p w:rsidR="003C2110" w:rsidRPr="005F31CD" w:rsidRDefault="003C2110" w:rsidP="00347B2F">
                  <w:pPr>
                    <w:ind w:right="-29"/>
                    <w:jc w:val="center"/>
                    <w:rPr>
                      <w:sz w:val="18"/>
                    </w:rPr>
                  </w:pPr>
                </w:p>
              </w:tc>
              <w:tc>
                <w:tcPr>
                  <w:tcW w:w="702" w:type="dxa"/>
                  <w:gridSpan w:val="2"/>
                  <w:vAlign w:val="center"/>
                </w:tcPr>
                <w:p w:rsidR="003C2110" w:rsidRPr="005F31CD" w:rsidRDefault="003C2110" w:rsidP="00347B2F">
                  <w:pPr>
                    <w:ind w:right="-29"/>
                    <w:jc w:val="center"/>
                    <w:rPr>
                      <w:sz w:val="18"/>
                    </w:rPr>
                  </w:pPr>
                </w:p>
              </w:tc>
              <w:tc>
                <w:tcPr>
                  <w:tcW w:w="795" w:type="dxa"/>
                  <w:gridSpan w:val="2"/>
                  <w:vAlign w:val="center"/>
                </w:tcPr>
                <w:p w:rsidR="003C2110" w:rsidRPr="005F31CD" w:rsidRDefault="003C2110" w:rsidP="00347B2F">
                  <w:pPr>
                    <w:ind w:right="-29"/>
                    <w:jc w:val="center"/>
                    <w:rPr>
                      <w:sz w:val="18"/>
                    </w:rPr>
                  </w:pPr>
                </w:p>
              </w:tc>
              <w:tc>
                <w:tcPr>
                  <w:tcW w:w="667" w:type="dxa"/>
                  <w:vAlign w:val="center"/>
                </w:tcPr>
                <w:p w:rsidR="003C2110" w:rsidRPr="005F31CD" w:rsidRDefault="003C2110" w:rsidP="00347B2F">
                  <w:pPr>
                    <w:ind w:right="-29"/>
                    <w:jc w:val="center"/>
                    <w:rPr>
                      <w:sz w:val="18"/>
                    </w:rPr>
                  </w:pPr>
                </w:p>
              </w:tc>
              <w:tc>
                <w:tcPr>
                  <w:tcW w:w="777" w:type="dxa"/>
                  <w:vAlign w:val="center"/>
                </w:tcPr>
                <w:p w:rsidR="003C2110" w:rsidRPr="005F31CD" w:rsidRDefault="003C2110" w:rsidP="00347B2F">
                  <w:pPr>
                    <w:ind w:right="-29"/>
                    <w:jc w:val="center"/>
                    <w:rPr>
                      <w:sz w:val="18"/>
                    </w:rPr>
                  </w:pPr>
                </w:p>
              </w:tc>
              <w:tc>
                <w:tcPr>
                  <w:tcW w:w="727" w:type="dxa"/>
                  <w:vAlign w:val="center"/>
                </w:tcPr>
                <w:p w:rsidR="003C2110" w:rsidRPr="005F31CD" w:rsidRDefault="003C2110" w:rsidP="00347B2F">
                  <w:pPr>
                    <w:ind w:right="-29"/>
                    <w:jc w:val="center"/>
                    <w:rPr>
                      <w:sz w:val="18"/>
                    </w:rPr>
                  </w:pPr>
                </w:p>
              </w:tc>
              <w:tc>
                <w:tcPr>
                  <w:tcW w:w="1325" w:type="dxa"/>
                  <w:vAlign w:val="center"/>
                </w:tcPr>
                <w:p w:rsidR="003C2110" w:rsidRPr="005F31CD" w:rsidRDefault="003C2110" w:rsidP="00347B2F">
                  <w:pPr>
                    <w:ind w:right="-29"/>
                    <w:jc w:val="center"/>
                    <w:rPr>
                      <w:sz w:val="18"/>
                    </w:rPr>
                  </w:pPr>
                </w:p>
              </w:tc>
              <w:tc>
                <w:tcPr>
                  <w:tcW w:w="1325" w:type="dxa"/>
                  <w:vAlign w:val="center"/>
                </w:tcPr>
                <w:p w:rsidR="003C2110" w:rsidRPr="005F31CD" w:rsidRDefault="003C2110" w:rsidP="00347B2F">
                  <w:pPr>
                    <w:ind w:right="-29"/>
                    <w:jc w:val="center"/>
                    <w:rPr>
                      <w:sz w:val="18"/>
                    </w:rPr>
                  </w:pPr>
                  <w:r w:rsidRPr="005F31CD">
                    <w:rPr>
                      <w:sz w:val="18"/>
                    </w:rPr>
                    <w:t>0,07</w:t>
                  </w:r>
                </w:p>
              </w:tc>
            </w:tr>
            <w:tr w:rsidR="003C2110" w:rsidRPr="005F31CD" w:rsidTr="00347B2F">
              <w:tc>
                <w:tcPr>
                  <w:tcW w:w="1376" w:type="dxa"/>
                  <w:vAlign w:val="center"/>
                </w:tcPr>
                <w:p w:rsidR="003C2110" w:rsidRPr="005F31CD" w:rsidRDefault="003C2110" w:rsidP="00347B2F">
                  <w:pPr>
                    <w:ind w:right="-29"/>
                    <w:jc w:val="center"/>
                    <w:rPr>
                      <w:sz w:val="18"/>
                    </w:rPr>
                  </w:pPr>
                  <w:r w:rsidRPr="005F31CD">
                    <w:rPr>
                      <w:sz w:val="18"/>
                    </w:rPr>
                    <w:t>– Výstup 4</w:t>
                  </w:r>
                </w:p>
              </w:tc>
              <w:tc>
                <w:tcPr>
                  <w:tcW w:w="1755" w:type="dxa"/>
                  <w:vAlign w:val="center"/>
                </w:tcPr>
                <w:p w:rsidR="003C2110" w:rsidRPr="005F31CD" w:rsidRDefault="003C2110" w:rsidP="00347B2F">
                  <w:pPr>
                    <w:ind w:right="-29"/>
                    <w:jc w:val="center"/>
                    <w:rPr>
                      <w:sz w:val="18"/>
                    </w:rPr>
                  </w:pPr>
                  <w:r w:rsidRPr="005F31CD">
                    <w:rPr>
                      <w:sz w:val="18"/>
                    </w:rPr>
                    <w:t xml:space="preserve">Hodnotenie </w:t>
                  </w:r>
                  <w:r w:rsidRPr="005F31CD">
                    <w:rPr>
                      <w:i/>
                      <w:sz w:val="18"/>
                    </w:rPr>
                    <w:t>ex post</w:t>
                  </w:r>
                </w:p>
              </w:tc>
              <w:tc>
                <w:tcPr>
                  <w:tcW w:w="763" w:type="dxa"/>
                  <w:vAlign w:val="center"/>
                </w:tcPr>
                <w:p w:rsidR="003C2110" w:rsidRPr="005F31CD" w:rsidRDefault="003C2110" w:rsidP="00347B2F">
                  <w:pPr>
                    <w:ind w:right="-29"/>
                    <w:jc w:val="center"/>
                    <w:rPr>
                      <w:sz w:val="18"/>
                    </w:rPr>
                  </w:pPr>
                </w:p>
              </w:tc>
              <w:tc>
                <w:tcPr>
                  <w:tcW w:w="706" w:type="dxa"/>
                  <w:gridSpan w:val="2"/>
                  <w:vAlign w:val="center"/>
                </w:tcPr>
                <w:p w:rsidR="003C2110" w:rsidRPr="005F31CD" w:rsidRDefault="003C2110" w:rsidP="00347B2F">
                  <w:pPr>
                    <w:ind w:right="-29"/>
                    <w:jc w:val="center"/>
                    <w:rPr>
                      <w:sz w:val="18"/>
                    </w:rPr>
                  </w:pPr>
                </w:p>
              </w:tc>
              <w:tc>
                <w:tcPr>
                  <w:tcW w:w="784" w:type="dxa"/>
                  <w:gridSpan w:val="2"/>
                  <w:vAlign w:val="center"/>
                </w:tcPr>
                <w:p w:rsidR="003C2110" w:rsidRPr="005F31CD" w:rsidRDefault="003C2110" w:rsidP="00347B2F">
                  <w:pPr>
                    <w:ind w:right="-29"/>
                    <w:jc w:val="center"/>
                    <w:rPr>
                      <w:sz w:val="18"/>
                    </w:rPr>
                  </w:pPr>
                </w:p>
              </w:tc>
              <w:tc>
                <w:tcPr>
                  <w:tcW w:w="686" w:type="dxa"/>
                  <w:vAlign w:val="center"/>
                </w:tcPr>
                <w:p w:rsidR="003C2110" w:rsidRPr="005F31CD" w:rsidRDefault="003C2110" w:rsidP="00347B2F">
                  <w:pPr>
                    <w:ind w:right="-29"/>
                    <w:jc w:val="center"/>
                    <w:rPr>
                      <w:sz w:val="18"/>
                    </w:rPr>
                  </w:pPr>
                </w:p>
              </w:tc>
              <w:tc>
                <w:tcPr>
                  <w:tcW w:w="763" w:type="dxa"/>
                  <w:vAlign w:val="center"/>
                </w:tcPr>
                <w:p w:rsidR="003C2110" w:rsidRPr="005F31CD" w:rsidRDefault="003C2110" w:rsidP="00347B2F">
                  <w:pPr>
                    <w:ind w:right="-29"/>
                    <w:jc w:val="center"/>
                    <w:rPr>
                      <w:sz w:val="18"/>
                    </w:rPr>
                  </w:pPr>
                </w:p>
              </w:tc>
              <w:tc>
                <w:tcPr>
                  <w:tcW w:w="702" w:type="dxa"/>
                  <w:gridSpan w:val="2"/>
                  <w:vAlign w:val="center"/>
                </w:tcPr>
                <w:p w:rsidR="003C2110" w:rsidRPr="005F31CD" w:rsidRDefault="003C2110" w:rsidP="00347B2F">
                  <w:pPr>
                    <w:ind w:right="-29"/>
                    <w:jc w:val="center"/>
                    <w:rPr>
                      <w:sz w:val="18"/>
                    </w:rPr>
                  </w:pPr>
                </w:p>
              </w:tc>
              <w:tc>
                <w:tcPr>
                  <w:tcW w:w="795" w:type="dxa"/>
                  <w:gridSpan w:val="2"/>
                  <w:vAlign w:val="center"/>
                </w:tcPr>
                <w:p w:rsidR="003C2110" w:rsidRPr="005F31CD" w:rsidRDefault="003C2110" w:rsidP="00347B2F">
                  <w:pPr>
                    <w:ind w:right="-29"/>
                    <w:jc w:val="center"/>
                    <w:rPr>
                      <w:sz w:val="18"/>
                    </w:rPr>
                  </w:pPr>
                  <w:r w:rsidRPr="005F31CD">
                    <w:rPr>
                      <w:sz w:val="18"/>
                    </w:rPr>
                    <w:t>1</w:t>
                  </w:r>
                </w:p>
              </w:tc>
              <w:tc>
                <w:tcPr>
                  <w:tcW w:w="667" w:type="dxa"/>
                  <w:vAlign w:val="center"/>
                </w:tcPr>
                <w:p w:rsidR="003C2110" w:rsidRPr="005F31CD" w:rsidRDefault="003C2110" w:rsidP="00347B2F">
                  <w:pPr>
                    <w:ind w:right="-29"/>
                    <w:jc w:val="center"/>
                    <w:rPr>
                      <w:sz w:val="18"/>
                    </w:rPr>
                  </w:pPr>
                  <w:r w:rsidRPr="005F31CD">
                    <w:rPr>
                      <w:sz w:val="18"/>
                    </w:rPr>
                    <w:t>0,15</w:t>
                  </w:r>
                </w:p>
              </w:tc>
              <w:tc>
                <w:tcPr>
                  <w:tcW w:w="777" w:type="dxa"/>
                  <w:vAlign w:val="center"/>
                </w:tcPr>
                <w:p w:rsidR="003C2110" w:rsidRPr="005F31CD" w:rsidRDefault="003C2110" w:rsidP="00347B2F">
                  <w:pPr>
                    <w:ind w:right="-29"/>
                    <w:jc w:val="center"/>
                    <w:rPr>
                      <w:sz w:val="18"/>
                    </w:rPr>
                  </w:pPr>
                </w:p>
              </w:tc>
              <w:tc>
                <w:tcPr>
                  <w:tcW w:w="727" w:type="dxa"/>
                  <w:vAlign w:val="center"/>
                </w:tcPr>
                <w:p w:rsidR="003C2110" w:rsidRPr="005F31CD" w:rsidRDefault="003C2110" w:rsidP="00347B2F">
                  <w:pPr>
                    <w:ind w:right="-29"/>
                    <w:jc w:val="center"/>
                    <w:rPr>
                      <w:sz w:val="18"/>
                    </w:rPr>
                  </w:pPr>
                </w:p>
              </w:tc>
              <w:tc>
                <w:tcPr>
                  <w:tcW w:w="1325" w:type="dxa"/>
                  <w:vAlign w:val="center"/>
                </w:tcPr>
                <w:p w:rsidR="003C2110" w:rsidRPr="005F31CD" w:rsidRDefault="003C2110" w:rsidP="00347B2F">
                  <w:pPr>
                    <w:ind w:right="-29"/>
                    <w:jc w:val="center"/>
                    <w:rPr>
                      <w:sz w:val="18"/>
                    </w:rPr>
                  </w:pPr>
                  <w:r w:rsidRPr="005F31CD">
                    <w:rPr>
                      <w:sz w:val="18"/>
                    </w:rPr>
                    <w:t>1</w:t>
                  </w:r>
                </w:p>
              </w:tc>
              <w:tc>
                <w:tcPr>
                  <w:tcW w:w="1325" w:type="dxa"/>
                  <w:vAlign w:val="center"/>
                </w:tcPr>
                <w:p w:rsidR="003C2110" w:rsidRPr="005F31CD" w:rsidRDefault="003C2110" w:rsidP="00347B2F">
                  <w:pPr>
                    <w:ind w:right="-29"/>
                    <w:jc w:val="center"/>
                    <w:rPr>
                      <w:sz w:val="18"/>
                    </w:rPr>
                  </w:pPr>
                  <w:r w:rsidRPr="005F31CD">
                    <w:rPr>
                      <w:sz w:val="18"/>
                    </w:rPr>
                    <w:t>0,15</w:t>
                  </w:r>
                </w:p>
              </w:tc>
            </w:tr>
            <w:tr w:rsidR="003C2110" w:rsidRPr="005F31CD" w:rsidTr="00347B2F">
              <w:tc>
                <w:tcPr>
                  <w:tcW w:w="3131" w:type="dxa"/>
                  <w:gridSpan w:val="2"/>
                  <w:vAlign w:val="center"/>
                </w:tcPr>
                <w:p w:rsidR="003C2110" w:rsidRPr="005F31CD" w:rsidRDefault="003C2110" w:rsidP="00347B2F">
                  <w:pPr>
                    <w:ind w:right="-29"/>
                    <w:jc w:val="center"/>
                    <w:rPr>
                      <w:sz w:val="18"/>
                    </w:rPr>
                  </w:pPr>
                  <w:r w:rsidRPr="005F31CD">
                    <w:rPr>
                      <w:sz w:val="18"/>
                    </w:rPr>
                    <w:t xml:space="preserve">Osobitný cieľ </w:t>
                  </w:r>
                  <w:r w:rsidR="005F31CD">
                    <w:rPr>
                      <w:sz w:val="18"/>
                    </w:rPr>
                    <w:t>č. </w:t>
                  </w:r>
                  <w:r w:rsidRPr="005F31CD">
                    <w:rPr>
                      <w:sz w:val="18"/>
                    </w:rPr>
                    <w:t>1 medzisúčet</w:t>
                  </w:r>
                </w:p>
              </w:tc>
              <w:tc>
                <w:tcPr>
                  <w:tcW w:w="763" w:type="dxa"/>
                  <w:vAlign w:val="center"/>
                </w:tcPr>
                <w:p w:rsidR="003C2110" w:rsidRPr="005F31CD" w:rsidRDefault="003C2110" w:rsidP="00347B2F">
                  <w:pPr>
                    <w:ind w:right="-29"/>
                    <w:jc w:val="center"/>
                    <w:rPr>
                      <w:sz w:val="18"/>
                    </w:rPr>
                  </w:pPr>
                </w:p>
              </w:tc>
              <w:tc>
                <w:tcPr>
                  <w:tcW w:w="706" w:type="dxa"/>
                  <w:gridSpan w:val="2"/>
                  <w:vAlign w:val="center"/>
                </w:tcPr>
                <w:p w:rsidR="003C2110" w:rsidRPr="005F31CD" w:rsidRDefault="003C2110" w:rsidP="00347B2F">
                  <w:pPr>
                    <w:ind w:right="-29"/>
                    <w:jc w:val="center"/>
                    <w:rPr>
                      <w:sz w:val="18"/>
                    </w:rPr>
                  </w:pPr>
                </w:p>
              </w:tc>
              <w:tc>
                <w:tcPr>
                  <w:tcW w:w="784" w:type="dxa"/>
                  <w:gridSpan w:val="2"/>
                  <w:vAlign w:val="center"/>
                </w:tcPr>
                <w:p w:rsidR="003C2110" w:rsidRPr="005F31CD" w:rsidRDefault="003C2110" w:rsidP="00347B2F">
                  <w:pPr>
                    <w:ind w:right="-29"/>
                    <w:jc w:val="center"/>
                    <w:rPr>
                      <w:sz w:val="18"/>
                    </w:rPr>
                  </w:pPr>
                  <w:r w:rsidRPr="005F31CD">
                    <w:rPr>
                      <w:sz w:val="18"/>
                    </w:rPr>
                    <w:t>2</w:t>
                  </w:r>
                </w:p>
              </w:tc>
              <w:tc>
                <w:tcPr>
                  <w:tcW w:w="686" w:type="dxa"/>
                  <w:vAlign w:val="center"/>
                </w:tcPr>
                <w:p w:rsidR="003C2110" w:rsidRPr="005F31CD" w:rsidRDefault="003C2110" w:rsidP="00347B2F">
                  <w:pPr>
                    <w:ind w:right="-29"/>
                    <w:jc w:val="center"/>
                    <w:rPr>
                      <w:sz w:val="18"/>
                    </w:rPr>
                  </w:pPr>
                  <w:r w:rsidRPr="005F31CD">
                    <w:rPr>
                      <w:sz w:val="18"/>
                    </w:rPr>
                    <w:t>10</w:t>
                  </w:r>
                </w:p>
              </w:tc>
              <w:tc>
                <w:tcPr>
                  <w:tcW w:w="763" w:type="dxa"/>
                  <w:vAlign w:val="center"/>
                </w:tcPr>
                <w:p w:rsidR="003C2110" w:rsidRPr="005F31CD" w:rsidRDefault="003C2110" w:rsidP="00347B2F">
                  <w:pPr>
                    <w:ind w:right="-29"/>
                    <w:jc w:val="center"/>
                    <w:rPr>
                      <w:sz w:val="18"/>
                    </w:rPr>
                  </w:pPr>
                </w:p>
              </w:tc>
              <w:tc>
                <w:tcPr>
                  <w:tcW w:w="702" w:type="dxa"/>
                  <w:gridSpan w:val="2"/>
                  <w:vAlign w:val="center"/>
                </w:tcPr>
                <w:p w:rsidR="003C2110" w:rsidRPr="005F31CD" w:rsidRDefault="003C2110" w:rsidP="00347B2F">
                  <w:pPr>
                    <w:ind w:right="-29"/>
                    <w:jc w:val="center"/>
                    <w:rPr>
                      <w:sz w:val="18"/>
                    </w:rPr>
                  </w:pPr>
                </w:p>
              </w:tc>
              <w:tc>
                <w:tcPr>
                  <w:tcW w:w="795" w:type="dxa"/>
                  <w:gridSpan w:val="2"/>
                  <w:vAlign w:val="center"/>
                </w:tcPr>
                <w:p w:rsidR="003C2110" w:rsidRPr="005F31CD" w:rsidRDefault="003C2110" w:rsidP="00347B2F">
                  <w:pPr>
                    <w:ind w:right="-29"/>
                    <w:jc w:val="center"/>
                    <w:rPr>
                      <w:sz w:val="18"/>
                    </w:rPr>
                  </w:pPr>
                  <w:r w:rsidRPr="005F31CD">
                    <w:rPr>
                      <w:sz w:val="18"/>
                    </w:rPr>
                    <w:t>2</w:t>
                  </w:r>
                </w:p>
              </w:tc>
              <w:tc>
                <w:tcPr>
                  <w:tcW w:w="667" w:type="dxa"/>
                  <w:vAlign w:val="center"/>
                </w:tcPr>
                <w:p w:rsidR="003C2110" w:rsidRPr="005F31CD" w:rsidRDefault="003C2110" w:rsidP="00347B2F">
                  <w:pPr>
                    <w:ind w:right="-29"/>
                    <w:jc w:val="center"/>
                    <w:rPr>
                      <w:sz w:val="18"/>
                    </w:rPr>
                  </w:pPr>
                  <w:r w:rsidRPr="005F31CD">
                    <w:rPr>
                      <w:sz w:val="18"/>
                    </w:rPr>
                    <w:t>3,3</w:t>
                  </w:r>
                </w:p>
              </w:tc>
              <w:tc>
                <w:tcPr>
                  <w:tcW w:w="777" w:type="dxa"/>
                  <w:vAlign w:val="center"/>
                </w:tcPr>
                <w:p w:rsidR="003C2110" w:rsidRPr="005F31CD" w:rsidRDefault="003C2110" w:rsidP="00347B2F">
                  <w:pPr>
                    <w:ind w:right="-29"/>
                    <w:jc w:val="center"/>
                    <w:rPr>
                      <w:sz w:val="18"/>
                    </w:rPr>
                  </w:pPr>
                </w:p>
              </w:tc>
              <w:tc>
                <w:tcPr>
                  <w:tcW w:w="727" w:type="dxa"/>
                  <w:vAlign w:val="center"/>
                </w:tcPr>
                <w:p w:rsidR="003C2110" w:rsidRPr="005F31CD" w:rsidRDefault="003C2110" w:rsidP="00347B2F">
                  <w:pPr>
                    <w:ind w:right="-29"/>
                    <w:jc w:val="center"/>
                    <w:rPr>
                      <w:sz w:val="18"/>
                    </w:rPr>
                  </w:pPr>
                </w:p>
              </w:tc>
              <w:tc>
                <w:tcPr>
                  <w:tcW w:w="1325" w:type="dxa"/>
                  <w:vAlign w:val="center"/>
                </w:tcPr>
                <w:p w:rsidR="003C2110" w:rsidRPr="005F31CD" w:rsidRDefault="003C2110" w:rsidP="00347B2F">
                  <w:pPr>
                    <w:ind w:right="-29"/>
                    <w:jc w:val="center"/>
                    <w:rPr>
                      <w:sz w:val="18"/>
                    </w:rPr>
                  </w:pPr>
                  <w:r w:rsidRPr="005F31CD">
                    <w:rPr>
                      <w:sz w:val="18"/>
                    </w:rPr>
                    <w:t>5</w:t>
                  </w:r>
                </w:p>
              </w:tc>
              <w:tc>
                <w:tcPr>
                  <w:tcW w:w="1325" w:type="dxa"/>
                  <w:vAlign w:val="center"/>
                </w:tcPr>
                <w:p w:rsidR="003C2110" w:rsidRPr="005F31CD" w:rsidRDefault="003C2110" w:rsidP="00347B2F">
                  <w:pPr>
                    <w:ind w:right="-29"/>
                    <w:jc w:val="center"/>
                    <w:rPr>
                      <w:sz w:val="18"/>
                    </w:rPr>
                  </w:pPr>
                  <w:r w:rsidRPr="005F31CD">
                    <w:rPr>
                      <w:sz w:val="18"/>
                    </w:rPr>
                    <w:t>13,37</w:t>
                  </w:r>
                </w:p>
              </w:tc>
            </w:tr>
            <w:tr w:rsidR="003C2110" w:rsidRPr="005F31CD" w:rsidTr="00347B2F">
              <w:tc>
                <w:tcPr>
                  <w:tcW w:w="3131" w:type="dxa"/>
                  <w:gridSpan w:val="2"/>
                  <w:vAlign w:val="center"/>
                </w:tcPr>
                <w:p w:rsidR="003C2110" w:rsidRPr="005F31CD" w:rsidRDefault="003C2110" w:rsidP="00347B2F">
                  <w:pPr>
                    <w:ind w:right="-29"/>
                    <w:jc w:val="center"/>
                    <w:rPr>
                      <w:sz w:val="18"/>
                    </w:rPr>
                  </w:pPr>
                  <w:r w:rsidRPr="005F31CD">
                    <w:rPr>
                      <w:b/>
                      <w:sz w:val="18"/>
                    </w:rPr>
                    <w:t>NÁKLADY SPOLU</w:t>
                  </w:r>
                </w:p>
              </w:tc>
              <w:tc>
                <w:tcPr>
                  <w:tcW w:w="763" w:type="dxa"/>
                  <w:vAlign w:val="center"/>
                </w:tcPr>
                <w:p w:rsidR="003C2110" w:rsidRPr="005F31CD" w:rsidRDefault="003C2110" w:rsidP="00347B2F">
                  <w:pPr>
                    <w:ind w:right="-29"/>
                    <w:jc w:val="center"/>
                    <w:rPr>
                      <w:sz w:val="18"/>
                    </w:rPr>
                  </w:pPr>
                </w:p>
              </w:tc>
              <w:tc>
                <w:tcPr>
                  <w:tcW w:w="706" w:type="dxa"/>
                  <w:gridSpan w:val="2"/>
                  <w:vAlign w:val="center"/>
                </w:tcPr>
                <w:p w:rsidR="003C2110" w:rsidRPr="005F31CD" w:rsidRDefault="003C2110" w:rsidP="00347B2F">
                  <w:pPr>
                    <w:ind w:right="-29"/>
                    <w:jc w:val="center"/>
                    <w:rPr>
                      <w:sz w:val="18"/>
                    </w:rPr>
                  </w:pPr>
                </w:p>
              </w:tc>
              <w:tc>
                <w:tcPr>
                  <w:tcW w:w="784" w:type="dxa"/>
                  <w:gridSpan w:val="2"/>
                  <w:vAlign w:val="center"/>
                </w:tcPr>
                <w:p w:rsidR="003C2110" w:rsidRPr="005F31CD" w:rsidRDefault="003C2110" w:rsidP="00347B2F">
                  <w:pPr>
                    <w:ind w:right="-29"/>
                    <w:jc w:val="center"/>
                    <w:rPr>
                      <w:sz w:val="18"/>
                    </w:rPr>
                  </w:pPr>
                  <w:r w:rsidRPr="005F31CD">
                    <w:rPr>
                      <w:sz w:val="18"/>
                    </w:rPr>
                    <w:t>2</w:t>
                  </w:r>
                </w:p>
              </w:tc>
              <w:tc>
                <w:tcPr>
                  <w:tcW w:w="686" w:type="dxa"/>
                  <w:vAlign w:val="center"/>
                </w:tcPr>
                <w:p w:rsidR="003C2110" w:rsidRPr="005F31CD" w:rsidRDefault="003C2110" w:rsidP="00347B2F">
                  <w:pPr>
                    <w:ind w:right="-29"/>
                    <w:jc w:val="center"/>
                    <w:rPr>
                      <w:sz w:val="18"/>
                    </w:rPr>
                  </w:pPr>
                  <w:r w:rsidRPr="005F31CD">
                    <w:rPr>
                      <w:sz w:val="18"/>
                    </w:rPr>
                    <w:t>10</w:t>
                  </w:r>
                </w:p>
              </w:tc>
              <w:tc>
                <w:tcPr>
                  <w:tcW w:w="763" w:type="dxa"/>
                  <w:vAlign w:val="center"/>
                </w:tcPr>
                <w:p w:rsidR="003C2110" w:rsidRPr="005F31CD" w:rsidRDefault="003C2110" w:rsidP="00347B2F">
                  <w:pPr>
                    <w:ind w:right="-29"/>
                    <w:jc w:val="center"/>
                    <w:rPr>
                      <w:sz w:val="18"/>
                    </w:rPr>
                  </w:pPr>
                </w:p>
              </w:tc>
              <w:tc>
                <w:tcPr>
                  <w:tcW w:w="702" w:type="dxa"/>
                  <w:gridSpan w:val="2"/>
                  <w:vAlign w:val="center"/>
                </w:tcPr>
                <w:p w:rsidR="003C2110" w:rsidRPr="005F31CD" w:rsidRDefault="003C2110" w:rsidP="00347B2F">
                  <w:pPr>
                    <w:ind w:right="-29"/>
                    <w:jc w:val="center"/>
                    <w:rPr>
                      <w:sz w:val="18"/>
                    </w:rPr>
                  </w:pPr>
                </w:p>
              </w:tc>
              <w:tc>
                <w:tcPr>
                  <w:tcW w:w="795" w:type="dxa"/>
                  <w:gridSpan w:val="2"/>
                  <w:vAlign w:val="center"/>
                </w:tcPr>
                <w:p w:rsidR="003C2110" w:rsidRPr="005F31CD" w:rsidRDefault="003C2110" w:rsidP="00347B2F">
                  <w:pPr>
                    <w:ind w:right="-29"/>
                    <w:jc w:val="center"/>
                    <w:rPr>
                      <w:sz w:val="18"/>
                    </w:rPr>
                  </w:pPr>
                  <w:r w:rsidRPr="005F31CD">
                    <w:rPr>
                      <w:sz w:val="18"/>
                    </w:rPr>
                    <w:t>2</w:t>
                  </w:r>
                </w:p>
              </w:tc>
              <w:tc>
                <w:tcPr>
                  <w:tcW w:w="667" w:type="dxa"/>
                  <w:vAlign w:val="center"/>
                </w:tcPr>
                <w:p w:rsidR="003C2110" w:rsidRPr="005F31CD" w:rsidRDefault="003C2110" w:rsidP="00347B2F">
                  <w:pPr>
                    <w:ind w:right="-29"/>
                    <w:jc w:val="center"/>
                    <w:rPr>
                      <w:sz w:val="18"/>
                    </w:rPr>
                  </w:pPr>
                  <w:r w:rsidRPr="005F31CD">
                    <w:rPr>
                      <w:sz w:val="18"/>
                    </w:rPr>
                    <w:t>3,3</w:t>
                  </w:r>
                </w:p>
              </w:tc>
              <w:tc>
                <w:tcPr>
                  <w:tcW w:w="777" w:type="dxa"/>
                  <w:vAlign w:val="center"/>
                </w:tcPr>
                <w:p w:rsidR="003C2110" w:rsidRPr="005F31CD" w:rsidRDefault="003C2110" w:rsidP="00347B2F">
                  <w:pPr>
                    <w:ind w:right="-29"/>
                    <w:jc w:val="center"/>
                    <w:rPr>
                      <w:sz w:val="18"/>
                    </w:rPr>
                  </w:pPr>
                </w:p>
              </w:tc>
              <w:tc>
                <w:tcPr>
                  <w:tcW w:w="727" w:type="dxa"/>
                  <w:vAlign w:val="center"/>
                </w:tcPr>
                <w:p w:rsidR="003C2110" w:rsidRPr="005F31CD" w:rsidRDefault="003C2110" w:rsidP="00347B2F">
                  <w:pPr>
                    <w:ind w:right="-29"/>
                    <w:jc w:val="center"/>
                    <w:rPr>
                      <w:sz w:val="18"/>
                    </w:rPr>
                  </w:pPr>
                </w:p>
              </w:tc>
              <w:tc>
                <w:tcPr>
                  <w:tcW w:w="1325" w:type="dxa"/>
                  <w:vAlign w:val="center"/>
                </w:tcPr>
                <w:p w:rsidR="003C2110" w:rsidRPr="005F31CD" w:rsidRDefault="003C2110" w:rsidP="00347B2F">
                  <w:pPr>
                    <w:ind w:right="-29"/>
                    <w:jc w:val="center"/>
                    <w:rPr>
                      <w:sz w:val="18"/>
                    </w:rPr>
                  </w:pPr>
                  <w:r w:rsidRPr="005F31CD">
                    <w:rPr>
                      <w:sz w:val="18"/>
                    </w:rPr>
                    <w:t>5</w:t>
                  </w:r>
                </w:p>
              </w:tc>
              <w:tc>
                <w:tcPr>
                  <w:tcW w:w="1325" w:type="dxa"/>
                  <w:vAlign w:val="center"/>
                </w:tcPr>
                <w:p w:rsidR="003C2110" w:rsidRPr="005F31CD" w:rsidRDefault="003C2110" w:rsidP="00347B2F">
                  <w:pPr>
                    <w:ind w:right="-29"/>
                    <w:jc w:val="center"/>
                    <w:rPr>
                      <w:sz w:val="18"/>
                    </w:rPr>
                  </w:pPr>
                  <w:r w:rsidRPr="005F31CD">
                    <w:rPr>
                      <w:sz w:val="18"/>
                    </w:rPr>
                    <w:t>13,37</w:t>
                  </w:r>
                </w:p>
              </w:tc>
            </w:tr>
          </w:tbl>
          <w:p w:rsidR="003C2110" w:rsidRPr="005F31CD" w:rsidRDefault="003C2110" w:rsidP="00347B2F">
            <w:pPr>
              <w:spacing w:before="60" w:after="60"/>
              <w:ind w:right="-29"/>
              <w:jc w:val="center"/>
              <w:rPr>
                <w:sz w:val="18"/>
              </w:rPr>
            </w:pPr>
          </w:p>
        </w:tc>
      </w:tr>
    </w:tbl>
    <w:p w:rsidR="003C2110" w:rsidRPr="005F31CD" w:rsidRDefault="003C2110" w:rsidP="003C2110">
      <w:pPr>
        <w:sectPr w:rsidR="003C2110" w:rsidRPr="005F31CD" w:rsidSect="005D0524">
          <w:headerReference w:type="default" r:id="rId18"/>
          <w:footerReference w:type="default" r:id="rId19"/>
          <w:headerReference w:type="first" r:id="rId20"/>
          <w:footerReference w:type="first" r:id="rId21"/>
          <w:pgSz w:w="16840" w:h="11907" w:orient="landscape" w:code="9"/>
          <w:pgMar w:top="1134" w:right="1418" w:bottom="567" w:left="1418" w:header="709" w:footer="709" w:gutter="0"/>
          <w:cols w:space="708"/>
          <w:docGrid w:linePitch="360"/>
        </w:sectPr>
      </w:pPr>
    </w:p>
    <w:p w:rsidR="003C2110" w:rsidRPr="005F31CD" w:rsidRDefault="003C2110" w:rsidP="003C2110">
      <w:pPr>
        <w:pStyle w:val="ManualHeading3"/>
      </w:pPr>
      <w:r w:rsidRPr="005F31CD">
        <w:t>3.2.3.</w:t>
      </w:r>
      <w:r w:rsidRPr="005F31CD">
        <w:tab/>
        <w:t>Odhadovaný vplyv na administratívne rozpočtové prostriedky</w:t>
      </w:r>
    </w:p>
    <w:p w:rsidR="003C2110" w:rsidRPr="005F31CD" w:rsidRDefault="003C2110" w:rsidP="003C2110">
      <w:pPr>
        <w:pStyle w:val="ManualHeading4"/>
      </w:pPr>
      <w:r w:rsidRPr="005F31CD">
        <w:t>3.2.3.1.</w:t>
      </w:r>
      <w:r w:rsidRPr="005F31CD">
        <w:tab/>
        <w:t>Zhrnutie</w:t>
      </w:r>
    </w:p>
    <w:p w:rsidR="003C2110" w:rsidRPr="005F31CD" w:rsidRDefault="003C2110" w:rsidP="003C2110">
      <w:pPr>
        <w:pStyle w:val="ListDash1"/>
      </w:pPr>
      <w:r w:rsidRPr="005F31CD">
        <w:sym w:font="Wingdings" w:char="F0A8"/>
      </w:r>
      <w:r w:rsidRPr="005F31CD">
        <w:tab/>
        <w:t>Návrh/iniciatíva si nevyžaduje použitie administratívnych rozpočtových prostriedkov</w:t>
      </w:r>
    </w:p>
    <w:p w:rsidR="003C2110" w:rsidRPr="005F31CD" w:rsidRDefault="003C2110" w:rsidP="003C2110">
      <w:pPr>
        <w:pStyle w:val="ListDash1"/>
      </w:pPr>
      <w:r w:rsidRPr="005F31CD">
        <w:t>X Návrh/iniciatíva si vyžaduje použitie administratívnych rozpočtových prostriedkov, ako je uvedené</w:t>
      </w:r>
      <w:r w:rsidR="005F31CD">
        <w:t xml:space="preserve"> v </w:t>
      </w:r>
      <w:r w:rsidRPr="005F31CD">
        <w:t>nasledujúcej tabuľke:</w:t>
      </w:r>
    </w:p>
    <w:p w:rsidR="003C2110" w:rsidRPr="005F31CD" w:rsidRDefault="003C2110" w:rsidP="003C2110">
      <w:pPr>
        <w:spacing w:before="240"/>
        <w:rPr>
          <w:sz w:val="20"/>
        </w:rPr>
      </w:pPr>
      <w:r w:rsidRPr="005F31CD">
        <w:rPr>
          <w:sz w:val="20"/>
        </w:rPr>
        <w:t>v mil. EUR (zaokrúhlené na 3 desatinné miesta)</w:t>
      </w:r>
    </w:p>
    <w:tbl>
      <w:tblPr>
        <w:tblW w:w="7241" w:type="dxa"/>
        <w:tblInd w:w="534" w:type="dxa"/>
        <w:tblLayout w:type="fixed"/>
        <w:tblLook w:val="01E0" w:firstRow="1" w:lastRow="1" w:firstColumn="1" w:lastColumn="1" w:noHBand="0" w:noVBand="0"/>
      </w:tblPr>
      <w:tblGrid>
        <w:gridCol w:w="1980"/>
        <w:gridCol w:w="822"/>
        <w:gridCol w:w="850"/>
        <w:gridCol w:w="851"/>
        <w:gridCol w:w="850"/>
        <w:gridCol w:w="851"/>
        <w:gridCol w:w="1037"/>
      </w:tblGrid>
      <w:tr w:rsidR="003C2110" w:rsidRPr="005F31CD" w:rsidTr="00347B2F">
        <w:trPr>
          <w:trHeight w:val="585"/>
        </w:trPr>
        <w:tc>
          <w:tcPr>
            <w:tcW w:w="1980" w:type="dxa"/>
          </w:tcPr>
          <w:p w:rsidR="003C2110" w:rsidRPr="005F31CD" w:rsidRDefault="003C2110" w:rsidP="00347B2F">
            <w:pPr>
              <w:spacing w:before="60" w:after="60" w:line="200" w:lineRule="exact"/>
              <w:rPr>
                <w:sz w:val="16"/>
              </w:rPr>
            </w:pPr>
          </w:p>
        </w:tc>
        <w:tc>
          <w:tcPr>
            <w:tcW w:w="822" w:type="dxa"/>
          </w:tcPr>
          <w:p w:rsidR="003C2110" w:rsidRPr="005F31CD" w:rsidRDefault="003C2110" w:rsidP="00347B2F">
            <w:pPr>
              <w:spacing w:after="0"/>
              <w:jc w:val="center"/>
              <w:rPr>
                <w:sz w:val="16"/>
              </w:rPr>
            </w:pPr>
            <w:r w:rsidRPr="005F31CD">
              <w:rPr>
                <w:sz w:val="16"/>
              </w:rPr>
              <w:t>Rok</w:t>
            </w:r>
            <w:r w:rsidRPr="005F31CD">
              <w:rPr>
                <w:sz w:val="16"/>
              </w:rPr>
              <w:br/>
            </w:r>
            <w:r w:rsidRPr="005F31CD">
              <w:rPr>
                <w:b/>
                <w:sz w:val="16"/>
              </w:rPr>
              <w:t>2017</w:t>
            </w:r>
          </w:p>
        </w:tc>
        <w:tc>
          <w:tcPr>
            <w:tcW w:w="850" w:type="dxa"/>
          </w:tcPr>
          <w:p w:rsidR="003C2110" w:rsidRPr="005F31CD" w:rsidRDefault="003C2110" w:rsidP="00347B2F">
            <w:pPr>
              <w:spacing w:after="0" w:line="200" w:lineRule="exact"/>
              <w:jc w:val="center"/>
            </w:pPr>
            <w:r w:rsidRPr="005F31CD">
              <w:rPr>
                <w:sz w:val="16"/>
              </w:rPr>
              <w:t>Rok</w:t>
            </w:r>
            <w:r w:rsidRPr="005F31CD">
              <w:rPr>
                <w:sz w:val="16"/>
              </w:rPr>
              <w:br/>
            </w:r>
            <w:r w:rsidRPr="005F31CD">
              <w:rPr>
                <w:b/>
                <w:sz w:val="16"/>
              </w:rPr>
              <w:t>2018</w:t>
            </w:r>
            <w:r w:rsidRPr="005F31CD">
              <w:rPr>
                <w:rStyle w:val="FootnoteReference"/>
                <w:b/>
                <w:sz w:val="16"/>
              </w:rPr>
              <w:footnoteReference w:id="24"/>
            </w:r>
          </w:p>
        </w:tc>
        <w:tc>
          <w:tcPr>
            <w:tcW w:w="851" w:type="dxa"/>
          </w:tcPr>
          <w:p w:rsidR="003C2110" w:rsidRPr="005F31CD" w:rsidRDefault="003C2110" w:rsidP="00347B2F">
            <w:pPr>
              <w:spacing w:after="0" w:line="200" w:lineRule="exact"/>
              <w:jc w:val="center"/>
            </w:pPr>
            <w:r w:rsidRPr="005F31CD">
              <w:rPr>
                <w:sz w:val="16"/>
              </w:rPr>
              <w:t>Rok</w:t>
            </w:r>
            <w:r w:rsidRPr="005F31CD">
              <w:rPr>
                <w:sz w:val="16"/>
              </w:rPr>
              <w:br/>
            </w:r>
            <w:r w:rsidRPr="005F31CD">
              <w:rPr>
                <w:b/>
                <w:sz w:val="16"/>
              </w:rPr>
              <w:t>2019</w:t>
            </w:r>
          </w:p>
        </w:tc>
        <w:tc>
          <w:tcPr>
            <w:tcW w:w="850" w:type="dxa"/>
          </w:tcPr>
          <w:p w:rsidR="003C2110" w:rsidRPr="005F31CD" w:rsidRDefault="003C2110" w:rsidP="00347B2F">
            <w:pPr>
              <w:spacing w:after="0" w:line="200" w:lineRule="exact"/>
              <w:jc w:val="center"/>
              <w:rPr>
                <w:sz w:val="16"/>
              </w:rPr>
            </w:pPr>
            <w:r w:rsidRPr="005F31CD">
              <w:rPr>
                <w:sz w:val="16"/>
              </w:rPr>
              <w:t>Rok</w:t>
            </w:r>
            <w:r w:rsidRPr="005F31CD">
              <w:rPr>
                <w:sz w:val="16"/>
              </w:rPr>
              <w:br/>
            </w:r>
            <w:r w:rsidRPr="005F31CD">
              <w:rPr>
                <w:b/>
                <w:sz w:val="16"/>
              </w:rPr>
              <w:t>2020</w:t>
            </w:r>
          </w:p>
        </w:tc>
        <w:tc>
          <w:tcPr>
            <w:tcW w:w="851" w:type="dxa"/>
          </w:tcPr>
          <w:p w:rsidR="003C2110" w:rsidRPr="005F31CD" w:rsidRDefault="003C2110" w:rsidP="00347B2F">
            <w:pPr>
              <w:spacing w:after="0" w:line="200" w:lineRule="exact"/>
              <w:jc w:val="center"/>
            </w:pPr>
            <w:r w:rsidRPr="005F31CD">
              <w:rPr>
                <w:sz w:val="16"/>
              </w:rPr>
              <w:t xml:space="preserve">Rok </w:t>
            </w:r>
            <w:r w:rsidRPr="005F31CD">
              <w:rPr>
                <w:sz w:val="16"/>
              </w:rPr>
              <w:br/>
            </w:r>
            <w:r w:rsidRPr="005F31CD">
              <w:rPr>
                <w:b/>
                <w:sz w:val="16"/>
              </w:rPr>
              <w:t>2021</w:t>
            </w:r>
          </w:p>
        </w:tc>
        <w:tc>
          <w:tcPr>
            <w:tcW w:w="1037" w:type="dxa"/>
          </w:tcPr>
          <w:p w:rsidR="003C2110" w:rsidRPr="005F31CD" w:rsidRDefault="003C2110" w:rsidP="00347B2F">
            <w:pPr>
              <w:spacing w:after="0" w:line="200" w:lineRule="exact"/>
              <w:jc w:val="center"/>
              <w:rPr>
                <w:b/>
                <w:sz w:val="16"/>
              </w:rPr>
            </w:pPr>
            <w:r w:rsidRPr="005F31CD">
              <w:rPr>
                <w:b/>
                <w:sz w:val="16"/>
              </w:rPr>
              <w:t>SPOLU</w:t>
            </w:r>
          </w:p>
        </w:tc>
      </w:tr>
      <w:tr w:rsidR="003C2110" w:rsidRPr="005F31CD" w:rsidTr="00347B2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shd w:val="clear" w:color="auto" w:fill="CCCCCC"/>
            <w:vAlign w:val="center"/>
          </w:tcPr>
          <w:p w:rsidR="003C2110" w:rsidRPr="005F31CD" w:rsidRDefault="003C2110" w:rsidP="00347B2F">
            <w:pPr>
              <w:spacing w:before="60" w:after="60" w:line="200" w:lineRule="exact"/>
              <w:jc w:val="center"/>
            </w:pPr>
            <w:r w:rsidRPr="005F31CD">
              <w:rPr>
                <w:b/>
                <w:sz w:val="16"/>
              </w:rPr>
              <w:t>OKRUH 5</w:t>
            </w:r>
            <w:r w:rsidRPr="005F31CD">
              <w:rPr>
                <w:b/>
                <w:sz w:val="16"/>
              </w:rPr>
              <w:br/>
              <w:t>viacročného finančného rámca</w:t>
            </w:r>
          </w:p>
        </w:tc>
        <w:tc>
          <w:tcPr>
            <w:tcW w:w="822" w:type="dxa"/>
            <w:vAlign w:val="center"/>
          </w:tcPr>
          <w:p w:rsidR="003C2110" w:rsidRPr="005F31CD" w:rsidRDefault="003C2110" w:rsidP="00347B2F">
            <w:pPr>
              <w:spacing w:before="60" w:after="60" w:line="200" w:lineRule="exact"/>
              <w:jc w:val="right"/>
              <w:rPr>
                <w:sz w:val="16"/>
              </w:rPr>
            </w:pPr>
          </w:p>
        </w:tc>
        <w:tc>
          <w:tcPr>
            <w:tcW w:w="850" w:type="dxa"/>
            <w:vAlign w:val="center"/>
          </w:tcPr>
          <w:p w:rsidR="003C2110" w:rsidRPr="005F31CD" w:rsidRDefault="003C2110" w:rsidP="00347B2F">
            <w:pPr>
              <w:spacing w:before="60" w:after="60" w:line="200" w:lineRule="exact"/>
              <w:jc w:val="right"/>
              <w:rPr>
                <w:sz w:val="16"/>
              </w:rPr>
            </w:pPr>
          </w:p>
        </w:tc>
        <w:tc>
          <w:tcPr>
            <w:tcW w:w="851" w:type="dxa"/>
            <w:vAlign w:val="center"/>
          </w:tcPr>
          <w:p w:rsidR="003C2110" w:rsidRPr="005F31CD" w:rsidRDefault="003C2110" w:rsidP="00347B2F">
            <w:pPr>
              <w:spacing w:before="60" w:after="60" w:line="200" w:lineRule="exact"/>
              <w:jc w:val="right"/>
              <w:rPr>
                <w:sz w:val="16"/>
              </w:rPr>
            </w:pPr>
          </w:p>
        </w:tc>
        <w:tc>
          <w:tcPr>
            <w:tcW w:w="850" w:type="dxa"/>
          </w:tcPr>
          <w:p w:rsidR="003C2110" w:rsidRPr="005F31CD" w:rsidRDefault="003C2110" w:rsidP="00347B2F">
            <w:pPr>
              <w:spacing w:before="60" w:after="60" w:line="200" w:lineRule="exact"/>
              <w:jc w:val="right"/>
              <w:rPr>
                <w:sz w:val="16"/>
              </w:rPr>
            </w:pPr>
          </w:p>
        </w:tc>
        <w:tc>
          <w:tcPr>
            <w:tcW w:w="851" w:type="dxa"/>
            <w:vAlign w:val="center"/>
          </w:tcPr>
          <w:p w:rsidR="003C2110" w:rsidRPr="005F31CD" w:rsidRDefault="003C2110" w:rsidP="00347B2F">
            <w:pPr>
              <w:spacing w:before="60" w:after="60" w:line="200" w:lineRule="exact"/>
              <w:jc w:val="right"/>
              <w:rPr>
                <w:sz w:val="16"/>
              </w:rPr>
            </w:pPr>
          </w:p>
        </w:tc>
        <w:tc>
          <w:tcPr>
            <w:tcW w:w="1037" w:type="dxa"/>
            <w:vAlign w:val="center"/>
          </w:tcPr>
          <w:p w:rsidR="003C2110" w:rsidRPr="005F31CD" w:rsidRDefault="003C2110" w:rsidP="00347B2F">
            <w:pPr>
              <w:spacing w:before="60" w:after="60" w:line="200" w:lineRule="exact"/>
              <w:jc w:val="right"/>
              <w:rPr>
                <w:b/>
                <w:sz w:val="16"/>
              </w:rPr>
            </w:pPr>
          </w:p>
        </w:tc>
      </w:tr>
      <w:tr w:rsidR="003C2110" w:rsidRPr="005F31CD" w:rsidTr="00347B2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vAlign w:val="center"/>
          </w:tcPr>
          <w:p w:rsidR="003C2110" w:rsidRPr="005F31CD" w:rsidRDefault="003C2110" w:rsidP="00347B2F">
            <w:pPr>
              <w:spacing w:before="60" w:after="60" w:line="200" w:lineRule="exact"/>
              <w:ind w:left="72"/>
            </w:pPr>
            <w:r w:rsidRPr="005F31CD">
              <w:rPr>
                <w:sz w:val="16"/>
              </w:rPr>
              <w:t xml:space="preserve">Ľudské zdroje </w:t>
            </w:r>
          </w:p>
        </w:tc>
        <w:tc>
          <w:tcPr>
            <w:tcW w:w="822" w:type="dxa"/>
            <w:vAlign w:val="center"/>
          </w:tcPr>
          <w:p w:rsidR="003C2110" w:rsidRPr="005F31CD" w:rsidRDefault="003C2110" w:rsidP="00347B2F">
            <w:pPr>
              <w:spacing w:before="60" w:after="60" w:line="200" w:lineRule="exact"/>
              <w:jc w:val="center"/>
              <w:rPr>
                <w:sz w:val="20"/>
                <w:szCs w:val="20"/>
              </w:rPr>
            </w:pPr>
            <w:r w:rsidRPr="005F31CD">
              <w:rPr>
                <w:sz w:val="20"/>
              </w:rPr>
              <w:t>0,041</w:t>
            </w:r>
          </w:p>
        </w:tc>
        <w:tc>
          <w:tcPr>
            <w:tcW w:w="850" w:type="dxa"/>
            <w:vAlign w:val="center"/>
          </w:tcPr>
          <w:p w:rsidR="003C2110" w:rsidRPr="005F31CD" w:rsidRDefault="003C2110" w:rsidP="00347B2F">
            <w:pPr>
              <w:spacing w:before="60" w:after="60" w:line="200" w:lineRule="exact"/>
              <w:jc w:val="center"/>
              <w:rPr>
                <w:sz w:val="20"/>
                <w:szCs w:val="20"/>
              </w:rPr>
            </w:pPr>
            <w:r w:rsidRPr="005F31CD">
              <w:rPr>
                <w:sz w:val="20"/>
              </w:rPr>
              <w:t>0,058</w:t>
            </w:r>
          </w:p>
        </w:tc>
        <w:tc>
          <w:tcPr>
            <w:tcW w:w="851" w:type="dxa"/>
            <w:vAlign w:val="center"/>
          </w:tcPr>
          <w:p w:rsidR="003C2110" w:rsidRPr="005F31CD" w:rsidRDefault="003C2110" w:rsidP="00347B2F">
            <w:pPr>
              <w:spacing w:before="60" w:after="60" w:line="200" w:lineRule="exact"/>
              <w:jc w:val="center"/>
              <w:rPr>
                <w:sz w:val="20"/>
                <w:szCs w:val="20"/>
              </w:rPr>
            </w:pPr>
            <w:r w:rsidRPr="005F31CD">
              <w:rPr>
                <w:sz w:val="20"/>
              </w:rPr>
              <w:t>0,006</w:t>
            </w:r>
          </w:p>
        </w:tc>
        <w:tc>
          <w:tcPr>
            <w:tcW w:w="850" w:type="dxa"/>
            <w:vAlign w:val="center"/>
          </w:tcPr>
          <w:p w:rsidR="003C2110" w:rsidRPr="005F31CD" w:rsidRDefault="003C2110" w:rsidP="00347B2F">
            <w:pPr>
              <w:spacing w:before="60" w:after="60" w:line="200" w:lineRule="exact"/>
              <w:jc w:val="center"/>
              <w:rPr>
                <w:sz w:val="20"/>
                <w:szCs w:val="20"/>
              </w:rPr>
            </w:pPr>
            <w:r w:rsidRPr="005F31CD">
              <w:rPr>
                <w:sz w:val="20"/>
              </w:rPr>
              <w:t>0,010</w:t>
            </w:r>
          </w:p>
        </w:tc>
        <w:tc>
          <w:tcPr>
            <w:tcW w:w="851" w:type="dxa"/>
            <w:vAlign w:val="center"/>
          </w:tcPr>
          <w:p w:rsidR="003C2110" w:rsidRPr="005F31CD" w:rsidRDefault="003C2110" w:rsidP="00347B2F">
            <w:pPr>
              <w:spacing w:before="60" w:after="60" w:line="200" w:lineRule="exact"/>
              <w:jc w:val="center"/>
              <w:rPr>
                <w:sz w:val="20"/>
                <w:szCs w:val="20"/>
              </w:rPr>
            </w:pPr>
            <w:r w:rsidRPr="005F31CD">
              <w:rPr>
                <w:sz w:val="20"/>
              </w:rPr>
              <w:t>0,010</w:t>
            </w:r>
          </w:p>
        </w:tc>
        <w:tc>
          <w:tcPr>
            <w:tcW w:w="1037" w:type="dxa"/>
            <w:tcBorders>
              <w:bottom w:val="single" w:sz="4" w:space="0" w:color="auto"/>
            </w:tcBorders>
            <w:vAlign w:val="center"/>
          </w:tcPr>
          <w:p w:rsidR="003C2110" w:rsidRPr="005F31CD" w:rsidRDefault="003C2110" w:rsidP="00347B2F">
            <w:pPr>
              <w:spacing w:before="60" w:after="60" w:line="200" w:lineRule="exact"/>
              <w:jc w:val="center"/>
              <w:rPr>
                <w:b/>
                <w:sz w:val="20"/>
                <w:szCs w:val="20"/>
              </w:rPr>
            </w:pPr>
            <w:r w:rsidRPr="005F31CD">
              <w:rPr>
                <w:b/>
                <w:sz w:val="20"/>
              </w:rPr>
              <w:t>0,125</w:t>
            </w:r>
          </w:p>
        </w:tc>
      </w:tr>
      <w:tr w:rsidR="003C2110" w:rsidRPr="005F31CD" w:rsidTr="00347B2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vAlign w:val="center"/>
          </w:tcPr>
          <w:p w:rsidR="003C2110" w:rsidRPr="005F31CD" w:rsidRDefault="003C2110" w:rsidP="00347B2F">
            <w:pPr>
              <w:spacing w:before="60" w:after="60" w:line="200" w:lineRule="exact"/>
              <w:ind w:left="72"/>
              <w:jc w:val="left"/>
            </w:pPr>
            <w:r w:rsidRPr="005F31CD">
              <w:rPr>
                <w:sz w:val="16"/>
              </w:rPr>
              <w:t xml:space="preserve">Ostatné administratívne výdavky </w:t>
            </w:r>
          </w:p>
        </w:tc>
        <w:tc>
          <w:tcPr>
            <w:tcW w:w="822" w:type="dxa"/>
            <w:vAlign w:val="center"/>
          </w:tcPr>
          <w:p w:rsidR="003C2110" w:rsidRPr="005F31CD" w:rsidRDefault="003C2110" w:rsidP="00347B2F">
            <w:pPr>
              <w:spacing w:before="60" w:after="60" w:line="200" w:lineRule="exact"/>
              <w:jc w:val="center"/>
              <w:rPr>
                <w:sz w:val="20"/>
                <w:szCs w:val="20"/>
              </w:rPr>
            </w:pPr>
            <w:r w:rsidRPr="005F31CD">
              <w:rPr>
                <w:sz w:val="20"/>
              </w:rPr>
              <w:t>0,010</w:t>
            </w:r>
          </w:p>
        </w:tc>
        <w:tc>
          <w:tcPr>
            <w:tcW w:w="850" w:type="dxa"/>
            <w:vAlign w:val="center"/>
          </w:tcPr>
          <w:p w:rsidR="003C2110" w:rsidRPr="005F31CD" w:rsidRDefault="003C2110" w:rsidP="00347B2F">
            <w:pPr>
              <w:spacing w:before="60" w:after="60" w:line="200" w:lineRule="exact"/>
              <w:jc w:val="center"/>
              <w:rPr>
                <w:sz w:val="20"/>
                <w:szCs w:val="20"/>
              </w:rPr>
            </w:pPr>
            <w:r w:rsidRPr="005F31CD">
              <w:rPr>
                <w:sz w:val="20"/>
              </w:rPr>
              <w:t>0,020</w:t>
            </w:r>
          </w:p>
        </w:tc>
        <w:tc>
          <w:tcPr>
            <w:tcW w:w="851" w:type="dxa"/>
            <w:vAlign w:val="center"/>
          </w:tcPr>
          <w:p w:rsidR="003C2110" w:rsidRPr="005F31CD" w:rsidRDefault="003C2110" w:rsidP="00347B2F">
            <w:pPr>
              <w:spacing w:before="60" w:after="60" w:line="200" w:lineRule="exact"/>
              <w:jc w:val="center"/>
              <w:rPr>
                <w:sz w:val="20"/>
                <w:szCs w:val="20"/>
              </w:rPr>
            </w:pPr>
          </w:p>
        </w:tc>
        <w:tc>
          <w:tcPr>
            <w:tcW w:w="850" w:type="dxa"/>
            <w:vAlign w:val="center"/>
          </w:tcPr>
          <w:p w:rsidR="003C2110" w:rsidRPr="005F31CD" w:rsidRDefault="003C2110" w:rsidP="00347B2F">
            <w:pPr>
              <w:spacing w:before="60" w:after="60" w:line="200" w:lineRule="exact"/>
              <w:jc w:val="center"/>
              <w:rPr>
                <w:sz w:val="20"/>
                <w:szCs w:val="20"/>
              </w:rPr>
            </w:pPr>
          </w:p>
        </w:tc>
        <w:tc>
          <w:tcPr>
            <w:tcW w:w="851" w:type="dxa"/>
            <w:tcBorders>
              <w:bottom w:val="single" w:sz="4" w:space="0" w:color="auto"/>
            </w:tcBorders>
            <w:vAlign w:val="center"/>
          </w:tcPr>
          <w:p w:rsidR="003C2110" w:rsidRPr="005F31CD" w:rsidRDefault="003C2110" w:rsidP="00347B2F">
            <w:pPr>
              <w:spacing w:before="60" w:after="60" w:line="200" w:lineRule="exact"/>
              <w:jc w:val="center"/>
              <w:rPr>
                <w:sz w:val="20"/>
                <w:szCs w:val="20"/>
              </w:rPr>
            </w:pPr>
          </w:p>
        </w:tc>
        <w:tc>
          <w:tcPr>
            <w:tcW w:w="1037" w:type="dxa"/>
            <w:tcBorders>
              <w:top w:val="single" w:sz="4" w:space="0" w:color="auto"/>
            </w:tcBorders>
            <w:vAlign w:val="center"/>
          </w:tcPr>
          <w:p w:rsidR="003C2110" w:rsidRPr="005F31CD" w:rsidRDefault="003C2110" w:rsidP="00347B2F">
            <w:pPr>
              <w:spacing w:before="60" w:after="60" w:line="200" w:lineRule="exact"/>
              <w:jc w:val="center"/>
              <w:rPr>
                <w:b/>
                <w:sz w:val="20"/>
                <w:szCs w:val="20"/>
              </w:rPr>
            </w:pPr>
            <w:r w:rsidRPr="005F31CD">
              <w:rPr>
                <w:b/>
                <w:sz w:val="20"/>
              </w:rPr>
              <w:t>0,030</w:t>
            </w:r>
          </w:p>
        </w:tc>
      </w:tr>
      <w:tr w:rsidR="003C2110" w:rsidRPr="005F31CD" w:rsidTr="00347B2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shd w:val="clear" w:color="auto" w:fill="CCCCCC"/>
            <w:vAlign w:val="center"/>
          </w:tcPr>
          <w:p w:rsidR="003C2110" w:rsidRPr="005F31CD" w:rsidRDefault="003C2110" w:rsidP="00347B2F">
            <w:pPr>
              <w:spacing w:before="60" w:after="60" w:line="200" w:lineRule="exact"/>
              <w:jc w:val="center"/>
            </w:pPr>
            <w:r w:rsidRPr="005F31CD">
              <w:rPr>
                <w:b/>
                <w:sz w:val="16"/>
              </w:rPr>
              <w:t>OKRUH 5</w:t>
            </w:r>
            <w:r w:rsidRPr="005F31CD">
              <w:rPr>
                <w:b/>
                <w:sz w:val="16"/>
              </w:rPr>
              <w:br/>
              <w:t xml:space="preserve">viacročného finančného rámca medzisúčet </w:t>
            </w:r>
          </w:p>
        </w:tc>
        <w:tc>
          <w:tcPr>
            <w:tcW w:w="822" w:type="dxa"/>
            <w:vAlign w:val="center"/>
          </w:tcPr>
          <w:p w:rsidR="003C2110" w:rsidRPr="005F31CD" w:rsidRDefault="003C2110" w:rsidP="00347B2F">
            <w:pPr>
              <w:spacing w:before="60" w:after="60" w:line="200" w:lineRule="exact"/>
              <w:jc w:val="center"/>
              <w:rPr>
                <w:sz w:val="20"/>
                <w:szCs w:val="20"/>
              </w:rPr>
            </w:pPr>
            <w:r w:rsidRPr="005F31CD">
              <w:rPr>
                <w:sz w:val="20"/>
              </w:rPr>
              <w:t>0,051</w:t>
            </w:r>
          </w:p>
        </w:tc>
        <w:tc>
          <w:tcPr>
            <w:tcW w:w="850" w:type="dxa"/>
            <w:vAlign w:val="center"/>
          </w:tcPr>
          <w:p w:rsidR="003C2110" w:rsidRPr="005F31CD" w:rsidRDefault="003C2110" w:rsidP="00347B2F">
            <w:pPr>
              <w:spacing w:before="60" w:after="60" w:line="200" w:lineRule="exact"/>
              <w:jc w:val="center"/>
              <w:rPr>
                <w:sz w:val="20"/>
                <w:szCs w:val="20"/>
              </w:rPr>
            </w:pPr>
            <w:r w:rsidRPr="005F31CD">
              <w:rPr>
                <w:sz w:val="20"/>
              </w:rPr>
              <w:t>0,078</w:t>
            </w:r>
          </w:p>
        </w:tc>
        <w:tc>
          <w:tcPr>
            <w:tcW w:w="851" w:type="dxa"/>
            <w:vAlign w:val="center"/>
          </w:tcPr>
          <w:p w:rsidR="003C2110" w:rsidRPr="005F31CD" w:rsidRDefault="003C2110" w:rsidP="00347B2F">
            <w:pPr>
              <w:spacing w:before="60" w:after="60" w:line="200" w:lineRule="exact"/>
              <w:jc w:val="center"/>
              <w:rPr>
                <w:sz w:val="20"/>
                <w:szCs w:val="20"/>
              </w:rPr>
            </w:pPr>
            <w:r w:rsidRPr="005F31CD">
              <w:rPr>
                <w:sz w:val="20"/>
              </w:rPr>
              <w:t>0,006</w:t>
            </w:r>
          </w:p>
        </w:tc>
        <w:tc>
          <w:tcPr>
            <w:tcW w:w="850" w:type="dxa"/>
            <w:vAlign w:val="center"/>
          </w:tcPr>
          <w:p w:rsidR="003C2110" w:rsidRPr="005F31CD" w:rsidRDefault="003C2110" w:rsidP="00347B2F">
            <w:pPr>
              <w:spacing w:before="60" w:after="60" w:line="200" w:lineRule="exact"/>
              <w:jc w:val="center"/>
              <w:rPr>
                <w:sz w:val="20"/>
                <w:szCs w:val="20"/>
              </w:rPr>
            </w:pPr>
            <w:r w:rsidRPr="005F31CD">
              <w:rPr>
                <w:sz w:val="20"/>
              </w:rPr>
              <w:t>0,010</w:t>
            </w:r>
          </w:p>
        </w:tc>
        <w:tc>
          <w:tcPr>
            <w:tcW w:w="851" w:type="dxa"/>
            <w:vAlign w:val="center"/>
          </w:tcPr>
          <w:p w:rsidR="003C2110" w:rsidRPr="005F31CD" w:rsidRDefault="003C2110" w:rsidP="00347B2F">
            <w:pPr>
              <w:spacing w:before="60" w:after="60" w:line="200" w:lineRule="exact"/>
              <w:jc w:val="center"/>
              <w:rPr>
                <w:sz w:val="20"/>
                <w:szCs w:val="20"/>
              </w:rPr>
            </w:pPr>
            <w:r w:rsidRPr="005F31CD">
              <w:rPr>
                <w:sz w:val="20"/>
              </w:rPr>
              <w:t>0,010</w:t>
            </w:r>
          </w:p>
        </w:tc>
        <w:tc>
          <w:tcPr>
            <w:tcW w:w="1037" w:type="dxa"/>
            <w:vAlign w:val="center"/>
          </w:tcPr>
          <w:p w:rsidR="003C2110" w:rsidRPr="005F31CD" w:rsidRDefault="003C2110" w:rsidP="00347B2F">
            <w:pPr>
              <w:spacing w:before="60" w:after="60" w:line="200" w:lineRule="exact"/>
              <w:jc w:val="center"/>
              <w:rPr>
                <w:b/>
                <w:sz w:val="20"/>
                <w:szCs w:val="20"/>
              </w:rPr>
            </w:pPr>
            <w:r w:rsidRPr="005F31CD">
              <w:rPr>
                <w:b/>
                <w:sz w:val="20"/>
              </w:rPr>
              <w:t>0,155</w:t>
            </w:r>
          </w:p>
        </w:tc>
      </w:tr>
      <w:tr w:rsidR="003C2110" w:rsidRPr="005F31CD" w:rsidTr="00347B2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shd w:val="clear" w:color="auto" w:fill="CCCCCC"/>
            <w:vAlign w:val="center"/>
          </w:tcPr>
          <w:p w:rsidR="003C2110" w:rsidRPr="005F31CD" w:rsidRDefault="003C2110" w:rsidP="00347B2F">
            <w:pPr>
              <w:spacing w:before="60" w:after="60" w:line="200" w:lineRule="exact"/>
              <w:jc w:val="center"/>
              <w:rPr>
                <w:b/>
                <w:sz w:val="16"/>
              </w:rPr>
            </w:pPr>
            <w:r w:rsidRPr="005F31CD">
              <w:rPr>
                <w:b/>
                <w:sz w:val="16"/>
              </w:rPr>
              <w:t>Mimo OKRUHU 5</w:t>
            </w:r>
            <w:r w:rsidRPr="005F31CD">
              <w:rPr>
                <w:rStyle w:val="FootnoteReference"/>
                <w:b/>
                <w:sz w:val="16"/>
              </w:rPr>
              <w:footnoteReference w:id="25"/>
            </w:r>
            <w:r w:rsidRPr="005F31CD">
              <w:rPr>
                <w:b/>
                <w:sz w:val="16"/>
              </w:rPr>
              <w:t xml:space="preserve"> viacročného finančného rámca</w:t>
            </w:r>
          </w:p>
          <w:p w:rsidR="003C2110" w:rsidRPr="005F31CD" w:rsidRDefault="003C2110" w:rsidP="00347B2F">
            <w:pPr>
              <w:spacing w:line="200" w:lineRule="exact"/>
              <w:jc w:val="center"/>
              <w:rPr>
                <w:b/>
                <w:sz w:val="16"/>
              </w:rPr>
            </w:pPr>
          </w:p>
        </w:tc>
        <w:tc>
          <w:tcPr>
            <w:tcW w:w="822" w:type="dxa"/>
            <w:vAlign w:val="center"/>
          </w:tcPr>
          <w:p w:rsidR="003C2110" w:rsidRPr="005F31CD" w:rsidRDefault="003C2110" w:rsidP="00347B2F">
            <w:pPr>
              <w:spacing w:before="60" w:after="60" w:line="200" w:lineRule="exact"/>
              <w:jc w:val="center"/>
              <w:rPr>
                <w:sz w:val="16"/>
              </w:rPr>
            </w:pPr>
          </w:p>
        </w:tc>
        <w:tc>
          <w:tcPr>
            <w:tcW w:w="850" w:type="dxa"/>
            <w:vAlign w:val="center"/>
          </w:tcPr>
          <w:p w:rsidR="003C2110" w:rsidRPr="005F31CD" w:rsidRDefault="003C2110" w:rsidP="00347B2F">
            <w:pPr>
              <w:spacing w:before="60" w:after="60" w:line="200" w:lineRule="exact"/>
              <w:jc w:val="center"/>
              <w:rPr>
                <w:sz w:val="16"/>
              </w:rPr>
            </w:pPr>
          </w:p>
        </w:tc>
        <w:tc>
          <w:tcPr>
            <w:tcW w:w="851" w:type="dxa"/>
            <w:vAlign w:val="center"/>
          </w:tcPr>
          <w:p w:rsidR="003C2110" w:rsidRPr="005F31CD" w:rsidRDefault="003C2110" w:rsidP="00347B2F">
            <w:pPr>
              <w:spacing w:before="60" w:after="60" w:line="200" w:lineRule="exact"/>
              <w:jc w:val="center"/>
              <w:rPr>
                <w:sz w:val="16"/>
              </w:rPr>
            </w:pPr>
          </w:p>
        </w:tc>
        <w:tc>
          <w:tcPr>
            <w:tcW w:w="850" w:type="dxa"/>
            <w:vAlign w:val="center"/>
          </w:tcPr>
          <w:p w:rsidR="003C2110" w:rsidRPr="005F31CD" w:rsidRDefault="003C2110" w:rsidP="00347B2F">
            <w:pPr>
              <w:spacing w:before="60" w:after="60" w:line="200" w:lineRule="exact"/>
              <w:jc w:val="center"/>
              <w:rPr>
                <w:sz w:val="16"/>
              </w:rPr>
            </w:pPr>
          </w:p>
        </w:tc>
        <w:tc>
          <w:tcPr>
            <w:tcW w:w="851" w:type="dxa"/>
            <w:vAlign w:val="center"/>
          </w:tcPr>
          <w:p w:rsidR="003C2110" w:rsidRPr="005F31CD" w:rsidRDefault="003C2110" w:rsidP="00347B2F">
            <w:pPr>
              <w:spacing w:before="60" w:after="60" w:line="200" w:lineRule="exact"/>
              <w:jc w:val="center"/>
              <w:rPr>
                <w:sz w:val="16"/>
              </w:rPr>
            </w:pPr>
          </w:p>
        </w:tc>
        <w:tc>
          <w:tcPr>
            <w:tcW w:w="1037" w:type="dxa"/>
            <w:vAlign w:val="center"/>
          </w:tcPr>
          <w:p w:rsidR="003C2110" w:rsidRPr="005F31CD" w:rsidRDefault="003C2110" w:rsidP="00347B2F">
            <w:pPr>
              <w:spacing w:before="60" w:after="60" w:line="200" w:lineRule="exact"/>
              <w:jc w:val="center"/>
              <w:rPr>
                <w:b/>
                <w:sz w:val="16"/>
              </w:rPr>
            </w:pPr>
          </w:p>
        </w:tc>
      </w:tr>
      <w:tr w:rsidR="003C2110" w:rsidRPr="005F31CD" w:rsidTr="00347B2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vAlign w:val="center"/>
          </w:tcPr>
          <w:p w:rsidR="003C2110" w:rsidRPr="005F31CD" w:rsidRDefault="003C2110" w:rsidP="00347B2F">
            <w:pPr>
              <w:spacing w:before="60" w:after="60" w:line="200" w:lineRule="exact"/>
              <w:ind w:left="72"/>
            </w:pPr>
            <w:r w:rsidRPr="005F31CD">
              <w:rPr>
                <w:sz w:val="16"/>
              </w:rPr>
              <w:t xml:space="preserve">Ľudské zdroje </w:t>
            </w:r>
          </w:p>
        </w:tc>
        <w:tc>
          <w:tcPr>
            <w:tcW w:w="822" w:type="dxa"/>
            <w:vAlign w:val="center"/>
          </w:tcPr>
          <w:p w:rsidR="003C2110" w:rsidRPr="005F31CD" w:rsidRDefault="003C2110" w:rsidP="00347B2F">
            <w:pPr>
              <w:spacing w:before="60" w:after="60" w:line="200" w:lineRule="exact"/>
              <w:jc w:val="center"/>
              <w:rPr>
                <w:sz w:val="16"/>
              </w:rPr>
            </w:pPr>
          </w:p>
        </w:tc>
        <w:tc>
          <w:tcPr>
            <w:tcW w:w="850" w:type="dxa"/>
            <w:vAlign w:val="center"/>
          </w:tcPr>
          <w:p w:rsidR="003C2110" w:rsidRPr="005F31CD" w:rsidRDefault="003C2110" w:rsidP="00347B2F">
            <w:pPr>
              <w:spacing w:before="60" w:after="60" w:line="200" w:lineRule="exact"/>
              <w:jc w:val="center"/>
              <w:rPr>
                <w:sz w:val="16"/>
              </w:rPr>
            </w:pPr>
          </w:p>
        </w:tc>
        <w:tc>
          <w:tcPr>
            <w:tcW w:w="851" w:type="dxa"/>
            <w:vAlign w:val="center"/>
          </w:tcPr>
          <w:p w:rsidR="003C2110" w:rsidRPr="005F31CD" w:rsidRDefault="003C2110" w:rsidP="00347B2F">
            <w:pPr>
              <w:spacing w:before="60" w:after="60" w:line="200" w:lineRule="exact"/>
              <w:jc w:val="center"/>
              <w:rPr>
                <w:sz w:val="16"/>
              </w:rPr>
            </w:pPr>
          </w:p>
        </w:tc>
        <w:tc>
          <w:tcPr>
            <w:tcW w:w="850" w:type="dxa"/>
            <w:vAlign w:val="center"/>
          </w:tcPr>
          <w:p w:rsidR="003C2110" w:rsidRPr="005F31CD" w:rsidRDefault="003C2110" w:rsidP="00347B2F">
            <w:pPr>
              <w:spacing w:before="60" w:after="60" w:line="200" w:lineRule="exact"/>
              <w:jc w:val="center"/>
              <w:rPr>
                <w:sz w:val="16"/>
              </w:rPr>
            </w:pPr>
          </w:p>
        </w:tc>
        <w:tc>
          <w:tcPr>
            <w:tcW w:w="851" w:type="dxa"/>
            <w:vAlign w:val="center"/>
          </w:tcPr>
          <w:p w:rsidR="003C2110" w:rsidRPr="005F31CD" w:rsidRDefault="003C2110" w:rsidP="00347B2F">
            <w:pPr>
              <w:spacing w:before="60" w:after="60" w:line="200" w:lineRule="exact"/>
              <w:jc w:val="center"/>
              <w:rPr>
                <w:sz w:val="16"/>
              </w:rPr>
            </w:pPr>
          </w:p>
        </w:tc>
        <w:tc>
          <w:tcPr>
            <w:tcW w:w="1037" w:type="dxa"/>
            <w:vAlign w:val="center"/>
          </w:tcPr>
          <w:p w:rsidR="003C2110" w:rsidRPr="005F31CD" w:rsidRDefault="003C2110" w:rsidP="00347B2F">
            <w:pPr>
              <w:spacing w:before="60" w:after="60" w:line="200" w:lineRule="exact"/>
              <w:jc w:val="center"/>
              <w:rPr>
                <w:b/>
                <w:sz w:val="16"/>
              </w:rPr>
            </w:pPr>
          </w:p>
        </w:tc>
      </w:tr>
      <w:tr w:rsidR="003C2110" w:rsidRPr="005F31CD" w:rsidTr="00347B2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vAlign w:val="center"/>
          </w:tcPr>
          <w:p w:rsidR="003C2110" w:rsidRPr="005F31CD" w:rsidRDefault="003C2110" w:rsidP="00347B2F">
            <w:pPr>
              <w:spacing w:before="60" w:after="60" w:line="200" w:lineRule="exact"/>
              <w:ind w:left="72"/>
            </w:pPr>
            <w:r w:rsidRPr="005F31CD">
              <w:rPr>
                <w:sz w:val="16"/>
              </w:rPr>
              <w:t xml:space="preserve">Ostatné </w:t>
            </w:r>
            <w:r w:rsidRPr="005F31CD">
              <w:rPr>
                <w:sz w:val="16"/>
              </w:rPr>
              <w:br/>
              <w:t>administratívne výdavky</w:t>
            </w:r>
          </w:p>
        </w:tc>
        <w:tc>
          <w:tcPr>
            <w:tcW w:w="822" w:type="dxa"/>
            <w:vAlign w:val="center"/>
          </w:tcPr>
          <w:p w:rsidR="003C2110" w:rsidRPr="005F31CD" w:rsidRDefault="003C2110" w:rsidP="00347B2F">
            <w:pPr>
              <w:spacing w:before="60" w:after="60" w:line="200" w:lineRule="exact"/>
              <w:jc w:val="center"/>
              <w:rPr>
                <w:sz w:val="16"/>
              </w:rPr>
            </w:pPr>
          </w:p>
        </w:tc>
        <w:tc>
          <w:tcPr>
            <w:tcW w:w="850" w:type="dxa"/>
            <w:vAlign w:val="center"/>
          </w:tcPr>
          <w:p w:rsidR="003C2110" w:rsidRPr="005F31CD" w:rsidRDefault="003C2110" w:rsidP="00347B2F">
            <w:pPr>
              <w:spacing w:before="60" w:after="60" w:line="200" w:lineRule="exact"/>
              <w:jc w:val="center"/>
              <w:rPr>
                <w:sz w:val="16"/>
              </w:rPr>
            </w:pPr>
          </w:p>
        </w:tc>
        <w:tc>
          <w:tcPr>
            <w:tcW w:w="851" w:type="dxa"/>
            <w:vAlign w:val="center"/>
          </w:tcPr>
          <w:p w:rsidR="003C2110" w:rsidRPr="005F31CD" w:rsidRDefault="003C2110" w:rsidP="00347B2F">
            <w:pPr>
              <w:spacing w:before="60" w:after="60" w:line="200" w:lineRule="exact"/>
              <w:jc w:val="center"/>
              <w:rPr>
                <w:sz w:val="16"/>
              </w:rPr>
            </w:pPr>
          </w:p>
        </w:tc>
        <w:tc>
          <w:tcPr>
            <w:tcW w:w="850" w:type="dxa"/>
            <w:vAlign w:val="center"/>
          </w:tcPr>
          <w:p w:rsidR="003C2110" w:rsidRPr="005F31CD" w:rsidRDefault="003C2110" w:rsidP="00347B2F">
            <w:pPr>
              <w:spacing w:before="60" w:after="60" w:line="200" w:lineRule="exact"/>
              <w:jc w:val="center"/>
              <w:rPr>
                <w:sz w:val="16"/>
              </w:rPr>
            </w:pPr>
          </w:p>
        </w:tc>
        <w:tc>
          <w:tcPr>
            <w:tcW w:w="851" w:type="dxa"/>
            <w:vAlign w:val="center"/>
          </w:tcPr>
          <w:p w:rsidR="003C2110" w:rsidRPr="005F31CD" w:rsidRDefault="003C2110" w:rsidP="00347B2F">
            <w:pPr>
              <w:spacing w:before="60" w:after="60" w:line="200" w:lineRule="exact"/>
              <w:jc w:val="center"/>
              <w:rPr>
                <w:sz w:val="16"/>
              </w:rPr>
            </w:pPr>
          </w:p>
        </w:tc>
        <w:tc>
          <w:tcPr>
            <w:tcW w:w="1037" w:type="dxa"/>
            <w:tcBorders>
              <w:bottom w:val="single" w:sz="4" w:space="0" w:color="auto"/>
            </w:tcBorders>
            <w:vAlign w:val="center"/>
          </w:tcPr>
          <w:p w:rsidR="003C2110" w:rsidRPr="005F31CD" w:rsidRDefault="003C2110" w:rsidP="00347B2F">
            <w:pPr>
              <w:spacing w:before="60" w:after="60" w:line="200" w:lineRule="exact"/>
              <w:jc w:val="center"/>
              <w:rPr>
                <w:b/>
                <w:sz w:val="16"/>
              </w:rPr>
            </w:pPr>
          </w:p>
        </w:tc>
      </w:tr>
      <w:tr w:rsidR="003C2110" w:rsidRPr="005F31CD" w:rsidTr="00347B2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shd w:val="clear" w:color="auto" w:fill="CCCCCC"/>
            <w:vAlign w:val="center"/>
          </w:tcPr>
          <w:p w:rsidR="003C2110" w:rsidRPr="005F31CD" w:rsidRDefault="003C2110" w:rsidP="00347B2F">
            <w:pPr>
              <w:spacing w:before="60" w:after="60" w:line="200" w:lineRule="exact"/>
              <w:jc w:val="center"/>
            </w:pPr>
            <w:r w:rsidRPr="005F31CD">
              <w:rPr>
                <w:b/>
                <w:sz w:val="16"/>
              </w:rPr>
              <w:t xml:space="preserve">Mimo </w:t>
            </w:r>
            <w:r w:rsidRPr="005F31CD">
              <w:rPr>
                <w:b/>
                <w:sz w:val="16"/>
              </w:rPr>
              <w:br/>
              <w:t>OKRUHU 5</w:t>
            </w:r>
            <w:r w:rsidRPr="005F31CD">
              <w:rPr>
                <w:b/>
                <w:sz w:val="16"/>
              </w:rPr>
              <w:br/>
              <w:t xml:space="preserve">viacročného finančného rámca medzisúčet </w:t>
            </w:r>
          </w:p>
        </w:tc>
        <w:tc>
          <w:tcPr>
            <w:tcW w:w="822" w:type="dxa"/>
            <w:vAlign w:val="center"/>
          </w:tcPr>
          <w:p w:rsidR="003C2110" w:rsidRPr="005F31CD" w:rsidRDefault="003C2110" w:rsidP="00347B2F">
            <w:pPr>
              <w:spacing w:before="60" w:after="60" w:line="200" w:lineRule="exact"/>
              <w:jc w:val="center"/>
              <w:rPr>
                <w:sz w:val="16"/>
              </w:rPr>
            </w:pPr>
          </w:p>
        </w:tc>
        <w:tc>
          <w:tcPr>
            <w:tcW w:w="850" w:type="dxa"/>
            <w:vAlign w:val="center"/>
          </w:tcPr>
          <w:p w:rsidR="003C2110" w:rsidRPr="005F31CD" w:rsidRDefault="003C2110" w:rsidP="00347B2F">
            <w:pPr>
              <w:spacing w:before="60" w:after="60" w:line="200" w:lineRule="exact"/>
              <w:jc w:val="center"/>
              <w:rPr>
                <w:sz w:val="16"/>
              </w:rPr>
            </w:pPr>
          </w:p>
        </w:tc>
        <w:tc>
          <w:tcPr>
            <w:tcW w:w="851" w:type="dxa"/>
            <w:vAlign w:val="center"/>
          </w:tcPr>
          <w:p w:rsidR="003C2110" w:rsidRPr="005F31CD" w:rsidRDefault="003C2110" w:rsidP="00347B2F">
            <w:pPr>
              <w:spacing w:before="60" w:after="60" w:line="200" w:lineRule="exact"/>
              <w:jc w:val="center"/>
              <w:rPr>
                <w:sz w:val="16"/>
              </w:rPr>
            </w:pPr>
          </w:p>
        </w:tc>
        <w:tc>
          <w:tcPr>
            <w:tcW w:w="850" w:type="dxa"/>
            <w:vAlign w:val="center"/>
          </w:tcPr>
          <w:p w:rsidR="003C2110" w:rsidRPr="005F31CD" w:rsidRDefault="003C2110" w:rsidP="00347B2F">
            <w:pPr>
              <w:spacing w:before="60" w:after="60" w:line="200" w:lineRule="exact"/>
              <w:jc w:val="center"/>
              <w:rPr>
                <w:sz w:val="16"/>
              </w:rPr>
            </w:pPr>
          </w:p>
        </w:tc>
        <w:tc>
          <w:tcPr>
            <w:tcW w:w="851" w:type="dxa"/>
            <w:vAlign w:val="center"/>
          </w:tcPr>
          <w:p w:rsidR="003C2110" w:rsidRPr="005F31CD" w:rsidRDefault="003C2110" w:rsidP="00347B2F">
            <w:pPr>
              <w:spacing w:before="60" w:after="60" w:line="200" w:lineRule="exact"/>
              <w:jc w:val="center"/>
              <w:rPr>
                <w:sz w:val="16"/>
              </w:rPr>
            </w:pPr>
          </w:p>
        </w:tc>
        <w:tc>
          <w:tcPr>
            <w:tcW w:w="1037" w:type="dxa"/>
            <w:tcBorders>
              <w:top w:val="single" w:sz="4" w:space="0" w:color="auto"/>
            </w:tcBorders>
            <w:vAlign w:val="center"/>
          </w:tcPr>
          <w:p w:rsidR="003C2110" w:rsidRPr="005F31CD" w:rsidRDefault="003C2110" w:rsidP="00347B2F">
            <w:pPr>
              <w:spacing w:before="60" w:after="60" w:line="200" w:lineRule="exact"/>
              <w:jc w:val="center"/>
              <w:rPr>
                <w:b/>
                <w:sz w:val="16"/>
              </w:rPr>
            </w:pPr>
          </w:p>
        </w:tc>
      </w:tr>
    </w:tbl>
    <w:p w:rsidR="003C2110" w:rsidRPr="005F31CD" w:rsidRDefault="003C2110" w:rsidP="003C2110">
      <w:pPr>
        <w:spacing w:line="200" w:lineRule="exact"/>
        <w:rPr>
          <w:sz w:val="4"/>
          <w:szCs w:val="4"/>
        </w:rPr>
      </w:pPr>
    </w:p>
    <w:tbl>
      <w:tblPr>
        <w:tblW w:w="7197" w:type="dxa"/>
        <w:tblInd w:w="534" w:type="dxa"/>
        <w:tblLayout w:type="fixed"/>
        <w:tblLook w:val="01E0" w:firstRow="1" w:lastRow="1" w:firstColumn="1" w:lastColumn="1" w:noHBand="0" w:noVBand="0"/>
      </w:tblPr>
      <w:tblGrid>
        <w:gridCol w:w="1980"/>
        <w:gridCol w:w="822"/>
        <w:gridCol w:w="850"/>
        <w:gridCol w:w="851"/>
        <w:gridCol w:w="850"/>
        <w:gridCol w:w="851"/>
        <w:gridCol w:w="993"/>
      </w:tblGrid>
      <w:tr w:rsidR="003C2110" w:rsidRPr="005F31CD" w:rsidTr="00347B2F">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3C2110" w:rsidRPr="005F31CD" w:rsidRDefault="003C2110" w:rsidP="00347B2F">
            <w:pPr>
              <w:spacing w:before="60" w:after="60" w:line="200" w:lineRule="exact"/>
              <w:jc w:val="center"/>
              <w:rPr>
                <w:sz w:val="16"/>
              </w:rPr>
            </w:pPr>
            <w:r w:rsidRPr="005F31CD">
              <w:rPr>
                <w:b/>
                <w:sz w:val="16"/>
              </w:rPr>
              <w:t>SPOLU</w:t>
            </w:r>
          </w:p>
        </w:tc>
        <w:tc>
          <w:tcPr>
            <w:tcW w:w="822" w:type="dxa"/>
            <w:tcBorders>
              <w:top w:val="single" w:sz="12" w:space="0" w:color="auto"/>
              <w:left w:val="single" w:sz="2" w:space="0" w:color="auto"/>
              <w:bottom w:val="single" w:sz="12" w:space="0" w:color="auto"/>
              <w:right w:val="single" w:sz="2" w:space="0" w:color="auto"/>
            </w:tcBorders>
            <w:vAlign w:val="center"/>
          </w:tcPr>
          <w:p w:rsidR="003C2110" w:rsidRPr="005F31CD" w:rsidRDefault="003C2110" w:rsidP="00347B2F">
            <w:pPr>
              <w:spacing w:before="60" w:after="60" w:line="200" w:lineRule="exact"/>
              <w:jc w:val="center"/>
              <w:rPr>
                <w:sz w:val="20"/>
                <w:szCs w:val="20"/>
              </w:rPr>
            </w:pPr>
            <w:r w:rsidRPr="005F31CD">
              <w:rPr>
                <w:sz w:val="20"/>
              </w:rPr>
              <w:t>0,051</w:t>
            </w:r>
          </w:p>
        </w:tc>
        <w:tc>
          <w:tcPr>
            <w:tcW w:w="850" w:type="dxa"/>
            <w:tcBorders>
              <w:top w:val="single" w:sz="12" w:space="0" w:color="auto"/>
              <w:left w:val="single" w:sz="2" w:space="0" w:color="auto"/>
              <w:bottom w:val="single" w:sz="12" w:space="0" w:color="auto"/>
              <w:right w:val="single" w:sz="2" w:space="0" w:color="auto"/>
            </w:tcBorders>
            <w:vAlign w:val="center"/>
          </w:tcPr>
          <w:p w:rsidR="003C2110" w:rsidRPr="005F31CD" w:rsidRDefault="003C2110" w:rsidP="00347B2F">
            <w:pPr>
              <w:spacing w:before="60" w:after="60" w:line="200" w:lineRule="exact"/>
              <w:jc w:val="center"/>
              <w:rPr>
                <w:sz w:val="20"/>
                <w:szCs w:val="20"/>
              </w:rPr>
            </w:pPr>
            <w:r w:rsidRPr="005F31CD">
              <w:rPr>
                <w:sz w:val="20"/>
              </w:rPr>
              <w:t>0,078</w:t>
            </w:r>
          </w:p>
        </w:tc>
        <w:tc>
          <w:tcPr>
            <w:tcW w:w="851" w:type="dxa"/>
            <w:tcBorders>
              <w:top w:val="single" w:sz="12" w:space="0" w:color="auto"/>
              <w:left w:val="single" w:sz="2" w:space="0" w:color="auto"/>
              <w:bottom w:val="single" w:sz="12" w:space="0" w:color="auto"/>
              <w:right w:val="single" w:sz="2" w:space="0" w:color="auto"/>
            </w:tcBorders>
            <w:vAlign w:val="center"/>
          </w:tcPr>
          <w:p w:rsidR="003C2110" w:rsidRPr="005F31CD" w:rsidRDefault="003C2110" w:rsidP="00347B2F">
            <w:pPr>
              <w:spacing w:before="60" w:after="60" w:line="200" w:lineRule="exact"/>
              <w:jc w:val="center"/>
              <w:rPr>
                <w:sz w:val="20"/>
                <w:szCs w:val="20"/>
              </w:rPr>
            </w:pPr>
            <w:r w:rsidRPr="005F31CD">
              <w:rPr>
                <w:sz w:val="20"/>
              </w:rPr>
              <w:t>0,006</w:t>
            </w:r>
          </w:p>
        </w:tc>
        <w:tc>
          <w:tcPr>
            <w:tcW w:w="850" w:type="dxa"/>
            <w:tcBorders>
              <w:top w:val="single" w:sz="12" w:space="0" w:color="auto"/>
              <w:left w:val="single" w:sz="2" w:space="0" w:color="auto"/>
              <w:bottom w:val="single" w:sz="12" w:space="0" w:color="auto"/>
              <w:right w:val="single" w:sz="2" w:space="0" w:color="auto"/>
            </w:tcBorders>
            <w:vAlign w:val="center"/>
          </w:tcPr>
          <w:p w:rsidR="003C2110" w:rsidRPr="005F31CD" w:rsidRDefault="003C2110" w:rsidP="00347B2F">
            <w:pPr>
              <w:spacing w:before="60" w:after="60" w:line="200" w:lineRule="exact"/>
              <w:jc w:val="center"/>
              <w:rPr>
                <w:sz w:val="20"/>
                <w:szCs w:val="20"/>
              </w:rPr>
            </w:pPr>
            <w:r w:rsidRPr="005F31CD">
              <w:rPr>
                <w:sz w:val="20"/>
              </w:rPr>
              <w:t>0,010</w:t>
            </w:r>
          </w:p>
        </w:tc>
        <w:tc>
          <w:tcPr>
            <w:tcW w:w="851" w:type="dxa"/>
            <w:tcBorders>
              <w:top w:val="single" w:sz="12" w:space="0" w:color="auto"/>
              <w:left w:val="single" w:sz="2" w:space="0" w:color="auto"/>
              <w:bottom w:val="single" w:sz="12" w:space="0" w:color="auto"/>
              <w:right w:val="single" w:sz="2" w:space="0" w:color="auto"/>
            </w:tcBorders>
            <w:vAlign w:val="center"/>
          </w:tcPr>
          <w:p w:rsidR="003C2110" w:rsidRPr="005F31CD" w:rsidRDefault="003C2110" w:rsidP="00347B2F">
            <w:pPr>
              <w:spacing w:before="60" w:after="60" w:line="200" w:lineRule="exact"/>
              <w:jc w:val="center"/>
              <w:rPr>
                <w:sz w:val="20"/>
                <w:szCs w:val="20"/>
              </w:rPr>
            </w:pPr>
            <w:r w:rsidRPr="005F31CD">
              <w:rPr>
                <w:sz w:val="20"/>
              </w:rPr>
              <w:t>0,010</w:t>
            </w:r>
          </w:p>
        </w:tc>
        <w:tc>
          <w:tcPr>
            <w:tcW w:w="993" w:type="dxa"/>
            <w:tcBorders>
              <w:top w:val="single" w:sz="12" w:space="0" w:color="auto"/>
              <w:left w:val="single" w:sz="2" w:space="0" w:color="auto"/>
              <w:bottom w:val="single" w:sz="12" w:space="0" w:color="auto"/>
              <w:right w:val="single" w:sz="12" w:space="0" w:color="auto"/>
            </w:tcBorders>
            <w:vAlign w:val="center"/>
          </w:tcPr>
          <w:p w:rsidR="003C2110" w:rsidRPr="005F31CD" w:rsidRDefault="003C2110" w:rsidP="00347B2F">
            <w:pPr>
              <w:spacing w:before="60" w:after="60" w:line="200" w:lineRule="exact"/>
              <w:jc w:val="center"/>
              <w:rPr>
                <w:b/>
                <w:sz w:val="20"/>
                <w:szCs w:val="20"/>
              </w:rPr>
            </w:pPr>
            <w:r w:rsidRPr="005F31CD">
              <w:rPr>
                <w:b/>
                <w:sz w:val="20"/>
              </w:rPr>
              <w:t>0,155</w:t>
            </w:r>
          </w:p>
        </w:tc>
      </w:tr>
    </w:tbl>
    <w:p w:rsidR="003C2110" w:rsidRPr="005F31CD" w:rsidRDefault="003C2110" w:rsidP="003C2110">
      <w:pPr>
        <w:rPr>
          <w:u w:val="single"/>
        </w:rPr>
        <w:sectPr w:rsidR="003C2110" w:rsidRPr="005F31CD" w:rsidSect="005D0524">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r w:rsidRPr="005F31CD">
        <w:rPr>
          <w:sz w:val="18"/>
        </w:rPr>
        <w:t>Potrebné administratívne rozpočtové prostriedky budú pokryté rozpočtovými prostriedkami GR, ktoré už boli pridelené na riadenie akcie a/alebo ktoré boli prerozdelené</w:t>
      </w:r>
      <w:r w:rsidR="005F31CD">
        <w:rPr>
          <w:sz w:val="18"/>
        </w:rPr>
        <w:t xml:space="preserve"> v </w:t>
      </w:r>
      <w:r w:rsidRPr="005F31CD">
        <w:rPr>
          <w:sz w:val="18"/>
        </w:rPr>
        <w:t>rámci GR,</w:t>
      </w:r>
      <w:r w:rsidR="005F31CD">
        <w:rPr>
          <w:sz w:val="18"/>
        </w:rPr>
        <w:t xml:space="preserve"> a v </w:t>
      </w:r>
      <w:r w:rsidRPr="005F31CD">
        <w:rPr>
          <w:sz w:val="18"/>
        </w:rPr>
        <w:t>prípade potreby budú doplnené zdrojmi, ktoré sa môžu prideliť riadiacemu GR</w:t>
      </w:r>
      <w:r w:rsidR="005F31CD">
        <w:rPr>
          <w:sz w:val="18"/>
        </w:rPr>
        <w:t xml:space="preserve"> v </w:t>
      </w:r>
      <w:r w:rsidRPr="005F31CD">
        <w:rPr>
          <w:sz w:val="18"/>
        </w:rPr>
        <w:t>rámci ročného postupu prideľovania zdrojov</w:t>
      </w:r>
      <w:r w:rsidR="005F31CD">
        <w:rPr>
          <w:sz w:val="18"/>
        </w:rPr>
        <w:t xml:space="preserve"> a v </w:t>
      </w:r>
      <w:r w:rsidRPr="005F31CD">
        <w:rPr>
          <w:sz w:val="18"/>
        </w:rPr>
        <w:t>závislosti od rozpočtových obmedzení.</w:t>
      </w:r>
    </w:p>
    <w:p w:rsidR="003C2110" w:rsidRPr="005F31CD" w:rsidRDefault="003C2110" w:rsidP="003C2110">
      <w:pPr>
        <w:pStyle w:val="ManualHeading4"/>
      </w:pPr>
      <w:r w:rsidRPr="005F31CD">
        <w:t>3.2.3.2.</w:t>
      </w:r>
      <w:r w:rsidRPr="005F31CD">
        <w:tab/>
        <w:t>Odhadované potreby ľudských zdrojov</w:t>
      </w:r>
    </w:p>
    <w:p w:rsidR="003C2110" w:rsidRPr="005F31CD" w:rsidRDefault="003C2110" w:rsidP="003C2110">
      <w:pPr>
        <w:pStyle w:val="ListDash1"/>
      </w:pPr>
      <w:r w:rsidRPr="005F31CD">
        <w:sym w:font="Wingdings" w:char="F0A8"/>
      </w:r>
      <w:r w:rsidRPr="005F31CD">
        <w:tab/>
        <w:t>Návrh/iniciatíva si nevyžaduje použitie ľudských zdrojov.</w:t>
      </w:r>
    </w:p>
    <w:p w:rsidR="003C2110" w:rsidRPr="005F31CD" w:rsidRDefault="003C2110" w:rsidP="003C2110">
      <w:pPr>
        <w:pStyle w:val="ListDash1"/>
      </w:pPr>
      <w:r w:rsidRPr="005F31CD">
        <w:t>X Návrh/iniciatíva si vyžaduje použitie ľudských zdrojov, ako je uvedené</w:t>
      </w:r>
      <w:r w:rsidR="005F31CD">
        <w:t xml:space="preserve"> v </w:t>
      </w:r>
      <w:r w:rsidRPr="005F31CD">
        <w:t>nasledujúcej tabuľke:</w:t>
      </w:r>
    </w:p>
    <w:p w:rsidR="003C2110" w:rsidRPr="005F31CD" w:rsidRDefault="003C2110" w:rsidP="003C2110">
      <w:pPr>
        <w:spacing w:after="60"/>
        <w:jc w:val="right"/>
        <w:rPr>
          <w:i/>
          <w:sz w:val="20"/>
        </w:rPr>
      </w:pPr>
      <w:r w:rsidRPr="005F31CD">
        <w:rPr>
          <w:i/>
          <w:sz w:val="20"/>
        </w:rPr>
        <w:t>odhady sa vyjadrujú</w:t>
      </w:r>
      <w:r w:rsidR="005F31CD">
        <w:rPr>
          <w:i/>
          <w:sz w:val="20"/>
        </w:rPr>
        <w:t xml:space="preserve"> v </w:t>
      </w:r>
      <w:r w:rsidRPr="005F31CD">
        <w:rPr>
          <w:i/>
          <w:sz w:val="20"/>
        </w:rPr>
        <w:t>jednotkách ekvivalentu plného pracovného času</w:t>
      </w:r>
    </w:p>
    <w:tbl>
      <w:tblPr>
        <w:tblW w:w="4557" w:type="pct"/>
        <w:jc w:val="center"/>
        <w:tblInd w:w="-29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05"/>
        <w:gridCol w:w="1914"/>
        <w:gridCol w:w="989"/>
        <w:gridCol w:w="989"/>
        <w:gridCol w:w="991"/>
        <w:gridCol w:w="502"/>
        <w:gridCol w:w="460"/>
        <w:gridCol w:w="882"/>
        <w:gridCol w:w="853"/>
        <w:gridCol w:w="851"/>
      </w:tblGrid>
      <w:tr w:rsidR="003C2110" w:rsidRPr="005F31CD" w:rsidTr="00347B2F">
        <w:trPr>
          <w:trHeight w:val="207"/>
          <w:jc w:val="center"/>
        </w:trPr>
        <w:tc>
          <w:tcPr>
            <w:tcW w:w="1653" w:type="pct"/>
            <w:gridSpan w:val="2"/>
          </w:tcPr>
          <w:p w:rsidR="003C2110" w:rsidRPr="005F31CD" w:rsidRDefault="003C2110" w:rsidP="00347B2F">
            <w:pPr>
              <w:pStyle w:val="Text1"/>
              <w:spacing w:before="40" w:after="40"/>
              <w:ind w:left="0"/>
              <w:jc w:val="center"/>
              <w:rPr>
                <w:i/>
                <w:sz w:val="16"/>
              </w:rPr>
            </w:pPr>
          </w:p>
        </w:tc>
        <w:tc>
          <w:tcPr>
            <w:tcW w:w="508" w:type="pct"/>
            <w:vAlign w:val="center"/>
          </w:tcPr>
          <w:p w:rsidR="003C2110" w:rsidRPr="005F31CD" w:rsidRDefault="003C2110" w:rsidP="00347B2F">
            <w:pPr>
              <w:spacing w:before="20" w:after="20"/>
              <w:jc w:val="center"/>
            </w:pPr>
            <w:r w:rsidRPr="005F31CD">
              <w:rPr>
                <w:sz w:val="16"/>
              </w:rPr>
              <w:t>Rok</w:t>
            </w:r>
            <w:r w:rsidRPr="005F31CD">
              <w:rPr>
                <w:sz w:val="16"/>
              </w:rPr>
              <w:br/>
            </w:r>
            <w:r w:rsidRPr="005F31CD">
              <w:rPr>
                <w:b/>
                <w:sz w:val="16"/>
              </w:rPr>
              <w:t>2017</w:t>
            </w:r>
          </w:p>
        </w:tc>
        <w:tc>
          <w:tcPr>
            <w:tcW w:w="508" w:type="pct"/>
            <w:vAlign w:val="center"/>
          </w:tcPr>
          <w:p w:rsidR="003C2110" w:rsidRPr="005F31CD" w:rsidRDefault="003C2110" w:rsidP="00347B2F">
            <w:pPr>
              <w:spacing w:before="20" w:after="20"/>
              <w:jc w:val="center"/>
            </w:pPr>
            <w:r w:rsidRPr="005F31CD">
              <w:rPr>
                <w:sz w:val="16"/>
              </w:rPr>
              <w:t>Rok</w:t>
            </w:r>
            <w:r w:rsidRPr="005F31CD">
              <w:rPr>
                <w:sz w:val="16"/>
              </w:rPr>
              <w:br/>
            </w:r>
            <w:r w:rsidRPr="005F31CD">
              <w:rPr>
                <w:b/>
                <w:sz w:val="16"/>
              </w:rPr>
              <w:t>2018</w:t>
            </w:r>
          </w:p>
        </w:tc>
        <w:tc>
          <w:tcPr>
            <w:tcW w:w="509" w:type="pct"/>
            <w:vAlign w:val="center"/>
          </w:tcPr>
          <w:p w:rsidR="003C2110" w:rsidRPr="005F31CD" w:rsidRDefault="003C2110" w:rsidP="00347B2F">
            <w:pPr>
              <w:spacing w:before="20" w:after="20"/>
              <w:jc w:val="center"/>
            </w:pPr>
            <w:r w:rsidRPr="005F31CD">
              <w:rPr>
                <w:sz w:val="16"/>
              </w:rPr>
              <w:t xml:space="preserve">Rok </w:t>
            </w:r>
            <w:r w:rsidRPr="005F31CD">
              <w:rPr>
                <w:b/>
                <w:sz w:val="16"/>
              </w:rPr>
              <w:t>2019</w:t>
            </w:r>
          </w:p>
        </w:tc>
        <w:tc>
          <w:tcPr>
            <w:tcW w:w="494" w:type="pct"/>
            <w:gridSpan w:val="2"/>
            <w:vAlign w:val="center"/>
          </w:tcPr>
          <w:p w:rsidR="003C2110" w:rsidRPr="005F31CD" w:rsidRDefault="003C2110" w:rsidP="00347B2F">
            <w:pPr>
              <w:spacing w:before="20" w:after="20"/>
              <w:jc w:val="center"/>
              <w:rPr>
                <w:sz w:val="16"/>
              </w:rPr>
            </w:pPr>
            <w:r w:rsidRPr="005F31CD">
              <w:rPr>
                <w:sz w:val="16"/>
              </w:rPr>
              <w:t xml:space="preserve">Rok </w:t>
            </w:r>
            <w:r w:rsidRPr="005F31CD">
              <w:rPr>
                <w:b/>
                <w:sz w:val="16"/>
              </w:rPr>
              <w:t>2020</w:t>
            </w:r>
          </w:p>
        </w:tc>
        <w:tc>
          <w:tcPr>
            <w:tcW w:w="453" w:type="pct"/>
            <w:vAlign w:val="center"/>
          </w:tcPr>
          <w:p w:rsidR="003C2110" w:rsidRPr="005F31CD" w:rsidRDefault="003C2110" w:rsidP="00347B2F">
            <w:pPr>
              <w:jc w:val="center"/>
            </w:pPr>
            <w:r w:rsidRPr="005F31CD">
              <w:rPr>
                <w:sz w:val="16"/>
              </w:rPr>
              <w:t xml:space="preserve">Rok </w:t>
            </w:r>
            <w:r w:rsidRPr="005F31CD">
              <w:rPr>
                <w:b/>
                <w:sz w:val="16"/>
              </w:rPr>
              <w:t>2021</w:t>
            </w:r>
          </w:p>
        </w:tc>
        <w:tc>
          <w:tcPr>
            <w:tcW w:w="438" w:type="pct"/>
            <w:vAlign w:val="center"/>
          </w:tcPr>
          <w:p w:rsidR="003C2110" w:rsidRPr="005F31CD" w:rsidRDefault="003C2110" w:rsidP="00347B2F">
            <w:pPr>
              <w:jc w:val="center"/>
            </w:pPr>
          </w:p>
        </w:tc>
        <w:tc>
          <w:tcPr>
            <w:tcW w:w="437" w:type="pct"/>
            <w:vAlign w:val="center"/>
          </w:tcPr>
          <w:p w:rsidR="003C2110" w:rsidRPr="005F31CD" w:rsidRDefault="003C2110" w:rsidP="00347B2F">
            <w:pPr>
              <w:jc w:val="center"/>
            </w:pPr>
          </w:p>
        </w:tc>
      </w:tr>
      <w:tr w:rsidR="003C2110" w:rsidRPr="005F31CD" w:rsidTr="00347B2F">
        <w:trPr>
          <w:gridAfter w:val="4"/>
          <w:wAfter w:w="1564" w:type="pct"/>
          <w:trHeight w:val="178"/>
          <w:jc w:val="center"/>
        </w:trPr>
        <w:tc>
          <w:tcPr>
            <w:tcW w:w="3436" w:type="pct"/>
            <w:gridSpan w:val="6"/>
            <w:tcBorders>
              <w:right w:val="nil"/>
            </w:tcBorders>
            <w:vAlign w:val="center"/>
          </w:tcPr>
          <w:p w:rsidR="003C2110" w:rsidRPr="005F31CD" w:rsidRDefault="003C2110" w:rsidP="00347B2F">
            <w:pPr>
              <w:pStyle w:val="Text1"/>
              <w:spacing w:before="60" w:after="60"/>
              <w:ind w:left="0"/>
              <w:jc w:val="left"/>
              <w:rPr>
                <w:b/>
                <w:sz w:val="16"/>
                <w:szCs w:val="16"/>
              </w:rPr>
            </w:pPr>
            <w:r w:rsidRPr="005F31CD">
              <w:rPr>
                <w:b/>
                <w:sz w:val="16"/>
                <w:szCs w:val="16"/>
              </w:rPr>
              <w:sym w:font="Wingdings" w:char="F09F"/>
            </w:r>
            <w:r w:rsidRPr="005F31CD">
              <w:rPr>
                <w:b/>
                <w:sz w:val="16"/>
              </w:rPr>
              <w:t xml:space="preserve"> Plán pracovných miest (úradníci</w:t>
            </w:r>
            <w:r w:rsidR="005F31CD">
              <w:rPr>
                <w:b/>
                <w:sz w:val="16"/>
              </w:rPr>
              <w:t xml:space="preserve"> a </w:t>
            </w:r>
            <w:r w:rsidRPr="005F31CD">
              <w:rPr>
                <w:b/>
                <w:sz w:val="16"/>
              </w:rPr>
              <w:t>dočasní zamestnanci)</w:t>
            </w:r>
          </w:p>
        </w:tc>
      </w:tr>
      <w:tr w:rsidR="003C2110" w:rsidRPr="005F31CD" w:rsidTr="00347B2F">
        <w:trPr>
          <w:trHeight w:val="207"/>
          <w:jc w:val="center"/>
        </w:trPr>
        <w:tc>
          <w:tcPr>
            <w:tcW w:w="1653" w:type="pct"/>
            <w:gridSpan w:val="2"/>
            <w:vAlign w:val="center"/>
          </w:tcPr>
          <w:p w:rsidR="003C2110" w:rsidRPr="005F31CD" w:rsidRDefault="003C2110" w:rsidP="00347B2F">
            <w:pPr>
              <w:pStyle w:val="Text1"/>
              <w:spacing w:beforeLines="20" w:before="48" w:afterLines="20" w:after="48"/>
              <w:ind w:left="134"/>
              <w:jc w:val="left"/>
            </w:pPr>
            <w:r w:rsidRPr="005F31CD">
              <w:rPr>
                <w:sz w:val="16"/>
              </w:rPr>
              <w:t>01 01 01 01 (ústredie</w:t>
            </w:r>
            <w:r w:rsidR="005F31CD">
              <w:rPr>
                <w:sz w:val="16"/>
              </w:rPr>
              <w:t xml:space="preserve"> a </w:t>
            </w:r>
            <w:r w:rsidRPr="005F31CD">
              <w:rPr>
                <w:sz w:val="16"/>
              </w:rPr>
              <w:t>zastúpenia Komisie)</w:t>
            </w:r>
          </w:p>
        </w:tc>
        <w:tc>
          <w:tcPr>
            <w:tcW w:w="508" w:type="pct"/>
            <w:vAlign w:val="center"/>
          </w:tcPr>
          <w:p w:rsidR="003C2110" w:rsidRPr="005F31CD" w:rsidRDefault="003C2110" w:rsidP="00347B2F">
            <w:pPr>
              <w:spacing w:before="60" w:after="60" w:line="200" w:lineRule="exact"/>
              <w:jc w:val="center"/>
              <w:rPr>
                <w:sz w:val="20"/>
                <w:szCs w:val="20"/>
              </w:rPr>
            </w:pPr>
            <w:r w:rsidRPr="005F31CD">
              <w:rPr>
                <w:sz w:val="20"/>
              </w:rPr>
              <w:t>0,30</w:t>
            </w:r>
          </w:p>
        </w:tc>
        <w:tc>
          <w:tcPr>
            <w:tcW w:w="508" w:type="pct"/>
            <w:vAlign w:val="center"/>
          </w:tcPr>
          <w:p w:rsidR="003C2110" w:rsidRPr="005F31CD" w:rsidRDefault="003C2110" w:rsidP="00347B2F">
            <w:pPr>
              <w:spacing w:before="60" w:after="60" w:line="200" w:lineRule="exact"/>
              <w:jc w:val="center"/>
              <w:rPr>
                <w:sz w:val="20"/>
                <w:szCs w:val="20"/>
              </w:rPr>
            </w:pPr>
            <w:r w:rsidRPr="005F31CD">
              <w:rPr>
                <w:sz w:val="20"/>
              </w:rPr>
              <w:t>0,42</w:t>
            </w:r>
          </w:p>
        </w:tc>
        <w:tc>
          <w:tcPr>
            <w:tcW w:w="509" w:type="pct"/>
            <w:vAlign w:val="center"/>
          </w:tcPr>
          <w:p w:rsidR="003C2110" w:rsidRPr="005F31CD" w:rsidRDefault="003C2110" w:rsidP="00347B2F">
            <w:pPr>
              <w:spacing w:before="60" w:after="60" w:line="200" w:lineRule="exact"/>
              <w:jc w:val="center"/>
              <w:rPr>
                <w:sz w:val="20"/>
                <w:szCs w:val="20"/>
              </w:rPr>
            </w:pPr>
            <w:r w:rsidRPr="005F31CD">
              <w:rPr>
                <w:sz w:val="20"/>
              </w:rPr>
              <w:t>0,04</w:t>
            </w:r>
          </w:p>
        </w:tc>
        <w:tc>
          <w:tcPr>
            <w:tcW w:w="494" w:type="pct"/>
            <w:gridSpan w:val="2"/>
            <w:vAlign w:val="center"/>
          </w:tcPr>
          <w:p w:rsidR="003C2110" w:rsidRPr="005F31CD" w:rsidRDefault="003C2110" w:rsidP="00347B2F">
            <w:pPr>
              <w:spacing w:before="60" w:after="60" w:line="200" w:lineRule="exact"/>
              <w:jc w:val="center"/>
              <w:rPr>
                <w:sz w:val="20"/>
                <w:szCs w:val="20"/>
              </w:rPr>
            </w:pPr>
            <w:r w:rsidRPr="005F31CD">
              <w:rPr>
                <w:sz w:val="20"/>
              </w:rPr>
              <w:t>0,07</w:t>
            </w:r>
          </w:p>
        </w:tc>
        <w:tc>
          <w:tcPr>
            <w:tcW w:w="453" w:type="pct"/>
            <w:vAlign w:val="center"/>
          </w:tcPr>
          <w:p w:rsidR="003C2110" w:rsidRPr="005F31CD" w:rsidRDefault="003C2110" w:rsidP="00347B2F">
            <w:pPr>
              <w:spacing w:before="60" w:after="60" w:line="200" w:lineRule="exact"/>
              <w:jc w:val="center"/>
              <w:rPr>
                <w:sz w:val="20"/>
                <w:szCs w:val="20"/>
              </w:rPr>
            </w:pPr>
            <w:r w:rsidRPr="005F31CD">
              <w:rPr>
                <w:sz w:val="20"/>
              </w:rPr>
              <w:t>0,07</w:t>
            </w:r>
          </w:p>
        </w:tc>
        <w:tc>
          <w:tcPr>
            <w:tcW w:w="438" w:type="pct"/>
            <w:vAlign w:val="center"/>
          </w:tcPr>
          <w:p w:rsidR="003C2110" w:rsidRPr="005F31CD" w:rsidRDefault="003C2110" w:rsidP="00347B2F">
            <w:pPr>
              <w:spacing w:beforeLines="20" w:before="48" w:afterLines="20" w:after="48"/>
              <w:jc w:val="center"/>
              <w:rPr>
                <w:sz w:val="16"/>
              </w:rPr>
            </w:pPr>
          </w:p>
        </w:tc>
        <w:tc>
          <w:tcPr>
            <w:tcW w:w="437" w:type="pct"/>
            <w:vAlign w:val="center"/>
          </w:tcPr>
          <w:p w:rsidR="003C2110" w:rsidRPr="005F31CD" w:rsidRDefault="003C2110" w:rsidP="00347B2F">
            <w:pPr>
              <w:spacing w:beforeLines="20" w:before="48" w:afterLines="20" w:after="48"/>
              <w:jc w:val="center"/>
              <w:rPr>
                <w:sz w:val="16"/>
              </w:rPr>
            </w:pPr>
          </w:p>
        </w:tc>
      </w:tr>
      <w:tr w:rsidR="003C2110" w:rsidRPr="005F31CD" w:rsidTr="00347B2F">
        <w:trPr>
          <w:trHeight w:val="207"/>
          <w:jc w:val="center"/>
        </w:trPr>
        <w:tc>
          <w:tcPr>
            <w:tcW w:w="1653" w:type="pct"/>
            <w:gridSpan w:val="2"/>
            <w:vAlign w:val="center"/>
          </w:tcPr>
          <w:p w:rsidR="003C2110" w:rsidRPr="005F31CD" w:rsidRDefault="003C2110" w:rsidP="00347B2F">
            <w:pPr>
              <w:pStyle w:val="Text1"/>
              <w:spacing w:beforeLines="20" w:before="48" w:afterLines="20" w:after="48"/>
              <w:ind w:left="134"/>
              <w:jc w:val="left"/>
            </w:pPr>
            <w:r w:rsidRPr="005F31CD">
              <w:rPr>
                <w:sz w:val="16"/>
              </w:rPr>
              <w:t>XX 01 01 02 (delegácie)</w:t>
            </w:r>
          </w:p>
        </w:tc>
        <w:tc>
          <w:tcPr>
            <w:tcW w:w="508" w:type="pct"/>
            <w:vAlign w:val="center"/>
          </w:tcPr>
          <w:p w:rsidR="003C2110" w:rsidRPr="005F31CD" w:rsidRDefault="003C2110" w:rsidP="00347B2F">
            <w:pPr>
              <w:spacing w:beforeLines="20" w:before="48" w:afterLines="20" w:after="48"/>
              <w:jc w:val="center"/>
              <w:rPr>
                <w:sz w:val="20"/>
                <w:szCs w:val="20"/>
              </w:rPr>
            </w:pPr>
          </w:p>
        </w:tc>
        <w:tc>
          <w:tcPr>
            <w:tcW w:w="508" w:type="pct"/>
            <w:vAlign w:val="center"/>
          </w:tcPr>
          <w:p w:rsidR="003C2110" w:rsidRPr="005F31CD" w:rsidRDefault="003C2110" w:rsidP="00347B2F">
            <w:pPr>
              <w:spacing w:beforeLines="20" w:before="48" w:afterLines="20" w:after="48"/>
              <w:jc w:val="center"/>
              <w:rPr>
                <w:sz w:val="20"/>
                <w:szCs w:val="20"/>
              </w:rPr>
            </w:pPr>
          </w:p>
        </w:tc>
        <w:tc>
          <w:tcPr>
            <w:tcW w:w="509" w:type="pct"/>
            <w:vAlign w:val="center"/>
          </w:tcPr>
          <w:p w:rsidR="003C2110" w:rsidRPr="005F31CD" w:rsidRDefault="003C2110" w:rsidP="00347B2F">
            <w:pPr>
              <w:spacing w:beforeLines="20" w:before="48" w:afterLines="20" w:after="48"/>
              <w:jc w:val="center"/>
              <w:rPr>
                <w:sz w:val="20"/>
                <w:szCs w:val="20"/>
              </w:rPr>
            </w:pPr>
          </w:p>
        </w:tc>
        <w:tc>
          <w:tcPr>
            <w:tcW w:w="494" w:type="pct"/>
            <w:gridSpan w:val="2"/>
          </w:tcPr>
          <w:p w:rsidR="003C2110" w:rsidRPr="005F31CD" w:rsidRDefault="003C2110" w:rsidP="00347B2F">
            <w:pPr>
              <w:spacing w:beforeLines="20" w:before="48" w:afterLines="20" w:after="48"/>
              <w:jc w:val="center"/>
              <w:rPr>
                <w:sz w:val="20"/>
                <w:szCs w:val="20"/>
              </w:rPr>
            </w:pPr>
          </w:p>
        </w:tc>
        <w:tc>
          <w:tcPr>
            <w:tcW w:w="453" w:type="pct"/>
            <w:vAlign w:val="center"/>
          </w:tcPr>
          <w:p w:rsidR="003C2110" w:rsidRPr="005F31CD" w:rsidRDefault="003C2110" w:rsidP="00347B2F">
            <w:pPr>
              <w:spacing w:beforeLines="20" w:before="48" w:afterLines="20" w:after="48"/>
              <w:jc w:val="center"/>
              <w:rPr>
                <w:sz w:val="16"/>
              </w:rPr>
            </w:pPr>
          </w:p>
        </w:tc>
        <w:tc>
          <w:tcPr>
            <w:tcW w:w="438" w:type="pct"/>
            <w:vAlign w:val="center"/>
          </w:tcPr>
          <w:p w:rsidR="003C2110" w:rsidRPr="005F31CD" w:rsidRDefault="003C2110" w:rsidP="00347B2F">
            <w:pPr>
              <w:spacing w:beforeLines="20" w:before="48" w:afterLines="20" w:after="48"/>
              <w:jc w:val="center"/>
              <w:rPr>
                <w:sz w:val="16"/>
              </w:rPr>
            </w:pPr>
          </w:p>
        </w:tc>
        <w:tc>
          <w:tcPr>
            <w:tcW w:w="437" w:type="pct"/>
            <w:vAlign w:val="center"/>
          </w:tcPr>
          <w:p w:rsidR="003C2110" w:rsidRPr="005F31CD" w:rsidRDefault="003C2110" w:rsidP="00347B2F">
            <w:pPr>
              <w:spacing w:beforeLines="20" w:before="48" w:afterLines="20" w:after="48"/>
              <w:jc w:val="center"/>
              <w:rPr>
                <w:sz w:val="16"/>
              </w:rPr>
            </w:pPr>
          </w:p>
        </w:tc>
      </w:tr>
      <w:tr w:rsidR="003C2110" w:rsidRPr="005F31CD" w:rsidTr="00347B2F">
        <w:trPr>
          <w:trHeight w:val="207"/>
          <w:jc w:val="center"/>
        </w:trPr>
        <w:tc>
          <w:tcPr>
            <w:tcW w:w="1653" w:type="pct"/>
            <w:gridSpan w:val="2"/>
            <w:vAlign w:val="center"/>
          </w:tcPr>
          <w:p w:rsidR="003C2110" w:rsidRPr="005F31CD" w:rsidRDefault="003C2110" w:rsidP="00347B2F">
            <w:pPr>
              <w:pStyle w:val="Text1"/>
              <w:spacing w:beforeLines="20" w:before="48" w:afterLines="20" w:after="48"/>
              <w:ind w:left="134"/>
              <w:jc w:val="left"/>
            </w:pPr>
            <w:r w:rsidRPr="005F31CD">
              <w:rPr>
                <w:sz w:val="16"/>
              </w:rPr>
              <w:t>XX 01 05 01 (nepriamy výskum)</w:t>
            </w:r>
          </w:p>
        </w:tc>
        <w:tc>
          <w:tcPr>
            <w:tcW w:w="508" w:type="pct"/>
            <w:vAlign w:val="center"/>
          </w:tcPr>
          <w:p w:rsidR="003C2110" w:rsidRPr="005F31CD" w:rsidRDefault="003C2110" w:rsidP="00347B2F">
            <w:pPr>
              <w:spacing w:beforeLines="20" w:before="48" w:afterLines="20" w:after="48"/>
              <w:jc w:val="center"/>
              <w:rPr>
                <w:sz w:val="16"/>
              </w:rPr>
            </w:pPr>
          </w:p>
        </w:tc>
        <w:tc>
          <w:tcPr>
            <w:tcW w:w="508" w:type="pct"/>
            <w:vAlign w:val="center"/>
          </w:tcPr>
          <w:p w:rsidR="003C2110" w:rsidRPr="005F31CD" w:rsidRDefault="003C2110" w:rsidP="00347B2F">
            <w:pPr>
              <w:spacing w:beforeLines="20" w:before="48" w:afterLines="20" w:after="48"/>
              <w:jc w:val="center"/>
              <w:rPr>
                <w:sz w:val="16"/>
              </w:rPr>
            </w:pPr>
          </w:p>
        </w:tc>
        <w:tc>
          <w:tcPr>
            <w:tcW w:w="509" w:type="pct"/>
            <w:vAlign w:val="center"/>
          </w:tcPr>
          <w:p w:rsidR="003C2110" w:rsidRPr="005F31CD" w:rsidRDefault="003C2110" w:rsidP="00347B2F">
            <w:pPr>
              <w:spacing w:beforeLines="20" w:before="48" w:afterLines="20" w:after="48"/>
              <w:jc w:val="center"/>
              <w:rPr>
                <w:sz w:val="16"/>
              </w:rPr>
            </w:pPr>
          </w:p>
        </w:tc>
        <w:tc>
          <w:tcPr>
            <w:tcW w:w="494" w:type="pct"/>
            <w:gridSpan w:val="2"/>
          </w:tcPr>
          <w:p w:rsidR="003C2110" w:rsidRPr="005F31CD" w:rsidRDefault="003C2110" w:rsidP="00347B2F">
            <w:pPr>
              <w:spacing w:beforeLines="20" w:before="48" w:afterLines="20" w:after="48"/>
              <w:jc w:val="center"/>
              <w:rPr>
                <w:sz w:val="16"/>
              </w:rPr>
            </w:pPr>
          </w:p>
        </w:tc>
        <w:tc>
          <w:tcPr>
            <w:tcW w:w="453" w:type="pct"/>
            <w:vAlign w:val="center"/>
          </w:tcPr>
          <w:p w:rsidR="003C2110" w:rsidRPr="005F31CD" w:rsidRDefault="003C2110" w:rsidP="00347B2F">
            <w:pPr>
              <w:spacing w:beforeLines="20" w:before="48" w:afterLines="20" w:after="48"/>
              <w:jc w:val="center"/>
              <w:rPr>
                <w:sz w:val="16"/>
              </w:rPr>
            </w:pPr>
          </w:p>
        </w:tc>
        <w:tc>
          <w:tcPr>
            <w:tcW w:w="438" w:type="pct"/>
            <w:vAlign w:val="center"/>
          </w:tcPr>
          <w:p w:rsidR="003C2110" w:rsidRPr="005F31CD" w:rsidRDefault="003C2110" w:rsidP="00347B2F">
            <w:pPr>
              <w:spacing w:beforeLines="20" w:before="48" w:afterLines="20" w:after="48"/>
              <w:jc w:val="center"/>
              <w:rPr>
                <w:sz w:val="16"/>
              </w:rPr>
            </w:pPr>
          </w:p>
        </w:tc>
        <w:tc>
          <w:tcPr>
            <w:tcW w:w="437" w:type="pct"/>
            <w:vAlign w:val="center"/>
          </w:tcPr>
          <w:p w:rsidR="003C2110" w:rsidRPr="005F31CD" w:rsidRDefault="003C2110" w:rsidP="00347B2F">
            <w:pPr>
              <w:spacing w:beforeLines="20" w:before="48" w:afterLines="20" w:after="48"/>
              <w:jc w:val="center"/>
              <w:rPr>
                <w:sz w:val="16"/>
              </w:rPr>
            </w:pPr>
          </w:p>
        </w:tc>
      </w:tr>
      <w:tr w:rsidR="003C2110" w:rsidRPr="005F31CD" w:rsidTr="00347B2F">
        <w:trPr>
          <w:trHeight w:val="207"/>
          <w:jc w:val="center"/>
        </w:trPr>
        <w:tc>
          <w:tcPr>
            <w:tcW w:w="1653" w:type="pct"/>
            <w:gridSpan w:val="2"/>
            <w:vAlign w:val="center"/>
          </w:tcPr>
          <w:p w:rsidR="003C2110" w:rsidRPr="005F31CD" w:rsidRDefault="003C2110" w:rsidP="00347B2F">
            <w:pPr>
              <w:pStyle w:val="Text1"/>
              <w:spacing w:beforeLines="20" w:before="48" w:afterLines="20" w:after="48"/>
              <w:ind w:left="134"/>
              <w:jc w:val="left"/>
            </w:pPr>
            <w:r w:rsidRPr="005F31CD">
              <w:rPr>
                <w:sz w:val="16"/>
              </w:rPr>
              <w:t>10 01 05 01 (priamy výskum)</w:t>
            </w:r>
          </w:p>
        </w:tc>
        <w:tc>
          <w:tcPr>
            <w:tcW w:w="508" w:type="pct"/>
            <w:vAlign w:val="center"/>
          </w:tcPr>
          <w:p w:rsidR="003C2110" w:rsidRPr="005F31CD" w:rsidRDefault="003C2110" w:rsidP="00347B2F">
            <w:pPr>
              <w:spacing w:beforeLines="20" w:before="48" w:afterLines="20" w:after="48"/>
              <w:jc w:val="center"/>
              <w:rPr>
                <w:sz w:val="16"/>
              </w:rPr>
            </w:pPr>
          </w:p>
        </w:tc>
        <w:tc>
          <w:tcPr>
            <w:tcW w:w="508" w:type="pct"/>
            <w:vAlign w:val="center"/>
          </w:tcPr>
          <w:p w:rsidR="003C2110" w:rsidRPr="005F31CD" w:rsidRDefault="003C2110" w:rsidP="00347B2F">
            <w:pPr>
              <w:spacing w:beforeLines="20" w:before="48" w:afterLines="20" w:after="48"/>
              <w:jc w:val="center"/>
              <w:rPr>
                <w:sz w:val="16"/>
              </w:rPr>
            </w:pPr>
          </w:p>
        </w:tc>
        <w:tc>
          <w:tcPr>
            <w:tcW w:w="509" w:type="pct"/>
            <w:vAlign w:val="center"/>
          </w:tcPr>
          <w:p w:rsidR="003C2110" w:rsidRPr="005F31CD" w:rsidRDefault="003C2110" w:rsidP="00347B2F">
            <w:pPr>
              <w:spacing w:beforeLines="20" w:before="48" w:afterLines="20" w:after="48"/>
              <w:jc w:val="center"/>
              <w:rPr>
                <w:sz w:val="16"/>
              </w:rPr>
            </w:pPr>
          </w:p>
        </w:tc>
        <w:tc>
          <w:tcPr>
            <w:tcW w:w="494" w:type="pct"/>
            <w:gridSpan w:val="2"/>
          </w:tcPr>
          <w:p w:rsidR="003C2110" w:rsidRPr="005F31CD" w:rsidRDefault="003C2110" w:rsidP="00347B2F">
            <w:pPr>
              <w:spacing w:beforeLines="20" w:before="48" w:afterLines="20" w:after="48"/>
              <w:jc w:val="center"/>
              <w:rPr>
                <w:sz w:val="16"/>
              </w:rPr>
            </w:pPr>
          </w:p>
        </w:tc>
        <w:tc>
          <w:tcPr>
            <w:tcW w:w="453" w:type="pct"/>
            <w:vAlign w:val="center"/>
          </w:tcPr>
          <w:p w:rsidR="003C2110" w:rsidRPr="005F31CD" w:rsidRDefault="003C2110" w:rsidP="00347B2F">
            <w:pPr>
              <w:spacing w:beforeLines="20" w:before="48" w:afterLines="20" w:after="48"/>
              <w:jc w:val="center"/>
              <w:rPr>
                <w:sz w:val="16"/>
              </w:rPr>
            </w:pPr>
          </w:p>
        </w:tc>
        <w:tc>
          <w:tcPr>
            <w:tcW w:w="438" w:type="pct"/>
            <w:vAlign w:val="center"/>
          </w:tcPr>
          <w:p w:rsidR="003C2110" w:rsidRPr="005F31CD" w:rsidRDefault="003C2110" w:rsidP="00347B2F">
            <w:pPr>
              <w:spacing w:beforeLines="20" w:before="48" w:afterLines="20" w:after="48"/>
              <w:jc w:val="center"/>
              <w:rPr>
                <w:sz w:val="16"/>
              </w:rPr>
            </w:pPr>
          </w:p>
        </w:tc>
        <w:tc>
          <w:tcPr>
            <w:tcW w:w="437" w:type="pct"/>
            <w:vAlign w:val="center"/>
          </w:tcPr>
          <w:p w:rsidR="003C2110" w:rsidRPr="005F31CD" w:rsidRDefault="003C2110" w:rsidP="00347B2F">
            <w:pPr>
              <w:spacing w:beforeLines="20" w:before="48" w:afterLines="20" w:after="48"/>
              <w:jc w:val="center"/>
              <w:rPr>
                <w:sz w:val="16"/>
              </w:rPr>
            </w:pPr>
          </w:p>
        </w:tc>
      </w:tr>
      <w:tr w:rsidR="003C2110" w:rsidRPr="005F31CD" w:rsidTr="00347B2F">
        <w:trPr>
          <w:trHeight w:val="178"/>
          <w:jc w:val="center"/>
        </w:trPr>
        <w:tc>
          <w:tcPr>
            <w:tcW w:w="5000" w:type="pct"/>
            <w:gridSpan w:val="10"/>
          </w:tcPr>
          <w:p w:rsidR="003C2110" w:rsidRPr="005F31CD" w:rsidRDefault="003C2110" w:rsidP="00347B2F">
            <w:pPr>
              <w:pStyle w:val="Text1"/>
              <w:spacing w:before="60" w:after="60"/>
              <w:ind w:left="0"/>
              <w:jc w:val="left"/>
              <w:rPr>
                <w:b/>
                <w:sz w:val="16"/>
              </w:rPr>
            </w:pPr>
            <w:r w:rsidRPr="005F31CD">
              <w:rPr>
                <w:b/>
                <w:sz w:val="16"/>
                <w:szCs w:val="16"/>
              </w:rPr>
              <w:sym w:font="Wingdings" w:char="F09F"/>
            </w:r>
            <w:r w:rsidRPr="005F31CD">
              <w:rPr>
                <w:b/>
                <w:sz w:val="16"/>
              </w:rPr>
              <w:t xml:space="preserve"> Externí zamestnanci (ekvivalent plného pracovného: času)</w:t>
            </w:r>
            <w:r w:rsidRPr="005F31CD">
              <w:rPr>
                <w:rStyle w:val="FootnoteReference"/>
                <w:b/>
                <w:sz w:val="16"/>
              </w:rPr>
              <w:footnoteReference w:id="26"/>
            </w:r>
          </w:p>
          <w:p w:rsidR="003C2110" w:rsidRPr="005F31CD" w:rsidRDefault="003C2110" w:rsidP="00347B2F">
            <w:pPr>
              <w:pStyle w:val="Text1"/>
              <w:spacing w:before="0" w:after="0"/>
              <w:ind w:left="0"/>
              <w:jc w:val="left"/>
              <w:rPr>
                <w:sz w:val="16"/>
              </w:rPr>
            </w:pPr>
          </w:p>
        </w:tc>
      </w:tr>
      <w:tr w:rsidR="003C2110" w:rsidRPr="005F31CD" w:rsidTr="00347B2F">
        <w:trPr>
          <w:trHeight w:val="207"/>
          <w:jc w:val="center"/>
        </w:trPr>
        <w:tc>
          <w:tcPr>
            <w:tcW w:w="1653" w:type="pct"/>
            <w:gridSpan w:val="2"/>
            <w:vAlign w:val="center"/>
          </w:tcPr>
          <w:p w:rsidR="003C2110" w:rsidRPr="005F31CD" w:rsidRDefault="003C2110" w:rsidP="00347B2F">
            <w:pPr>
              <w:pStyle w:val="Text1"/>
              <w:spacing w:beforeLines="20" w:before="48" w:afterLines="20" w:after="48"/>
              <w:ind w:left="136"/>
              <w:jc w:val="left"/>
            </w:pPr>
            <w:r w:rsidRPr="005F31CD">
              <w:rPr>
                <w:sz w:val="16"/>
              </w:rPr>
              <w:t>XX 01 02 01 (ZZ, DAZ, VNE</w:t>
            </w:r>
            <w:r w:rsidR="005F31CD">
              <w:rPr>
                <w:sz w:val="16"/>
              </w:rPr>
              <w:t xml:space="preserve"> z </w:t>
            </w:r>
            <w:r w:rsidRPr="005F31CD">
              <w:rPr>
                <w:sz w:val="16"/>
              </w:rPr>
              <w:t>celkového balíka prostriedkov)</w:t>
            </w:r>
          </w:p>
        </w:tc>
        <w:tc>
          <w:tcPr>
            <w:tcW w:w="508" w:type="pct"/>
            <w:vAlign w:val="center"/>
          </w:tcPr>
          <w:p w:rsidR="003C2110" w:rsidRPr="005F31CD" w:rsidRDefault="003C2110" w:rsidP="00347B2F">
            <w:pPr>
              <w:spacing w:beforeLines="20" w:before="48" w:afterLines="20" w:after="48"/>
              <w:jc w:val="center"/>
              <w:rPr>
                <w:sz w:val="20"/>
                <w:szCs w:val="20"/>
              </w:rPr>
            </w:pPr>
          </w:p>
        </w:tc>
        <w:tc>
          <w:tcPr>
            <w:tcW w:w="508" w:type="pct"/>
            <w:vAlign w:val="center"/>
          </w:tcPr>
          <w:p w:rsidR="003C2110" w:rsidRPr="005F31CD" w:rsidRDefault="003C2110" w:rsidP="00347B2F">
            <w:pPr>
              <w:spacing w:beforeLines="20" w:before="48" w:afterLines="20" w:after="48"/>
              <w:jc w:val="center"/>
              <w:rPr>
                <w:sz w:val="20"/>
                <w:szCs w:val="20"/>
              </w:rPr>
            </w:pPr>
          </w:p>
        </w:tc>
        <w:tc>
          <w:tcPr>
            <w:tcW w:w="509" w:type="pct"/>
            <w:vAlign w:val="center"/>
          </w:tcPr>
          <w:p w:rsidR="003C2110" w:rsidRPr="005F31CD" w:rsidRDefault="003C2110" w:rsidP="00347B2F">
            <w:pPr>
              <w:spacing w:beforeLines="20" w:before="48" w:afterLines="20" w:after="48"/>
              <w:jc w:val="center"/>
              <w:rPr>
                <w:sz w:val="20"/>
                <w:szCs w:val="20"/>
              </w:rPr>
            </w:pPr>
          </w:p>
        </w:tc>
        <w:tc>
          <w:tcPr>
            <w:tcW w:w="494" w:type="pct"/>
            <w:gridSpan w:val="2"/>
          </w:tcPr>
          <w:p w:rsidR="003C2110" w:rsidRPr="005F31CD" w:rsidRDefault="003C2110" w:rsidP="00347B2F">
            <w:pPr>
              <w:spacing w:beforeLines="20" w:before="48" w:afterLines="20" w:after="48"/>
              <w:jc w:val="center"/>
              <w:rPr>
                <w:sz w:val="20"/>
                <w:szCs w:val="20"/>
              </w:rPr>
            </w:pPr>
          </w:p>
        </w:tc>
        <w:tc>
          <w:tcPr>
            <w:tcW w:w="453" w:type="pct"/>
            <w:vAlign w:val="center"/>
          </w:tcPr>
          <w:p w:rsidR="003C2110" w:rsidRPr="005F31CD" w:rsidRDefault="003C2110" w:rsidP="00347B2F">
            <w:pPr>
              <w:spacing w:beforeLines="20" w:before="48" w:afterLines="20" w:after="48"/>
              <w:jc w:val="center"/>
              <w:rPr>
                <w:sz w:val="16"/>
              </w:rPr>
            </w:pPr>
          </w:p>
        </w:tc>
        <w:tc>
          <w:tcPr>
            <w:tcW w:w="438" w:type="pct"/>
            <w:vAlign w:val="center"/>
          </w:tcPr>
          <w:p w:rsidR="003C2110" w:rsidRPr="005F31CD" w:rsidRDefault="003C2110" w:rsidP="00347B2F">
            <w:pPr>
              <w:spacing w:beforeLines="20" w:before="48" w:afterLines="20" w:after="48"/>
              <w:jc w:val="center"/>
              <w:rPr>
                <w:sz w:val="16"/>
              </w:rPr>
            </w:pPr>
          </w:p>
        </w:tc>
        <w:tc>
          <w:tcPr>
            <w:tcW w:w="437" w:type="pct"/>
            <w:vAlign w:val="center"/>
          </w:tcPr>
          <w:p w:rsidR="003C2110" w:rsidRPr="005F31CD" w:rsidRDefault="003C2110" w:rsidP="00347B2F">
            <w:pPr>
              <w:spacing w:beforeLines="20" w:before="48" w:afterLines="20" w:after="48"/>
              <w:jc w:val="center"/>
              <w:rPr>
                <w:sz w:val="16"/>
              </w:rPr>
            </w:pPr>
          </w:p>
        </w:tc>
      </w:tr>
      <w:tr w:rsidR="003C2110" w:rsidRPr="005F31CD" w:rsidTr="00347B2F">
        <w:trPr>
          <w:trHeight w:val="207"/>
          <w:jc w:val="center"/>
        </w:trPr>
        <w:tc>
          <w:tcPr>
            <w:tcW w:w="1653" w:type="pct"/>
            <w:gridSpan w:val="2"/>
            <w:vAlign w:val="center"/>
          </w:tcPr>
          <w:p w:rsidR="003C2110" w:rsidRPr="005F31CD" w:rsidRDefault="003C2110" w:rsidP="00347B2F">
            <w:pPr>
              <w:pStyle w:val="Text1"/>
              <w:spacing w:beforeLines="20" w:before="48" w:afterLines="20" w:after="48"/>
              <w:ind w:left="136"/>
              <w:jc w:val="left"/>
            </w:pPr>
            <w:r w:rsidRPr="005F31CD">
              <w:rPr>
                <w:sz w:val="16"/>
              </w:rPr>
              <w:t>XX 01 02 02 (ZZ, DAZ, PED, MZ</w:t>
            </w:r>
            <w:r w:rsidR="005F31CD">
              <w:rPr>
                <w:sz w:val="16"/>
              </w:rPr>
              <w:t xml:space="preserve"> a </w:t>
            </w:r>
            <w:r w:rsidRPr="005F31CD">
              <w:rPr>
                <w:sz w:val="16"/>
              </w:rPr>
              <w:t>VNE</w:t>
            </w:r>
            <w:r w:rsidR="005F31CD">
              <w:rPr>
                <w:sz w:val="16"/>
              </w:rPr>
              <w:t xml:space="preserve"> v </w:t>
            </w:r>
            <w:r w:rsidRPr="005F31CD">
              <w:rPr>
                <w:sz w:val="16"/>
              </w:rPr>
              <w:t>delegáciách)</w:t>
            </w:r>
          </w:p>
        </w:tc>
        <w:tc>
          <w:tcPr>
            <w:tcW w:w="508" w:type="pct"/>
            <w:vAlign w:val="center"/>
          </w:tcPr>
          <w:p w:rsidR="003C2110" w:rsidRPr="005F31CD" w:rsidRDefault="003C2110" w:rsidP="00347B2F">
            <w:pPr>
              <w:spacing w:beforeLines="20" w:before="48" w:afterLines="20" w:after="48"/>
              <w:jc w:val="center"/>
              <w:rPr>
                <w:sz w:val="16"/>
              </w:rPr>
            </w:pPr>
          </w:p>
        </w:tc>
        <w:tc>
          <w:tcPr>
            <w:tcW w:w="508" w:type="pct"/>
            <w:vAlign w:val="center"/>
          </w:tcPr>
          <w:p w:rsidR="003C2110" w:rsidRPr="005F31CD" w:rsidRDefault="003C2110" w:rsidP="00347B2F">
            <w:pPr>
              <w:spacing w:beforeLines="20" w:before="48" w:afterLines="20" w:after="48"/>
              <w:jc w:val="center"/>
              <w:rPr>
                <w:sz w:val="16"/>
              </w:rPr>
            </w:pPr>
          </w:p>
        </w:tc>
        <w:tc>
          <w:tcPr>
            <w:tcW w:w="509" w:type="pct"/>
            <w:vAlign w:val="center"/>
          </w:tcPr>
          <w:p w:rsidR="003C2110" w:rsidRPr="005F31CD" w:rsidRDefault="003C2110" w:rsidP="00347B2F">
            <w:pPr>
              <w:spacing w:beforeLines="20" w:before="48" w:afterLines="20" w:after="48"/>
              <w:jc w:val="center"/>
              <w:rPr>
                <w:sz w:val="16"/>
              </w:rPr>
            </w:pPr>
          </w:p>
        </w:tc>
        <w:tc>
          <w:tcPr>
            <w:tcW w:w="494" w:type="pct"/>
            <w:gridSpan w:val="2"/>
          </w:tcPr>
          <w:p w:rsidR="003C2110" w:rsidRPr="005F31CD" w:rsidRDefault="003C2110" w:rsidP="00347B2F">
            <w:pPr>
              <w:spacing w:beforeLines="20" w:before="48" w:afterLines="20" w:after="48"/>
              <w:jc w:val="center"/>
              <w:rPr>
                <w:sz w:val="16"/>
              </w:rPr>
            </w:pPr>
          </w:p>
        </w:tc>
        <w:tc>
          <w:tcPr>
            <w:tcW w:w="453" w:type="pct"/>
            <w:vAlign w:val="center"/>
          </w:tcPr>
          <w:p w:rsidR="003C2110" w:rsidRPr="005F31CD" w:rsidRDefault="003C2110" w:rsidP="00347B2F">
            <w:pPr>
              <w:spacing w:beforeLines="20" w:before="48" w:afterLines="20" w:after="48"/>
              <w:jc w:val="center"/>
              <w:rPr>
                <w:sz w:val="16"/>
              </w:rPr>
            </w:pPr>
          </w:p>
        </w:tc>
        <w:tc>
          <w:tcPr>
            <w:tcW w:w="438" w:type="pct"/>
            <w:vAlign w:val="center"/>
          </w:tcPr>
          <w:p w:rsidR="003C2110" w:rsidRPr="005F31CD" w:rsidRDefault="003C2110" w:rsidP="00347B2F">
            <w:pPr>
              <w:spacing w:beforeLines="20" w:before="48" w:afterLines="20" w:after="48"/>
              <w:jc w:val="center"/>
              <w:rPr>
                <w:sz w:val="16"/>
              </w:rPr>
            </w:pPr>
          </w:p>
        </w:tc>
        <w:tc>
          <w:tcPr>
            <w:tcW w:w="437" w:type="pct"/>
            <w:vAlign w:val="center"/>
          </w:tcPr>
          <w:p w:rsidR="003C2110" w:rsidRPr="005F31CD" w:rsidRDefault="003C2110" w:rsidP="00347B2F">
            <w:pPr>
              <w:spacing w:beforeLines="20" w:before="48" w:afterLines="20" w:after="48"/>
              <w:jc w:val="center"/>
              <w:rPr>
                <w:sz w:val="16"/>
              </w:rPr>
            </w:pPr>
          </w:p>
        </w:tc>
      </w:tr>
      <w:tr w:rsidR="003C2110" w:rsidRPr="005F31CD" w:rsidTr="00347B2F">
        <w:trPr>
          <w:trHeight w:val="207"/>
          <w:jc w:val="center"/>
        </w:trPr>
        <w:tc>
          <w:tcPr>
            <w:tcW w:w="670" w:type="pct"/>
            <w:vMerge w:val="restart"/>
            <w:vAlign w:val="center"/>
          </w:tcPr>
          <w:p w:rsidR="003C2110" w:rsidRPr="005F31CD" w:rsidRDefault="003C2110" w:rsidP="00347B2F">
            <w:pPr>
              <w:pStyle w:val="Text1"/>
              <w:spacing w:beforeLines="20" w:before="48" w:afterLines="20" w:after="48"/>
              <w:ind w:left="136"/>
              <w:jc w:val="left"/>
              <w:rPr>
                <w:b/>
                <w:sz w:val="16"/>
              </w:rPr>
            </w:pPr>
            <w:r w:rsidRPr="005F31CD">
              <w:rPr>
                <w:b/>
                <w:sz w:val="16"/>
              </w:rPr>
              <w:t>XX</w:t>
            </w:r>
            <w:r w:rsidRPr="005F31CD">
              <w:rPr>
                <w:sz w:val="16"/>
              </w:rPr>
              <w:t xml:space="preserve"> 01 04 </w:t>
            </w:r>
            <w:r w:rsidRPr="005F31CD">
              <w:rPr>
                <w:b/>
                <w:sz w:val="16"/>
              </w:rPr>
              <w:t>rr</w:t>
            </w:r>
            <w:r w:rsidRPr="005F31CD">
              <w:rPr>
                <w:rStyle w:val="FootnoteReference"/>
                <w:b/>
                <w:sz w:val="16"/>
              </w:rPr>
              <w:footnoteReference w:id="27"/>
            </w:r>
          </w:p>
          <w:p w:rsidR="003C2110" w:rsidRPr="005F31CD" w:rsidRDefault="003C2110" w:rsidP="00347B2F">
            <w:pPr>
              <w:pStyle w:val="Text1"/>
              <w:spacing w:beforeLines="20" w:before="48" w:afterLines="20" w:after="48"/>
              <w:ind w:left="136"/>
              <w:jc w:val="left"/>
              <w:rPr>
                <w:b/>
                <w:sz w:val="16"/>
              </w:rPr>
            </w:pPr>
          </w:p>
        </w:tc>
        <w:tc>
          <w:tcPr>
            <w:tcW w:w="983" w:type="pct"/>
            <w:vAlign w:val="center"/>
          </w:tcPr>
          <w:p w:rsidR="003C2110" w:rsidRPr="005F31CD" w:rsidRDefault="003C2110" w:rsidP="00347B2F">
            <w:pPr>
              <w:pStyle w:val="Text1"/>
              <w:spacing w:beforeLines="20" w:before="48" w:afterLines="20" w:after="48"/>
              <w:ind w:left="136"/>
              <w:jc w:val="left"/>
              <w:rPr>
                <w:b/>
                <w:sz w:val="16"/>
              </w:rPr>
            </w:pPr>
            <w:r w:rsidRPr="005F31CD">
              <w:rPr>
                <w:sz w:val="16"/>
              </w:rPr>
              <w:t>–</w:t>
            </w:r>
            <w:r w:rsidR="005F31CD">
              <w:rPr>
                <w:sz w:val="16"/>
              </w:rPr>
              <w:t xml:space="preserve"> v </w:t>
            </w:r>
            <w:r w:rsidRPr="005F31CD">
              <w:rPr>
                <w:sz w:val="16"/>
              </w:rPr>
              <w:t>ústredí</w:t>
            </w:r>
          </w:p>
        </w:tc>
        <w:tc>
          <w:tcPr>
            <w:tcW w:w="508" w:type="pct"/>
            <w:vAlign w:val="center"/>
          </w:tcPr>
          <w:p w:rsidR="003C2110" w:rsidRPr="005F31CD" w:rsidRDefault="003C2110" w:rsidP="00347B2F">
            <w:pPr>
              <w:pStyle w:val="Text1"/>
              <w:spacing w:beforeLines="20" w:before="48" w:afterLines="20" w:after="48"/>
              <w:ind w:left="0"/>
              <w:rPr>
                <w:sz w:val="16"/>
              </w:rPr>
            </w:pPr>
          </w:p>
        </w:tc>
        <w:tc>
          <w:tcPr>
            <w:tcW w:w="508" w:type="pct"/>
            <w:vAlign w:val="center"/>
          </w:tcPr>
          <w:p w:rsidR="003C2110" w:rsidRPr="005F31CD" w:rsidRDefault="003C2110" w:rsidP="00347B2F">
            <w:pPr>
              <w:spacing w:beforeLines="20" w:before="48" w:afterLines="20" w:after="48"/>
              <w:jc w:val="center"/>
              <w:rPr>
                <w:sz w:val="16"/>
              </w:rPr>
            </w:pPr>
          </w:p>
        </w:tc>
        <w:tc>
          <w:tcPr>
            <w:tcW w:w="509" w:type="pct"/>
            <w:vAlign w:val="center"/>
          </w:tcPr>
          <w:p w:rsidR="003C2110" w:rsidRPr="005F31CD" w:rsidRDefault="003C2110" w:rsidP="00347B2F">
            <w:pPr>
              <w:spacing w:beforeLines="20" w:before="48" w:afterLines="20" w:after="48"/>
              <w:jc w:val="center"/>
              <w:rPr>
                <w:sz w:val="16"/>
              </w:rPr>
            </w:pPr>
          </w:p>
        </w:tc>
        <w:tc>
          <w:tcPr>
            <w:tcW w:w="494" w:type="pct"/>
            <w:gridSpan w:val="2"/>
          </w:tcPr>
          <w:p w:rsidR="003C2110" w:rsidRPr="005F31CD" w:rsidRDefault="003C2110" w:rsidP="00347B2F">
            <w:pPr>
              <w:spacing w:beforeLines="20" w:before="48" w:afterLines="20" w:after="48"/>
              <w:jc w:val="center"/>
              <w:rPr>
                <w:sz w:val="16"/>
              </w:rPr>
            </w:pPr>
          </w:p>
        </w:tc>
        <w:tc>
          <w:tcPr>
            <w:tcW w:w="453" w:type="pct"/>
            <w:vAlign w:val="center"/>
          </w:tcPr>
          <w:p w:rsidR="003C2110" w:rsidRPr="005F31CD" w:rsidRDefault="003C2110" w:rsidP="00347B2F">
            <w:pPr>
              <w:spacing w:beforeLines="20" w:before="48" w:afterLines="20" w:after="48"/>
              <w:jc w:val="center"/>
              <w:rPr>
                <w:sz w:val="16"/>
              </w:rPr>
            </w:pPr>
          </w:p>
        </w:tc>
        <w:tc>
          <w:tcPr>
            <w:tcW w:w="438" w:type="pct"/>
            <w:vAlign w:val="center"/>
          </w:tcPr>
          <w:p w:rsidR="003C2110" w:rsidRPr="005F31CD" w:rsidRDefault="003C2110" w:rsidP="00347B2F">
            <w:pPr>
              <w:spacing w:beforeLines="20" w:before="48" w:afterLines="20" w:after="48"/>
              <w:jc w:val="center"/>
              <w:rPr>
                <w:sz w:val="16"/>
              </w:rPr>
            </w:pPr>
          </w:p>
        </w:tc>
        <w:tc>
          <w:tcPr>
            <w:tcW w:w="437" w:type="pct"/>
            <w:vAlign w:val="center"/>
          </w:tcPr>
          <w:p w:rsidR="003C2110" w:rsidRPr="005F31CD" w:rsidRDefault="003C2110" w:rsidP="00347B2F">
            <w:pPr>
              <w:spacing w:beforeLines="20" w:before="48" w:afterLines="20" w:after="48"/>
              <w:jc w:val="center"/>
              <w:rPr>
                <w:sz w:val="16"/>
              </w:rPr>
            </w:pPr>
          </w:p>
        </w:tc>
      </w:tr>
      <w:tr w:rsidR="003C2110" w:rsidRPr="005F31CD" w:rsidTr="00347B2F">
        <w:trPr>
          <w:trHeight w:val="207"/>
          <w:jc w:val="center"/>
        </w:trPr>
        <w:tc>
          <w:tcPr>
            <w:tcW w:w="670" w:type="pct"/>
            <w:vMerge/>
            <w:vAlign w:val="center"/>
          </w:tcPr>
          <w:p w:rsidR="003C2110" w:rsidRPr="005F31CD" w:rsidRDefault="003C2110" w:rsidP="00347B2F">
            <w:pPr>
              <w:pStyle w:val="Text1"/>
              <w:spacing w:beforeLines="20" w:before="48" w:afterLines="20" w:after="48"/>
              <w:ind w:left="136"/>
              <w:jc w:val="left"/>
              <w:rPr>
                <w:b/>
                <w:sz w:val="16"/>
              </w:rPr>
            </w:pPr>
          </w:p>
        </w:tc>
        <w:tc>
          <w:tcPr>
            <w:tcW w:w="983" w:type="pct"/>
            <w:vAlign w:val="center"/>
          </w:tcPr>
          <w:p w:rsidR="003C2110" w:rsidRPr="005F31CD" w:rsidRDefault="003C2110" w:rsidP="00347B2F">
            <w:pPr>
              <w:pStyle w:val="Text1"/>
              <w:spacing w:beforeLines="20" w:before="48" w:afterLines="20" w:after="48"/>
              <w:ind w:left="136"/>
              <w:jc w:val="left"/>
            </w:pPr>
            <w:r w:rsidRPr="005F31CD">
              <w:rPr>
                <w:sz w:val="16"/>
              </w:rPr>
              <w:t>–</w:t>
            </w:r>
            <w:r w:rsidR="005F31CD">
              <w:rPr>
                <w:sz w:val="16"/>
              </w:rPr>
              <w:t xml:space="preserve"> v </w:t>
            </w:r>
            <w:r w:rsidRPr="005F31CD">
              <w:rPr>
                <w:sz w:val="16"/>
              </w:rPr>
              <w:t xml:space="preserve">delegáciách </w:t>
            </w:r>
          </w:p>
        </w:tc>
        <w:tc>
          <w:tcPr>
            <w:tcW w:w="508" w:type="pct"/>
            <w:vAlign w:val="center"/>
          </w:tcPr>
          <w:p w:rsidR="003C2110" w:rsidRPr="005F31CD" w:rsidRDefault="003C2110" w:rsidP="00347B2F">
            <w:pPr>
              <w:pStyle w:val="Text1"/>
              <w:spacing w:beforeLines="20" w:before="48" w:afterLines="20" w:after="48"/>
              <w:ind w:left="0"/>
              <w:rPr>
                <w:sz w:val="16"/>
              </w:rPr>
            </w:pPr>
          </w:p>
        </w:tc>
        <w:tc>
          <w:tcPr>
            <w:tcW w:w="508" w:type="pct"/>
            <w:vAlign w:val="center"/>
          </w:tcPr>
          <w:p w:rsidR="003C2110" w:rsidRPr="005F31CD" w:rsidRDefault="003C2110" w:rsidP="00347B2F">
            <w:pPr>
              <w:spacing w:beforeLines="20" w:before="48" w:afterLines="20" w:after="48"/>
              <w:jc w:val="center"/>
              <w:rPr>
                <w:sz w:val="16"/>
              </w:rPr>
            </w:pPr>
          </w:p>
        </w:tc>
        <w:tc>
          <w:tcPr>
            <w:tcW w:w="509" w:type="pct"/>
            <w:vAlign w:val="center"/>
          </w:tcPr>
          <w:p w:rsidR="003C2110" w:rsidRPr="005F31CD" w:rsidRDefault="003C2110" w:rsidP="00347B2F">
            <w:pPr>
              <w:spacing w:beforeLines="20" w:before="48" w:afterLines="20" w:after="48"/>
              <w:jc w:val="center"/>
              <w:rPr>
                <w:sz w:val="16"/>
              </w:rPr>
            </w:pPr>
          </w:p>
        </w:tc>
        <w:tc>
          <w:tcPr>
            <w:tcW w:w="494" w:type="pct"/>
            <w:gridSpan w:val="2"/>
          </w:tcPr>
          <w:p w:rsidR="003C2110" w:rsidRPr="005F31CD" w:rsidRDefault="003C2110" w:rsidP="00347B2F">
            <w:pPr>
              <w:spacing w:beforeLines="20" w:before="48" w:afterLines="20" w:after="48"/>
              <w:jc w:val="center"/>
              <w:rPr>
                <w:sz w:val="16"/>
              </w:rPr>
            </w:pPr>
          </w:p>
        </w:tc>
        <w:tc>
          <w:tcPr>
            <w:tcW w:w="453" w:type="pct"/>
            <w:vAlign w:val="center"/>
          </w:tcPr>
          <w:p w:rsidR="003C2110" w:rsidRPr="005F31CD" w:rsidRDefault="003C2110" w:rsidP="00347B2F">
            <w:pPr>
              <w:spacing w:beforeLines="20" w:before="48" w:afterLines="20" w:after="48"/>
              <w:jc w:val="center"/>
              <w:rPr>
                <w:sz w:val="16"/>
              </w:rPr>
            </w:pPr>
          </w:p>
        </w:tc>
        <w:tc>
          <w:tcPr>
            <w:tcW w:w="438" w:type="pct"/>
            <w:vAlign w:val="center"/>
          </w:tcPr>
          <w:p w:rsidR="003C2110" w:rsidRPr="005F31CD" w:rsidRDefault="003C2110" w:rsidP="00347B2F">
            <w:pPr>
              <w:spacing w:beforeLines="20" w:before="48" w:afterLines="20" w:after="48"/>
              <w:jc w:val="center"/>
              <w:rPr>
                <w:sz w:val="16"/>
              </w:rPr>
            </w:pPr>
          </w:p>
        </w:tc>
        <w:tc>
          <w:tcPr>
            <w:tcW w:w="437" w:type="pct"/>
            <w:vAlign w:val="center"/>
          </w:tcPr>
          <w:p w:rsidR="003C2110" w:rsidRPr="005F31CD" w:rsidRDefault="003C2110" w:rsidP="00347B2F">
            <w:pPr>
              <w:spacing w:beforeLines="20" w:before="48" w:afterLines="20" w:after="48"/>
              <w:jc w:val="center"/>
              <w:rPr>
                <w:sz w:val="16"/>
              </w:rPr>
            </w:pPr>
          </w:p>
        </w:tc>
      </w:tr>
      <w:tr w:rsidR="003C2110" w:rsidRPr="005F31CD" w:rsidTr="00347B2F">
        <w:trPr>
          <w:trHeight w:val="207"/>
          <w:jc w:val="center"/>
        </w:trPr>
        <w:tc>
          <w:tcPr>
            <w:tcW w:w="1653" w:type="pct"/>
            <w:gridSpan w:val="2"/>
            <w:vAlign w:val="center"/>
          </w:tcPr>
          <w:p w:rsidR="003C2110" w:rsidRPr="005F31CD" w:rsidRDefault="003C2110" w:rsidP="00347B2F">
            <w:pPr>
              <w:pStyle w:val="Text1"/>
              <w:spacing w:beforeLines="20" w:before="48" w:afterLines="20" w:after="48"/>
              <w:ind w:left="136"/>
              <w:jc w:val="left"/>
              <w:rPr>
                <w:sz w:val="16"/>
              </w:rPr>
            </w:pPr>
            <w:r w:rsidRPr="005F31CD">
              <w:rPr>
                <w:b/>
              </w:rPr>
              <w:t>XX</w:t>
            </w:r>
            <w:r w:rsidRPr="005F31CD">
              <w:t xml:space="preserve"> </w:t>
            </w:r>
            <w:r w:rsidRPr="005F31CD">
              <w:rPr>
                <w:sz w:val="16"/>
              </w:rPr>
              <w:t>01 05 02 (ZZ, VNE, DAZ – nepriamy výskum)</w:t>
            </w:r>
          </w:p>
          <w:p w:rsidR="003C2110" w:rsidRPr="005F31CD" w:rsidRDefault="003C2110" w:rsidP="00347B2F">
            <w:pPr>
              <w:pStyle w:val="Text1"/>
              <w:spacing w:beforeLines="20" w:before="48" w:afterLines="20" w:after="48"/>
              <w:ind w:left="136"/>
              <w:jc w:val="left"/>
              <w:rPr>
                <w:sz w:val="16"/>
              </w:rPr>
            </w:pPr>
          </w:p>
        </w:tc>
        <w:tc>
          <w:tcPr>
            <w:tcW w:w="508" w:type="pct"/>
            <w:vAlign w:val="center"/>
          </w:tcPr>
          <w:p w:rsidR="003C2110" w:rsidRPr="005F31CD" w:rsidRDefault="003C2110" w:rsidP="00347B2F">
            <w:pPr>
              <w:spacing w:beforeLines="20" w:before="48" w:afterLines="20" w:after="48"/>
              <w:jc w:val="center"/>
              <w:rPr>
                <w:sz w:val="16"/>
              </w:rPr>
            </w:pPr>
          </w:p>
        </w:tc>
        <w:tc>
          <w:tcPr>
            <w:tcW w:w="508" w:type="pct"/>
            <w:vAlign w:val="center"/>
          </w:tcPr>
          <w:p w:rsidR="003C2110" w:rsidRPr="005F31CD" w:rsidRDefault="003C2110" w:rsidP="00347B2F">
            <w:pPr>
              <w:spacing w:beforeLines="20" w:before="48" w:afterLines="20" w:after="48"/>
              <w:jc w:val="center"/>
              <w:rPr>
                <w:sz w:val="16"/>
              </w:rPr>
            </w:pPr>
          </w:p>
        </w:tc>
        <w:tc>
          <w:tcPr>
            <w:tcW w:w="509" w:type="pct"/>
            <w:vAlign w:val="center"/>
          </w:tcPr>
          <w:p w:rsidR="003C2110" w:rsidRPr="005F31CD" w:rsidRDefault="003C2110" w:rsidP="00347B2F">
            <w:pPr>
              <w:spacing w:beforeLines="20" w:before="48" w:afterLines="20" w:after="48"/>
              <w:jc w:val="center"/>
              <w:rPr>
                <w:sz w:val="16"/>
              </w:rPr>
            </w:pPr>
          </w:p>
        </w:tc>
        <w:tc>
          <w:tcPr>
            <w:tcW w:w="494" w:type="pct"/>
            <w:gridSpan w:val="2"/>
          </w:tcPr>
          <w:p w:rsidR="003C2110" w:rsidRPr="005F31CD" w:rsidRDefault="003C2110" w:rsidP="00347B2F">
            <w:pPr>
              <w:spacing w:beforeLines="20" w:before="48" w:afterLines="20" w:after="48"/>
              <w:jc w:val="center"/>
              <w:rPr>
                <w:sz w:val="16"/>
              </w:rPr>
            </w:pPr>
          </w:p>
        </w:tc>
        <w:tc>
          <w:tcPr>
            <w:tcW w:w="453" w:type="pct"/>
            <w:vAlign w:val="center"/>
          </w:tcPr>
          <w:p w:rsidR="003C2110" w:rsidRPr="005F31CD" w:rsidRDefault="003C2110" w:rsidP="00347B2F">
            <w:pPr>
              <w:spacing w:beforeLines="20" w:before="48" w:afterLines="20" w:after="48"/>
              <w:jc w:val="center"/>
              <w:rPr>
                <w:sz w:val="16"/>
              </w:rPr>
            </w:pPr>
          </w:p>
        </w:tc>
        <w:tc>
          <w:tcPr>
            <w:tcW w:w="438" w:type="pct"/>
            <w:vAlign w:val="center"/>
          </w:tcPr>
          <w:p w:rsidR="003C2110" w:rsidRPr="005F31CD" w:rsidRDefault="003C2110" w:rsidP="00347B2F">
            <w:pPr>
              <w:spacing w:beforeLines="20" w:before="48" w:afterLines="20" w:after="48"/>
              <w:jc w:val="center"/>
              <w:rPr>
                <w:sz w:val="16"/>
              </w:rPr>
            </w:pPr>
          </w:p>
        </w:tc>
        <w:tc>
          <w:tcPr>
            <w:tcW w:w="437" w:type="pct"/>
            <w:vAlign w:val="center"/>
          </w:tcPr>
          <w:p w:rsidR="003C2110" w:rsidRPr="005F31CD" w:rsidRDefault="003C2110" w:rsidP="00347B2F">
            <w:pPr>
              <w:spacing w:beforeLines="20" w:before="48" w:afterLines="20" w:after="48"/>
              <w:jc w:val="center"/>
              <w:rPr>
                <w:sz w:val="16"/>
              </w:rPr>
            </w:pPr>
          </w:p>
        </w:tc>
      </w:tr>
      <w:tr w:rsidR="003C2110" w:rsidRPr="005F31CD" w:rsidTr="00347B2F">
        <w:trPr>
          <w:trHeight w:val="207"/>
          <w:jc w:val="center"/>
        </w:trPr>
        <w:tc>
          <w:tcPr>
            <w:tcW w:w="1653" w:type="pct"/>
            <w:gridSpan w:val="2"/>
            <w:vAlign w:val="center"/>
          </w:tcPr>
          <w:p w:rsidR="003C2110" w:rsidRPr="005F31CD" w:rsidRDefault="003C2110" w:rsidP="00347B2F">
            <w:pPr>
              <w:pStyle w:val="Text1"/>
              <w:spacing w:beforeLines="20" w:before="48" w:afterLines="20" w:after="48"/>
              <w:ind w:left="136"/>
              <w:jc w:val="left"/>
            </w:pPr>
            <w:r w:rsidRPr="005F31CD">
              <w:rPr>
                <w:sz w:val="16"/>
              </w:rPr>
              <w:t>10 01 05 02 (ZZ, VNE, DAZ – priamy výskum)</w:t>
            </w:r>
          </w:p>
        </w:tc>
        <w:tc>
          <w:tcPr>
            <w:tcW w:w="508" w:type="pct"/>
            <w:vAlign w:val="center"/>
          </w:tcPr>
          <w:p w:rsidR="003C2110" w:rsidRPr="005F31CD" w:rsidRDefault="003C2110" w:rsidP="00347B2F">
            <w:pPr>
              <w:spacing w:beforeLines="20" w:before="48" w:afterLines="20" w:after="48"/>
              <w:jc w:val="center"/>
              <w:rPr>
                <w:sz w:val="16"/>
              </w:rPr>
            </w:pPr>
          </w:p>
        </w:tc>
        <w:tc>
          <w:tcPr>
            <w:tcW w:w="508" w:type="pct"/>
            <w:vAlign w:val="center"/>
          </w:tcPr>
          <w:p w:rsidR="003C2110" w:rsidRPr="005F31CD" w:rsidRDefault="003C2110" w:rsidP="00347B2F">
            <w:pPr>
              <w:spacing w:beforeLines="20" w:before="48" w:afterLines="20" w:after="48"/>
              <w:jc w:val="center"/>
              <w:rPr>
                <w:sz w:val="16"/>
              </w:rPr>
            </w:pPr>
          </w:p>
        </w:tc>
        <w:tc>
          <w:tcPr>
            <w:tcW w:w="509" w:type="pct"/>
            <w:vAlign w:val="center"/>
          </w:tcPr>
          <w:p w:rsidR="003C2110" w:rsidRPr="005F31CD" w:rsidRDefault="003C2110" w:rsidP="00347B2F">
            <w:pPr>
              <w:spacing w:beforeLines="20" w:before="48" w:afterLines="20" w:after="48"/>
              <w:jc w:val="center"/>
              <w:rPr>
                <w:sz w:val="16"/>
              </w:rPr>
            </w:pPr>
          </w:p>
        </w:tc>
        <w:tc>
          <w:tcPr>
            <w:tcW w:w="494" w:type="pct"/>
            <w:gridSpan w:val="2"/>
          </w:tcPr>
          <w:p w:rsidR="003C2110" w:rsidRPr="005F31CD" w:rsidRDefault="003C2110" w:rsidP="00347B2F">
            <w:pPr>
              <w:spacing w:beforeLines="20" w:before="48" w:afterLines="20" w:after="48"/>
              <w:jc w:val="center"/>
              <w:rPr>
                <w:sz w:val="16"/>
              </w:rPr>
            </w:pPr>
          </w:p>
        </w:tc>
        <w:tc>
          <w:tcPr>
            <w:tcW w:w="453" w:type="pct"/>
            <w:vAlign w:val="center"/>
          </w:tcPr>
          <w:p w:rsidR="003C2110" w:rsidRPr="005F31CD" w:rsidRDefault="003C2110" w:rsidP="00347B2F">
            <w:pPr>
              <w:spacing w:beforeLines="20" w:before="48" w:afterLines="20" w:after="48"/>
              <w:jc w:val="center"/>
              <w:rPr>
                <w:sz w:val="16"/>
              </w:rPr>
            </w:pPr>
          </w:p>
        </w:tc>
        <w:tc>
          <w:tcPr>
            <w:tcW w:w="438" w:type="pct"/>
            <w:vAlign w:val="center"/>
          </w:tcPr>
          <w:p w:rsidR="003C2110" w:rsidRPr="005F31CD" w:rsidRDefault="003C2110" w:rsidP="00347B2F">
            <w:pPr>
              <w:spacing w:beforeLines="20" w:before="48" w:afterLines="20" w:after="48"/>
              <w:jc w:val="center"/>
              <w:rPr>
                <w:sz w:val="16"/>
              </w:rPr>
            </w:pPr>
          </w:p>
        </w:tc>
        <w:tc>
          <w:tcPr>
            <w:tcW w:w="437" w:type="pct"/>
            <w:vAlign w:val="center"/>
          </w:tcPr>
          <w:p w:rsidR="003C2110" w:rsidRPr="005F31CD" w:rsidRDefault="003C2110" w:rsidP="00347B2F">
            <w:pPr>
              <w:spacing w:beforeLines="20" w:before="48" w:afterLines="20" w:after="48"/>
              <w:jc w:val="center"/>
              <w:rPr>
                <w:sz w:val="16"/>
              </w:rPr>
            </w:pPr>
          </w:p>
        </w:tc>
      </w:tr>
      <w:tr w:rsidR="003C2110" w:rsidRPr="005F31CD" w:rsidTr="00347B2F">
        <w:trPr>
          <w:trHeight w:val="207"/>
          <w:jc w:val="center"/>
        </w:trPr>
        <w:tc>
          <w:tcPr>
            <w:tcW w:w="1653" w:type="pct"/>
            <w:gridSpan w:val="2"/>
            <w:tcBorders>
              <w:bottom w:val="double" w:sz="4" w:space="0" w:color="auto"/>
            </w:tcBorders>
            <w:vAlign w:val="center"/>
          </w:tcPr>
          <w:p w:rsidR="003C2110" w:rsidRPr="005F31CD" w:rsidRDefault="003C2110" w:rsidP="00347B2F">
            <w:pPr>
              <w:pStyle w:val="Text1"/>
              <w:spacing w:beforeLines="20" w:before="48" w:afterLines="20" w:after="48"/>
              <w:ind w:left="134"/>
              <w:jc w:val="left"/>
            </w:pPr>
            <w:r w:rsidRPr="005F31CD">
              <w:rPr>
                <w:sz w:val="16"/>
              </w:rPr>
              <w:t>Iné rozpočtové riadky (uveďte)</w:t>
            </w:r>
          </w:p>
        </w:tc>
        <w:tc>
          <w:tcPr>
            <w:tcW w:w="508" w:type="pct"/>
            <w:tcBorders>
              <w:bottom w:val="double" w:sz="4" w:space="0" w:color="auto"/>
            </w:tcBorders>
            <w:vAlign w:val="center"/>
          </w:tcPr>
          <w:p w:rsidR="003C2110" w:rsidRPr="005F31CD" w:rsidRDefault="003C2110" w:rsidP="00347B2F">
            <w:pPr>
              <w:spacing w:beforeLines="20" w:before="48" w:afterLines="20" w:after="48"/>
              <w:jc w:val="center"/>
              <w:rPr>
                <w:sz w:val="16"/>
              </w:rPr>
            </w:pPr>
          </w:p>
        </w:tc>
        <w:tc>
          <w:tcPr>
            <w:tcW w:w="508" w:type="pct"/>
            <w:tcBorders>
              <w:bottom w:val="double" w:sz="4" w:space="0" w:color="auto"/>
            </w:tcBorders>
            <w:vAlign w:val="center"/>
          </w:tcPr>
          <w:p w:rsidR="003C2110" w:rsidRPr="005F31CD" w:rsidRDefault="003C2110" w:rsidP="00347B2F">
            <w:pPr>
              <w:spacing w:beforeLines="20" w:before="48" w:afterLines="20" w:after="48"/>
              <w:jc w:val="center"/>
              <w:rPr>
                <w:sz w:val="16"/>
              </w:rPr>
            </w:pPr>
          </w:p>
        </w:tc>
        <w:tc>
          <w:tcPr>
            <w:tcW w:w="509" w:type="pct"/>
            <w:tcBorders>
              <w:bottom w:val="double" w:sz="4" w:space="0" w:color="auto"/>
            </w:tcBorders>
            <w:vAlign w:val="center"/>
          </w:tcPr>
          <w:p w:rsidR="003C2110" w:rsidRPr="005F31CD" w:rsidRDefault="003C2110" w:rsidP="00347B2F">
            <w:pPr>
              <w:spacing w:beforeLines="20" w:before="48" w:afterLines="20" w:after="48"/>
              <w:jc w:val="center"/>
              <w:rPr>
                <w:sz w:val="16"/>
              </w:rPr>
            </w:pPr>
          </w:p>
        </w:tc>
        <w:tc>
          <w:tcPr>
            <w:tcW w:w="494" w:type="pct"/>
            <w:gridSpan w:val="2"/>
            <w:tcBorders>
              <w:bottom w:val="double" w:sz="4" w:space="0" w:color="auto"/>
            </w:tcBorders>
          </w:tcPr>
          <w:p w:rsidR="003C2110" w:rsidRPr="005F31CD" w:rsidRDefault="003C2110" w:rsidP="00347B2F">
            <w:pPr>
              <w:spacing w:beforeLines="20" w:before="48" w:afterLines="20" w:after="48"/>
              <w:jc w:val="center"/>
              <w:rPr>
                <w:sz w:val="16"/>
              </w:rPr>
            </w:pPr>
          </w:p>
        </w:tc>
        <w:tc>
          <w:tcPr>
            <w:tcW w:w="453" w:type="pct"/>
            <w:tcBorders>
              <w:bottom w:val="double" w:sz="4" w:space="0" w:color="auto"/>
            </w:tcBorders>
            <w:vAlign w:val="center"/>
          </w:tcPr>
          <w:p w:rsidR="003C2110" w:rsidRPr="005F31CD" w:rsidRDefault="003C2110" w:rsidP="00347B2F">
            <w:pPr>
              <w:spacing w:beforeLines="20" w:before="48" w:afterLines="20" w:after="48"/>
              <w:jc w:val="center"/>
              <w:rPr>
                <w:sz w:val="16"/>
              </w:rPr>
            </w:pPr>
          </w:p>
        </w:tc>
        <w:tc>
          <w:tcPr>
            <w:tcW w:w="438" w:type="pct"/>
            <w:tcBorders>
              <w:bottom w:val="double" w:sz="4" w:space="0" w:color="auto"/>
            </w:tcBorders>
            <w:vAlign w:val="center"/>
          </w:tcPr>
          <w:p w:rsidR="003C2110" w:rsidRPr="005F31CD" w:rsidRDefault="003C2110" w:rsidP="00347B2F">
            <w:pPr>
              <w:spacing w:beforeLines="20" w:before="48" w:afterLines="20" w:after="48"/>
              <w:jc w:val="center"/>
              <w:rPr>
                <w:sz w:val="16"/>
              </w:rPr>
            </w:pPr>
          </w:p>
        </w:tc>
        <w:tc>
          <w:tcPr>
            <w:tcW w:w="437" w:type="pct"/>
            <w:tcBorders>
              <w:bottom w:val="double" w:sz="4" w:space="0" w:color="auto"/>
            </w:tcBorders>
            <w:vAlign w:val="center"/>
          </w:tcPr>
          <w:p w:rsidR="003C2110" w:rsidRPr="005F31CD" w:rsidRDefault="003C2110" w:rsidP="00347B2F">
            <w:pPr>
              <w:spacing w:beforeLines="20" w:before="48" w:afterLines="20" w:after="48"/>
              <w:jc w:val="center"/>
              <w:rPr>
                <w:sz w:val="16"/>
              </w:rPr>
            </w:pPr>
          </w:p>
        </w:tc>
      </w:tr>
      <w:tr w:rsidR="003C2110" w:rsidRPr="005F31CD" w:rsidTr="00347B2F">
        <w:trPr>
          <w:trHeight w:val="207"/>
          <w:jc w:val="center"/>
        </w:trPr>
        <w:tc>
          <w:tcPr>
            <w:tcW w:w="1653" w:type="pct"/>
            <w:gridSpan w:val="2"/>
            <w:tcBorders>
              <w:top w:val="double" w:sz="4" w:space="0" w:color="auto"/>
            </w:tcBorders>
            <w:vAlign w:val="center"/>
          </w:tcPr>
          <w:p w:rsidR="003C2110" w:rsidRPr="005F31CD" w:rsidRDefault="003C2110" w:rsidP="00347B2F">
            <w:pPr>
              <w:pStyle w:val="Text1"/>
              <w:spacing w:beforeLines="20" w:before="48" w:afterLines="20" w:after="48"/>
              <w:ind w:left="136"/>
              <w:jc w:val="left"/>
            </w:pPr>
            <w:r w:rsidRPr="005F31CD">
              <w:rPr>
                <w:b/>
                <w:sz w:val="16"/>
              </w:rPr>
              <w:t>SPOLU</w:t>
            </w:r>
          </w:p>
        </w:tc>
        <w:tc>
          <w:tcPr>
            <w:tcW w:w="508" w:type="pct"/>
            <w:tcBorders>
              <w:top w:val="double" w:sz="4" w:space="0" w:color="auto"/>
            </w:tcBorders>
            <w:vAlign w:val="center"/>
          </w:tcPr>
          <w:p w:rsidR="003C2110" w:rsidRPr="005F31CD" w:rsidRDefault="003C2110" w:rsidP="00347B2F">
            <w:pPr>
              <w:spacing w:before="60" w:after="60" w:line="200" w:lineRule="exact"/>
              <w:jc w:val="center"/>
              <w:rPr>
                <w:sz w:val="20"/>
                <w:szCs w:val="20"/>
              </w:rPr>
            </w:pPr>
            <w:r w:rsidRPr="005F31CD">
              <w:rPr>
                <w:sz w:val="20"/>
              </w:rPr>
              <w:t>0,30</w:t>
            </w:r>
          </w:p>
        </w:tc>
        <w:tc>
          <w:tcPr>
            <w:tcW w:w="508" w:type="pct"/>
            <w:tcBorders>
              <w:top w:val="double" w:sz="4" w:space="0" w:color="auto"/>
            </w:tcBorders>
            <w:vAlign w:val="center"/>
          </w:tcPr>
          <w:p w:rsidR="003C2110" w:rsidRPr="005F31CD" w:rsidRDefault="003C2110" w:rsidP="00347B2F">
            <w:pPr>
              <w:spacing w:before="60" w:after="60" w:line="200" w:lineRule="exact"/>
              <w:jc w:val="center"/>
              <w:rPr>
                <w:sz w:val="20"/>
                <w:szCs w:val="20"/>
              </w:rPr>
            </w:pPr>
            <w:r w:rsidRPr="005F31CD">
              <w:rPr>
                <w:sz w:val="20"/>
              </w:rPr>
              <w:t>0,42</w:t>
            </w:r>
          </w:p>
        </w:tc>
        <w:tc>
          <w:tcPr>
            <w:tcW w:w="509" w:type="pct"/>
            <w:tcBorders>
              <w:top w:val="double" w:sz="4" w:space="0" w:color="auto"/>
            </w:tcBorders>
            <w:vAlign w:val="center"/>
          </w:tcPr>
          <w:p w:rsidR="003C2110" w:rsidRPr="005F31CD" w:rsidRDefault="003C2110" w:rsidP="00347B2F">
            <w:pPr>
              <w:spacing w:before="60" w:after="60" w:line="200" w:lineRule="exact"/>
              <w:jc w:val="center"/>
              <w:rPr>
                <w:sz w:val="20"/>
                <w:szCs w:val="20"/>
              </w:rPr>
            </w:pPr>
            <w:r w:rsidRPr="005F31CD">
              <w:rPr>
                <w:sz w:val="20"/>
              </w:rPr>
              <w:t>0,04</w:t>
            </w:r>
          </w:p>
        </w:tc>
        <w:tc>
          <w:tcPr>
            <w:tcW w:w="494" w:type="pct"/>
            <w:gridSpan w:val="2"/>
            <w:tcBorders>
              <w:top w:val="double" w:sz="4" w:space="0" w:color="auto"/>
            </w:tcBorders>
            <w:vAlign w:val="center"/>
          </w:tcPr>
          <w:p w:rsidR="003C2110" w:rsidRPr="005F31CD" w:rsidRDefault="003C2110" w:rsidP="00347B2F">
            <w:pPr>
              <w:spacing w:before="60" w:after="60" w:line="200" w:lineRule="exact"/>
              <w:jc w:val="center"/>
              <w:rPr>
                <w:sz w:val="20"/>
                <w:szCs w:val="20"/>
              </w:rPr>
            </w:pPr>
            <w:r w:rsidRPr="005F31CD">
              <w:rPr>
                <w:sz w:val="20"/>
              </w:rPr>
              <w:t>0,07</w:t>
            </w:r>
          </w:p>
        </w:tc>
        <w:tc>
          <w:tcPr>
            <w:tcW w:w="453" w:type="pct"/>
            <w:tcBorders>
              <w:top w:val="double" w:sz="4" w:space="0" w:color="auto"/>
            </w:tcBorders>
            <w:vAlign w:val="center"/>
          </w:tcPr>
          <w:p w:rsidR="003C2110" w:rsidRPr="005F31CD" w:rsidRDefault="003C2110" w:rsidP="00347B2F">
            <w:pPr>
              <w:spacing w:before="60" w:after="60" w:line="200" w:lineRule="exact"/>
              <w:jc w:val="center"/>
              <w:rPr>
                <w:sz w:val="20"/>
                <w:szCs w:val="20"/>
              </w:rPr>
            </w:pPr>
            <w:r w:rsidRPr="005F31CD">
              <w:rPr>
                <w:sz w:val="20"/>
              </w:rPr>
              <w:t>0,07</w:t>
            </w:r>
          </w:p>
        </w:tc>
        <w:tc>
          <w:tcPr>
            <w:tcW w:w="438" w:type="pct"/>
            <w:tcBorders>
              <w:top w:val="double" w:sz="4" w:space="0" w:color="auto"/>
            </w:tcBorders>
            <w:vAlign w:val="center"/>
          </w:tcPr>
          <w:p w:rsidR="003C2110" w:rsidRPr="005F31CD" w:rsidRDefault="003C2110" w:rsidP="00347B2F">
            <w:pPr>
              <w:spacing w:beforeLines="20" w:before="48" w:afterLines="20" w:after="48"/>
              <w:jc w:val="center"/>
              <w:rPr>
                <w:b/>
                <w:sz w:val="16"/>
              </w:rPr>
            </w:pPr>
          </w:p>
        </w:tc>
        <w:tc>
          <w:tcPr>
            <w:tcW w:w="437" w:type="pct"/>
            <w:tcBorders>
              <w:top w:val="double" w:sz="4" w:space="0" w:color="auto"/>
            </w:tcBorders>
            <w:vAlign w:val="center"/>
          </w:tcPr>
          <w:p w:rsidR="003C2110" w:rsidRPr="005F31CD" w:rsidRDefault="003C2110" w:rsidP="00347B2F">
            <w:pPr>
              <w:spacing w:beforeLines="20" w:before="48" w:afterLines="20" w:after="48"/>
              <w:jc w:val="center"/>
              <w:rPr>
                <w:b/>
                <w:sz w:val="16"/>
              </w:rPr>
            </w:pPr>
          </w:p>
        </w:tc>
      </w:tr>
    </w:tbl>
    <w:p w:rsidR="003C2110" w:rsidRPr="005F31CD" w:rsidRDefault="003C2110" w:rsidP="003C2110">
      <w:pPr>
        <w:pStyle w:val="Text1"/>
        <w:spacing w:after="60"/>
        <w:rPr>
          <w:sz w:val="18"/>
        </w:rPr>
      </w:pPr>
      <w:r w:rsidRPr="005F31CD">
        <w:rPr>
          <w:b/>
          <w:sz w:val="18"/>
        </w:rPr>
        <w:t xml:space="preserve">XX </w:t>
      </w:r>
      <w:r w:rsidRPr="005F31CD">
        <w:rPr>
          <w:sz w:val="18"/>
        </w:rPr>
        <w:t>predstavuje príslušnú oblasť politiky alebo rozpočtovú hlavu.</w:t>
      </w:r>
    </w:p>
    <w:p w:rsidR="003C2110" w:rsidRPr="005F31CD" w:rsidRDefault="003C2110" w:rsidP="003C2110">
      <w:pPr>
        <w:pStyle w:val="Text1"/>
        <w:rPr>
          <w:sz w:val="18"/>
        </w:rPr>
      </w:pPr>
      <w:r w:rsidRPr="005F31CD">
        <w:rPr>
          <w:sz w:val="18"/>
        </w:rPr>
        <w:t>Potreby ľudských zdrojov budú pokryté úradníkmi GR, ktorí už boli pridelení na riadenie akcie a/alebo boli interne prerozdelení</w:t>
      </w:r>
      <w:r w:rsidR="005F31CD">
        <w:rPr>
          <w:sz w:val="18"/>
        </w:rPr>
        <w:t xml:space="preserve"> v </w:t>
      </w:r>
      <w:r w:rsidRPr="005F31CD">
        <w:rPr>
          <w:sz w:val="18"/>
        </w:rPr>
        <w:t>rámci GR,</w:t>
      </w:r>
      <w:r w:rsidR="005F31CD">
        <w:rPr>
          <w:sz w:val="18"/>
        </w:rPr>
        <w:t xml:space="preserve"> a v </w:t>
      </w:r>
      <w:r w:rsidRPr="005F31CD">
        <w:rPr>
          <w:sz w:val="18"/>
        </w:rPr>
        <w:t>prípade potreby budú doplnené zdrojmi, ktoré sa môžu prideliť riadiacemu GR</w:t>
      </w:r>
      <w:r w:rsidR="005F31CD">
        <w:rPr>
          <w:sz w:val="18"/>
        </w:rPr>
        <w:t xml:space="preserve"> v </w:t>
      </w:r>
      <w:r w:rsidRPr="005F31CD">
        <w:rPr>
          <w:sz w:val="18"/>
        </w:rPr>
        <w:t>rámci ročného postupu prideľovania zdrojov</w:t>
      </w:r>
      <w:r w:rsidR="005F31CD">
        <w:rPr>
          <w:sz w:val="18"/>
        </w:rPr>
        <w:t xml:space="preserve"> a v </w:t>
      </w:r>
      <w:r w:rsidRPr="005F31CD">
        <w:rPr>
          <w:sz w:val="18"/>
        </w:rPr>
        <w:t>závislosti od rozpočtových obmedzení.</w:t>
      </w:r>
    </w:p>
    <w:p w:rsidR="003C2110" w:rsidRPr="005F31CD" w:rsidRDefault="003C2110" w:rsidP="003C2110">
      <w:pPr>
        <w:pStyle w:val="Text1"/>
        <w:rPr>
          <w:sz w:val="18"/>
        </w:rPr>
      </w:pPr>
      <w:r w:rsidRPr="005F31CD">
        <w:rPr>
          <w:sz w:val="18"/>
        </w:rPr>
        <w:t>Náklady na potrebných zamestnancov sa odhadujú na základe 30</w:t>
      </w:r>
      <w:r w:rsidR="005F31CD">
        <w:rPr>
          <w:sz w:val="18"/>
        </w:rPr>
        <w:t> %</w:t>
      </w:r>
      <w:r w:rsidRPr="005F31CD">
        <w:rPr>
          <w:sz w:val="18"/>
        </w:rPr>
        <w:t xml:space="preserve"> ročných výdavkov na úradníka triedy AD5 – AD12.</w:t>
      </w:r>
    </w:p>
    <w:p w:rsidR="003C2110" w:rsidRPr="005F31CD" w:rsidRDefault="003C2110" w:rsidP="003C2110">
      <w:pPr>
        <w:pStyle w:val="Text1"/>
        <w:spacing w:before="240"/>
        <w:rPr>
          <w:sz w:val="20"/>
          <w:szCs w:val="20"/>
        </w:rPr>
      </w:pPr>
      <w:r w:rsidRPr="005F31CD">
        <w:rPr>
          <w:sz w:val="20"/>
        </w:rPr>
        <w:t>Opis úloh, ktoré sa majú vykonať:</w:t>
      </w:r>
    </w:p>
    <w:tbl>
      <w:tblPr>
        <w:tblW w:w="9639"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86"/>
        <w:gridCol w:w="5953"/>
      </w:tblGrid>
      <w:tr w:rsidR="003C2110" w:rsidRPr="005F31CD" w:rsidTr="00347B2F">
        <w:tc>
          <w:tcPr>
            <w:tcW w:w="3686" w:type="dxa"/>
          </w:tcPr>
          <w:p w:rsidR="003C2110" w:rsidRPr="005F31CD" w:rsidRDefault="003C2110" w:rsidP="00347B2F">
            <w:r w:rsidRPr="005F31CD">
              <w:rPr>
                <w:sz w:val="20"/>
              </w:rPr>
              <w:t>Úradníci</w:t>
            </w:r>
            <w:r w:rsidR="005F31CD">
              <w:rPr>
                <w:sz w:val="20"/>
              </w:rPr>
              <w:t xml:space="preserve"> a </w:t>
            </w:r>
            <w:r w:rsidRPr="005F31CD">
              <w:rPr>
                <w:sz w:val="20"/>
              </w:rPr>
              <w:t>dočasní zamestnanci</w:t>
            </w:r>
          </w:p>
        </w:tc>
        <w:tc>
          <w:tcPr>
            <w:tcW w:w="5953" w:type="dxa"/>
          </w:tcPr>
          <w:p w:rsidR="003C2110" w:rsidRPr="005F31CD" w:rsidRDefault="003C2110" w:rsidP="00347B2F">
            <w:pPr>
              <w:rPr>
                <w:sz w:val="20"/>
              </w:rPr>
            </w:pPr>
            <w:r w:rsidRPr="005F31CD">
              <w:rPr>
                <w:sz w:val="20"/>
              </w:rPr>
              <w:t>Vedúci oddelenia: dohľad nad operáciou</w:t>
            </w:r>
            <w:r w:rsidR="005F31CD">
              <w:rPr>
                <w:sz w:val="20"/>
              </w:rPr>
              <w:t xml:space="preserve"> a </w:t>
            </w:r>
            <w:r w:rsidRPr="005F31CD">
              <w:rPr>
                <w:sz w:val="20"/>
              </w:rPr>
              <w:t>jej riadenie, rokovanie</w:t>
            </w:r>
            <w:r w:rsidR="005F31CD">
              <w:rPr>
                <w:sz w:val="20"/>
              </w:rPr>
              <w:t xml:space="preserve"> o </w:t>
            </w:r>
            <w:r w:rsidRPr="005F31CD">
              <w:rPr>
                <w:sz w:val="20"/>
              </w:rPr>
              <w:t>memorande</w:t>
            </w:r>
            <w:r w:rsidR="005F31CD">
              <w:rPr>
                <w:sz w:val="20"/>
              </w:rPr>
              <w:t xml:space="preserve"> o </w:t>
            </w:r>
            <w:r w:rsidRPr="005F31CD">
              <w:rPr>
                <w:sz w:val="20"/>
              </w:rPr>
              <w:t>porozumení, vedenie misií</w:t>
            </w:r>
            <w:r w:rsidR="005F31CD">
              <w:rPr>
                <w:sz w:val="20"/>
              </w:rPr>
              <w:t xml:space="preserve"> a </w:t>
            </w:r>
            <w:r w:rsidRPr="005F31CD">
              <w:rPr>
                <w:sz w:val="20"/>
              </w:rPr>
              <w:t>posudzovanie pokroku pri dodržiavaní podmienenosti.</w:t>
            </w:r>
          </w:p>
          <w:p w:rsidR="003C2110" w:rsidRPr="005F31CD" w:rsidRDefault="003C2110" w:rsidP="00347B2F">
            <w:pPr>
              <w:rPr>
                <w:sz w:val="20"/>
              </w:rPr>
            </w:pPr>
            <w:r w:rsidRPr="005F31CD">
              <w:rPr>
                <w:sz w:val="20"/>
              </w:rPr>
              <w:t>Referenti: vypracovanie memoranda</w:t>
            </w:r>
            <w:r w:rsidR="005F31CD">
              <w:rPr>
                <w:sz w:val="20"/>
              </w:rPr>
              <w:t xml:space="preserve"> o </w:t>
            </w:r>
            <w:r w:rsidRPr="005F31CD">
              <w:rPr>
                <w:sz w:val="20"/>
              </w:rPr>
              <w:t>porozumení, spolupráca</w:t>
            </w:r>
            <w:r w:rsidR="005F31CD">
              <w:rPr>
                <w:sz w:val="20"/>
              </w:rPr>
              <w:t xml:space="preserve"> s </w:t>
            </w:r>
            <w:r w:rsidRPr="005F31CD">
              <w:rPr>
                <w:sz w:val="20"/>
              </w:rPr>
              <w:t>orgánmi</w:t>
            </w:r>
            <w:r w:rsidR="005F31CD">
              <w:rPr>
                <w:sz w:val="20"/>
              </w:rPr>
              <w:t xml:space="preserve"> a </w:t>
            </w:r>
            <w:r w:rsidRPr="005F31CD">
              <w:rPr>
                <w:sz w:val="20"/>
              </w:rPr>
              <w:t>medzinárodnými finančnými inštitúciami, spolupráca</w:t>
            </w:r>
            <w:r w:rsidR="005F31CD">
              <w:rPr>
                <w:sz w:val="20"/>
              </w:rPr>
              <w:t xml:space="preserve"> s </w:t>
            </w:r>
            <w:r w:rsidRPr="005F31CD">
              <w:rPr>
                <w:sz w:val="20"/>
              </w:rPr>
              <w:t>externými expertmi</w:t>
            </w:r>
            <w:r w:rsidR="005F31CD">
              <w:rPr>
                <w:sz w:val="20"/>
              </w:rPr>
              <w:t xml:space="preserve"> v </w:t>
            </w:r>
            <w:r w:rsidRPr="005F31CD">
              <w:rPr>
                <w:sz w:val="20"/>
              </w:rPr>
              <w:t>oblasti operatívneho posúdenia</w:t>
            </w:r>
            <w:r w:rsidR="005F31CD">
              <w:rPr>
                <w:sz w:val="20"/>
              </w:rPr>
              <w:t xml:space="preserve"> a </w:t>
            </w:r>
            <w:r w:rsidRPr="005F31CD">
              <w:rPr>
                <w:sz w:val="20"/>
              </w:rPr>
              <w:t>hodnotenia ex post, uskutočňovanie kontrolných misií, vypracovanie správ útvarov Komisie</w:t>
            </w:r>
            <w:r w:rsidR="005F31CD">
              <w:rPr>
                <w:sz w:val="20"/>
              </w:rPr>
              <w:t xml:space="preserve"> a </w:t>
            </w:r>
            <w:r w:rsidRPr="005F31CD">
              <w:rPr>
                <w:sz w:val="20"/>
              </w:rPr>
              <w:t>príprava postupov Komisie týkajúcich sa riadenia pomoci.</w:t>
            </w:r>
          </w:p>
        </w:tc>
      </w:tr>
      <w:tr w:rsidR="003C2110" w:rsidRPr="005F31CD" w:rsidTr="00347B2F">
        <w:tc>
          <w:tcPr>
            <w:tcW w:w="3686" w:type="dxa"/>
          </w:tcPr>
          <w:p w:rsidR="003C2110" w:rsidRPr="005F31CD" w:rsidRDefault="003C2110" w:rsidP="00347B2F">
            <w:pPr>
              <w:spacing w:before="60" w:after="60"/>
            </w:pPr>
            <w:r w:rsidRPr="005F31CD">
              <w:rPr>
                <w:sz w:val="20"/>
              </w:rPr>
              <w:t>Externí zamestnanci</w:t>
            </w:r>
          </w:p>
        </w:tc>
        <w:tc>
          <w:tcPr>
            <w:tcW w:w="5953" w:type="dxa"/>
          </w:tcPr>
          <w:p w:rsidR="003C2110" w:rsidRPr="005F31CD" w:rsidRDefault="003C2110" w:rsidP="00347B2F">
            <w:pPr>
              <w:rPr>
                <w:sz w:val="20"/>
              </w:rPr>
            </w:pPr>
            <w:r w:rsidRPr="005F31CD">
              <w:rPr>
                <w:sz w:val="20"/>
              </w:rPr>
              <w:t>neuplatňuje sa</w:t>
            </w:r>
          </w:p>
        </w:tc>
      </w:tr>
    </w:tbl>
    <w:p w:rsidR="003C2110" w:rsidRPr="005F31CD" w:rsidRDefault="003C2110" w:rsidP="003C2110">
      <w:pPr>
        <w:sectPr w:rsidR="003C2110" w:rsidRPr="005F31CD" w:rsidSect="005D0524">
          <w:headerReference w:type="default" r:id="rId26"/>
          <w:footerReference w:type="default" r:id="rId27"/>
          <w:headerReference w:type="first" r:id="rId28"/>
          <w:footerReference w:type="first" r:id="rId29"/>
          <w:pgSz w:w="11907" w:h="16840"/>
          <w:pgMar w:top="720" w:right="720" w:bottom="720" w:left="720" w:header="709" w:footer="709" w:gutter="0"/>
          <w:cols w:space="708"/>
          <w:docGrid w:linePitch="360"/>
        </w:sectPr>
      </w:pPr>
    </w:p>
    <w:p w:rsidR="003C2110" w:rsidRPr="005F31CD" w:rsidRDefault="003C2110" w:rsidP="003C2110">
      <w:pPr>
        <w:pStyle w:val="ManualHeading3"/>
      </w:pPr>
      <w:r w:rsidRPr="005F31CD">
        <w:t>3.2.4.</w:t>
      </w:r>
      <w:r w:rsidRPr="005F31CD">
        <w:tab/>
        <w:t>Súlad</w:t>
      </w:r>
      <w:r w:rsidR="005F31CD">
        <w:t xml:space="preserve"> s </w:t>
      </w:r>
      <w:r w:rsidRPr="005F31CD">
        <w:t>platným viacročným finančným rámcom</w:t>
      </w:r>
    </w:p>
    <w:p w:rsidR="003C2110" w:rsidRPr="005F31CD" w:rsidRDefault="003C2110" w:rsidP="003C2110">
      <w:pPr>
        <w:pStyle w:val="ListDash1"/>
      </w:pPr>
      <w:r w:rsidRPr="005F31CD">
        <w:t>X Návrh/iniciatíva je</w:t>
      </w:r>
      <w:r w:rsidR="005F31CD">
        <w:t xml:space="preserve"> v </w:t>
      </w:r>
      <w:r w:rsidRPr="005F31CD">
        <w:t>súlade</w:t>
      </w:r>
      <w:r w:rsidR="005F31CD">
        <w:t xml:space="preserve"> s </w:t>
      </w:r>
      <w:r w:rsidRPr="005F31CD">
        <w:t>platným viacročným finančným rámcom.</w:t>
      </w:r>
    </w:p>
    <w:p w:rsidR="003C2110" w:rsidRPr="005F31CD" w:rsidRDefault="003C2110" w:rsidP="003C2110">
      <w:pPr>
        <w:pStyle w:val="ManualHeading3"/>
      </w:pPr>
      <w:r w:rsidRPr="005F31CD">
        <w:t>3.2.5.</w:t>
      </w:r>
      <w:r w:rsidRPr="005F31CD">
        <w:tab/>
        <w:t>Príspevky od tretích strán</w:t>
      </w:r>
    </w:p>
    <w:p w:rsidR="003C2110" w:rsidRPr="005F31CD" w:rsidRDefault="003C2110" w:rsidP="003C2110">
      <w:pPr>
        <w:pStyle w:val="ListDash1"/>
      </w:pPr>
      <w:r w:rsidRPr="005F31CD">
        <w:t>X Návrh/iniciatíva nezahŕňa spolufinancovanie tretími stranami.</w:t>
      </w:r>
    </w:p>
    <w:p w:rsidR="003C2110" w:rsidRPr="005F31CD" w:rsidRDefault="003C2110" w:rsidP="003C2110">
      <w:pPr>
        <w:pStyle w:val="ManualHeading2"/>
      </w:pPr>
      <w:r w:rsidRPr="005F31CD">
        <w:t>3.3.</w:t>
      </w:r>
      <w:r w:rsidRPr="005F31CD">
        <w:tab/>
        <w:t>Odhadovaný vplyv na príjmy</w:t>
      </w:r>
    </w:p>
    <w:p w:rsidR="0087220A" w:rsidRPr="005D0524" w:rsidRDefault="003C2110" w:rsidP="003C2110">
      <w:pPr>
        <w:jc w:val="center"/>
      </w:pPr>
      <w:r w:rsidRPr="005F31CD">
        <w:t>X</w:t>
      </w:r>
      <w:r w:rsidRPr="005F31CD">
        <w:tab/>
        <w:t>Návrh/iniciatíva nemá finančný vplyv na príjmy</w:t>
      </w:r>
      <w:r w:rsidR="00121F52" w:rsidRPr="005F31CD">
        <w:t>.</w:t>
      </w:r>
    </w:p>
    <w:sectPr w:rsidR="0087220A" w:rsidRPr="005D0524" w:rsidSect="005D0524">
      <w:headerReference w:type="default" r:id="rId30"/>
      <w:footerReference w:type="default" r:id="rId31"/>
      <w:headerReference w:type="first" r:id="rId32"/>
      <w:footerReference w:type="first" r:id="rId33"/>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F52" w:rsidRDefault="00121F52">
      <w:pPr>
        <w:spacing w:before="0" w:after="0"/>
      </w:pPr>
      <w:r>
        <w:separator/>
      </w:r>
    </w:p>
  </w:endnote>
  <w:endnote w:type="continuationSeparator" w:id="0">
    <w:p w:rsidR="00121F52" w:rsidRDefault="00121F5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524" w:rsidRPr="005D0524" w:rsidRDefault="005D0524" w:rsidP="005D052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524" w:rsidRPr="005D0524" w:rsidRDefault="005D0524" w:rsidP="005D0524">
    <w:pPr>
      <w:pStyle w:val="Footer"/>
      <w:rPr>
        <w:rFonts w:ascii="Arial" w:hAnsi="Arial" w:cs="Arial"/>
        <w:b/>
        <w:sz w:val="48"/>
      </w:rPr>
    </w:pPr>
    <w:r w:rsidRPr="005D0524">
      <w:rPr>
        <w:rFonts w:ascii="Arial" w:hAnsi="Arial" w:cs="Arial"/>
        <w:b/>
        <w:sz w:val="48"/>
      </w:rPr>
      <w:t>SK</w:t>
    </w:r>
    <w:r w:rsidRPr="005D0524">
      <w:rPr>
        <w:rFonts w:ascii="Arial" w:hAnsi="Arial" w:cs="Arial"/>
        <w:b/>
        <w:sz w:val="48"/>
      </w:rPr>
      <w:tab/>
    </w:r>
    <w:r>
      <w:fldChar w:fldCharType="begin"/>
    </w:r>
    <w:r>
      <w:instrText xml:space="preserve"> PAGE  \* MERGEFORMAT </w:instrText>
    </w:r>
    <w:r>
      <w:fldChar w:fldCharType="separate"/>
    </w:r>
    <w:r>
      <w:rPr>
        <w:noProof/>
      </w:rPr>
      <w:t>27</w:t>
    </w:r>
    <w:r>
      <w:fldChar w:fldCharType="end"/>
    </w:r>
    <w:r>
      <w:tab/>
    </w:r>
    <w:r w:rsidRPr="005D0524">
      <w:tab/>
    </w:r>
    <w:r w:rsidRPr="005D0524">
      <w:rPr>
        <w:rFonts w:ascii="Arial" w:hAnsi="Arial" w:cs="Arial"/>
        <w:b/>
        <w:sz w:val="48"/>
      </w:rPr>
      <w:t>SK</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524" w:rsidRPr="005D0524" w:rsidRDefault="005D0524" w:rsidP="005D0524">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524" w:rsidRPr="005D0524" w:rsidRDefault="005D0524" w:rsidP="005D0524">
    <w:pPr>
      <w:pStyle w:val="Footer"/>
      <w:rPr>
        <w:rFonts w:ascii="Arial" w:hAnsi="Arial" w:cs="Arial"/>
        <w:b/>
        <w:sz w:val="48"/>
      </w:rPr>
    </w:pPr>
    <w:r w:rsidRPr="005D0524">
      <w:rPr>
        <w:rFonts w:ascii="Arial" w:hAnsi="Arial" w:cs="Arial"/>
        <w:b/>
        <w:sz w:val="48"/>
      </w:rPr>
      <w:t>SK</w:t>
    </w:r>
    <w:r w:rsidRPr="005D0524">
      <w:rPr>
        <w:rFonts w:ascii="Arial" w:hAnsi="Arial" w:cs="Arial"/>
        <w:b/>
        <w:sz w:val="48"/>
      </w:rPr>
      <w:tab/>
    </w:r>
    <w:r>
      <w:fldChar w:fldCharType="begin"/>
    </w:r>
    <w:r>
      <w:instrText xml:space="preserve"> PAGE  \* MERGEFORMAT </w:instrText>
    </w:r>
    <w:r>
      <w:fldChar w:fldCharType="separate"/>
    </w:r>
    <w:r>
      <w:rPr>
        <w:noProof/>
      </w:rPr>
      <w:t>28</w:t>
    </w:r>
    <w:r>
      <w:fldChar w:fldCharType="end"/>
    </w:r>
    <w:r>
      <w:tab/>
    </w:r>
    <w:r w:rsidRPr="005D0524">
      <w:tab/>
    </w:r>
    <w:r w:rsidRPr="005D0524">
      <w:rPr>
        <w:rFonts w:ascii="Arial" w:hAnsi="Arial" w:cs="Arial"/>
        <w:b/>
        <w:sz w:val="48"/>
      </w:rPr>
      <w:t>SK</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524" w:rsidRPr="005D0524" w:rsidRDefault="005D0524" w:rsidP="005D05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E5A" w:rsidRPr="005D0524" w:rsidRDefault="005D0524" w:rsidP="005D0524">
    <w:pPr>
      <w:pStyle w:val="Footer"/>
      <w:rPr>
        <w:rFonts w:ascii="Arial" w:hAnsi="Arial" w:cs="Arial"/>
        <w:b/>
        <w:sz w:val="48"/>
      </w:rPr>
    </w:pPr>
    <w:r w:rsidRPr="005D0524">
      <w:rPr>
        <w:rFonts w:ascii="Arial" w:hAnsi="Arial" w:cs="Arial"/>
        <w:b/>
        <w:sz w:val="48"/>
      </w:rPr>
      <w:t>SK</w:t>
    </w:r>
    <w:r w:rsidRPr="005D0524">
      <w:rPr>
        <w:rFonts w:ascii="Arial" w:hAnsi="Arial" w:cs="Arial"/>
        <w:b/>
        <w:sz w:val="48"/>
      </w:rPr>
      <w:tab/>
    </w:r>
    <w:r w:rsidRPr="005D0524">
      <w:rPr>
        <w:rFonts w:ascii="Arial" w:hAnsi="Arial" w:cs="Arial"/>
        <w:b/>
        <w:sz w:val="48"/>
      </w:rPr>
      <w:tab/>
    </w:r>
    <w:r w:rsidRPr="005D0524">
      <w:tab/>
    </w:r>
    <w:proofErr w:type="spellStart"/>
    <w:r w:rsidRPr="005D0524">
      <w:rPr>
        <w:rFonts w:ascii="Arial" w:hAnsi="Arial" w:cs="Arial"/>
        <w:b/>
        <w:sz w:val="48"/>
      </w:rPr>
      <w:t>SK</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524" w:rsidRPr="005D0524" w:rsidRDefault="005D0524" w:rsidP="005D052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524" w:rsidRPr="005D0524" w:rsidRDefault="005D0524" w:rsidP="005D0524">
    <w:pPr>
      <w:pStyle w:val="Footer"/>
      <w:rPr>
        <w:rFonts w:ascii="Arial" w:hAnsi="Arial" w:cs="Arial"/>
        <w:b/>
        <w:sz w:val="48"/>
      </w:rPr>
    </w:pPr>
    <w:r w:rsidRPr="005D0524">
      <w:rPr>
        <w:rFonts w:ascii="Arial" w:hAnsi="Arial" w:cs="Arial"/>
        <w:b/>
        <w:sz w:val="48"/>
      </w:rPr>
      <w:t>SK</w:t>
    </w:r>
    <w:r w:rsidRPr="005D0524">
      <w:rPr>
        <w:rFonts w:ascii="Arial" w:hAnsi="Arial" w:cs="Arial"/>
        <w:b/>
        <w:sz w:val="48"/>
      </w:rPr>
      <w:tab/>
    </w:r>
    <w:r>
      <w:fldChar w:fldCharType="begin"/>
    </w:r>
    <w:r>
      <w:instrText xml:space="preserve"> PAGE  \* MERGEFORMAT </w:instrText>
    </w:r>
    <w:r>
      <w:fldChar w:fldCharType="separate"/>
    </w:r>
    <w:r>
      <w:rPr>
        <w:noProof/>
      </w:rPr>
      <w:t>24</w:t>
    </w:r>
    <w:r>
      <w:fldChar w:fldCharType="end"/>
    </w:r>
    <w:r>
      <w:tab/>
    </w:r>
    <w:r w:rsidRPr="005D0524">
      <w:tab/>
    </w:r>
    <w:r w:rsidRPr="005D0524">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524" w:rsidRPr="005D0524" w:rsidRDefault="005D0524" w:rsidP="005D052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524" w:rsidRPr="005D0524" w:rsidRDefault="005D0524" w:rsidP="005D0524">
    <w:pPr>
      <w:pStyle w:val="FooterLandscape"/>
      <w:rPr>
        <w:rFonts w:ascii="Arial" w:hAnsi="Arial" w:cs="Arial"/>
        <w:b/>
        <w:sz w:val="48"/>
      </w:rPr>
    </w:pPr>
    <w:r w:rsidRPr="005D0524">
      <w:rPr>
        <w:rFonts w:ascii="Arial" w:hAnsi="Arial" w:cs="Arial"/>
        <w:b/>
        <w:sz w:val="48"/>
      </w:rPr>
      <w:t>SK</w:t>
    </w:r>
    <w:r w:rsidRPr="005D0524">
      <w:rPr>
        <w:rFonts w:ascii="Arial" w:hAnsi="Arial" w:cs="Arial"/>
        <w:b/>
        <w:sz w:val="48"/>
      </w:rPr>
      <w:tab/>
    </w:r>
    <w:r>
      <w:fldChar w:fldCharType="begin"/>
    </w:r>
    <w:r>
      <w:instrText xml:space="preserve"> PAGE  \* MERGEFORMAT </w:instrText>
    </w:r>
    <w:r>
      <w:fldChar w:fldCharType="separate"/>
    </w:r>
    <w:r>
      <w:rPr>
        <w:noProof/>
      </w:rPr>
      <w:t>25</w:t>
    </w:r>
    <w:r>
      <w:fldChar w:fldCharType="end"/>
    </w:r>
    <w:r>
      <w:tab/>
    </w:r>
    <w:r w:rsidRPr="005D0524">
      <w:tab/>
    </w:r>
    <w:r w:rsidRPr="005D0524">
      <w:rPr>
        <w:rFonts w:ascii="Arial" w:hAnsi="Arial" w:cs="Arial"/>
        <w:b/>
        <w:sz w:val="48"/>
      </w:rPr>
      <w:t>SK</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524" w:rsidRPr="005D0524" w:rsidRDefault="005D0524" w:rsidP="005D0524">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524" w:rsidRPr="005D0524" w:rsidRDefault="005D0524" w:rsidP="005D0524">
    <w:pPr>
      <w:pStyle w:val="Footer"/>
      <w:rPr>
        <w:rFonts w:ascii="Arial" w:hAnsi="Arial" w:cs="Arial"/>
        <w:b/>
        <w:sz w:val="48"/>
      </w:rPr>
    </w:pPr>
    <w:r w:rsidRPr="005D0524">
      <w:rPr>
        <w:rFonts w:ascii="Arial" w:hAnsi="Arial" w:cs="Arial"/>
        <w:b/>
        <w:sz w:val="48"/>
      </w:rPr>
      <w:t>SK</w:t>
    </w:r>
    <w:r w:rsidRPr="005D0524">
      <w:rPr>
        <w:rFonts w:ascii="Arial" w:hAnsi="Arial" w:cs="Arial"/>
        <w:b/>
        <w:sz w:val="48"/>
      </w:rPr>
      <w:tab/>
    </w:r>
    <w:r>
      <w:fldChar w:fldCharType="begin"/>
    </w:r>
    <w:r>
      <w:instrText xml:space="preserve"> PAGE  \* MERGEFORMAT </w:instrText>
    </w:r>
    <w:r>
      <w:fldChar w:fldCharType="separate"/>
    </w:r>
    <w:r>
      <w:rPr>
        <w:noProof/>
      </w:rPr>
      <w:t>26</w:t>
    </w:r>
    <w:r>
      <w:fldChar w:fldCharType="end"/>
    </w:r>
    <w:r>
      <w:tab/>
    </w:r>
    <w:r w:rsidRPr="005D0524">
      <w:tab/>
    </w:r>
    <w:r w:rsidRPr="005D0524">
      <w:rPr>
        <w:rFonts w:ascii="Arial" w:hAnsi="Arial" w:cs="Arial"/>
        <w:b/>
        <w:sz w:val="48"/>
      </w:rPr>
      <w:t>SK</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524" w:rsidRPr="005D0524" w:rsidRDefault="005D0524" w:rsidP="005D05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F52" w:rsidRDefault="00121F52">
      <w:pPr>
        <w:spacing w:before="0" w:after="0"/>
      </w:pPr>
      <w:r>
        <w:separator/>
      </w:r>
    </w:p>
  </w:footnote>
  <w:footnote w:type="continuationSeparator" w:id="0">
    <w:p w:rsidR="00121F52" w:rsidRDefault="00121F52">
      <w:pPr>
        <w:spacing w:before="0" w:after="0"/>
      </w:pPr>
      <w:r>
        <w:continuationSeparator/>
      </w:r>
    </w:p>
  </w:footnote>
  <w:footnote w:id="1">
    <w:p w:rsidR="003C2110" w:rsidRPr="005F31CD" w:rsidRDefault="003C2110" w:rsidP="003C2110">
      <w:pPr>
        <w:pStyle w:val="FootnoteText"/>
        <w:keepLines/>
        <w:spacing w:after="120"/>
      </w:pPr>
      <w:r w:rsidRPr="005F31CD">
        <w:rPr>
          <w:rStyle w:val="FootnoteReference"/>
        </w:rPr>
        <w:footnoteRef/>
      </w:r>
      <w:r w:rsidRPr="005F31CD">
        <w:tab/>
        <w:t>Všetky prepočty</w:t>
      </w:r>
      <w:r w:rsidR="005F31CD">
        <w:t xml:space="preserve"> v </w:t>
      </w:r>
      <w:r w:rsidRPr="005F31CD">
        <w:t>tomto dokumente sú založené na výmennom kurze EUR/USD vo výške 1,12.</w:t>
      </w:r>
    </w:p>
  </w:footnote>
  <w:footnote w:id="2">
    <w:p w:rsidR="003C2110" w:rsidRPr="005F31CD" w:rsidRDefault="003C2110" w:rsidP="003C2110">
      <w:pPr>
        <w:pStyle w:val="FootnoteText"/>
        <w:keepLines/>
        <w:spacing w:after="120"/>
      </w:pPr>
      <w:r w:rsidRPr="005F31CD">
        <w:rPr>
          <w:rStyle w:val="FootnoteReference"/>
        </w:rPr>
        <w:footnoteRef/>
      </w:r>
      <w:r w:rsidRPr="005F31CD">
        <w:tab/>
        <w:t>Rozhodnutie Európskeho parlamentu</w:t>
      </w:r>
      <w:r w:rsidR="005F31CD">
        <w:t xml:space="preserve"> a </w:t>
      </w:r>
      <w:r w:rsidRPr="005F31CD">
        <w:t xml:space="preserve">Rady </w:t>
      </w:r>
      <w:r w:rsidR="005F31CD">
        <w:t>č. </w:t>
      </w:r>
      <w:r w:rsidRPr="005F31CD">
        <w:t>778/2013/EÚ</w:t>
      </w:r>
      <w:r w:rsidR="005F31CD">
        <w:t xml:space="preserve"> z </w:t>
      </w:r>
      <w:r w:rsidRPr="005F31CD">
        <w:t>12</w:t>
      </w:r>
      <w:r w:rsidR="005F31CD">
        <w:t>. augusta</w:t>
      </w:r>
      <w:r w:rsidRPr="005F31CD">
        <w:t xml:space="preserve"> 2013</w:t>
      </w:r>
      <w:r w:rsidR="005F31CD">
        <w:t xml:space="preserve"> o </w:t>
      </w:r>
      <w:r w:rsidRPr="005F31CD">
        <w:t>poskytnutí ďalšej makrofinančnej pomoci Gruzínsku (Ú. v. EÚ L 218, 14.8.2013, s. 15).</w:t>
      </w:r>
    </w:p>
  </w:footnote>
  <w:footnote w:id="3">
    <w:p w:rsidR="003C2110" w:rsidRPr="005F31CD" w:rsidRDefault="003C2110" w:rsidP="003C2110">
      <w:pPr>
        <w:pStyle w:val="FootnoteText"/>
        <w:keepLines/>
        <w:spacing w:after="120"/>
      </w:pPr>
      <w:r w:rsidRPr="005F31CD">
        <w:rPr>
          <w:rStyle w:val="FootnoteReference"/>
        </w:rPr>
        <w:footnoteRef/>
      </w:r>
      <w:r w:rsidRPr="005F31CD">
        <w:tab/>
        <w:t>V závislosti od tempa legislatívneho procesu</w:t>
      </w:r>
      <w:r w:rsidR="005F31CD">
        <w:t xml:space="preserve"> a </w:t>
      </w:r>
      <w:r w:rsidRPr="005F31CD">
        <w:t>následného vykonávania operácie makrofinančnej pomoci môže</w:t>
      </w:r>
      <w:r w:rsidR="005F31CD">
        <w:t xml:space="preserve"> k </w:t>
      </w:r>
      <w:r w:rsidRPr="005F31CD">
        <w:t>vyplateniu navrhovanej pomoci dôjsť</w:t>
      </w:r>
      <w:r w:rsidR="005F31CD">
        <w:t xml:space="preserve"> v </w:t>
      </w:r>
      <w:r w:rsidRPr="005F31CD">
        <w:t>roku 2018 alebo môže byť rozdelené medzi roky 2018</w:t>
      </w:r>
      <w:r w:rsidR="005F31CD">
        <w:t xml:space="preserve"> a </w:t>
      </w:r>
      <w:r w:rsidRPr="005F31CD">
        <w:t>2019.</w:t>
      </w:r>
    </w:p>
  </w:footnote>
  <w:footnote w:id="4">
    <w:p w:rsidR="003C2110" w:rsidRPr="005F31CD" w:rsidRDefault="003C2110" w:rsidP="003C2110">
      <w:pPr>
        <w:pStyle w:val="FootnoteText"/>
        <w:keepLines/>
        <w:spacing w:after="120"/>
      </w:pPr>
      <w:r w:rsidRPr="005F31CD">
        <w:rPr>
          <w:rStyle w:val="FootnoteReference"/>
        </w:rPr>
        <w:footnoteRef/>
      </w:r>
      <w:r w:rsidRPr="005F31CD">
        <w:tab/>
        <w:t>Ako sa už uviedlo,</w:t>
      </w:r>
      <w:r w:rsidR="005F31CD">
        <w:t xml:space="preserve"> v </w:t>
      </w:r>
      <w:r w:rsidRPr="005F31CD">
        <w:t>závislosti od tempa legislatívneho procesu</w:t>
      </w:r>
      <w:r w:rsidR="005F31CD">
        <w:t xml:space="preserve"> a </w:t>
      </w:r>
      <w:r w:rsidRPr="005F31CD">
        <w:t>následného vykonávania operácie makrofinančnej pomoci môže</w:t>
      </w:r>
      <w:r w:rsidR="005F31CD">
        <w:t xml:space="preserve"> k </w:t>
      </w:r>
      <w:r w:rsidRPr="005F31CD">
        <w:t>vyplateniu navrhovanej pomoci dôjsť</w:t>
      </w:r>
      <w:r w:rsidR="005F31CD">
        <w:t xml:space="preserve"> v </w:t>
      </w:r>
      <w:r w:rsidRPr="005F31CD">
        <w:t>roku 2018 alebo môže byť rozdelené medzi roky 2018</w:t>
      </w:r>
      <w:r w:rsidR="005F31CD">
        <w:t xml:space="preserve"> a </w:t>
      </w:r>
      <w:r w:rsidRPr="005F31CD">
        <w:t>2019.</w:t>
      </w:r>
    </w:p>
  </w:footnote>
  <w:footnote w:id="5">
    <w:p w:rsidR="003C2110" w:rsidRPr="005F31CD" w:rsidRDefault="003C2110" w:rsidP="003C2110">
      <w:pPr>
        <w:pStyle w:val="FootnoteText"/>
        <w:keepLines/>
        <w:spacing w:after="120"/>
      </w:pPr>
      <w:r w:rsidRPr="005F31CD">
        <w:rPr>
          <w:rStyle w:val="FootnoteReference"/>
        </w:rPr>
        <w:footnoteRef/>
      </w:r>
      <w:r w:rsidRPr="005F31CD">
        <w:tab/>
        <w:t>Ú. v. EÚ C [...], [...], s. [...].</w:t>
      </w:r>
    </w:p>
  </w:footnote>
  <w:footnote w:id="6">
    <w:p w:rsidR="003C2110" w:rsidRPr="005F31CD" w:rsidRDefault="003C2110" w:rsidP="003C2110">
      <w:pPr>
        <w:pStyle w:val="FootnoteText"/>
        <w:keepLines/>
        <w:spacing w:after="120"/>
      </w:pPr>
      <w:r w:rsidRPr="005F31CD">
        <w:rPr>
          <w:rStyle w:val="FootnoteReference"/>
        </w:rPr>
        <w:footnoteRef/>
      </w:r>
      <w:r w:rsidRPr="005F31CD">
        <w:tab/>
        <w:t>Stanovisko Európskeho parlamentu</w:t>
      </w:r>
      <w:r w:rsidR="005F31CD">
        <w:t xml:space="preserve"> z </w:t>
      </w:r>
      <w:r w:rsidRPr="005F31CD">
        <w:t>…</w:t>
      </w:r>
      <w:r w:rsidR="005F31CD">
        <w:t xml:space="preserve"> a </w:t>
      </w:r>
      <w:r w:rsidRPr="005F31CD">
        <w:t>rozhodnutie Rady</w:t>
      </w:r>
      <w:r w:rsidR="005F31CD">
        <w:t xml:space="preserve"> z </w:t>
      </w:r>
      <w:r w:rsidRPr="005F31CD">
        <w:t>… .</w:t>
      </w:r>
    </w:p>
  </w:footnote>
  <w:footnote w:id="7">
    <w:p w:rsidR="003C2110" w:rsidRPr="005F31CD" w:rsidRDefault="003C2110" w:rsidP="003C2110">
      <w:pPr>
        <w:pStyle w:val="FootnoteText"/>
        <w:keepLines/>
        <w:spacing w:after="120"/>
      </w:pPr>
      <w:r w:rsidRPr="005F31CD">
        <w:rPr>
          <w:rStyle w:val="FootnoteReference"/>
        </w:rPr>
        <w:footnoteRef/>
      </w:r>
      <w:r w:rsidRPr="005F31CD">
        <w:tab/>
        <w:t>Nariadenie Európskeho parlamentu</w:t>
      </w:r>
      <w:r w:rsidR="005F31CD">
        <w:t xml:space="preserve"> a </w:t>
      </w:r>
      <w:r w:rsidRPr="005F31CD">
        <w:t xml:space="preserve">Rady (EÚ) </w:t>
      </w:r>
      <w:r w:rsidR="005F31CD">
        <w:t>č. </w:t>
      </w:r>
      <w:r w:rsidRPr="005F31CD">
        <w:t>182/2011 zo 16</w:t>
      </w:r>
      <w:r w:rsidR="005F31CD">
        <w:t>. februára</w:t>
      </w:r>
      <w:r w:rsidRPr="005F31CD">
        <w:t xml:space="preserve"> 2011, ktorým sa ustanovujú pravidlá</w:t>
      </w:r>
      <w:r w:rsidR="005F31CD">
        <w:t xml:space="preserve"> a </w:t>
      </w:r>
      <w:r w:rsidRPr="005F31CD">
        <w:t>všeobecné zásady mechanizmu, na základe ktorého členské štáty kontrolujú vykonávanie vykonávacích právomocí Komisie (Ú. v. EÚ L 55, 28.2.2011, s. 13).</w:t>
      </w:r>
    </w:p>
  </w:footnote>
  <w:footnote w:id="8">
    <w:p w:rsidR="003C2110" w:rsidRPr="005F31CD" w:rsidRDefault="003C2110" w:rsidP="003C2110">
      <w:pPr>
        <w:pStyle w:val="FootnoteText"/>
        <w:keepLines/>
        <w:spacing w:after="120"/>
      </w:pPr>
      <w:r w:rsidRPr="005F31CD">
        <w:rPr>
          <w:rStyle w:val="FootnoteReference"/>
        </w:rPr>
        <w:footnoteRef/>
      </w:r>
      <w:r w:rsidRPr="005F31CD">
        <w:tab/>
        <w:t>Rozhodnutie Rady 2010/427/EÚ</w:t>
      </w:r>
      <w:r w:rsidR="005F31CD">
        <w:t xml:space="preserve"> z </w:t>
      </w:r>
      <w:r w:rsidRPr="005F31CD">
        <w:t>26</w:t>
      </w:r>
      <w:r w:rsidR="005F31CD">
        <w:t>. júla</w:t>
      </w:r>
      <w:r w:rsidRPr="005F31CD">
        <w:t xml:space="preserve"> 2010</w:t>
      </w:r>
      <w:r w:rsidR="005F31CD">
        <w:t xml:space="preserve"> o </w:t>
      </w:r>
      <w:r w:rsidRPr="005F31CD">
        <w:t>organizácii</w:t>
      </w:r>
      <w:r w:rsidR="005F31CD">
        <w:t xml:space="preserve"> a </w:t>
      </w:r>
      <w:r w:rsidRPr="005F31CD">
        <w:t>fungovaní Európskej služby pre vonkajšiu činnosť (Ú. v. EÚ L 201, 3.8.2010, s. 30).</w:t>
      </w:r>
    </w:p>
  </w:footnote>
  <w:footnote w:id="9">
    <w:p w:rsidR="003C2110" w:rsidRPr="005F31CD" w:rsidRDefault="003C2110" w:rsidP="003C2110">
      <w:pPr>
        <w:pStyle w:val="FootnoteText"/>
        <w:keepLines/>
        <w:spacing w:after="120"/>
      </w:pPr>
      <w:r w:rsidRPr="005F31CD">
        <w:rPr>
          <w:rStyle w:val="FootnoteReference"/>
        </w:rPr>
        <w:footnoteRef/>
      </w:r>
      <w:r w:rsidRPr="005F31CD">
        <w:tab/>
        <w:t xml:space="preserve">Nariadenie Rady (ES, </w:t>
      </w:r>
      <w:proofErr w:type="spellStart"/>
      <w:r w:rsidRPr="005F31CD">
        <w:t>Euratom</w:t>
      </w:r>
      <w:proofErr w:type="spellEnd"/>
      <w:r w:rsidRPr="005F31CD">
        <w:t xml:space="preserve">) </w:t>
      </w:r>
      <w:r w:rsidR="005F31CD">
        <w:t>č. </w:t>
      </w:r>
      <w:r w:rsidRPr="005F31CD">
        <w:t>480/2009</w:t>
      </w:r>
      <w:r w:rsidR="005F31CD">
        <w:t xml:space="preserve"> z </w:t>
      </w:r>
      <w:r w:rsidRPr="005F31CD">
        <w:t>25</w:t>
      </w:r>
      <w:r w:rsidR="005F31CD">
        <w:t>. mája</w:t>
      </w:r>
      <w:r w:rsidRPr="005F31CD">
        <w:t> 2009, ktorým sa zriaďuje Garančný fond pre vonkajšie opatrenia (Ú. v. EÚ L 145, 10.6.2009, s. 10).</w:t>
      </w:r>
    </w:p>
  </w:footnote>
  <w:footnote w:id="10">
    <w:p w:rsidR="003C2110" w:rsidRPr="005F31CD" w:rsidRDefault="003C2110" w:rsidP="003C2110">
      <w:pPr>
        <w:pStyle w:val="FootnoteText"/>
        <w:keepLines/>
        <w:spacing w:after="120"/>
      </w:pPr>
      <w:r w:rsidRPr="005F31CD">
        <w:rPr>
          <w:rStyle w:val="FootnoteReference"/>
        </w:rPr>
        <w:footnoteRef/>
      </w:r>
      <w:r w:rsidRPr="005F31CD">
        <w:tab/>
        <w:t>Nariadenie Európskeho parlamentu</w:t>
      </w:r>
      <w:r w:rsidR="005F31CD">
        <w:t xml:space="preserve"> a </w:t>
      </w:r>
      <w:r w:rsidRPr="005F31CD">
        <w:t xml:space="preserve">Rady (EÚ, </w:t>
      </w:r>
      <w:proofErr w:type="spellStart"/>
      <w:r w:rsidRPr="005F31CD">
        <w:t>Euratom</w:t>
      </w:r>
      <w:proofErr w:type="spellEnd"/>
      <w:r w:rsidRPr="005F31CD">
        <w:t xml:space="preserve">) </w:t>
      </w:r>
      <w:r w:rsidR="005F31CD">
        <w:t>č. </w:t>
      </w:r>
      <w:r w:rsidRPr="005F31CD">
        <w:t>966/2012</w:t>
      </w:r>
      <w:r w:rsidR="005F31CD">
        <w:t xml:space="preserve"> z </w:t>
      </w:r>
      <w:r w:rsidRPr="005F31CD">
        <w:t>25</w:t>
      </w:r>
      <w:r w:rsidR="005F31CD">
        <w:t>. októbra</w:t>
      </w:r>
      <w:r w:rsidRPr="005F31CD">
        <w:t> 2012</w:t>
      </w:r>
      <w:r w:rsidR="005F31CD">
        <w:t xml:space="preserve"> o </w:t>
      </w:r>
      <w:r w:rsidRPr="005F31CD">
        <w:t>rozpočtových pravidlách, ktoré sa vzťahujú na všeobecný rozpočet Únie,</w:t>
      </w:r>
      <w:r w:rsidR="005F31CD">
        <w:t xml:space="preserve"> a </w:t>
      </w:r>
      <w:r w:rsidRPr="005F31CD">
        <w:t xml:space="preserve">zrušení nariadenia Rady (ES, </w:t>
      </w:r>
      <w:proofErr w:type="spellStart"/>
      <w:r w:rsidRPr="005F31CD">
        <w:t>Euratom</w:t>
      </w:r>
      <w:proofErr w:type="spellEnd"/>
      <w:r w:rsidRPr="005F31CD">
        <w:t xml:space="preserve">) </w:t>
      </w:r>
      <w:r w:rsidR="005F31CD">
        <w:t>č. </w:t>
      </w:r>
      <w:r w:rsidRPr="005F31CD">
        <w:t xml:space="preserve">1605/2002 </w:t>
      </w:r>
      <w:r w:rsidRPr="005F31CD">
        <w:rPr>
          <w:rStyle w:val="Emphasis"/>
        </w:rPr>
        <w:t>(Ú. v. EÚ L 298, 26.10.2012, s. 1)</w:t>
      </w:r>
      <w:r w:rsidRPr="005F31CD">
        <w:t>.</w:t>
      </w:r>
    </w:p>
  </w:footnote>
  <w:footnote w:id="11">
    <w:p w:rsidR="003C2110" w:rsidRPr="005F31CD" w:rsidRDefault="003C2110" w:rsidP="003C2110">
      <w:pPr>
        <w:pStyle w:val="FootnoteText"/>
        <w:keepLines/>
        <w:spacing w:after="120"/>
      </w:pPr>
      <w:r w:rsidRPr="005F31CD">
        <w:rPr>
          <w:rStyle w:val="FootnoteReference"/>
        </w:rPr>
        <w:footnoteRef/>
      </w:r>
      <w:r w:rsidRPr="005F31CD">
        <w:tab/>
        <w:t xml:space="preserve">Delegované nariadenie Komisie (EÚ) </w:t>
      </w:r>
      <w:r w:rsidR="005F31CD">
        <w:t>č. </w:t>
      </w:r>
      <w:r w:rsidRPr="005F31CD">
        <w:t>1268/2012</w:t>
      </w:r>
      <w:r w:rsidR="005F31CD">
        <w:t xml:space="preserve"> z </w:t>
      </w:r>
      <w:r w:rsidRPr="005F31CD">
        <w:t>29</w:t>
      </w:r>
      <w:r w:rsidR="005F31CD">
        <w:t>. októbra</w:t>
      </w:r>
      <w:r w:rsidRPr="005F31CD">
        <w:t xml:space="preserve"> 2012</w:t>
      </w:r>
      <w:r w:rsidR="005F31CD">
        <w:t xml:space="preserve"> o </w:t>
      </w:r>
      <w:r w:rsidRPr="005F31CD">
        <w:t xml:space="preserve">pravidlách uplatňovania nariadenia (EÚ, </w:t>
      </w:r>
      <w:proofErr w:type="spellStart"/>
      <w:r w:rsidRPr="005F31CD">
        <w:t>Euratom</w:t>
      </w:r>
      <w:proofErr w:type="spellEnd"/>
      <w:r w:rsidRPr="005F31CD">
        <w:t xml:space="preserve">) </w:t>
      </w:r>
      <w:r w:rsidR="005F31CD">
        <w:t>č. </w:t>
      </w:r>
      <w:r w:rsidRPr="005F31CD">
        <w:t>966/2012</w:t>
      </w:r>
      <w:r w:rsidR="005F31CD">
        <w:t xml:space="preserve"> o </w:t>
      </w:r>
      <w:r w:rsidRPr="005F31CD">
        <w:t>rozpočtových pravidlách, ktoré sa vzťahujú na všeobecný rozpočet Únie (Ú. v. EÚ L 362, 31.12.2012, s. 1).</w:t>
      </w:r>
    </w:p>
  </w:footnote>
  <w:footnote w:id="12">
    <w:p w:rsidR="003C2110" w:rsidRPr="005F31CD" w:rsidRDefault="003C2110" w:rsidP="003C2110">
      <w:pPr>
        <w:pStyle w:val="FootnoteText"/>
        <w:keepLines/>
        <w:spacing w:after="120"/>
      </w:pPr>
      <w:r w:rsidRPr="005F31CD">
        <w:rPr>
          <w:rStyle w:val="FootnoteReference"/>
        </w:rPr>
        <w:footnoteRef/>
      </w:r>
      <w:r w:rsidRPr="005F31CD">
        <w:tab/>
        <w:t xml:space="preserve">Nariadenie Rady (ES, </w:t>
      </w:r>
      <w:proofErr w:type="spellStart"/>
      <w:r w:rsidRPr="005F31CD">
        <w:t>Euratom</w:t>
      </w:r>
      <w:proofErr w:type="spellEnd"/>
      <w:r w:rsidRPr="005F31CD">
        <w:t xml:space="preserve">) </w:t>
      </w:r>
      <w:r w:rsidR="005F31CD">
        <w:t>č. </w:t>
      </w:r>
      <w:r w:rsidRPr="005F31CD">
        <w:t>2988/95</w:t>
      </w:r>
      <w:r w:rsidR="005F31CD">
        <w:t xml:space="preserve"> z </w:t>
      </w:r>
      <w:r w:rsidRPr="005F31CD">
        <w:t>18</w:t>
      </w:r>
      <w:r w:rsidR="005F31CD">
        <w:t>. decembra</w:t>
      </w:r>
      <w:r w:rsidRPr="005F31CD">
        <w:t xml:space="preserve"> 1995</w:t>
      </w:r>
      <w:r w:rsidR="005F31CD">
        <w:t xml:space="preserve"> o </w:t>
      </w:r>
      <w:r w:rsidRPr="005F31CD">
        <w:t>ochrane finančných záujmov Európskych spoločenstiev (Ú. v. ES L 312, 23.12.1995, s. 1).</w:t>
      </w:r>
    </w:p>
  </w:footnote>
  <w:footnote w:id="13">
    <w:p w:rsidR="003C2110" w:rsidRPr="005F31CD" w:rsidRDefault="003C2110" w:rsidP="003C2110">
      <w:pPr>
        <w:pStyle w:val="FootnoteText"/>
        <w:keepLines/>
        <w:spacing w:after="120"/>
      </w:pPr>
      <w:r w:rsidRPr="005F31CD">
        <w:rPr>
          <w:rStyle w:val="FootnoteReference"/>
        </w:rPr>
        <w:footnoteRef/>
      </w:r>
      <w:r w:rsidRPr="005F31CD">
        <w:tab/>
        <w:t xml:space="preserve">Nariadenie Rady (ES, </w:t>
      </w:r>
      <w:proofErr w:type="spellStart"/>
      <w:r w:rsidRPr="005F31CD">
        <w:t>Euratom</w:t>
      </w:r>
      <w:proofErr w:type="spellEnd"/>
      <w:r w:rsidRPr="005F31CD">
        <w:t xml:space="preserve">) </w:t>
      </w:r>
      <w:r w:rsidR="005F31CD">
        <w:t>č. </w:t>
      </w:r>
      <w:r w:rsidRPr="005F31CD">
        <w:t>2185/96</w:t>
      </w:r>
      <w:r w:rsidR="005F31CD">
        <w:t xml:space="preserve"> z </w:t>
      </w:r>
      <w:r w:rsidRPr="005F31CD">
        <w:t>11</w:t>
      </w:r>
      <w:r w:rsidR="005F31CD">
        <w:t>. novembra</w:t>
      </w:r>
      <w:r w:rsidRPr="005F31CD">
        <w:t> 1996</w:t>
      </w:r>
      <w:r w:rsidR="005F31CD">
        <w:t xml:space="preserve"> o </w:t>
      </w:r>
      <w:r w:rsidRPr="005F31CD">
        <w:t>kontrolách</w:t>
      </w:r>
      <w:r w:rsidR="005F31CD">
        <w:t xml:space="preserve"> a </w:t>
      </w:r>
      <w:r w:rsidRPr="005F31CD">
        <w:t>inšpekciách na mieste, vykonávaných Komisiou</w:t>
      </w:r>
      <w:r w:rsidR="005F31CD">
        <w:t xml:space="preserve"> s </w:t>
      </w:r>
      <w:r w:rsidRPr="005F31CD">
        <w:t>cieľom ochrany finančných záujmov Európskych spoločenstiev pred spreneverou</w:t>
      </w:r>
      <w:r w:rsidR="005F31CD">
        <w:t xml:space="preserve"> a </w:t>
      </w:r>
      <w:r w:rsidRPr="005F31CD">
        <w:t>inými podvodmi (Ú. v. ES L 292, 15.11.1996, s. 2).</w:t>
      </w:r>
    </w:p>
  </w:footnote>
  <w:footnote w:id="14">
    <w:p w:rsidR="003C2110" w:rsidRPr="005F31CD" w:rsidRDefault="003C2110" w:rsidP="003C2110">
      <w:pPr>
        <w:pStyle w:val="FootnoteText"/>
        <w:keepLines/>
        <w:spacing w:after="120"/>
      </w:pPr>
      <w:r w:rsidRPr="005F31CD">
        <w:rPr>
          <w:rStyle w:val="FootnoteReference"/>
        </w:rPr>
        <w:footnoteRef/>
      </w:r>
      <w:r w:rsidRPr="005F31CD">
        <w:tab/>
        <w:t>Nariadenie Európskeho parlamentu</w:t>
      </w:r>
      <w:r w:rsidR="005F31CD">
        <w:t xml:space="preserve"> a </w:t>
      </w:r>
      <w:r w:rsidRPr="005F31CD">
        <w:t xml:space="preserve">Rady (EÚ, </w:t>
      </w:r>
      <w:proofErr w:type="spellStart"/>
      <w:r w:rsidRPr="005F31CD">
        <w:t>Euratom</w:t>
      </w:r>
      <w:proofErr w:type="spellEnd"/>
      <w:r w:rsidRPr="005F31CD">
        <w:t xml:space="preserve">) </w:t>
      </w:r>
      <w:r w:rsidR="005F31CD">
        <w:t>č. </w:t>
      </w:r>
      <w:r w:rsidRPr="005F31CD">
        <w:t>883/2013</w:t>
      </w:r>
      <w:r w:rsidR="005F31CD">
        <w:t xml:space="preserve"> z </w:t>
      </w:r>
      <w:r w:rsidRPr="005F31CD">
        <w:t>11</w:t>
      </w:r>
      <w:r w:rsidR="005F31CD">
        <w:t>. septembra</w:t>
      </w:r>
      <w:r w:rsidRPr="005F31CD">
        <w:t xml:space="preserve"> 2013</w:t>
      </w:r>
      <w:r w:rsidR="005F31CD">
        <w:t xml:space="preserve"> o </w:t>
      </w:r>
      <w:r w:rsidRPr="005F31CD">
        <w:t>vyšetrovaniach vykonávaných Európskym úradom pre boj proti podvodom (OLAF), ktorým sa zrušuje nariadenie Európskeho parlamentu</w:t>
      </w:r>
      <w:r w:rsidR="005F31CD">
        <w:t xml:space="preserve"> a </w:t>
      </w:r>
      <w:r w:rsidRPr="005F31CD">
        <w:t xml:space="preserve">Rady (ES) </w:t>
      </w:r>
      <w:r w:rsidR="005F31CD">
        <w:t>č. </w:t>
      </w:r>
      <w:r w:rsidRPr="005F31CD">
        <w:t>1073/1999</w:t>
      </w:r>
      <w:r w:rsidR="005F31CD">
        <w:t xml:space="preserve"> a </w:t>
      </w:r>
      <w:r w:rsidRPr="005F31CD">
        <w:t>nariadenie Rady (</w:t>
      </w:r>
      <w:proofErr w:type="spellStart"/>
      <w:r w:rsidRPr="005F31CD">
        <w:t>Euratom</w:t>
      </w:r>
      <w:proofErr w:type="spellEnd"/>
      <w:r w:rsidRPr="005F31CD">
        <w:t xml:space="preserve">) </w:t>
      </w:r>
      <w:r w:rsidR="005F31CD">
        <w:t>č. </w:t>
      </w:r>
      <w:r w:rsidRPr="005F31CD">
        <w:t>1074/1999 (Ú. v. EÚ L 248, 18.9.2013, s. 1).</w:t>
      </w:r>
    </w:p>
  </w:footnote>
  <w:footnote w:id="15">
    <w:p w:rsidR="003C2110" w:rsidRPr="005F31CD" w:rsidRDefault="003C2110" w:rsidP="003C2110">
      <w:pPr>
        <w:pStyle w:val="FootnoteText"/>
        <w:keepLines/>
        <w:spacing w:after="120"/>
      </w:pPr>
      <w:r w:rsidRPr="005F31CD">
        <w:rPr>
          <w:rStyle w:val="FootnoteReference"/>
        </w:rPr>
        <w:footnoteRef/>
      </w:r>
      <w:r w:rsidRPr="005F31CD">
        <w:tab/>
        <w:t>ABM: riadenie podľa činností – ABB: zostavovanie rozpočtu podľa činností.</w:t>
      </w:r>
    </w:p>
  </w:footnote>
  <w:footnote w:id="16">
    <w:p w:rsidR="003C2110" w:rsidRPr="005F31CD" w:rsidRDefault="003C2110" w:rsidP="003C2110">
      <w:pPr>
        <w:pStyle w:val="FootnoteText"/>
        <w:keepLines/>
        <w:spacing w:after="120"/>
      </w:pPr>
      <w:r w:rsidRPr="005F31CD">
        <w:rPr>
          <w:rStyle w:val="FootnoteReference"/>
        </w:rPr>
        <w:footnoteRef/>
      </w:r>
      <w:r w:rsidRPr="005F31CD">
        <w:tab/>
        <w:t>Vysvetlenie spôsobov hospodárenia</w:t>
      </w:r>
      <w:r w:rsidR="005F31CD">
        <w:t xml:space="preserve"> a </w:t>
      </w:r>
      <w:r w:rsidRPr="005F31CD">
        <w:t>odkazy na nariadenie</w:t>
      </w:r>
      <w:r w:rsidR="005F31CD">
        <w:t xml:space="preserve"> o </w:t>
      </w:r>
      <w:r w:rsidRPr="005F31CD">
        <w:t>rozpočtových pravidlách sú</w:t>
      </w:r>
      <w:r w:rsidR="005F31CD">
        <w:t xml:space="preserve"> k </w:t>
      </w:r>
      <w:r w:rsidRPr="005F31CD">
        <w:t xml:space="preserve">dispozícii na webovom sídle </w:t>
      </w:r>
      <w:proofErr w:type="spellStart"/>
      <w:r w:rsidRPr="005F31CD">
        <w:t>Europa</w:t>
      </w:r>
      <w:proofErr w:type="spellEnd"/>
      <w:r w:rsidRPr="005F31CD">
        <w:t xml:space="preserve">: </w:t>
      </w:r>
      <w:hyperlink r:id="rId1">
        <w:r w:rsidRPr="005F31CD">
          <w:rPr>
            <w:rStyle w:val="Hyperlink"/>
          </w:rPr>
          <w:t>http://ec.europa.eu/budget/explained/management/managt_who/who_en.cfm.</w:t>
        </w:r>
      </w:hyperlink>
    </w:p>
  </w:footnote>
  <w:footnote w:id="17">
    <w:p w:rsidR="003C2110" w:rsidRPr="005F31CD" w:rsidRDefault="003C2110" w:rsidP="003C2110">
      <w:pPr>
        <w:pStyle w:val="FootnoteText"/>
        <w:keepLines/>
        <w:spacing w:after="120"/>
      </w:pPr>
      <w:r w:rsidRPr="005F31CD">
        <w:rPr>
          <w:rStyle w:val="FootnoteReference"/>
        </w:rPr>
        <w:footnoteRef/>
      </w:r>
      <w:r w:rsidRPr="005F31CD">
        <w:tab/>
        <w:t>DRP = diferencované rozpočtové prostriedky/NRP = nediferencované rozpočtové prostriedky.</w:t>
      </w:r>
    </w:p>
  </w:footnote>
  <w:footnote w:id="18">
    <w:p w:rsidR="003C2110" w:rsidRPr="005F31CD" w:rsidRDefault="003C2110" w:rsidP="003C2110">
      <w:pPr>
        <w:pStyle w:val="FootnoteText"/>
        <w:keepLines/>
        <w:spacing w:after="120"/>
      </w:pPr>
      <w:r w:rsidRPr="005F31CD">
        <w:rPr>
          <w:rStyle w:val="FootnoteReference"/>
        </w:rPr>
        <w:footnoteRef/>
      </w:r>
      <w:r w:rsidRPr="005F31CD">
        <w:tab/>
        <w:t xml:space="preserve">EZVO: Európske združenie voľného obchodu. </w:t>
      </w:r>
    </w:p>
  </w:footnote>
  <w:footnote w:id="19">
    <w:p w:rsidR="003C2110" w:rsidRPr="005F31CD" w:rsidRDefault="003C2110" w:rsidP="003C2110">
      <w:pPr>
        <w:pStyle w:val="FootnoteText"/>
        <w:keepLines/>
        <w:spacing w:after="120"/>
      </w:pPr>
      <w:r w:rsidRPr="005F31CD">
        <w:rPr>
          <w:rStyle w:val="FootnoteReference"/>
        </w:rPr>
        <w:footnoteRef/>
      </w:r>
      <w:r w:rsidRPr="005F31CD">
        <w:tab/>
        <w:t>Kandidátske krajiny</w:t>
      </w:r>
      <w:r w:rsidR="005F31CD">
        <w:t xml:space="preserve"> a </w:t>
      </w:r>
      <w:r w:rsidRPr="005F31CD">
        <w:t>prípadne potenciálne kandidátske krajiny západného Balkánu.</w:t>
      </w:r>
    </w:p>
  </w:footnote>
  <w:footnote w:id="20">
    <w:p w:rsidR="003C2110" w:rsidRPr="005F31CD" w:rsidRDefault="003C2110" w:rsidP="003C2110">
      <w:pPr>
        <w:pStyle w:val="FootnoteText"/>
        <w:keepLines/>
        <w:spacing w:after="120"/>
      </w:pPr>
      <w:r w:rsidRPr="005F31CD">
        <w:rPr>
          <w:rStyle w:val="FootnoteReference"/>
        </w:rPr>
        <w:footnoteRef/>
      </w:r>
      <w:r w:rsidRPr="005F31CD">
        <w:tab/>
        <w:t xml:space="preserve">Nariadenie Rady (ES, </w:t>
      </w:r>
      <w:proofErr w:type="spellStart"/>
      <w:r w:rsidRPr="005F31CD">
        <w:t>Euratom</w:t>
      </w:r>
      <w:proofErr w:type="spellEnd"/>
      <w:r w:rsidRPr="005F31CD">
        <w:t xml:space="preserve">) </w:t>
      </w:r>
      <w:r w:rsidR="005F31CD">
        <w:t>č. </w:t>
      </w:r>
      <w:r w:rsidRPr="005F31CD">
        <w:t>480/2009</w:t>
      </w:r>
      <w:r w:rsidR="005F31CD">
        <w:t xml:space="preserve"> z </w:t>
      </w:r>
      <w:r w:rsidRPr="005F31CD">
        <w:t>25</w:t>
      </w:r>
      <w:r w:rsidR="005F31CD">
        <w:t>. mája</w:t>
      </w:r>
      <w:r w:rsidRPr="005F31CD">
        <w:t> 2009, ktorým sa zriaďuje Garančný fond pre vonkajšie opatrenia (Ú. v. EÚ L 145, 10.6.2009, s. 10).</w:t>
      </w:r>
    </w:p>
  </w:footnote>
  <w:footnote w:id="21">
    <w:p w:rsidR="003C2110" w:rsidRPr="005F31CD" w:rsidRDefault="003C2110" w:rsidP="003C2110">
      <w:pPr>
        <w:pStyle w:val="FootnoteText"/>
        <w:keepLines/>
        <w:spacing w:after="120"/>
      </w:pPr>
      <w:r w:rsidRPr="005F31CD">
        <w:rPr>
          <w:rStyle w:val="FootnoteReference"/>
        </w:rPr>
        <w:footnoteRef/>
      </w:r>
      <w:r w:rsidRPr="005F31CD">
        <w:tab/>
        <w:t>Rok,</w:t>
      </w:r>
      <w:r w:rsidR="005F31CD">
        <w:t xml:space="preserve"> v </w:t>
      </w:r>
      <w:r w:rsidRPr="005F31CD">
        <w:t>ktorom sa návrh/iniciatíva začína uskutočňovať.</w:t>
      </w:r>
    </w:p>
  </w:footnote>
  <w:footnote w:id="22">
    <w:p w:rsidR="003C2110" w:rsidRPr="005F31CD" w:rsidRDefault="003C2110" w:rsidP="003C2110">
      <w:pPr>
        <w:pStyle w:val="FootnoteText"/>
        <w:keepLines/>
        <w:spacing w:after="120"/>
      </w:pPr>
      <w:r w:rsidRPr="005F31CD">
        <w:rPr>
          <w:rStyle w:val="FootnoteReference"/>
        </w:rPr>
        <w:footnoteRef/>
      </w:r>
      <w:r w:rsidRPr="005F31CD">
        <w:tab/>
        <w:t>Výstupy znamenajú produkty</w:t>
      </w:r>
      <w:r w:rsidR="005F31CD">
        <w:t xml:space="preserve"> a </w:t>
      </w:r>
      <w:r w:rsidRPr="005F31CD">
        <w:t xml:space="preserve">služby, ktoré majú byť dodané (napr.: počet financovaných výmen študentov, počet vybudovaných kilometrov ciest atď.). </w:t>
      </w:r>
    </w:p>
  </w:footnote>
  <w:footnote w:id="23">
    <w:p w:rsidR="003C2110" w:rsidRPr="005F31CD" w:rsidRDefault="003C2110" w:rsidP="003C2110">
      <w:pPr>
        <w:pStyle w:val="FootnoteText"/>
        <w:keepLines/>
        <w:spacing w:after="120"/>
      </w:pPr>
      <w:r w:rsidRPr="005F31CD">
        <w:rPr>
          <w:rStyle w:val="FootnoteReference"/>
        </w:rPr>
        <w:footnoteRef/>
      </w:r>
      <w:r w:rsidRPr="005F31CD">
        <w:tab/>
        <w:t>Ako je uvedené</w:t>
      </w:r>
      <w:r w:rsidR="005F31CD">
        <w:t xml:space="preserve"> v </w:t>
      </w:r>
      <w:r w:rsidRPr="005F31CD">
        <w:t xml:space="preserve">bode 1.4.2. „Osobitné ciele...“ </w:t>
      </w:r>
    </w:p>
  </w:footnote>
  <w:footnote w:id="24">
    <w:p w:rsidR="003C2110" w:rsidRPr="005F31CD" w:rsidRDefault="003C2110" w:rsidP="003C2110">
      <w:pPr>
        <w:pStyle w:val="FootnoteText"/>
        <w:keepLines/>
        <w:spacing w:after="120"/>
      </w:pPr>
      <w:r w:rsidRPr="005F31CD">
        <w:rPr>
          <w:rStyle w:val="FootnoteReference"/>
        </w:rPr>
        <w:footnoteRef/>
      </w:r>
      <w:r w:rsidRPr="005F31CD">
        <w:tab/>
        <w:t>Rok,</w:t>
      </w:r>
      <w:r w:rsidR="005F31CD">
        <w:t xml:space="preserve"> v </w:t>
      </w:r>
      <w:r w:rsidRPr="005F31CD">
        <w:t>ktorom sa návrh/iniciatíva začína uskutočňovať.</w:t>
      </w:r>
    </w:p>
  </w:footnote>
  <w:footnote w:id="25">
    <w:p w:rsidR="003C2110" w:rsidRPr="005F31CD" w:rsidRDefault="003C2110" w:rsidP="003C2110">
      <w:pPr>
        <w:pStyle w:val="FootnoteText"/>
        <w:keepLines/>
        <w:spacing w:after="120"/>
      </w:pPr>
      <w:r w:rsidRPr="005F31CD">
        <w:rPr>
          <w:rStyle w:val="FootnoteReference"/>
        </w:rPr>
        <w:footnoteRef/>
      </w:r>
      <w:r w:rsidRPr="005F31CD">
        <w:tab/>
        <w:t>Technická a/alebo administratívna pomoc</w:t>
      </w:r>
      <w:r w:rsidR="005F31CD">
        <w:t xml:space="preserve"> a </w:t>
      </w:r>
      <w:r w:rsidRPr="005F31CD">
        <w:t>výdavky určené na financovanie realizácie programov a/alebo akcií EÚ (pôvodné rozpočtové riadky „BA“), nepriamy výskum, priamy výskum.</w:t>
      </w:r>
    </w:p>
  </w:footnote>
  <w:footnote w:id="26">
    <w:p w:rsidR="003C2110" w:rsidRPr="005F31CD" w:rsidRDefault="003C2110" w:rsidP="003C2110">
      <w:pPr>
        <w:pStyle w:val="FootnoteText"/>
        <w:keepLines/>
        <w:spacing w:after="120"/>
      </w:pPr>
      <w:r w:rsidRPr="005F31CD">
        <w:rPr>
          <w:rStyle w:val="FootnoteReference"/>
        </w:rPr>
        <w:footnoteRef/>
      </w:r>
      <w:r w:rsidRPr="005F31CD">
        <w:tab/>
        <w:t>ZZ = zmluvný zamestnanec; MZ = miestny zamestnanec; VNE = vyslaný národný expert; DAZ = dočasný agentúrny zamestnanec; PED = pomocný expert</w:t>
      </w:r>
      <w:r w:rsidR="005F31CD">
        <w:t xml:space="preserve"> v </w:t>
      </w:r>
      <w:r w:rsidRPr="005F31CD">
        <w:t xml:space="preserve">delegácii. </w:t>
      </w:r>
    </w:p>
  </w:footnote>
  <w:footnote w:id="27">
    <w:p w:rsidR="003C2110" w:rsidRPr="005F31CD" w:rsidRDefault="003C2110" w:rsidP="003C2110">
      <w:pPr>
        <w:pStyle w:val="FootnoteText"/>
        <w:keepLines/>
        <w:spacing w:after="120"/>
      </w:pPr>
      <w:r w:rsidRPr="005F31CD">
        <w:rPr>
          <w:rStyle w:val="FootnoteReference"/>
        </w:rPr>
        <w:footnoteRef/>
      </w:r>
      <w:r w:rsidRPr="005F31CD">
        <w:tab/>
        <w:t>Čiastkový strop pre externých zamestnancov financovaných</w:t>
      </w:r>
      <w:r w:rsidR="005F31CD">
        <w:t xml:space="preserve"> z </w:t>
      </w:r>
      <w:r w:rsidRPr="005F31CD">
        <w:t>operačných rozpočtových prostriedkov (pôvodné rozpočtové riadky „BA“).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524" w:rsidRPr="005D0524" w:rsidRDefault="005D0524" w:rsidP="005D052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524" w:rsidRPr="005D0524" w:rsidRDefault="005D0524" w:rsidP="005D052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524" w:rsidRPr="005D0524" w:rsidRDefault="005D0524" w:rsidP="005D05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524" w:rsidRPr="005D0524" w:rsidRDefault="005D0524" w:rsidP="005D05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524" w:rsidRPr="005D0524" w:rsidRDefault="005D0524" w:rsidP="005D052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524" w:rsidRPr="005D0524" w:rsidRDefault="005D0524" w:rsidP="005D0524">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524" w:rsidRPr="005D0524" w:rsidRDefault="005D0524" w:rsidP="005D0524">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524" w:rsidRPr="005D0524" w:rsidRDefault="005D0524" w:rsidP="005D052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524" w:rsidRPr="005D0524" w:rsidRDefault="005D0524" w:rsidP="005D052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524" w:rsidRPr="005D0524" w:rsidRDefault="005D0524" w:rsidP="005D052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524" w:rsidRPr="005D0524" w:rsidRDefault="005D0524" w:rsidP="005D05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80EF14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00CF9F2"/>
    <w:lvl w:ilvl="0">
      <w:start w:val="1"/>
      <w:numFmt w:val="decimal"/>
      <w:pStyle w:val="ListNumber3"/>
      <w:lvlText w:val="%1."/>
      <w:lvlJc w:val="left"/>
      <w:pPr>
        <w:tabs>
          <w:tab w:val="num" w:pos="926"/>
        </w:tabs>
        <w:ind w:left="926" w:hanging="360"/>
      </w:pPr>
    </w:lvl>
  </w:abstractNum>
  <w:abstractNum w:abstractNumId="2">
    <w:nsid w:val="FFFFFF7F"/>
    <w:multiLevelType w:val="singleLevel"/>
    <w:tmpl w:val="59882BE4"/>
    <w:lvl w:ilvl="0">
      <w:start w:val="1"/>
      <w:numFmt w:val="decimal"/>
      <w:pStyle w:val="ListNumber2"/>
      <w:lvlText w:val="%1."/>
      <w:lvlJc w:val="left"/>
      <w:pPr>
        <w:tabs>
          <w:tab w:val="num" w:pos="643"/>
        </w:tabs>
        <w:ind w:left="643" w:hanging="360"/>
      </w:pPr>
    </w:lvl>
  </w:abstractNum>
  <w:abstractNum w:abstractNumId="3">
    <w:nsid w:val="FFFFFF81"/>
    <w:multiLevelType w:val="singleLevel"/>
    <w:tmpl w:val="8668A5C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FE66CA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3"/>
  </w:num>
  <w:num w:numId="8">
    <w:abstractNumId w:val="4"/>
  </w:num>
  <w:num w:numId="9">
    <w:abstractNumId w:val="2"/>
  </w:num>
  <w:num w:numId="10">
    <w:abstractNumId w:val="1"/>
  </w:num>
  <w:num w:numId="11">
    <w:abstractNumId w:val="0"/>
  </w:num>
  <w:num w:numId="12">
    <w:abstractNumId w:val="24"/>
  </w:num>
  <w:num w:numId="13">
    <w:abstractNumId w:val="24"/>
    <w:lvlOverride w:ilvl="0">
      <w:startOverride w:val="1"/>
    </w:lvlOverride>
  </w:num>
  <w:num w:numId="14">
    <w:abstractNumId w:val="18"/>
  </w:num>
  <w:num w:numId="15">
    <w:abstractNumId w:val="10"/>
  </w:num>
  <w:num w:numId="16">
    <w:abstractNumId w:val="21"/>
  </w:num>
  <w:num w:numId="17">
    <w:abstractNumId w:val="9"/>
  </w:num>
  <w:num w:numId="18">
    <w:abstractNumId w:val="11"/>
  </w:num>
  <w:num w:numId="19">
    <w:abstractNumId w:val="7"/>
  </w:num>
  <w:num w:numId="20">
    <w:abstractNumId w:val="20"/>
  </w:num>
  <w:num w:numId="21">
    <w:abstractNumId w:val="6"/>
  </w:num>
  <w:num w:numId="22">
    <w:abstractNumId w:val="12"/>
  </w:num>
  <w:num w:numId="23">
    <w:abstractNumId w:val="16"/>
  </w:num>
  <w:num w:numId="24">
    <w:abstractNumId w:val="17"/>
  </w:num>
  <w:num w:numId="25">
    <w:abstractNumId w:val="8"/>
  </w:num>
  <w:num w:numId="26">
    <w:abstractNumId w:val="15"/>
  </w:num>
  <w:num w:numId="27">
    <w:abstractNumId w:val="24"/>
  </w:num>
  <w:num w:numId="28">
    <w:abstractNumId w:val="18"/>
  </w:num>
  <w:num w:numId="29">
    <w:abstractNumId w:val="10"/>
  </w:num>
  <w:num w:numId="30">
    <w:abstractNumId w:val="21"/>
  </w:num>
  <w:num w:numId="31">
    <w:abstractNumId w:val="9"/>
  </w:num>
  <w:num w:numId="32">
    <w:abstractNumId w:val="11"/>
  </w:num>
  <w:num w:numId="33">
    <w:abstractNumId w:val="7"/>
  </w:num>
  <w:num w:numId="34">
    <w:abstractNumId w:val="20"/>
  </w:num>
  <w:num w:numId="35">
    <w:abstractNumId w:val="6"/>
  </w:num>
  <w:num w:numId="36">
    <w:abstractNumId w:val="12"/>
  </w:num>
  <w:num w:numId="37">
    <w:abstractNumId w:val="16"/>
  </w:num>
  <w:num w:numId="38">
    <w:abstractNumId w:val="17"/>
  </w:num>
  <w:num w:numId="39">
    <w:abstractNumId w:val="8"/>
  </w:num>
  <w:num w:numId="40">
    <w:abstractNumId w:val="15"/>
  </w:num>
  <w:num w:numId="41">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proofState w:spelling="clean" w:grammar="clean"/>
  <w:attachedTemplate r:id="rId1"/>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2-08 14:44:0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1"/>
    <w:docVar w:name="LW_CORRIGENDUM" w:val="CORRIGENDUM_x000b_This document corrects document COM(2017) 559 final of 29.09.2017._x000b_Concerns all language versions._x000b_Addition of three words in Article 4(1) on page 12 and deletion of one word and correction of another word in Article 4(3) on page 12._x000b_The text shall read as follows:_x000b_"/>
    <w:docVar w:name="LW_COVERPAGE_EXISTS" w:val="True"/>
    <w:docVar w:name="LW_COVERPAGE_GUID" w:val="8666DAE2-CBBD-4E96-A3FF-20AC0E937A79"/>
    <w:docVar w:name="LW_COVERPAGE_TYPE" w:val="1"/>
    <w:docVar w:name="LW_CROSSREFERENCE" w:val="{SWD(2017) 321}"/>
    <w:docVar w:name="LW_DocType" w:val="COM"/>
    <w:docVar w:name="LW_EMISSION" w:val="4.1.2018"/>
    <w:docVar w:name="LW_EMISSION_ISODATE" w:val="2018-01-04"/>
    <w:docVar w:name="LW_EMISSION_LOCATION" w:val="BRX"/>
    <w:docVar w:name="LW_EMISSION_PREFIX" w:val="V Bruseli"/>
    <w:docVar w:name="LW_EMISSION_SUFFIX" w:val=" "/>
    <w:docVar w:name="LW_ID_DOCMODEL" w:val="SJ-025"/>
    <w:docVar w:name="LW_ID_DOCSIGNATURE" w:val="SJ-025"/>
    <w:docVar w:name="LW_ID_DOCSTRUCTURE" w:val="COM/PL/ORG"/>
    <w:docVar w:name="LW_ID_DOCTYPE" w:val="SJ-025"/>
    <w:docVar w:name="LW_ID_STATUT" w:val="SJ-025"/>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COD"/>
    <w:docVar w:name="LW_REF.II.NEW.CP_NUMBER" w:val="242"/>
    <w:docVar w:name="LW_REF.II.NEW.CP_YEAR" w:val="2017"/>
    <w:docVar w:name="LW_REF.INST.NEW" w:val="COM"/>
    <w:docVar w:name="LW_REF.INST.NEW_ADOPTED" w:val="final/2"/>
    <w:docVar w:name="LW_REF.INST.NEW_TEXT" w:val="(2017) 55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Návrh"/>
    <w:docVar w:name="LW_SUPERTITRE" w:val="&lt;UNUSED&gt;"/>
    <w:docVar w:name="LW_TITRE.OBJ.CP" w:val="o poskytnutí \u271?al\u353?ej makrofinan\u269?nej pomoci Gruzínsku"/>
    <w:docVar w:name="LW_TYPE.DOC.CP" w:val="ROZHODNUTIE EURÓPSKEHO PARLAMENTU A RADY"/>
  </w:docVars>
  <w:rsids>
    <w:rsidRoot w:val="0087220A"/>
    <w:rsid w:val="00016688"/>
    <w:rsid w:val="00047A6B"/>
    <w:rsid w:val="000641CB"/>
    <w:rsid w:val="000675F7"/>
    <w:rsid w:val="0007385D"/>
    <w:rsid w:val="00090C68"/>
    <w:rsid w:val="000E1B59"/>
    <w:rsid w:val="000F1DBA"/>
    <w:rsid w:val="000F22A1"/>
    <w:rsid w:val="001168DB"/>
    <w:rsid w:val="00121F52"/>
    <w:rsid w:val="001479A3"/>
    <w:rsid w:val="001763DD"/>
    <w:rsid w:val="0019628A"/>
    <w:rsid w:val="001D3195"/>
    <w:rsid w:val="0024300B"/>
    <w:rsid w:val="002B0C71"/>
    <w:rsid w:val="002C4B7D"/>
    <w:rsid w:val="002D0AF3"/>
    <w:rsid w:val="003756BA"/>
    <w:rsid w:val="003A3164"/>
    <w:rsid w:val="003C2110"/>
    <w:rsid w:val="004C01CD"/>
    <w:rsid w:val="004C67C6"/>
    <w:rsid w:val="0050014A"/>
    <w:rsid w:val="00543DFB"/>
    <w:rsid w:val="005D0524"/>
    <w:rsid w:val="005E1C57"/>
    <w:rsid w:val="005F31CD"/>
    <w:rsid w:val="006453A8"/>
    <w:rsid w:val="00671C5F"/>
    <w:rsid w:val="00696CFC"/>
    <w:rsid w:val="006D15B4"/>
    <w:rsid w:val="007160BD"/>
    <w:rsid w:val="007D1A83"/>
    <w:rsid w:val="00830E5A"/>
    <w:rsid w:val="0087220A"/>
    <w:rsid w:val="00940D6B"/>
    <w:rsid w:val="00946FAA"/>
    <w:rsid w:val="00970185"/>
    <w:rsid w:val="009E4E65"/>
    <w:rsid w:val="00A41563"/>
    <w:rsid w:val="00A5541C"/>
    <w:rsid w:val="00AA1A53"/>
    <w:rsid w:val="00AD06F6"/>
    <w:rsid w:val="00B44EF0"/>
    <w:rsid w:val="00B81E2C"/>
    <w:rsid w:val="00BD47A4"/>
    <w:rsid w:val="00C44F52"/>
    <w:rsid w:val="00C85966"/>
    <w:rsid w:val="00CC7A3A"/>
    <w:rsid w:val="00D50B2E"/>
    <w:rsid w:val="00DC3884"/>
    <w:rsid w:val="00DD50FF"/>
    <w:rsid w:val="00DE3A46"/>
    <w:rsid w:val="00E17A74"/>
    <w:rsid w:val="00E44530"/>
    <w:rsid w:val="00F01EAC"/>
    <w:rsid w:val="00F57F3C"/>
    <w:rsid w:val="00FB3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rsid w:val="00877878"/>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lang w:val="fr-FR" w:eastAsia="en-GB"/>
    </w:rPr>
  </w:style>
  <w:style w:type="paragraph" w:styleId="ListBullet2">
    <w:name w:val="List Bullet 2"/>
    <w:basedOn w:val="Normal"/>
    <w:pPr>
      <w:numPr>
        <w:numId w:val="6"/>
      </w:numPr>
    </w:pPr>
    <w:rPr>
      <w:rFonts w:eastAsia="Times New Roman"/>
      <w:lang w:val="fr-FR" w:eastAsia="en-GB"/>
    </w:rPr>
  </w:style>
  <w:style w:type="character" w:styleId="Emphasis">
    <w:name w:val="Emphasis"/>
    <w:uiPriority w:val="20"/>
    <w:qFormat/>
    <w:rPr>
      <w:i/>
    </w:rPr>
  </w:style>
  <w:style w:type="paragraph" w:styleId="ListBullet4">
    <w:name w:val="List Bullet 4"/>
    <w:basedOn w:val="Normal"/>
    <w:uiPriority w:val="99"/>
    <w:semiHidden/>
    <w:unhideWhenUsed/>
    <w:pPr>
      <w:numPr>
        <w:numId w:val="7"/>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3">
    <w:name w:val="List Bullet 3"/>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table" w:styleId="TableGrid">
    <w:name w:val="Table Grid"/>
    <w:basedOn w:val="TableNormal"/>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5D0524"/>
    <w:pPr>
      <w:tabs>
        <w:tab w:val="center" w:pos="4535"/>
        <w:tab w:val="right" w:pos="9071"/>
      </w:tabs>
      <w:spacing w:before="0"/>
    </w:pPr>
  </w:style>
  <w:style w:type="character" w:customStyle="1" w:styleId="HeaderChar">
    <w:name w:val="Header Char"/>
    <w:basedOn w:val="DefaultParagraphFont"/>
    <w:link w:val="Header"/>
    <w:uiPriority w:val="99"/>
    <w:rsid w:val="005D0524"/>
    <w:rPr>
      <w:rFonts w:ascii="Times New Roman" w:hAnsi="Times New Roman" w:cs="Times New Roman"/>
      <w:sz w:val="24"/>
      <w:lang w:val="sk-SK"/>
    </w:rPr>
  </w:style>
  <w:style w:type="paragraph" w:styleId="Footer">
    <w:name w:val="footer"/>
    <w:basedOn w:val="Normal"/>
    <w:link w:val="FooterChar"/>
    <w:uiPriority w:val="99"/>
    <w:unhideWhenUsed/>
    <w:rsid w:val="005D0524"/>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5D0524"/>
    <w:rPr>
      <w:rFonts w:ascii="Times New Roman" w:hAnsi="Times New Roman" w:cs="Times New Roman"/>
      <w:sz w:val="24"/>
      <w:lang w:val="sk-SK"/>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5D0524"/>
    <w:pPr>
      <w:tabs>
        <w:tab w:val="center" w:pos="7285"/>
        <w:tab w:val="right" w:pos="14003"/>
      </w:tabs>
      <w:spacing w:before="0"/>
    </w:pPr>
  </w:style>
  <w:style w:type="paragraph" w:customStyle="1" w:styleId="FooterLandscape">
    <w:name w:val="FooterLandscape"/>
    <w:basedOn w:val="Normal"/>
    <w:rsid w:val="005D0524"/>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5D0524"/>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5D0524"/>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28"/>
      </w:numPr>
    </w:pPr>
  </w:style>
  <w:style w:type="paragraph" w:customStyle="1" w:styleId="Tiret1">
    <w:name w:val="Tiret 1"/>
    <w:basedOn w:val="Point1"/>
    <w:rsid w:val="00877878"/>
    <w:pPr>
      <w:numPr>
        <w:numId w:val="29"/>
      </w:numPr>
    </w:pPr>
  </w:style>
  <w:style w:type="paragraph" w:customStyle="1" w:styleId="Tiret2">
    <w:name w:val="Tiret 2"/>
    <w:basedOn w:val="Point2"/>
    <w:rsid w:val="00877878"/>
    <w:pPr>
      <w:numPr>
        <w:numId w:val="30"/>
      </w:numPr>
    </w:pPr>
  </w:style>
  <w:style w:type="paragraph" w:customStyle="1" w:styleId="Tiret3">
    <w:name w:val="Tiret 3"/>
    <w:basedOn w:val="Point3"/>
    <w:rsid w:val="00877878"/>
    <w:pPr>
      <w:numPr>
        <w:numId w:val="31"/>
      </w:numPr>
    </w:pPr>
  </w:style>
  <w:style w:type="paragraph" w:customStyle="1" w:styleId="Tiret4">
    <w:name w:val="Tiret 4"/>
    <w:basedOn w:val="Point4"/>
    <w:rsid w:val="00877878"/>
    <w:pPr>
      <w:numPr>
        <w:numId w:val="32"/>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33"/>
      </w:numPr>
    </w:pPr>
  </w:style>
  <w:style w:type="paragraph" w:customStyle="1" w:styleId="NumPar2">
    <w:name w:val="NumPar 2"/>
    <w:basedOn w:val="Normal"/>
    <w:next w:val="Text1"/>
    <w:rsid w:val="00877878"/>
    <w:pPr>
      <w:numPr>
        <w:ilvl w:val="1"/>
        <w:numId w:val="33"/>
      </w:numPr>
    </w:pPr>
  </w:style>
  <w:style w:type="paragraph" w:customStyle="1" w:styleId="NumPar3">
    <w:name w:val="NumPar 3"/>
    <w:basedOn w:val="Normal"/>
    <w:next w:val="Text1"/>
    <w:rsid w:val="00877878"/>
    <w:pPr>
      <w:numPr>
        <w:ilvl w:val="2"/>
        <w:numId w:val="33"/>
      </w:numPr>
    </w:pPr>
  </w:style>
  <w:style w:type="paragraph" w:customStyle="1" w:styleId="NumPar4">
    <w:name w:val="NumPar 4"/>
    <w:basedOn w:val="Normal"/>
    <w:next w:val="Text1"/>
    <w:rsid w:val="00877878"/>
    <w:pPr>
      <w:numPr>
        <w:ilvl w:val="3"/>
        <w:numId w:val="33"/>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35"/>
      </w:numPr>
    </w:pPr>
  </w:style>
  <w:style w:type="paragraph" w:customStyle="1" w:styleId="Point1number">
    <w:name w:val="Point 1 (number)"/>
    <w:basedOn w:val="Normal"/>
    <w:rsid w:val="00877878"/>
    <w:pPr>
      <w:numPr>
        <w:ilvl w:val="2"/>
        <w:numId w:val="35"/>
      </w:numPr>
    </w:pPr>
  </w:style>
  <w:style w:type="paragraph" w:customStyle="1" w:styleId="Point2number">
    <w:name w:val="Point 2 (number)"/>
    <w:basedOn w:val="Normal"/>
    <w:rsid w:val="00877878"/>
    <w:pPr>
      <w:numPr>
        <w:ilvl w:val="4"/>
        <w:numId w:val="35"/>
      </w:numPr>
    </w:pPr>
  </w:style>
  <w:style w:type="paragraph" w:customStyle="1" w:styleId="Point3number">
    <w:name w:val="Point 3 (number)"/>
    <w:basedOn w:val="Normal"/>
    <w:rsid w:val="00877878"/>
    <w:pPr>
      <w:numPr>
        <w:ilvl w:val="6"/>
        <w:numId w:val="35"/>
      </w:numPr>
    </w:pPr>
  </w:style>
  <w:style w:type="paragraph" w:customStyle="1" w:styleId="Point0letter">
    <w:name w:val="Point 0 (letter)"/>
    <w:basedOn w:val="Normal"/>
    <w:rsid w:val="00877878"/>
    <w:pPr>
      <w:numPr>
        <w:ilvl w:val="1"/>
        <w:numId w:val="35"/>
      </w:numPr>
    </w:pPr>
  </w:style>
  <w:style w:type="paragraph" w:customStyle="1" w:styleId="Point1letter">
    <w:name w:val="Point 1 (letter)"/>
    <w:basedOn w:val="Normal"/>
    <w:rsid w:val="00877878"/>
    <w:pPr>
      <w:numPr>
        <w:ilvl w:val="3"/>
        <w:numId w:val="35"/>
      </w:numPr>
    </w:pPr>
  </w:style>
  <w:style w:type="paragraph" w:customStyle="1" w:styleId="Point2letter">
    <w:name w:val="Point 2 (letter)"/>
    <w:basedOn w:val="Normal"/>
    <w:rsid w:val="00877878"/>
    <w:pPr>
      <w:numPr>
        <w:ilvl w:val="5"/>
        <w:numId w:val="35"/>
      </w:numPr>
    </w:pPr>
  </w:style>
  <w:style w:type="paragraph" w:customStyle="1" w:styleId="Point3letter">
    <w:name w:val="Point 3 (letter)"/>
    <w:basedOn w:val="Normal"/>
    <w:rsid w:val="00877878"/>
    <w:pPr>
      <w:numPr>
        <w:ilvl w:val="7"/>
        <w:numId w:val="35"/>
      </w:numPr>
    </w:pPr>
  </w:style>
  <w:style w:type="paragraph" w:customStyle="1" w:styleId="Point4letter">
    <w:name w:val="Point 4 (letter)"/>
    <w:basedOn w:val="Normal"/>
    <w:rsid w:val="00877878"/>
    <w:pPr>
      <w:numPr>
        <w:ilvl w:val="8"/>
        <w:numId w:val="35"/>
      </w:numPr>
    </w:pPr>
  </w:style>
  <w:style w:type="paragraph" w:customStyle="1" w:styleId="Bullet0">
    <w:name w:val="Bullet 0"/>
    <w:basedOn w:val="Normal"/>
    <w:rsid w:val="00877878"/>
    <w:pPr>
      <w:numPr>
        <w:numId w:val="36"/>
      </w:numPr>
    </w:pPr>
  </w:style>
  <w:style w:type="paragraph" w:customStyle="1" w:styleId="Bullet1">
    <w:name w:val="Bullet 1"/>
    <w:basedOn w:val="Normal"/>
    <w:rsid w:val="00877878"/>
    <w:pPr>
      <w:numPr>
        <w:numId w:val="37"/>
      </w:numPr>
    </w:pPr>
  </w:style>
  <w:style w:type="paragraph" w:customStyle="1" w:styleId="Bullet2">
    <w:name w:val="Bullet 2"/>
    <w:basedOn w:val="Normal"/>
    <w:rsid w:val="00877878"/>
    <w:pPr>
      <w:numPr>
        <w:numId w:val="38"/>
      </w:numPr>
    </w:pPr>
  </w:style>
  <w:style w:type="paragraph" w:customStyle="1" w:styleId="Bullet3">
    <w:name w:val="Bullet 3"/>
    <w:basedOn w:val="Normal"/>
    <w:rsid w:val="00877878"/>
    <w:pPr>
      <w:numPr>
        <w:numId w:val="39"/>
      </w:numPr>
    </w:pPr>
  </w:style>
  <w:style w:type="paragraph" w:customStyle="1" w:styleId="Bullet4">
    <w:name w:val="Bullet 4"/>
    <w:basedOn w:val="Normal"/>
    <w:rsid w:val="00877878"/>
    <w:pPr>
      <w:numPr>
        <w:numId w:val="40"/>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41"/>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rsid w:val="00877878"/>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lang w:val="fr-FR" w:eastAsia="en-GB"/>
    </w:rPr>
  </w:style>
  <w:style w:type="paragraph" w:styleId="ListBullet2">
    <w:name w:val="List Bullet 2"/>
    <w:basedOn w:val="Normal"/>
    <w:pPr>
      <w:numPr>
        <w:numId w:val="6"/>
      </w:numPr>
    </w:pPr>
    <w:rPr>
      <w:rFonts w:eastAsia="Times New Roman"/>
      <w:lang w:val="fr-FR" w:eastAsia="en-GB"/>
    </w:rPr>
  </w:style>
  <w:style w:type="character" w:styleId="Emphasis">
    <w:name w:val="Emphasis"/>
    <w:uiPriority w:val="20"/>
    <w:qFormat/>
    <w:rPr>
      <w:i/>
    </w:rPr>
  </w:style>
  <w:style w:type="paragraph" w:styleId="ListBullet4">
    <w:name w:val="List Bullet 4"/>
    <w:basedOn w:val="Normal"/>
    <w:uiPriority w:val="99"/>
    <w:semiHidden/>
    <w:unhideWhenUsed/>
    <w:pPr>
      <w:numPr>
        <w:numId w:val="7"/>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3">
    <w:name w:val="List Bullet 3"/>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table" w:styleId="TableGrid">
    <w:name w:val="Table Grid"/>
    <w:basedOn w:val="TableNormal"/>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5D0524"/>
    <w:pPr>
      <w:tabs>
        <w:tab w:val="center" w:pos="4535"/>
        <w:tab w:val="right" w:pos="9071"/>
      </w:tabs>
      <w:spacing w:before="0"/>
    </w:pPr>
  </w:style>
  <w:style w:type="character" w:customStyle="1" w:styleId="HeaderChar">
    <w:name w:val="Header Char"/>
    <w:basedOn w:val="DefaultParagraphFont"/>
    <w:link w:val="Header"/>
    <w:uiPriority w:val="99"/>
    <w:rsid w:val="005D0524"/>
    <w:rPr>
      <w:rFonts w:ascii="Times New Roman" w:hAnsi="Times New Roman" w:cs="Times New Roman"/>
      <w:sz w:val="24"/>
      <w:lang w:val="sk-SK"/>
    </w:rPr>
  </w:style>
  <w:style w:type="paragraph" w:styleId="Footer">
    <w:name w:val="footer"/>
    <w:basedOn w:val="Normal"/>
    <w:link w:val="FooterChar"/>
    <w:uiPriority w:val="99"/>
    <w:unhideWhenUsed/>
    <w:rsid w:val="005D0524"/>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5D0524"/>
    <w:rPr>
      <w:rFonts w:ascii="Times New Roman" w:hAnsi="Times New Roman" w:cs="Times New Roman"/>
      <w:sz w:val="24"/>
      <w:lang w:val="sk-SK"/>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5D0524"/>
    <w:pPr>
      <w:tabs>
        <w:tab w:val="center" w:pos="7285"/>
        <w:tab w:val="right" w:pos="14003"/>
      </w:tabs>
      <w:spacing w:before="0"/>
    </w:pPr>
  </w:style>
  <w:style w:type="paragraph" w:customStyle="1" w:styleId="FooterLandscape">
    <w:name w:val="FooterLandscape"/>
    <w:basedOn w:val="Normal"/>
    <w:rsid w:val="005D0524"/>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5D0524"/>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5D0524"/>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28"/>
      </w:numPr>
    </w:pPr>
  </w:style>
  <w:style w:type="paragraph" w:customStyle="1" w:styleId="Tiret1">
    <w:name w:val="Tiret 1"/>
    <w:basedOn w:val="Point1"/>
    <w:rsid w:val="00877878"/>
    <w:pPr>
      <w:numPr>
        <w:numId w:val="29"/>
      </w:numPr>
    </w:pPr>
  </w:style>
  <w:style w:type="paragraph" w:customStyle="1" w:styleId="Tiret2">
    <w:name w:val="Tiret 2"/>
    <w:basedOn w:val="Point2"/>
    <w:rsid w:val="00877878"/>
    <w:pPr>
      <w:numPr>
        <w:numId w:val="30"/>
      </w:numPr>
    </w:pPr>
  </w:style>
  <w:style w:type="paragraph" w:customStyle="1" w:styleId="Tiret3">
    <w:name w:val="Tiret 3"/>
    <w:basedOn w:val="Point3"/>
    <w:rsid w:val="00877878"/>
    <w:pPr>
      <w:numPr>
        <w:numId w:val="31"/>
      </w:numPr>
    </w:pPr>
  </w:style>
  <w:style w:type="paragraph" w:customStyle="1" w:styleId="Tiret4">
    <w:name w:val="Tiret 4"/>
    <w:basedOn w:val="Point4"/>
    <w:rsid w:val="00877878"/>
    <w:pPr>
      <w:numPr>
        <w:numId w:val="32"/>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33"/>
      </w:numPr>
    </w:pPr>
  </w:style>
  <w:style w:type="paragraph" w:customStyle="1" w:styleId="NumPar2">
    <w:name w:val="NumPar 2"/>
    <w:basedOn w:val="Normal"/>
    <w:next w:val="Text1"/>
    <w:rsid w:val="00877878"/>
    <w:pPr>
      <w:numPr>
        <w:ilvl w:val="1"/>
        <w:numId w:val="33"/>
      </w:numPr>
    </w:pPr>
  </w:style>
  <w:style w:type="paragraph" w:customStyle="1" w:styleId="NumPar3">
    <w:name w:val="NumPar 3"/>
    <w:basedOn w:val="Normal"/>
    <w:next w:val="Text1"/>
    <w:rsid w:val="00877878"/>
    <w:pPr>
      <w:numPr>
        <w:ilvl w:val="2"/>
        <w:numId w:val="33"/>
      </w:numPr>
    </w:pPr>
  </w:style>
  <w:style w:type="paragraph" w:customStyle="1" w:styleId="NumPar4">
    <w:name w:val="NumPar 4"/>
    <w:basedOn w:val="Normal"/>
    <w:next w:val="Text1"/>
    <w:rsid w:val="00877878"/>
    <w:pPr>
      <w:numPr>
        <w:ilvl w:val="3"/>
        <w:numId w:val="33"/>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35"/>
      </w:numPr>
    </w:pPr>
  </w:style>
  <w:style w:type="paragraph" w:customStyle="1" w:styleId="Point1number">
    <w:name w:val="Point 1 (number)"/>
    <w:basedOn w:val="Normal"/>
    <w:rsid w:val="00877878"/>
    <w:pPr>
      <w:numPr>
        <w:ilvl w:val="2"/>
        <w:numId w:val="35"/>
      </w:numPr>
    </w:pPr>
  </w:style>
  <w:style w:type="paragraph" w:customStyle="1" w:styleId="Point2number">
    <w:name w:val="Point 2 (number)"/>
    <w:basedOn w:val="Normal"/>
    <w:rsid w:val="00877878"/>
    <w:pPr>
      <w:numPr>
        <w:ilvl w:val="4"/>
        <w:numId w:val="35"/>
      </w:numPr>
    </w:pPr>
  </w:style>
  <w:style w:type="paragraph" w:customStyle="1" w:styleId="Point3number">
    <w:name w:val="Point 3 (number)"/>
    <w:basedOn w:val="Normal"/>
    <w:rsid w:val="00877878"/>
    <w:pPr>
      <w:numPr>
        <w:ilvl w:val="6"/>
        <w:numId w:val="35"/>
      </w:numPr>
    </w:pPr>
  </w:style>
  <w:style w:type="paragraph" w:customStyle="1" w:styleId="Point0letter">
    <w:name w:val="Point 0 (letter)"/>
    <w:basedOn w:val="Normal"/>
    <w:rsid w:val="00877878"/>
    <w:pPr>
      <w:numPr>
        <w:ilvl w:val="1"/>
        <w:numId w:val="35"/>
      </w:numPr>
    </w:pPr>
  </w:style>
  <w:style w:type="paragraph" w:customStyle="1" w:styleId="Point1letter">
    <w:name w:val="Point 1 (letter)"/>
    <w:basedOn w:val="Normal"/>
    <w:rsid w:val="00877878"/>
    <w:pPr>
      <w:numPr>
        <w:ilvl w:val="3"/>
        <w:numId w:val="35"/>
      </w:numPr>
    </w:pPr>
  </w:style>
  <w:style w:type="paragraph" w:customStyle="1" w:styleId="Point2letter">
    <w:name w:val="Point 2 (letter)"/>
    <w:basedOn w:val="Normal"/>
    <w:rsid w:val="00877878"/>
    <w:pPr>
      <w:numPr>
        <w:ilvl w:val="5"/>
        <w:numId w:val="35"/>
      </w:numPr>
    </w:pPr>
  </w:style>
  <w:style w:type="paragraph" w:customStyle="1" w:styleId="Point3letter">
    <w:name w:val="Point 3 (letter)"/>
    <w:basedOn w:val="Normal"/>
    <w:rsid w:val="00877878"/>
    <w:pPr>
      <w:numPr>
        <w:ilvl w:val="7"/>
        <w:numId w:val="35"/>
      </w:numPr>
    </w:pPr>
  </w:style>
  <w:style w:type="paragraph" w:customStyle="1" w:styleId="Point4letter">
    <w:name w:val="Point 4 (letter)"/>
    <w:basedOn w:val="Normal"/>
    <w:rsid w:val="00877878"/>
    <w:pPr>
      <w:numPr>
        <w:ilvl w:val="8"/>
        <w:numId w:val="35"/>
      </w:numPr>
    </w:pPr>
  </w:style>
  <w:style w:type="paragraph" w:customStyle="1" w:styleId="Bullet0">
    <w:name w:val="Bullet 0"/>
    <w:basedOn w:val="Normal"/>
    <w:rsid w:val="00877878"/>
    <w:pPr>
      <w:numPr>
        <w:numId w:val="36"/>
      </w:numPr>
    </w:pPr>
  </w:style>
  <w:style w:type="paragraph" w:customStyle="1" w:styleId="Bullet1">
    <w:name w:val="Bullet 1"/>
    <w:basedOn w:val="Normal"/>
    <w:rsid w:val="00877878"/>
    <w:pPr>
      <w:numPr>
        <w:numId w:val="37"/>
      </w:numPr>
    </w:pPr>
  </w:style>
  <w:style w:type="paragraph" w:customStyle="1" w:styleId="Bullet2">
    <w:name w:val="Bullet 2"/>
    <w:basedOn w:val="Normal"/>
    <w:rsid w:val="00877878"/>
    <w:pPr>
      <w:numPr>
        <w:numId w:val="38"/>
      </w:numPr>
    </w:pPr>
  </w:style>
  <w:style w:type="paragraph" w:customStyle="1" w:styleId="Bullet3">
    <w:name w:val="Bullet 3"/>
    <w:basedOn w:val="Normal"/>
    <w:rsid w:val="00877878"/>
    <w:pPr>
      <w:numPr>
        <w:numId w:val="39"/>
      </w:numPr>
    </w:pPr>
  </w:style>
  <w:style w:type="paragraph" w:customStyle="1" w:styleId="Bullet4">
    <w:name w:val="Bullet 4"/>
    <w:basedOn w:val="Normal"/>
    <w:rsid w:val="00877878"/>
    <w:pPr>
      <w:numPr>
        <w:numId w:val="40"/>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41"/>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header" Target="header10.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explained/management/managt_who/who_en.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F372C-857B-44C6-888A-10DF38AF2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28</Pages>
  <Words>8704</Words>
  <Characters>54662</Characters>
  <Application>Microsoft Office Word</Application>
  <DocSecurity>0</DocSecurity>
  <Lines>1438</Lines>
  <Paragraphs>615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ANTONACCIO Raimondo (SG)</cp:lastModifiedBy>
  <cp:revision>4</cp:revision>
  <dcterms:created xsi:type="dcterms:W3CDTF">2017-12-08T13:43:00Z</dcterms:created>
  <dcterms:modified xsi:type="dcterms:W3CDTF">2018-01-04T12:52:00Z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SJ-025</vt:lpwstr>
  </property>
  <property fmtid="{D5CDD505-2E9C-101B-9397-08002B2CF9AE}" pid="9" name="Level of sensitivity">
    <vt:lpwstr>Standard treatment</vt:lpwstr>
  </property>
  <property fmtid="{D5CDD505-2E9C-101B-9397-08002B2CF9AE}" pid="10" name="DQCStatus">
    <vt:lpwstr>Yellow (DQC version 03)</vt:lpwstr>
  </property>
</Properties>
</file>