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1C" w:rsidRPr="00357FBC" w:rsidRDefault="001B6923" w:rsidP="001B6923">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EFE0E6C-7877-4B07-A499-19B484D28BF9" style="width:450.75pt;height:459.75pt">
            <v:imagedata r:id="rId9" o:title=""/>
          </v:shape>
        </w:pict>
      </w:r>
    </w:p>
    <w:p w:rsidR="0014641C" w:rsidRPr="00357FBC" w:rsidRDefault="0014641C" w:rsidP="0014641C">
      <w:pPr>
        <w:sectPr w:rsidR="0014641C" w:rsidRPr="00357FBC" w:rsidSect="001B6923">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8B4161" w:rsidRPr="00357FBC" w:rsidRDefault="008B4161" w:rsidP="008B4161">
      <w:pPr>
        <w:pStyle w:val="Exposdesmotifstitre"/>
      </w:pPr>
      <w:bookmarkStart w:id="0" w:name="_GoBack"/>
      <w:bookmarkEnd w:id="0"/>
      <w:r w:rsidRPr="00357FBC">
        <w:lastRenderedPageBreak/>
        <w:t>ΑΙΤΙΟΛΟΓΙΚΗ ΕΚΘΕΣΗ</w:t>
      </w:r>
    </w:p>
    <w:p w:rsidR="008B4161" w:rsidRPr="00357FBC" w:rsidRDefault="008B4161" w:rsidP="008B4161">
      <w:pPr>
        <w:pStyle w:val="ManualHeading1"/>
      </w:pPr>
      <w:r w:rsidRPr="00357FBC">
        <w:t>1.</w:t>
      </w:r>
      <w:r w:rsidRPr="00357FBC">
        <w:tab/>
        <w:t>ΠΛΑΙΣΙΟ ΤΗΣ ΠΡΟΤΑΣΗΣ</w:t>
      </w:r>
    </w:p>
    <w:p w:rsidR="008B4161" w:rsidRPr="00357FBC" w:rsidRDefault="008B4161" w:rsidP="008B4161">
      <w:pPr>
        <w:pStyle w:val="ManualHeading2"/>
        <w:rPr>
          <w:rFonts w:eastAsia="Arial Unicode MS"/>
        </w:rPr>
      </w:pPr>
      <w:r w:rsidRPr="00357FBC">
        <w:rPr>
          <w:color w:val="000000"/>
          <w:u w:color="000000"/>
          <w:bdr w:val="nil"/>
        </w:rPr>
        <w:t>•</w:t>
      </w:r>
      <w:r w:rsidRPr="00357FBC">
        <w:tab/>
        <w:t>Αιτιολόγηση και στόχοι της πρότασης</w:t>
      </w:r>
    </w:p>
    <w:p w:rsidR="008B4161" w:rsidRPr="00357FBC" w:rsidRDefault="008B4161" w:rsidP="008B4161">
      <w:pPr>
        <w:autoSpaceDE w:val="0"/>
        <w:autoSpaceDN w:val="0"/>
        <w:adjustRightInd w:val="0"/>
        <w:rPr>
          <w:szCs w:val="24"/>
        </w:rPr>
      </w:pPr>
      <w:r w:rsidRPr="00357FBC">
        <w:t>Η Γεωργία εξακολουθεί να βρίσκεται αντιμέτωπη με ένα αδύναμο εξωτερικό περιβάλλον, το οποίο έχει συντελέσει, μέσω της μείωσης των εξαγωγών και των εμβασμάτων, σε σχετικά χαμηλή αύξηση του ΑΕΠ της τάξεως του 2,7% το 2016 (σε σύγκριση με 2,9% το 2015 και 4,6% το 2014). Η αύξηση του ΑΕΠ προβλέπεται να ενισχυθεί σταδιακά και να ανέλθει σε 3,5% το 2017, υποστηριζόμενη από την κατανάλωση και τις επενδύσεις. Η περιφερειακή και η παγκόσμια ανάπτυξη αναμένεται επίσης να αυξηθούν το 2017, αλλά θα εξακολουθήσουν να υπόκεινται σε κινδύνους αρνητικών αποκλίσεων λόγω γεωπολιτικής αστάθειας, προστατευτισμού και μεταβλητότητας των χρηματοπιστωτικών αγορών.</w:t>
      </w:r>
    </w:p>
    <w:p w:rsidR="008B4161" w:rsidRPr="00357FBC" w:rsidRDefault="008B4161" w:rsidP="008B4161">
      <w:pPr>
        <w:autoSpaceDE w:val="0"/>
        <w:autoSpaceDN w:val="0"/>
        <w:adjustRightInd w:val="0"/>
        <w:rPr>
          <w:szCs w:val="24"/>
        </w:rPr>
      </w:pPr>
      <w:r w:rsidRPr="00357FBC">
        <w:t>Το δημοσιονομικό έλλειμμα της Γεωργίας παραμένει σημαντικό (4,1% του ΑΕΠ τόσο για το 2016 όσο και –σύμφωνα με τις προβλέψεις του Διεθνούς Νομισματικού Ταμείου (ΔΝΤ)– για το 2017). Ο λόγος του δημόσιου χρέους προς το ΑΕΠ αυξήθηκε από 35,6% το 2014 σε 44,6% το 2016, κυρίως εξαιτίας του γεγονότος ότι περίπου το 80% του δημόσιου χρέους είναι εκπεφρασμένο σε ξένο νόμισμα, ενώ σημειώθηκε έντονη υποτίμηση του εθνικού νομίσματος (του γεωργιανού λάρι, GEL) κατά τη διάρκεια αυτής της περιόδου. Επιπλέον, η κατάσταση του ισοζυγίου πληρωμών της Γεωργίας παραμένει ευάλωτη λόγω του πολύ μεγάλου ελλείμματος του ισοζυγίου τρεχουσών συναλλαγών (12,4% του ΑΕΠ το 2016) και του υψηλού εξωτερικού χρέους (111,8% του ΑΕΠ το 2016). Τα συναλλαγματικά αποθέματα της Γεωργίας γενικά έχουν παραμείνει σταθερά σε απόλυτους όρους από το 2011, και στο τέλος του 2016 ανέρχονταν συνολικά σε 2,8 δισ. δολάρια ΗΠΑ (USD), όμως οι ανάγκες σε αποθέματα αυξάνονται διαρκώς σύμφωνα με τον σύνθετο δείκτη μέτρησης του ΔΝΤ. Επομένως, τα αποθέματα βρίσκονται επί του παρόντος κάτω από το επίπεδο το οποίο εκτιμάται ως επαρκές από το ΔΝΤ. Η Γεωργία συνεχίζει επίσης να προσαρμόζεται στις απαιτήσεις της σφαιρικής και σε βάθος ζώνης ελεύθερων συναλλαγών (DCFTA) με την ΕΕ, η οποία, παράλληλα με τις ευκαιρίες που προσφέρει, συνεπάγεται και κόστος προσαρμογής.</w:t>
      </w:r>
    </w:p>
    <w:p w:rsidR="008B4161" w:rsidRPr="00357FBC" w:rsidRDefault="008B4161" w:rsidP="008B4161">
      <w:pPr>
        <w:autoSpaceDE w:val="0"/>
        <w:autoSpaceDN w:val="0"/>
        <w:adjustRightInd w:val="0"/>
        <w:rPr>
          <w:szCs w:val="24"/>
        </w:rPr>
      </w:pPr>
      <w:r w:rsidRPr="00357FBC">
        <w:t xml:space="preserve">Σε αυτή τη βάση, στις 12 Απριλίου 2017 η Γεωργία και το ΔΝΤ σύναψαν τριετή (2017-2020) διευρυμένη συμφωνία στο πλαίσιο της διευρυμένης χρηματοδοτικής διευκόλυνσης (EFF). Η διευρυμένη χρηματοδοτική διευκόλυνση αντιπροσωπεύει το 100% της ποσόστωσης της Γεωργίας στο Ταμείο (210,4 εκατομμύρια ειδικά τραβηκτικά δικαιώματα ή περίπου 285 εκατ. USD). Ο στόχος του προγράμματος διευρυμένης χρηματοδοτικής διευκόλυνσης είναι η στήριξη ενός προγράμματος οικονομικής μεταρρύθμισης που θα βοηθήσει τη Γεωργία να μειώσει τις οικονομικές ευπάθειες και να προωθήσει υψηλότερη και χωρίς αποκλεισμούς οικονομική ανάπτυξη. </w:t>
      </w:r>
    </w:p>
    <w:p w:rsidR="008B4161" w:rsidRPr="00357FBC" w:rsidRDefault="008B4161" w:rsidP="008B4161">
      <w:pPr>
        <w:autoSpaceDE w:val="0"/>
        <w:autoSpaceDN w:val="0"/>
        <w:adjustRightInd w:val="0"/>
        <w:rPr>
          <w:szCs w:val="24"/>
        </w:rPr>
      </w:pPr>
      <w:r w:rsidRPr="00357FBC">
        <w:t xml:space="preserve">Η κυβέρνηση της Γεωργίας ζήτησε επίσης μακροοικονομική χρηματοδοτική συνδρομή (ΜΧΣ) από την ΕΕ στις 16 Ιουνίου 2017. Με βάση το αίτημα αυτό και την οικονομική κατάσταση της χώρας, η Επιτροπή υποβάλλει στο Ευρωπαϊκό Κοινοβούλιο και στο Συμβούλιο πρόταση για τη χορήγηση ΜΧΣ στη Γεωργία, βάσει του άρθρου 212 παράγραφος 2 της ΣΛΕΕ. Η πρόταση αφορά ποσό έως 45 εκατ. EUR, εκ των οποίων 35 εκατ. EUR υπό μορφή δανείων και 10 εκατ. EUR υπό μορφή επιχορηγήσεων. </w:t>
      </w:r>
    </w:p>
    <w:p w:rsidR="008B4161" w:rsidRPr="00357FBC" w:rsidRDefault="008B4161" w:rsidP="008B4161">
      <w:pPr>
        <w:autoSpaceDE w:val="0"/>
        <w:autoSpaceDN w:val="0"/>
        <w:adjustRightInd w:val="0"/>
        <w:rPr>
          <w:szCs w:val="24"/>
        </w:rPr>
      </w:pPr>
      <w:r w:rsidRPr="00357FBC">
        <w:t xml:space="preserve">Η προτεινόμενη νέα πράξη ΜΧΣ είναι η τρίτη μετά τη στρατιωτική σύγκρουση της Γεωργίας με τη Ρωσία που σημειώθηκε τον Αύγουστο του 2008. Τον Οκτώβριο του 2008, στη διεθνή διάσκεψη δωρητών στις Βρυξέλλες, η ΕΕ δεσμεύτηκε για δύο πράξεις ΜΧΣ ύψους 46 εκατ. EUR καθεμία. Η πρώτη από τις εν λόγω πράξεις (46 εκατ. EUR, εξ ολοκλήρου υπό μορφή επιχορηγήσεων) υλοποιήθηκε την περίοδο 2009-2010 και η δεύτερη (επίσης 46 εκατ. EUR, κατά το ήμισυ υπό μορφή επιχορηγήσεων και το υπόλοιπο υπό μορφή </w:t>
      </w:r>
      <w:r w:rsidRPr="00357FBC">
        <w:lastRenderedPageBreak/>
        <w:t>δανείων) υλοποιήθηκε την περίοδο 2015-2017. Η τελευταία δόση της πράξης ΜΧΣ 2015-2017 εκταμιεύθηκε τον Μάιο του 2017.</w:t>
      </w:r>
    </w:p>
    <w:p w:rsidR="008B4161" w:rsidRPr="00357FBC" w:rsidRDefault="008B4161" w:rsidP="008B4161">
      <w:pPr>
        <w:autoSpaceDE w:val="0"/>
        <w:autoSpaceDN w:val="0"/>
        <w:adjustRightInd w:val="0"/>
        <w:rPr>
          <w:szCs w:val="24"/>
        </w:rPr>
      </w:pPr>
      <w:r w:rsidRPr="00357FBC">
        <w:t>Η προτεινόμενη νέα ΜΧΣ θα βοηθήσει τη Γεωργία να καλύψει μέρος των αναγκών εξωτερικής χρηματοδότησής της για την περίοδο 2017-2020, οι οποίες εκτιμάται ότι ανέρχονται σε 752 εκατ. USD (671 εκατ. EUR)</w:t>
      </w:r>
      <w:r w:rsidRPr="00357FBC">
        <w:rPr>
          <w:rStyle w:val="FootnoteReference"/>
        </w:rPr>
        <w:footnoteReference w:id="1"/>
      </w:r>
      <w:r w:rsidRPr="00357FBC">
        <w:t xml:space="preserve">. Με την πράξη αυτή θα μειωθούν οι βραχυπρόθεσμες αδυναμίες του ισοζυγίου πληρωμών και οι δημοσιονομικές ευπάθειες. Ο σχεδιασμός και η υλοποίηση της πράξης θα συντονιστούν με τα προγράμματα προσαρμογής και μεταρρυθμίσεων που η Γεωργία έχει συμφωνήσει με το ΔΝΤ και την Παγκόσμια Τράπεζα, καθώς και με τις μεταρρυθμίσεις που έχουν συμφωνηθεί στο πλαίσιο των πράξεων δημοσιονομικής στήριξης της ΕΕ και της DCFTA. </w:t>
      </w:r>
    </w:p>
    <w:p w:rsidR="008B4161" w:rsidRPr="00357FBC" w:rsidRDefault="008B4161" w:rsidP="008B4161">
      <w:pPr>
        <w:rPr>
          <w:szCs w:val="24"/>
        </w:rPr>
      </w:pPr>
      <w:r w:rsidRPr="00357FBC">
        <w:t>Όπως επεξηγείται περαιτέρω στο έγγραφο εργασίας των υπηρεσιών της Επιτροπής που συνοδεύει την παρούσα πρόταση, η Επιτροπή θεωρεί, με βάση και την αξιολόγηση της πολιτικής κατάστασης από την Ευρωπαϊκή Υπηρεσία Εξωτερικής Δράσης (ΕΥΕΔ), ότι πληρούνται οι πολιτικές και οικονομικές προϋποθέσεις για την προτεινόμενη πράξη ΜΧΣ.</w:t>
      </w:r>
    </w:p>
    <w:p w:rsidR="008B4161" w:rsidRPr="00357FBC" w:rsidRDefault="008B4161" w:rsidP="008B4161">
      <w:pPr>
        <w:pStyle w:val="ManualHeading2"/>
      </w:pPr>
      <w:r w:rsidRPr="00357FBC">
        <w:rPr>
          <w:color w:val="000000"/>
          <w:u w:color="000000"/>
          <w:bdr w:val="nil"/>
        </w:rPr>
        <w:t>•</w:t>
      </w:r>
      <w:r w:rsidRPr="00357FBC">
        <w:tab/>
        <w:t xml:space="preserve">Γενικό πλαίσιο </w:t>
      </w:r>
    </w:p>
    <w:p w:rsidR="008B4161" w:rsidRPr="00357FBC" w:rsidRDefault="008B4161" w:rsidP="008B4161">
      <w:r w:rsidRPr="00357FBC">
        <w:t xml:space="preserve">Η μακροοικονομική προοπτική για τη Γεωργία παραμένει ευάλωτη. Η συνεχιζόμενη δημοσιονομική εξυγίανση θα μπορούσε να αποδυναμώσει την εγχώρια ζήτηση και να μειώσει την οικονομική ανάπτυξη στη Γεωργία. Επιπλέον, η οικονομία της Γεωργίας αντιμετωπίζει ευρύτερους κινδύνους λόγω των αβέβαιων οικονομικών προοπτικών σε περιφερειακό και παγκόσμιο επίπεδο, των εξωτερικών ανισορροπιών (κυρίως το μεγάλο και ολοένα αυξανόμενο έλλειμμα του ισοζυγίου τρεχουσών συναλλαγών και το σημαντικό εξωτερικό χρέος), καθώς και των διεθνών συναλλαγματικών αποθεμάτων που βρίσκονται κάτω από το ενδεδειγμένο επίπεδο. </w:t>
      </w:r>
    </w:p>
    <w:p w:rsidR="008B4161" w:rsidRPr="00357FBC" w:rsidRDefault="008B4161" w:rsidP="008B4161">
      <w:r w:rsidRPr="00357FBC">
        <w:t xml:space="preserve">Η οικονομική επιβράδυνση στην περιοχή και το γεγονός ότι έχει σημειωθεί έντονη υποτίμηση των νομισμάτων των κυριότερων εμπορικών εταίρων από το τέλος του 2014 και μετά, έχουν επιβαρύνει τις εξαγωγές και τα εμβάσματα της Γεωργίας. Το γεγονός αυτό συνετέλεσε στην επιβράδυνση της οικονομικής ανάπτυξης που έφτασε στο 2,7% το 2016, από 2,9% το 2015 και 4,6% το 2014. Η </w:t>
      </w:r>
      <w:r w:rsidRPr="00357FBC">
        <w:rPr>
          <w:i/>
        </w:rPr>
        <w:t>αύξηση του ΑΕΠ</w:t>
      </w:r>
      <w:r w:rsidRPr="00357FBC">
        <w:t xml:space="preserve"> της Γεωργίας το 2016 προήλθε κυρίως από τις επενδύσεις, ενώ η ιδιωτική κατανάλωση παρέμεινε χαμηλή, αντικατοπτρίζοντας τη μείωση του διαθέσιμου εισοδήματος που προκλήθηκε από την αύξηση της αξίας των υποχρεώσεων αποπληρωμής των νοικοκυριών στο εγχώριο νόμισμα για δάνεια σε δολάρια ΗΠΑ, λόγω της έντονης υποτίμησης του λάρι. Η αύξηση του ΑΕΠ προβλέπεται ότι θα ενισχυθεί σταδιακά και θα ανέλθει σε 3,5% το 2017, υποστηριζόμενη από την κατανάλωση και τις επενδύσεις, και σε 5,0% το 2020 (στη λήξη της προσφάτως συναφθείσας συμφωνίας με το ΔΝΤ). </w:t>
      </w:r>
    </w:p>
    <w:p w:rsidR="008B4161" w:rsidRPr="00357FBC" w:rsidRDefault="008B4161" w:rsidP="008B4161">
      <w:r w:rsidRPr="00357FBC">
        <w:t xml:space="preserve">Η </w:t>
      </w:r>
      <w:r w:rsidRPr="00357FBC">
        <w:rPr>
          <w:i/>
        </w:rPr>
        <w:t>συναλλαγματική ισοτιμία</w:t>
      </w:r>
      <w:r w:rsidRPr="00357FBC">
        <w:t xml:space="preserve"> (USD/GEL, μέσος όρος περιόδου) κινήθηκε από 1,77 το 2014 σε 2,27 το 2016, που σημαίνει υποτίμηση του γεωργιανού λάρι κατά 22% περίπου. Οι επιδράσεις αυτής της μεταβλητότητας επιτείνονται από το γεγονός ότι παραμένει υψηλός ο βαθμός δολαριοποίησης της γεωργιανής οικονομίας, όπου το 70% των καταθέσεων και το 65% των δανείων ήταν εκπεφρασμένα σε δολάρια ΗΠΑ το 2016.</w:t>
      </w:r>
    </w:p>
    <w:p w:rsidR="008B4161" w:rsidRPr="00357FBC" w:rsidRDefault="008B4161" w:rsidP="008B4161">
      <w:r w:rsidRPr="00357FBC">
        <w:t xml:space="preserve">Παρότι το ποσοστό </w:t>
      </w:r>
      <w:r w:rsidRPr="00357FBC">
        <w:rPr>
          <w:i/>
        </w:rPr>
        <w:t>ανεργίας</w:t>
      </w:r>
      <w:r w:rsidRPr="00357FBC">
        <w:t xml:space="preserve"> στη Γεωργία (11,8% στο τέλος του 2016) καταγράφει πτωτική τάση από το 2009 (16,9%), εξακολουθεί να συνιστά σημαντική πρόκληση. Μολονότι έχουν δημιουργηθεί ευκαιρίες απασχόλησης σε νέους τομείς ανάπτυξης, ιδίως στον τουρισμό και σε άλλους τομείς υπηρεσιών, το ποσοστό ανεργίας παραμένει σε υψηλά επίπεδα λόγω προκλήσεων που σχετίζονται με την αναντιστοιχία δεξιοτήτων προς τις ανάγκες της αγοράς </w:t>
      </w:r>
      <w:r w:rsidRPr="00357FBC">
        <w:lastRenderedPageBreak/>
        <w:t>αλλά και με τις μεγάλες περιφερειακές ανισότητες. Επίσης, η Γεωργία δεν διαθέτει σύστημα παροχών ανεργίας.</w:t>
      </w:r>
    </w:p>
    <w:p w:rsidR="008B4161" w:rsidRPr="00357FBC" w:rsidRDefault="008B4161" w:rsidP="008B4161">
      <w:r w:rsidRPr="00357FBC">
        <w:t xml:space="preserve">Όσον αφορά τον εξωτερικό τομέα, το </w:t>
      </w:r>
      <w:r w:rsidRPr="00357FBC">
        <w:rPr>
          <w:i/>
        </w:rPr>
        <w:t>έλλειμμα του ισοζυγίου τρεχουσών συναλλαγών</w:t>
      </w:r>
      <w:r w:rsidRPr="00357FBC">
        <w:t xml:space="preserve"> της Γεωργίας επιδεινώθηκε περαιτέρω το 2016, φτάνοντας στο 12,4% του ΑΕΠ (από 12,0% του ΑΕΠ το 2015 και 10,6% το 2014) και, όπως επισημαίνεται, εξακολουθεί να αποτελεί μείζονα πηγή ευπάθειας. Το έλλειμμα του ισοζυγίου τρεχουσών συναλλαγών διευρύνθηκε την περίοδο 2014-2016, παρά την επιβράδυνση της οικονομικής ανάπτυξης, καθώς οι χαμηλές εξαγωγές υπεραντιστάθμισαν τη χαμηλή εγχώρια ζήτηση για εισαγωγές, οδηγώντας σε μεγαλύτερο έλλειμμα του ισοζυγίου εμπορικών συναλλαγών σε αγαθά. Το έλλειμμα του ισοζυγίου τρεχουσών συναλλαγών αναμένεται να επιδεινωθεί περαιτέρω και να φτάσει στο 12,9% το 2017, και στη συνέχεια να μειωθεί ελαφρώς σε 11% το 2020, σύμφωνα με τις προβλέψεις του προγράμματος του ΔΝΤ. Το πολύ μεγάλο έλλειμμα του ισοζυγίου τρεχουσών συναλλαγών οφείλεται κυρίως στο έλλειμμα του ισοζυγίου εμπορικών συναλλαγών σε αγαθά, το οποίο αντισταθμίζεται μόνον εν μέρει από το πλεόνασμα των συναλλαγών στον τομέα των υπηρεσιών και από τα εισοδήματα και τις μεταβιβάσεις από το εξωτερικό, συμπεριλαμβανομένων των εμβασμάτων.</w:t>
      </w:r>
    </w:p>
    <w:p w:rsidR="008B4161" w:rsidRPr="00357FBC" w:rsidRDefault="008B4161" w:rsidP="008B4161">
      <w:r w:rsidRPr="00357FBC">
        <w:t xml:space="preserve">Παρότι το έλλειμμα του ισοζυγίου τρεχουσών συναλλαγών χρηματοδοτήθηκε κυρίως από εισροές </w:t>
      </w:r>
      <w:r w:rsidRPr="00357FBC">
        <w:rPr>
          <w:i/>
        </w:rPr>
        <w:t>άμεσων ξένων επενδύσεων</w:t>
      </w:r>
      <w:r w:rsidRPr="00357FBC">
        <w:t xml:space="preserve">, οι τελευταίες αναμένεται να μειωθούν ελαφρώς από 11% του ΑΕΠ το 2016 σε 10,3% του ΑΕΠ το 2017 και να παραμείνουν σε παρόμοιο επίπεδο έως το 2020. Επιπλέον, οι χρηματοοικονομικές εισροές που δημιουργούν χρέος συνεισέφεραν επίσης στη χρηματοδότηση του ελλείμματος του ισοζυγίου τρεχουσών συναλλαγών. Ως εκ τούτου, το </w:t>
      </w:r>
      <w:r w:rsidRPr="00357FBC">
        <w:rPr>
          <w:i/>
        </w:rPr>
        <w:t>εξωτερικό χρέος</w:t>
      </w:r>
      <w:r w:rsidRPr="00357FBC">
        <w:t xml:space="preserve"> της Γεωργίας, το οποίο κυμαινόταν γύρω στο 80% του ΑΕΠ την περίοδο 2008-2014, αυξήθηκε σημαντικά τα επόμενα έτη, φτάνοντας στο 111,8% του ΑΕΠ στο τέλος του 2016. Το εξωτερικό χρέος προβλέπεται να αυξηθεί περαιτέρω και να φτάσει στο 120,2% το 2020. Καθώς το μεγαλύτερο μέρος του εξωτερικού χρέους είναι εκπεφρασμένο σε δολάρια ΗΠΑ, η υποτίμηση του λάρι διαδραμάτισε σημαντικό ρόλο στην αύξηση αυτή. </w:t>
      </w:r>
    </w:p>
    <w:p w:rsidR="008B4161" w:rsidRPr="00357FBC" w:rsidRDefault="008B4161" w:rsidP="008B4161">
      <w:r w:rsidRPr="00357FBC">
        <w:t xml:space="preserve">Η Εθνική Τράπεζα της Γεωργίας γενικά δεν προέβη σε μεγάλες παρεμβάσεις στην αγορά συναλλάγματος και επέτρεψε την υποτίμηση του λάρι. Αυτό είχε ως αποτέλεσμα τα </w:t>
      </w:r>
      <w:r w:rsidRPr="00357FBC">
        <w:rPr>
          <w:i/>
        </w:rPr>
        <w:t>ακαθάριστα διεθνή αποθεματικά</w:t>
      </w:r>
      <w:r w:rsidRPr="00357FBC">
        <w:t xml:space="preserve"> να παραμείνουν γενικά σταθερά και να ανέλθουν συνολικά σε 2,7 δισ. USD στο τέλος Φεβρουαρίου 2017 (ήτοι στο αντίστοιχο εισαγωγών περίπου 3 μηνών του επόμενου έτους). Το πρόγραμμα που συμφωνήθηκε πρόσφατα με το ΔΝΤ στοχεύει σε αύξηση των αποθεματικών κατά 54%, από 2,8 δισ. USD στο τέλος του 2016 σε 4,2 δισ. USD το 2020 (κάλυψη εισαγωγών περίπου 4 μηνών).</w:t>
      </w:r>
    </w:p>
    <w:p w:rsidR="008B4161" w:rsidRPr="00357FBC" w:rsidRDefault="008B4161" w:rsidP="008B4161">
      <w:r w:rsidRPr="00357FBC">
        <w:t xml:space="preserve">Ο μέσος </w:t>
      </w:r>
      <w:r w:rsidRPr="00357FBC">
        <w:rPr>
          <w:i/>
        </w:rPr>
        <w:t>πληθωρισμός</w:t>
      </w:r>
      <w:r w:rsidRPr="00357FBC">
        <w:t xml:space="preserve"> της περιόδου (δείκτης τιμών καταναλωτή, ΔΤΚ) επιβραδύνθηκε και έφτασε στο 2,1% το 2016, έναντι 4,0% το 2015. Ο ΔΤΚ προβλέπεται να αυξηθεί σε 5,7% το 2017, παράλληλα με την αύξηση των ειδικών φόρων κατανάλωσης που τέθηκε σε ισχύ τον Ιανουάριο του 2017, αλλά αναμένεται να μειωθεί στο 3,0% το 2018 και να παραμείνει σε παρόμοια επίπεδα το 2019 και το 2020.</w:t>
      </w:r>
    </w:p>
    <w:p w:rsidR="008B4161" w:rsidRPr="00357FBC" w:rsidRDefault="008B4161" w:rsidP="008B4161">
      <w:r w:rsidRPr="00357FBC">
        <w:t xml:space="preserve">Έπειτα από μια μακρά περίοδο δημοσιονομικής εξυγίανσης από το 2009, το </w:t>
      </w:r>
      <w:r w:rsidRPr="00357FBC">
        <w:rPr>
          <w:i/>
        </w:rPr>
        <w:t>δημοσιονομικό έλλειμμα</w:t>
      </w:r>
      <w:r w:rsidRPr="00357FBC">
        <w:t xml:space="preserve"> της γενικής κυβέρνησης άρχισε να διευρύνεται το 2015 (3,8% του ΑΕΠ), εν μέρει λόγω αύξησης των κοινωνικών δαπανών με στόχο την αντιμετώπιση των υψηλών επιπέδων φτώχειας και ανισοτήτων της χώρας, αλλά αντικατοπτρίζει επίσης τον αρνητικό αντίκτυπο της οικονομικής επιβράδυνσης στα φορολογικά έσοδα. Η δημοσιονομική κατάσταση επιδεινώθηκε περαιτέρω το 2016, με το δημοσιονομικό έλλειμμα να εκτιμάται από το ΔΝΤ σε ποσοστό 4,1% του ΑΕΠ, ως αποτέλεσμα τόσο των χαμηλότερων εσόδων σε σύγκριση με τα αναμενόμενα, όσο και της αύξησης των δαπανών πριν από τις βουλευτικές εκλογές του Οκτωβρίου (κυρίως στους τομείς της άμυνας, των δημόσιων μεταφορών, των υποδομών και της υγειονομικής περίθαλψης). Το δημοσιονομικό έλλειμμα (το οποίο προβλεπόταν ότι θα αυξηθεί περαιτέρω, σε ποσοστό περίπου 6% του ΑΕΠ φέτος, προτού συμφωνηθεί το νέο πρόγραμμα του ΔΝΤ) αναμένεται πλέον να παραμείνει στο ίδιο επίπεδο (4,1%) το 2017 και να μειωθεί σταδιακά στη συνέχεια, φτάνοντας στο 3,1% το 2020. Το </w:t>
      </w:r>
      <w:r w:rsidRPr="00357FBC">
        <w:rPr>
          <w:i/>
        </w:rPr>
        <w:t>δημόσιο χρέος</w:t>
      </w:r>
      <w:r w:rsidRPr="00357FBC">
        <w:t xml:space="preserve"> αυξήθηκε επίσης σε ποσοστό που εκτιμάται στο 44,6% του ΑΕΠ το 2016 (από 35,6% το 2014) και αναμένεται να σημειώσει περαιτέρω ανοδική πορεία που θα κορυφωθεί φτάνοντας γύρω στο 47% το 2019, προτού αρχίσει να μειώνεται σταδιακά στη συνέχεια. </w:t>
      </w:r>
    </w:p>
    <w:p w:rsidR="008B4161" w:rsidRPr="00357FBC" w:rsidRDefault="008B4161" w:rsidP="008B4161">
      <w:r w:rsidRPr="00357FBC">
        <w:t xml:space="preserve">Η δημοσιονομική στρατηγική των αρχών της Γεωργίας βασίζεται στην περαιτέρω εξυγίανση. Κατά κύριο λόγο, οι αρχές της Γεωργίας σχεδιάζουν να προβούν σε μείωση των τρεχουσών δαπανών (μείωση του μισθολογικού κόστους και των διοικητικών εξόδων, βελτίωση της αποδοτικότητας στις δαπάνες υγειονομικής περίθαλψης, καθώς και νέοι έλεγχοι δαπανών στις τοπικές κυβερνήσεις), παράλληλα με την αύξηση των κεφαλαιουχικών δαπανών, κυρίως σε υποδομές, και τη θέσπιση δεύτερου (χρηματοδοτούμενου) πυλώνα του συνταξιοδοτικού συστήματος. Στο σκέλος των εσόδων, οι αρχές της Γεωργίας αύξησαν τους φόρους (κυρίως τους ειδικούς φόρους κατανάλωσης στα προϊόντα καπνού, στα οχήματα και στα καύσιμα) για να αντισταθμίσουν τις απώλειες εσόδων λόγω της μεταρρύθμισης του φόρου εισοδήματος των εταιρειών που τέθηκε σε ισχύ τον Ιανουάριο του 2017, ενώ είναι έτοιμες να λάβουν και πρόσθετα μέτρα, εάν κριθεί απαραίτητο. </w:t>
      </w:r>
    </w:p>
    <w:p w:rsidR="008B4161" w:rsidRPr="00357FBC" w:rsidRDefault="008B4161" w:rsidP="008B4161">
      <w:r w:rsidRPr="00357FBC">
        <w:t>Η δημοσιονομική εξυγίανση συμπληρώνεται από το πρόγραμμα διαρθρωτικών μεταρρυθμίσεων, το οποίο επικεντρώνεται στη βελτίωση του επιχειρηματικού περιβάλλοντος, της εκπαίδευσης και της δημόσιας διοίκησης, καθώς και των επενδύσεων σε υποδομές. Τα πρόσθετα μέτρα περιλαμβάνουν δημοσιονομικές μεταρρυθμίσεις (κυρίως τη βελτίωση της διαχείρισης των κινδύνων που απορρέουν από συμπράξεις δημόσιου-ιδιωτικού τομέα και κρατικές επιχειρήσεις), την ενίσχυση του χρηματοπιστωτικού τομέα (για παράδειγμα, θέσπιση συστήματος εγγύησης των καταθέσεων και βελτίωση του ρυθμιστικού και εποπτικού πλαισίου, καθώς και του πλαισίου εξυγίανσης για τις τράπεζες), καθώς και τη συνεχιζόμενη προσαρμογή στις απαιτήσεις της DCFTA.</w:t>
      </w:r>
    </w:p>
    <w:p w:rsidR="008B4161" w:rsidRPr="00357FBC" w:rsidRDefault="008B4161" w:rsidP="008B4161">
      <w:pPr>
        <w:rPr>
          <w:szCs w:val="24"/>
        </w:rPr>
      </w:pPr>
      <w:r w:rsidRPr="00357FBC">
        <w:t xml:space="preserve">Σύμφωνα με τις προβλέψεις του ΔΝΤ του Μαρτίου 2017, θα προκύψουν σημαντικές </w:t>
      </w:r>
      <w:r w:rsidRPr="00357FBC">
        <w:rPr>
          <w:i/>
        </w:rPr>
        <w:t>ανάγκες εξωτερικής χρηματοδότησης</w:t>
      </w:r>
      <w:r w:rsidRPr="00357FBC">
        <w:t xml:space="preserve"> για την περίοδο 2017-2020, με το συνολικό κενό εξωτερικής χρηματοδότησης να εκτιμάται σε 752 εκατ. USD (256 εκατ. USD το 2017, 222 εκατ. USD το 2018, 183 εκατ. USD το 2019 και 91 εκατ. USD το 2020). Αυτό το κενό χρηματοδότησης μπορεί, σε γενικές γραμμές, να αποδοθεί σε τρεις παράγοντες: σε ένα σχετικά μεγάλο έλλειμμα του ισοζυγίου τρεχουσών συναλλαγών, στην ανάγκη να αυξηθούν τα συναλλαγματικά αποθέματα και στις υψηλές απαιτήσεις που αναμένονται ως προς την απόσβεση του χρέους. </w:t>
      </w:r>
    </w:p>
    <w:p w:rsidR="008B4161" w:rsidRPr="00357FBC" w:rsidRDefault="008B4161" w:rsidP="008B4161">
      <w:pPr>
        <w:rPr>
          <w:szCs w:val="24"/>
        </w:rPr>
      </w:pPr>
      <w:r w:rsidRPr="00357FBC">
        <w:t>Η προτεινόμενη πράξη ΜΧΣ ύψους 45 εκατ. EUR (περίπου 50 εκατ. USD), συνυπολογιζόμενων των 23 εκατ. EUR (περίπου 26 εκατ. USD) που εκταμιεύτηκαν στο πλαίσιο της προηγούμενης πράξης ΜΧΣ τον Μάιο του 2017, θα καλύψει το 10% του συνολικού εκτιμώμενου χρηματοδοτικού κενού και το 33% του εναπομένοντος χρηματοδοτικού κενού (μετά την αφαίρεση της καθαρής χρηματοδότησης του ΔΝΤ και της αναμενόμενης εκταμίευσης των δανείων πολιτικής της Παγκόσμιας Τράπεζας).</w:t>
      </w:r>
    </w:p>
    <w:p w:rsidR="008B4161" w:rsidRPr="00357FBC" w:rsidRDefault="008B4161" w:rsidP="008B4161">
      <w:pPr>
        <w:autoSpaceDE w:val="0"/>
        <w:autoSpaceDN w:val="0"/>
        <w:adjustRightInd w:val="0"/>
        <w:spacing w:after="240"/>
        <w:rPr>
          <w:szCs w:val="24"/>
        </w:rPr>
      </w:pPr>
      <w:r w:rsidRPr="00357FBC">
        <w:t xml:space="preserve">Άλλες σημαντικές συνεισφορές για την κάλυψη του εναπομένοντος χρηματοδοτικού κενού περιλαμβάνουν τις επιχορηγήσεις δημοσιονομικής στήριξης από τον γαλλικό οργανισμό ανάπτυξης AFD (ύψους 62 εκατ. USD το 2017), και την Ασιατική Τράπεζα Ανάπτυξης (που αναμένεται να ανέλθουν σε 100 εκατ. USD την περίοδο 2018-2019). </w:t>
      </w:r>
    </w:p>
    <w:p w:rsidR="008B4161" w:rsidRPr="00357FBC" w:rsidRDefault="008B4161" w:rsidP="008B4161">
      <w:pPr>
        <w:pStyle w:val="ManualHeading2"/>
      </w:pPr>
      <w:r w:rsidRPr="00357FBC">
        <w:rPr>
          <w:color w:val="000000"/>
          <w:u w:color="000000"/>
          <w:bdr w:val="nil"/>
        </w:rPr>
        <w:t>•</w:t>
      </w:r>
      <w:r w:rsidRPr="00357FBC">
        <w:tab/>
        <w:t>Ισχύουσες διατάξεις στον τομέα της πρότασης</w:t>
      </w:r>
    </w:p>
    <w:p w:rsidR="008B4161" w:rsidRPr="00357FBC" w:rsidRDefault="008B4161" w:rsidP="008B4161">
      <w:pPr>
        <w:tabs>
          <w:tab w:val="left" w:pos="719"/>
        </w:tabs>
        <w:spacing w:after="240"/>
      </w:pPr>
      <w:r w:rsidRPr="00357FBC">
        <w:t>Η απόφαση αριθ. 778/2013/ΕΕ για τη χορήγηση προηγούμενης μακροοικονομικής χρηματοδοτικής συνδρομής στη Γεωργία, ύψους 46 εκατ. EUR (κατά το ήμισυ υπό μορφή επιχορηγήσεων και κατά το ήμισυ υπό μορφή δανείων) εκδόθηκε από το Ευρωπαϊκό Κοινοβούλιο και το Συμβούλιο στις 12 Αυγούστου 2013</w:t>
      </w:r>
      <w:r w:rsidRPr="00357FBC">
        <w:rPr>
          <w:rStyle w:val="FootnoteReference"/>
        </w:rPr>
        <w:footnoteReference w:id="2"/>
      </w:r>
      <w:r w:rsidRPr="00357FBC">
        <w:t>. Η συνδρομή υλοποιήθηκε πλήρως την περίοδο 2015-2017, με την τελευταία εκταμίευση τον Μάιο του 2017.</w:t>
      </w:r>
    </w:p>
    <w:p w:rsidR="008B4161" w:rsidRPr="00357FBC" w:rsidRDefault="008B4161" w:rsidP="008B4161">
      <w:pPr>
        <w:pStyle w:val="ManualHeading2"/>
        <w:rPr>
          <w:rFonts w:eastAsia="Arial Unicode MS"/>
        </w:rPr>
      </w:pPr>
      <w:r w:rsidRPr="00357FBC">
        <w:rPr>
          <w:color w:val="000000"/>
          <w:u w:color="000000"/>
          <w:bdr w:val="nil"/>
        </w:rPr>
        <w:t>•</w:t>
      </w:r>
      <w:r w:rsidRPr="00357FBC">
        <w:tab/>
        <w:t>Συνοχή με τις άλλες πολιτικές και τους στόχους της Ένωσης</w:t>
      </w:r>
    </w:p>
    <w:p w:rsidR="008B4161" w:rsidRPr="00357FBC" w:rsidRDefault="008B4161" w:rsidP="008B4161">
      <w:r w:rsidRPr="00357FBC">
        <w:t xml:space="preserve">Η ΕΕ και η Γεωργία έχουν αναπτύξει στενές πολιτικές και οικονομικές σχέσεις με την πάροδο των ετών, οι οποίες οδήγησαν στη σύναψη της συμφωνίας σύνδεσης, συμπεριλαμβανομένης της DCFTA, η οποία υπογράφηκε το 2014 και τέθηκε σε ισχύ τον Ιούλιο του 2016. Με την εν λόγω συμφωνία σύνδεσης, η οποία αντικατέστησε την προηγούμενη συμφωνία εταιρικής σχέσης και συνεργασίας, θα καταστεί δυνατή η πολιτική σύνδεση και η οικονομική ολοκλήρωση της Γεωργίας με την ΕΕ. Στο Ενιαίο Πλαίσιο Στήριξης (ΕΠΣ) της ΕΕ καθορίζονται οι τομείς προτεραιότητας της συνεργασίας με τη Γεωργία, που χρηματοδοτούνται από τον Ευρωπαϊκό Μηχανισμό Γειτονίας (ΕΜΓ). Το ΕΠΣ για την περίοδο 2017-2020 βρίσκεται στο στάδιο της οριστικοποίησής του. </w:t>
      </w:r>
    </w:p>
    <w:p w:rsidR="008B4161" w:rsidRPr="00357FBC" w:rsidRDefault="008B4161" w:rsidP="008B4161">
      <w:r w:rsidRPr="00357FBC">
        <w:t>Οι οικονομικοί δεσμοί της Γεωργίας με την ΕΕ είναι ήδη ιδιαίτερα αναπτυγμένοι. Το 2016 η ΕΕ ήταν ο κυριότερος εμπορικός εταίρος της Γεωργίας, με μερίδιο συναλλαγών 32,6%, πολύ ανώτερο του μεριδίου άλλων βασικών εμπορικών εταίρων (της Τουρκίας και της Ρωσίας, με μερίδιο συναλλαγών 17,2% και 8,1% αντίστοιχα). Η ΕΕ είναι επίσης ο κύριος επενδυτικός εταίρος και δωρητής της Γεωργίας.</w:t>
      </w:r>
    </w:p>
    <w:p w:rsidR="008B4161" w:rsidRPr="00357FBC" w:rsidRDefault="008B4161" w:rsidP="008B4161">
      <w:pPr>
        <w:rPr>
          <w:szCs w:val="24"/>
        </w:rPr>
      </w:pPr>
      <w:r w:rsidRPr="00357FBC">
        <w:t>Οι χώρες που καλύπτονται από την ευρωπαϊκή πολιτική γειτονίας (ΕΠΓ) είναι επιλέξιμες για ΜΧΣ. Η ΜΧΣ της ΕΕ θα λειτουργήσει συμπληρωματικά στις επιχορηγήσεις που εμπίπτουν στο πλαίσιο του ΕΜΓ και άλλων προγραμμάτων της ΕΕ και ειδικότερα των προϋποθέσεων που προβλέπονται στο πλαίσιο των πακέτων δημοσιονομικής στήριξης που εφαρμόζονται από την ΕΕ. Με την παροχή στήριξης για τη θέσπιση ενός κατάλληλου πλαισίου μακροοικονομικής πολιτικής και διαρθρωτικών μεταρρυθμίσεων από τις αρχές της Γεωργίας, η ΜΧΣ της ΕΕ θα αυξήσει την προστιθέμενη αξία και την αποτελεσματικότητα του συνόλου των χρηματοδοτικών παρεμβάσεων της ΕΕ, μεταξύ άλλων διαμέσου άλλων χρηματοδοτικών μέσων.</w:t>
      </w:r>
    </w:p>
    <w:p w:rsidR="008B4161" w:rsidRPr="00357FBC" w:rsidRDefault="008B4161" w:rsidP="008B4161">
      <w:r w:rsidRPr="00357FBC">
        <w:t>Η Γεωργία έχει εδραιώσει τη δημοκρατία και το κράτος δικαίου, ενώ επίσης έχει ενισχύσει περαιτέρω τον σεβασμό για τα ανθρώπινα δικαιώματα. Οι πλέον πρόσφατες βουλευτικές εκλογές τον Οκτώβριο του 2016 ήταν ανταγωνιστικές και καλά οργανωμένες. Όσον αφορά το δικαστικό σύστημα, οι μεταρρυθμίσεις της Γεωργίας προώθησαν την ανεξαρτησία, τον επαγγελματισμό και τη λογοδοσία των δικαστικών λειτουργών.</w:t>
      </w:r>
    </w:p>
    <w:p w:rsidR="008B4161" w:rsidRPr="00357FBC" w:rsidRDefault="008B4161" w:rsidP="008B4161">
      <w:r w:rsidRPr="00357FBC">
        <w:t xml:space="preserve">Λαμβανομένων υπόψη των ανωτέρω, μπορεί να θεωρηθεί ότι πληρούνται οι πολιτικές προϋποθέσεις για τη χορήγηση της ΜΧΣ στη Γεωργία, συμπεριλαμβανομένης της πτυχής της πολιτικής και οικονομικής εγγύτητας με την ΕΕ. Η ΕΥΕΔ έχει εκπονήσει λεπτομερή αξιολόγηση της εκπλήρωσης των πολιτικών κριτηρίων για τη ΜΧΣ, η οποία επισυνάπτεται στο έγγραφο εργασίας των υπηρεσιών της Επιτροπής που συνοδεύει την πρόταση. </w:t>
      </w:r>
    </w:p>
    <w:p w:rsidR="008B4161" w:rsidRPr="00357FBC" w:rsidRDefault="008B4161" w:rsidP="008B4161">
      <w:pPr>
        <w:pStyle w:val="ManualHeading1"/>
      </w:pPr>
      <w:r w:rsidRPr="00357FBC">
        <w:t>2.</w:t>
      </w:r>
      <w:r w:rsidRPr="00357FBC">
        <w:tab/>
        <w:t>ΝΟΜΙΚΗ ΒΑΣΗ, ΕΠΙΚΟΥΡΙΚΟΤΗΤΑ ΚΑΙ ΑΝΑΛΟΓΙΚΟΤΗΤΑ</w:t>
      </w:r>
    </w:p>
    <w:p w:rsidR="008B4161" w:rsidRPr="00357FBC" w:rsidRDefault="008B4161" w:rsidP="008B4161">
      <w:pPr>
        <w:pStyle w:val="ManualHeading2"/>
      </w:pPr>
      <w:r w:rsidRPr="00357FBC">
        <w:t>•</w:t>
      </w:r>
      <w:r w:rsidRPr="00357FBC">
        <w:tab/>
        <w:t>Σύνοψη της προτεινόμενης δράσης</w:t>
      </w:r>
    </w:p>
    <w:p w:rsidR="008B4161" w:rsidRPr="00357FBC" w:rsidRDefault="008B4161" w:rsidP="008B4161">
      <w:r w:rsidRPr="00357FBC">
        <w:t>Η υπό εξέταση πράξη ΜΧΣ θα ανέρχεται κατ’ ανώτατο όριο σε 45 εκατ. EUR. Η Επιτροπή προτείνει να χορηγηθεί το ποσό της συνδρομής υπό τη μορφή μεσοπρόθεσμων δανείων ανώτατου ύψους 35 εκατ. EUR και επιχορηγήσεων ύψους έως 10 εκατ. EUR. Δεδομένου του προτεινόμενου μεγέθους της πράξης, η Επιτροπή εξετάζει την αποδέσμευση της συνδρομής σε δύο δόσεις</w:t>
      </w:r>
      <w:r w:rsidRPr="00357FBC">
        <w:rPr>
          <w:rStyle w:val="FootnoteReference"/>
        </w:rPr>
        <w:footnoteReference w:id="3"/>
      </w:r>
      <w:r w:rsidRPr="00357FBC">
        <w:t>. Η πρώτη δόση θα αποτελείται ενδεικτικά από μία συνιστώσα δανείου ύψους 15 εκατ. EUR και μία συνιστώσα επιχορήγησης ύψους 5 εκατ. EUR, και η δεύτερη δόση θα αποτελείται από μία συνιστώσα δανείου ύψους 20 εκατ. EUR και μία συνιστώσα επιχορήγησης ύψους 5 εκατ. EUR.</w:t>
      </w:r>
    </w:p>
    <w:p w:rsidR="008B4161" w:rsidRPr="00357FBC" w:rsidRDefault="008B4161" w:rsidP="008B4161">
      <w:r w:rsidRPr="00357FBC">
        <w:t xml:space="preserve">Η Επιτροπή θα αναλάβει τη διαχείριση της συνδρομής. Ισχύουν ειδικές διατάξεις για την πρόληψη της απάτης και άλλων παρατυπιών, σύμφωνα με τον δημοσιονομικό κανονισμό. </w:t>
      </w:r>
    </w:p>
    <w:p w:rsidR="008B4161" w:rsidRPr="00357FBC" w:rsidRDefault="008B4161" w:rsidP="008B4161">
      <w:pPr>
        <w:rPr>
          <w:highlight w:val="yellow"/>
        </w:rPr>
      </w:pPr>
      <w:r w:rsidRPr="00357FBC">
        <w:t>Προϋπόθεση για τις εκταμιεύσεις βάσει της προτεινόμενης πράξης ΜΧΣ αποτελούν οι επιτυχείς αξιολογήσεις στο πλαίσιο του προγράμματος του ΔΝΤ και η αποτελεσματική αξιοποίηση των κεφαλαίων του ΔΝΤ από τη Γεωργία. Επιπλέον, η Επιτροπή – για λογαριασμό της ΕΕ – και οι αρχές της Γεωργίας θα συμφωνήσουν μια ειδική δέσμη μέτρων διαρθρωτικών μεταρρυθμίσεων, τα οποία θα καθοριστούν στο πλαίσιο μνημονίου συνεννόησης. Τα εν λόγω μεταρρυθμιστικά μέτρα αναμένεται να στηρίξουν το πρόγραμμα μεταρρυθμίσεων των αρχών και να συμπληρώσουν τα προγράμματα που έχουν συμφωνηθεί με το ΔΝΤ, την Παγκόσμια Τράπεζα και άλλους δωρητές, καθώς και τα προγράμματα πολιτικής που συνδέονται με τις πράξεις δημοσιονομικής στήριξης της ΕΕ. Θα είναι συνεπή με τις κύριες προτεραιότητες οικονομικής μεταρρύθμισης που έχουν συμφωνηθεί μεταξύ της Ευρωπαϊκής Ένωσης και της Γεωργίας στο πλαίσιο της συμφωνίας σύνδεσης, συμπεριλαμβανομένης της DCFTA και του θεματολογίου σύνδεσης.</w:t>
      </w:r>
      <w:r w:rsidRPr="00357FBC">
        <w:rPr>
          <w:highlight w:val="yellow"/>
        </w:rPr>
        <w:t xml:space="preserve"> </w:t>
      </w:r>
    </w:p>
    <w:p w:rsidR="008B4161" w:rsidRPr="00357FBC" w:rsidRDefault="008B4161" w:rsidP="008B4161">
      <w:pPr>
        <w:spacing w:after="240"/>
        <w:rPr>
          <w:rFonts w:cs="Arial"/>
          <w:iCs/>
        </w:rPr>
      </w:pPr>
      <w:r w:rsidRPr="00357FBC">
        <w:t>Η απόφαση για εκταμίευση ποσοστού περίπου 22% της προτεινόμενης συνδρομής υπό μορφή επιχορηγήσεων (10 εκατ. EUR επί συνόλου 45 εκατ. EUR) και του υπόλοιπου ποσοστού υπό μορφή δανείων δικαιολογείται από το επίπεδο οικονομικής και κοινωνικής ανάπτυξης της Γεωργίας (όπως μετράται αφενός με βάση το κατά κεφαλήν εισόδημα της χώρας, καθώς η Γεωργία κατατάσσεται από την Παγκόσμια Τράπεζα στις χώρες χαμηλότερου μεσαίου εισοδήματος, και αφετέρου με βάση το ποσοστό φτώχειας), καθώς και από το σχετικά υψηλό επίπεδο χρέους της. Παρότι η Γεωργία δεν είναι πλέον επιλέξιμη για προνομιακή χρηματοδότηση είτε από το ΔΝΤ είτε από την Παγκόσμια Τράπεζα, η έξοδός της από το εν λόγω καθεστώς προνομιακής χρηματοδότησης είναι σχετικά πρόσφατη. Ωστόσο, η έξοδος αυτή συνηγορεί υπέρ της απόδοσης προτεραιότητας στη συνιστώσα δανείου.</w:t>
      </w:r>
    </w:p>
    <w:p w:rsidR="008B4161" w:rsidRPr="00357FBC" w:rsidRDefault="008B4161" w:rsidP="008B4161">
      <w:pPr>
        <w:pStyle w:val="ManualHeading2"/>
        <w:rPr>
          <w:rFonts w:eastAsia="Arial Unicode MS"/>
          <w:u w:color="000000"/>
          <w:bdr w:val="nil"/>
        </w:rPr>
      </w:pPr>
      <w:r w:rsidRPr="00357FBC">
        <w:t>•</w:t>
      </w:r>
      <w:r w:rsidRPr="00357FBC">
        <w:tab/>
        <w:t>Νομική βάση</w:t>
      </w:r>
    </w:p>
    <w:p w:rsidR="008B4161" w:rsidRPr="00357FBC" w:rsidRDefault="008B4161" w:rsidP="008B4161">
      <w:pPr>
        <w:tabs>
          <w:tab w:val="left" w:pos="719"/>
        </w:tabs>
        <w:spacing w:after="240"/>
        <w:jc w:val="left"/>
      </w:pPr>
      <w:r w:rsidRPr="00357FBC">
        <w:t xml:space="preserve">Νομική βάση της παρούσας πρότασης αποτελεί το άρθρο 212 παράγραφος 2 της ΣΛΕΕ. </w:t>
      </w:r>
    </w:p>
    <w:p w:rsidR="008B4161" w:rsidRPr="00357FBC" w:rsidRDefault="008B4161" w:rsidP="008B4161">
      <w:pPr>
        <w:pStyle w:val="ManualHeading2"/>
        <w:rPr>
          <w:rFonts w:eastAsia="Arial Unicode MS"/>
          <w:u w:color="000000"/>
          <w:bdr w:val="nil"/>
        </w:rPr>
      </w:pPr>
      <w:r w:rsidRPr="00357FBC">
        <w:t>•</w:t>
      </w:r>
      <w:r w:rsidRPr="00357FBC">
        <w:tab/>
        <w:t xml:space="preserve">Επικουρικότητα (σε περίπτωση μη αποκλειστικής αρμοδιότητας) </w:t>
      </w:r>
    </w:p>
    <w:p w:rsidR="008B4161" w:rsidRPr="00357FBC" w:rsidRDefault="008B4161" w:rsidP="008B4161">
      <w:pPr>
        <w:tabs>
          <w:tab w:val="left" w:pos="719"/>
        </w:tabs>
        <w:spacing w:after="240"/>
      </w:pPr>
      <w:r w:rsidRPr="00357FBC">
        <w:t xml:space="preserve">Η αρχή της επικουρικότητας τηρείται στον βαθμό που οι στόχοι της αποκατάστασης της βραχυπρόθεσμης μακροοικονομικής σταθερότητας στη Γεωργία δεν μπορούν να επιτευχθούν επαρκώς από τα κράτη μέλη μόνον και μπορούν να επιτευχθούν καλύτερα από την Ευρωπαϊκή Ένωση. Οι κύριοι λόγοι είναι οι δημοσιονομικοί περιορισμοί που ισχύουν σε εθνικό επίπεδο και η ανάγκη αυξημένου συντονισμού των χορηγών με σκοπό τη μεγιστοποίηση της κλίμακας και της αποτελεσματικότητας της συνδρομής. </w:t>
      </w:r>
    </w:p>
    <w:p w:rsidR="008B4161" w:rsidRPr="00357FBC" w:rsidRDefault="008B4161" w:rsidP="008B4161">
      <w:pPr>
        <w:pStyle w:val="ManualHeading2"/>
        <w:rPr>
          <w:rFonts w:eastAsia="Arial Unicode MS"/>
          <w:u w:color="000000"/>
          <w:bdr w:val="nil"/>
        </w:rPr>
      </w:pPr>
      <w:r w:rsidRPr="00357FBC">
        <w:t>•</w:t>
      </w:r>
      <w:r w:rsidRPr="00357FBC">
        <w:tab/>
        <w:t>Αναλογικότητα</w:t>
      </w:r>
    </w:p>
    <w:p w:rsidR="008B4161" w:rsidRPr="00357FBC" w:rsidRDefault="008B4161" w:rsidP="008B4161">
      <w:pPr>
        <w:tabs>
          <w:tab w:val="left" w:pos="719"/>
        </w:tabs>
      </w:pPr>
      <w:r w:rsidRPr="00357FBC">
        <w:t xml:space="preserve">Η πρόταση συνάδει με την αρχή της αναλογικότητας: περιορίζεται στο ελάχιστο αναγκαίο για την επίτευξη των στόχων βραχυπρόθεσμης μακροοικονομικής σταθερότητας και δεν υπερβαίνει τα αναγκαία όρια για τον σκοπό αυτό. </w:t>
      </w:r>
    </w:p>
    <w:p w:rsidR="008B4161" w:rsidRPr="00357FBC" w:rsidRDefault="008B4161" w:rsidP="008B4161">
      <w:pPr>
        <w:tabs>
          <w:tab w:val="left" w:pos="719"/>
        </w:tabs>
        <w:spacing w:after="240"/>
      </w:pPr>
      <w:r w:rsidRPr="00357FBC">
        <w:t xml:space="preserve">Όπως προσδιορίστηκε από την Επιτροπή, βάσει των εκτιμήσεων του ΔΝΤ στο πλαίσιο του προγράμματος διευρυμένης χρηματοδοτικής διευκόλυνσης, το ποσό της προτεινόμενης νέας ΜΧΣ, συνυπολογιζόμενης της τελευταίας εκταμίευσης που πραγματοποιήθηκε στο πλαίσιο της προηγούμενης πράξης ΜΧΣ τον Μάιο του 2017, αντιστοιχεί στο 10% του συνολικού εκτιμώμενου χρηματοδοτικού κενού για την περίοδο 2017-2020 και στο 33% του εναπομένοντος χρηματοδοτικού κενού (ήτοι εξαιρουμένων των καθαρών συνεισφορών του ΔΝΤ και των αναμενόμενων εκταμιεύσεων των δανείων πολιτικής της Παγκόσμιας Τράπεζας). Αυτό συνάδει με τις συνήθεις πρακτικές για τον επιμερισμό των βαρών στις πράξεις ΜΧΣ, λαμβανομένης υπόψη της συνδρομής που έχουν υποσχεθεί στη Γεωργία άλλοι διμερείς και πολυμερείς χορηγοί βοήθειας. </w:t>
      </w:r>
    </w:p>
    <w:p w:rsidR="008B4161" w:rsidRPr="00357FBC" w:rsidRDefault="008B4161" w:rsidP="008B4161">
      <w:pPr>
        <w:pStyle w:val="ManualHeading2"/>
        <w:rPr>
          <w:rFonts w:eastAsia="Arial Unicode MS"/>
          <w:u w:color="000000"/>
          <w:bdr w:val="nil"/>
        </w:rPr>
      </w:pPr>
      <w:r w:rsidRPr="00357FBC">
        <w:t>•</w:t>
      </w:r>
      <w:r w:rsidRPr="00357FBC">
        <w:tab/>
        <w:t>Επιλογή του νομικού μέσου</w:t>
      </w:r>
    </w:p>
    <w:p w:rsidR="008B4161" w:rsidRPr="00357FBC" w:rsidRDefault="008B4161" w:rsidP="008B4161">
      <w:pPr>
        <w:tabs>
          <w:tab w:val="left" w:pos="719"/>
        </w:tabs>
        <w:spacing w:after="240"/>
      </w:pPr>
      <w:r w:rsidRPr="00357FBC">
        <w:t xml:space="preserve">Η χρηματοδότηση έργων ή η χορήγηση τεχνικής βοήθειας δεν θα ήταν κατάλληλες ή επαρκείς για την υλοποίηση των μακροοικονομικών αυτών στόχων. Η καθοριστική προστιθέμενη αξία της ΜΧΣ σε σύγκριση με άλλα ενωσιακά μέσα θα είναι η άμβλυνση των περιορισμών εξωτερικής χρηματοδότησης και η βοήθεια για τη δημιουργία σταθερού μακροοικονομικού πλαισίου, μεταξύ άλλων μέσω της προαγωγής διατηρήσιμου ισοζυγίου πληρωμών και διατηρήσιμης δημοσιονομικής κατάστασης, και κατάλληλου πλαισίου για διαρθρωτικές μεταρρυθμίσεις. Συμβάλλοντας στην καθιέρωση ενός κατάλληλου συνολικού πλαισίου πολιτικής, η ΜΧΣ μπορεί να αυξήσει την αποτελεσματικότητα των δράσεων που χρηματοδοτούνται στη Γεωργία βάσει άλλων χρηματοδοτικών μέσων της ΕΕ με στενότερη στόχευση. </w:t>
      </w:r>
    </w:p>
    <w:p w:rsidR="008B4161" w:rsidRPr="00357FBC" w:rsidRDefault="008B4161" w:rsidP="008B4161">
      <w:pPr>
        <w:pStyle w:val="ManualHeading1"/>
        <w:jc w:val="left"/>
      </w:pPr>
      <w:r w:rsidRPr="00357FBC">
        <w:t>3.</w:t>
      </w:r>
      <w:r w:rsidRPr="00357FBC">
        <w:tab/>
        <w:t>ΑΠΟΤΕΛΕΣΜΑΤΑ ΤΩΝ ΕΚ ΤΩΝ ΥΣΤΕΡΩΝ ΑΞΙΟΛΟΓΗΣΕΩΝ, ΤΩΝ ΔΙΑΒΟΥΛΕΥΣΕΩΝ ΜΕ ΤΑ ΕΝΔΙΑΦΕΡΟΜΕΝΑ ΜΕΡΗ ΚΑΙ ΤΩΝ ΕΚΤΙΜΗΣΕΩΝ ΕΠΙΠΤΩΣΕΩΝ</w:t>
      </w:r>
    </w:p>
    <w:p w:rsidR="008B4161" w:rsidRPr="00357FBC" w:rsidRDefault="008B4161" w:rsidP="008B4161">
      <w:pPr>
        <w:pStyle w:val="ManualHeading2"/>
        <w:spacing w:after="0"/>
        <w:ind w:left="851" w:hanging="851"/>
      </w:pPr>
      <w:r w:rsidRPr="00357FBC">
        <w:t>•</w:t>
      </w:r>
      <w:r w:rsidRPr="00357FBC">
        <w:tab/>
        <w:t>Διαβούλευση με τα ενδιαφερόμενα μέρη</w:t>
      </w:r>
    </w:p>
    <w:p w:rsidR="008B4161" w:rsidRPr="00357FBC" w:rsidRDefault="008B4161" w:rsidP="008B4161">
      <w:pPr>
        <w:tabs>
          <w:tab w:val="left" w:pos="719"/>
        </w:tabs>
        <w:spacing w:after="240"/>
      </w:pPr>
      <w:r w:rsidRPr="00357FBC">
        <w:t>Η ΜΧΣ παρέχεται ως αναπόσπαστο μέρος της διεθνούς στήριξης στο πρόγραμμα οικονομικής σταθεροποίησης της Γεωργίας. Κατά τη σύνταξη της παρούσας πρότασης για ΜΧΣ, οι υπηρεσίες της Επιτροπής προχώρησαν σε διαβούλευση με το ΔΝΤ και την Παγκόσμια Τράπεζα, που έχουν ήδη θεσπίσει σημαντικά χρηματοδοτικά προγράμματα και προετοιμάζουν νέα. Η Επιτροπή βρίσκεται επίσης σε τακτικές επαφές με τις αρχές της Γεωργίας.</w:t>
      </w:r>
    </w:p>
    <w:p w:rsidR="008B4161" w:rsidRPr="00357FBC" w:rsidRDefault="008B4161" w:rsidP="008B4161">
      <w:pPr>
        <w:pStyle w:val="ManualHeading2"/>
      </w:pPr>
      <w:r w:rsidRPr="00357FBC">
        <w:t>•</w:t>
      </w:r>
      <w:r w:rsidRPr="00357FBC">
        <w:tab/>
        <w:t>Συλλογή και χρήση εμπειρογνωσίας</w:t>
      </w:r>
    </w:p>
    <w:p w:rsidR="008B4161" w:rsidRPr="00357FBC" w:rsidRDefault="008B4161" w:rsidP="008B4161">
      <w:pPr>
        <w:autoSpaceDE w:val="0"/>
        <w:autoSpaceDN w:val="0"/>
        <w:adjustRightInd w:val="0"/>
        <w:spacing w:after="240"/>
        <w:rPr>
          <w:szCs w:val="24"/>
        </w:rPr>
      </w:pPr>
      <w:r w:rsidRPr="00357FBC">
        <w:t xml:space="preserve">Σύμφωνα με τις απαιτήσεις του δημοσιονομικού κανονισμού, οι υπηρεσίες της Επιτροπής διενήργησαν επιχειρησιακή αξιολόγηση των χρηματοπιστωτικών και διοικητικών κυκλωμάτων της Γεωργίας προκειμένου να εξακριβώσουν αν οι ισχύουσες διαδικασίες διαχείρισης των προγραμμάτων οικονομικής βοήθειας, συμπεριλαμβανομένης της ΜΧΣ, παρέχουν επαρκείς εγγυήσεις. Τον Σεπτέμβριο του 2017 παραλήφθηκαν τα προκαταρκτικά πορίσματα από την αποστολή την οποία πραγματοποίησε εταιρεία συμβούλων για τους σκοπούς της εν λόγω επιχειρησιακής αξιολόγησης. Βάσει των πορισμάτων, η τρέχουσα κατάσταση των διοικητικών και χρηματοπιστωτικών κυκλωμάτων της Γεωργίας είναι επαρκής για τη διαχείριση μιας νέας πράξης ΜΧΣ, μολονότι εξακολουθούν να υπάρχουν ορισμένες αδυναμίες. Το σχέδιο τελικής έκθεσης της εν λόγω επιχειρησιακής αξιολόγησης αναμένεται να ληφθεί τον Νοέμβριο του 2017. Οι εξελίξεις στον τομέα αυτό θα εξακολουθήσουν να παρακολουθούνται στενά και μέσω των τακτικών εκθέσεων προόδου σχετικά με τις μεταρρυθμίσεις στον τομέα της διαχείρισης των δημόσιων οικονομικών τις οποίες συντάσσει η αντιπροσωπεία της ΕΕ στην Τιφλίδα. </w:t>
      </w:r>
    </w:p>
    <w:p w:rsidR="008B4161" w:rsidRPr="00357FBC" w:rsidRDefault="008B4161" w:rsidP="008B4161">
      <w:pPr>
        <w:pStyle w:val="ManualHeading2"/>
      </w:pPr>
      <w:r w:rsidRPr="00357FBC">
        <w:t>•</w:t>
      </w:r>
      <w:r w:rsidRPr="00357FBC">
        <w:tab/>
        <w:t>Εκτίμηση επιπτώσεων</w:t>
      </w:r>
    </w:p>
    <w:p w:rsidR="008B4161" w:rsidRPr="00357FBC" w:rsidRDefault="008B4161" w:rsidP="008B4161">
      <w:pPr>
        <w:tabs>
          <w:tab w:val="left" w:pos="719"/>
        </w:tabs>
      </w:pPr>
      <w:r w:rsidRPr="00357FBC">
        <w:t>Η μακροοικονομική χρηματοδοτική συνδρομή της ΕΕ αποτελεί ένα μέσο έκτακτης ανάγκης για την αντιμετώπιση σοβαρών δυσκολιών του ισοζυγίου πληρωμών σε τρίτες χώρες. Ως εκ τούτου, η παρούσα πρόταση ΜΧΣ εξαιρείται από την υποχρέωση διενέργειας εκτίμησης επιπτώσεων σύμφωνα με τις κατευθυντήριες γραμμές της Επιτροπής για τη βελτίωση της νομοθεσίας (SWD(2015) 111 final).</w:t>
      </w:r>
    </w:p>
    <w:p w:rsidR="008B4161" w:rsidRPr="00357FBC" w:rsidRDefault="008B4161" w:rsidP="008B4161">
      <w:pPr>
        <w:tabs>
          <w:tab w:val="left" w:pos="719"/>
        </w:tabs>
        <w:spacing w:after="240"/>
      </w:pPr>
      <w:r w:rsidRPr="00357FBC">
        <w:t>Γενικότερα, οι προτάσεις ΜΧΣ της Επιτροπής βασίζονται στα διδάγματα που έχουν αντληθεί από τις εκ των υστέρων αξιολογήσεις που διενεργήθηκαν για προγενέστερες πράξεις στις γειτονικές περιοχές της ΕΕ. Η νέα ΜΧΣ και το πρόγραμμα οικονομικής προσαρμογής και μεταρρυθμίσεων που συνδέεται με αυτή, θα βοηθήσουν τη Γεωργία αντιμετωπίσει τις βραχυπρόθεσμες χρηματοδοτικές ανάγκες της στηρίζοντας παράλληλα μέτρα πολιτικής με στόχο τη μεσοπρόθεσμη ενίσχυση του ισοζυγίου πληρωμών και της δημοσιονομικής βιωσιμότητας, καθώς και την αύξηση της βιώσιμης ανάπτυξης, συμπληρώνοντας με τον τρόπο αυτό το πρόγραμμα που έχει συμφωνηθεί με το ΔΝΤ. Οι εν λόγω όροι πολιτικής θα πρέπει να αντιμετωπίζουν ορισμένες από τις αδυναμίες που έχει εμφανίσει με την πάροδο των ετών η οικονομία και το σύστημα οικονομικής διακυβέρνησης της Γεωργίας. Στους πιθανούς τομείς τους οποίους θα αφορούν οι όροι θα μπορούσαν, καταρχήν, να περιλαμβάνονται μεταρρυθμίσεις με στόχο την ενίσχυση των δικτύων κοινωνικής προστασίας, τη διαχείριση των δημόσιων οικονομικών, τη βελτίωση του επενδυτικού κλίματος και τη στήριξη της υλοποίησης της DCFTA.</w:t>
      </w:r>
    </w:p>
    <w:p w:rsidR="008B4161" w:rsidRPr="00357FBC" w:rsidRDefault="008B4161" w:rsidP="008B4161">
      <w:pPr>
        <w:pStyle w:val="ManualHeading1"/>
      </w:pPr>
      <w:r w:rsidRPr="00357FBC">
        <w:t>4.</w:t>
      </w:r>
      <w:r w:rsidRPr="00357FBC">
        <w:tab/>
        <w:t>ΔΗΜΟΣΙΟΝΟΜΙΚΕΣ ΕΠΙΠΤΩΣΕΙΣ</w:t>
      </w:r>
    </w:p>
    <w:p w:rsidR="008B4161" w:rsidRPr="00357FBC" w:rsidRDefault="008B4161" w:rsidP="008B4161">
      <w:pPr>
        <w:rPr>
          <w:rFonts w:eastAsia="Times New Roman"/>
          <w:color w:val="000000"/>
          <w:position w:val="3"/>
          <w:szCs w:val="20"/>
          <w:u w:color="000000"/>
        </w:rPr>
      </w:pPr>
      <w:r w:rsidRPr="00357FBC">
        <w:rPr>
          <w:color w:val="000000"/>
          <w:position w:val="3"/>
          <w:u w:color="000000"/>
        </w:rPr>
        <w:t xml:space="preserve">Η προβλεπόμενη συνδρομή θα χορηγηθεί με τη μορφή δανείων και επιχορηγήσεων. Το σκέλος των δανείων θα χρηματοδοτηθεί μέσω δανειοληπτικής πράξης την οποία θα διενεργήσει η Επιτροπή για λογαριασμό της ΕΕ. Οι δημοσιονομικές επιπτώσεις της δανειακής συνδρομής θα αντιστοιχούν στην τροφοδότηση του Ταμείου Εγγυήσεων για εξωτερικές δράσεις της ΕΕ, σε ποσοστό 9% των εκταμιευόμενων ποσών, από τη γραμμή του προϋπολογισμού 01 03 06 («Τροφοδότηση του Ταμείου Εγγυήσεων»). Εάν υποτεθεί ότι οι δύο εκταμιεύσεις των δανείων (ύψους 15 εκατ. EUR για την πρώτη δόση και 20 εκατ. EUR για τη δεύτερη δόση) θα εκτελεστούν το 2018, η τροφοδότηση θα πραγματοποιηθεί στον προϋπολογισμό του 2020, σύμφωνα με τους κανόνες που διέπουν τον μηχανισμό του Ταμείου Εγγυήσεων, για ποσό ύψους 3,15 εκατ. EUR. </w:t>
      </w:r>
    </w:p>
    <w:p w:rsidR="008B4161" w:rsidRPr="00357FBC" w:rsidRDefault="008B4161" w:rsidP="008B4161">
      <w:pPr>
        <w:rPr>
          <w:rFonts w:eastAsia="Times New Roman"/>
          <w:color w:val="000000"/>
          <w:position w:val="3"/>
          <w:szCs w:val="20"/>
          <w:u w:color="000000"/>
        </w:rPr>
      </w:pPr>
      <w:r w:rsidRPr="00357FBC">
        <w:rPr>
          <w:color w:val="000000"/>
          <w:position w:val="3"/>
          <w:u w:color="000000"/>
        </w:rPr>
        <w:t>Η συνιστώσα επιχορήγησης της συνδρομής (10 εκατ. EUR συνολικά, ήτοι 5 εκατ. EUR για καθεμία από τις δύο δόσεις) θα χρηματοδοτηθεί από πιστώσεις αναλήψεων υποχρεώσεων του προϋπολογισμού του 2018 στη γραμμή του προϋπολογισμού 01 03 02 (μακροοικονομική χρηματοδοτική συνδρομή), και οι πληρωμές θα πραγματοποιηθούν επίσης το 2018</w:t>
      </w:r>
      <w:r w:rsidRPr="00357FBC">
        <w:rPr>
          <w:rStyle w:val="FootnoteReference"/>
        </w:rPr>
        <w:footnoteReference w:id="4"/>
      </w:r>
      <w:r w:rsidRPr="00357FBC">
        <w:t>.</w:t>
      </w:r>
      <w:r w:rsidRPr="00357FBC">
        <w:rPr>
          <w:color w:val="000000"/>
          <w:position w:val="3"/>
          <w:u w:color="000000"/>
        </w:rPr>
        <w:t xml:space="preserve"> </w:t>
      </w:r>
    </w:p>
    <w:p w:rsidR="008B4161" w:rsidRPr="00357FBC" w:rsidRDefault="008B4161" w:rsidP="008B4161">
      <w:pPr>
        <w:rPr>
          <w:position w:val="3"/>
          <w:highlight w:val="yellow"/>
          <w:u w:color="000000"/>
        </w:rPr>
      </w:pPr>
      <w:r w:rsidRPr="00357FBC">
        <w:rPr>
          <w:color w:val="000000"/>
          <w:position w:val="3"/>
          <w:u w:color="000000"/>
        </w:rPr>
        <w:t>Με βάση τις τρέχουσες προβλέψεις για τη χρησιμοποίηση των γραμμών του προϋπολογισμού 01 03 02 και 01 03 06, η Επιτροπή εκτιμά ότι οι δημοσιονομικές επιπτώσεις της προτεινόμενης πράξης ΜΧΣ για τη Γεωργία μπορούν να αντιμετωπιστούν.</w:t>
      </w:r>
    </w:p>
    <w:p w:rsidR="008B4161" w:rsidRPr="00357FBC" w:rsidRDefault="008B4161" w:rsidP="008B4161">
      <w:pPr>
        <w:pStyle w:val="ManualHeading1"/>
      </w:pPr>
      <w:r w:rsidRPr="00357FBC">
        <w:t>5.</w:t>
      </w:r>
      <w:r w:rsidRPr="00357FBC">
        <w:tab/>
        <w:t>ΛΟΙΠΑ ΣΤΟΙΧΕΙΑ</w:t>
      </w:r>
    </w:p>
    <w:p w:rsidR="008B4161" w:rsidRPr="00357FBC" w:rsidRDefault="008B4161" w:rsidP="008B4161">
      <w:pPr>
        <w:pStyle w:val="ManualHeading2"/>
      </w:pPr>
      <w:r w:rsidRPr="00357FBC">
        <w:t>•</w:t>
      </w:r>
      <w:r w:rsidRPr="00357FBC">
        <w:tab/>
        <w:t>Ρήτρα επανεξέτασης/αναθεώρησης/λήξης ισχύος</w:t>
      </w:r>
    </w:p>
    <w:p w:rsidR="008B4161" w:rsidRPr="00357FBC" w:rsidRDefault="008B4161" w:rsidP="008B4161">
      <w:pPr>
        <w:rPr>
          <w:rFonts w:eastAsia="Times New Roman"/>
          <w:color w:val="000000"/>
          <w:position w:val="3"/>
          <w:szCs w:val="20"/>
          <w:u w:color="000000"/>
        </w:rPr>
      </w:pPr>
      <w:r w:rsidRPr="00357FBC">
        <w:rPr>
          <w:color w:val="000000"/>
          <w:position w:val="3"/>
          <w:u w:color="000000"/>
        </w:rPr>
        <w:t>Η πρόταση περιλαμβάνει ρήτρα λήξης ισχύος. Η προτεινόμενη ΜΧΣ θα διατεθεί για δυόμισι έτη, αρχής γενομένης από την πρώτη ημέρα μετά την έναρξη ισχύος του μνημονίου συνεννόησης.</w:t>
      </w:r>
    </w:p>
    <w:p w:rsidR="008B4161" w:rsidRPr="00357FBC" w:rsidRDefault="008B4161" w:rsidP="008B4161">
      <w:pPr>
        <w:sectPr w:rsidR="008B4161" w:rsidRPr="00357FBC" w:rsidSect="001B6923">
          <w:footerReference w:type="default" r:id="rId16"/>
          <w:footerReference w:type="first" r:id="rId17"/>
          <w:pgSz w:w="11907" w:h="16839"/>
          <w:pgMar w:top="1134" w:right="1417" w:bottom="1134" w:left="1417" w:header="709" w:footer="709" w:gutter="0"/>
          <w:cols w:space="708"/>
          <w:docGrid w:linePitch="360"/>
        </w:sectPr>
      </w:pPr>
    </w:p>
    <w:p w:rsidR="00EA3BD5" w:rsidRDefault="001B6923" w:rsidP="001B6923">
      <w:pPr>
        <w:pStyle w:val="Rfrenceinterinstitutionnelle"/>
      </w:pPr>
      <w:r w:rsidRPr="001B6923">
        <w:t>2017/242 (COD)</w:t>
      </w:r>
    </w:p>
    <w:p w:rsidR="008B4161" w:rsidRPr="00357FBC" w:rsidRDefault="001B6923" w:rsidP="001B6923">
      <w:pPr>
        <w:pStyle w:val="Statut"/>
      </w:pPr>
      <w:r w:rsidRPr="001B6923">
        <w:t>Πρόταση</w:t>
      </w:r>
    </w:p>
    <w:p w:rsidR="008B4161" w:rsidRPr="00357FBC" w:rsidRDefault="001B6923" w:rsidP="001B6923">
      <w:pPr>
        <w:pStyle w:val="Typedudocument"/>
      </w:pPr>
      <w:r w:rsidRPr="001B6923">
        <w:t>ΑΠΟΦΑΣΗ ΤΟΥ ΕΥΡΩΠΑΪΚΟΥ ΚΟΙΝΟΒΟΥΛΙΟΥ ΚΑΙ ΤΟΥ ΣΥΜΒΟΥΛΙΟΥ</w:t>
      </w:r>
    </w:p>
    <w:p w:rsidR="008B4161" w:rsidRPr="00357FBC" w:rsidRDefault="001B6923" w:rsidP="001B6923">
      <w:pPr>
        <w:pStyle w:val="Titreobjet"/>
      </w:pPr>
      <w:r w:rsidRPr="001B6923">
        <w:t>για τη χορήγηση περαιτέρω μακροοικονομικής χρηματοδοτικής συνδρομής στη Γεωργία</w:t>
      </w:r>
    </w:p>
    <w:p w:rsidR="008B4161" w:rsidRPr="00357FBC" w:rsidRDefault="008B4161" w:rsidP="008B4161">
      <w:pPr>
        <w:pStyle w:val="Institutionquiagit"/>
      </w:pPr>
      <w:r w:rsidRPr="00357FBC">
        <w:t>ΤΟ ΕΥΡΩΠΑΪΚΟ ΚΟΙΝΟΒΟΥΛΙΟ ΚΑΙ ΤΟ ΣΥΜΒΟΥΛΙΟ ΤΗΣ ΕΥΡΩΠΑΪΚΗΣ ΕΝΩΣΗΣ,</w:t>
      </w:r>
    </w:p>
    <w:p w:rsidR="008B4161" w:rsidRPr="00357FBC" w:rsidRDefault="008B4161" w:rsidP="008B4161">
      <w:r w:rsidRPr="00357FBC">
        <w:t>Έχοντας υπόψη τη Συνθήκη για τη λειτουργία της Ευρωπαϊκής Ένωσης και ιδίως το άρθρο 212 παράγραφος 2,</w:t>
      </w:r>
    </w:p>
    <w:p w:rsidR="008B4161" w:rsidRPr="00357FBC" w:rsidRDefault="008B4161" w:rsidP="008B4161">
      <w:r w:rsidRPr="00357FBC">
        <w:t>Έχοντας υπόψη την πρόταση της Ευρωπαϊκής Επιτροπής</w:t>
      </w:r>
      <w:r w:rsidRPr="00357FBC">
        <w:rPr>
          <w:rStyle w:val="FootnoteReference"/>
        </w:rPr>
        <w:footnoteReference w:id="5"/>
      </w:r>
      <w:r w:rsidRPr="00357FBC">
        <w:t xml:space="preserve">, </w:t>
      </w:r>
    </w:p>
    <w:p w:rsidR="008B4161" w:rsidRPr="00357FBC" w:rsidRDefault="008B4161" w:rsidP="008B4161">
      <w:r w:rsidRPr="00357FBC">
        <w:t>Κατόπιν διαβίβασης του σχεδίου νομοθετικής πράξης στα εθνικά κοινοβούλια,</w:t>
      </w:r>
    </w:p>
    <w:p w:rsidR="008B4161" w:rsidRPr="00357FBC" w:rsidRDefault="008B4161" w:rsidP="008B4161">
      <w:r w:rsidRPr="00357FBC">
        <w:t>Αποφασίζοντας σύμφωνα με τη συνήθη νομοθετική διαδικασία</w:t>
      </w:r>
      <w:r w:rsidRPr="00357FBC">
        <w:rPr>
          <w:rStyle w:val="FootnoteReference"/>
        </w:rPr>
        <w:footnoteReference w:id="6"/>
      </w:r>
      <w:r w:rsidRPr="00357FBC">
        <w:t>,</w:t>
      </w:r>
    </w:p>
    <w:p w:rsidR="008B4161" w:rsidRPr="00357FBC" w:rsidRDefault="008B4161" w:rsidP="008B4161">
      <w:r w:rsidRPr="00357FBC">
        <w:t>Εκτιμώντας τα ακόλουθα:</w:t>
      </w:r>
    </w:p>
    <w:p w:rsidR="008B4161" w:rsidRPr="00357FBC" w:rsidRDefault="008B4161" w:rsidP="00DA1321">
      <w:pPr>
        <w:pStyle w:val="Considrant"/>
        <w:numPr>
          <w:ilvl w:val="0"/>
          <w:numId w:val="7"/>
        </w:numPr>
      </w:pPr>
      <w:r w:rsidRPr="00357FBC">
        <w:t>Οι σχέσεις μεταξύ της Ευρωπαϊκής Ένωσης (εφεξής «Ένωση») και της Γεωργίας εξακολουθούν να αναπτύσσονται εντός του πλαισίου της Ευρωπαϊκής Πολιτικής Γειτονίας (ΕΠΓ) και της Ανατολικής Εταιρικής Σχέσης. Η Γεωργία προσχώρησε στην Ανατολική Εταιρική Σχέση της ΕΕ το 2009 και ακολούθησαν οι διαπραγματεύσεις για μια Συμφωνία Σύνδεσης ΕΕ-Γεωργίας. Η συμφωνία αυτή, η οποία περιλαμβάνει τη σταδιακή εφαρμογή μιας εκτενούς και ολοκληρωμένης ζώνης ελεύθερων συναλλαγών (DCFTA), υπογράφηκε τον Ιούνιο του 2014 και τέθηκε σε ισχύ την 1η Ιουλίου 2016.</w:t>
      </w:r>
    </w:p>
    <w:p w:rsidR="008B4161" w:rsidRPr="00357FBC" w:rsidRDefault="008B4161" w:rsidP="00DA1321">
      <w:pPr>
        <w:pStyle w:val="Considrant"/>
        <w:numPr>
          <w:ilvl w:val="0"/>
          <w:numId w:val="7"/>
        </w:numPr>
      </w:pPr>
      <w:r w:rsidRPr="00357FBC">
        <w:t>Η Γεωργία εξακολουθεί να βρίσκεται αντιμέτωπη με δυσμενή εξωτερική συγκυρία, η οποία οδήγησε, μέσω της μείωσης των εξαγωγών και των εμβασμάτων, σε σχετικά χαμηλή αύξηση του ΑΕΠ το 2016. Παρότι η περιφερειακή και παγκόσμια ανάπτυξη αναμένεται να αυξηθεί το 2017, θα εξακολουθήσει να υπόκειται σε κινδύνους δυσμενών εξελίξεων.</w:t>
      </w:r>
    </w:p>
    <w:p w:rsidR="008B4161" w:rsidRPr="00357FBC" w:rsidRDefault="008B4161" w:rsidP="00DA1321">
      <w:pPr>
        <w:pStyle w:val="Considrant"/>
        <w:numPr>
          <w:ilvl w:val="0"/>
          <w:numId w:val="7"/>
        </w:numPr>
      </w:pPr>
      <w:r w:rsidRPr="00357FBC">
        <w:t xml:space="preserve">Το δημοσιονομικό έλλειμμα της Γεωργίας παραμένει σημαντικό και ο δείκτης του δημόσιου χρέους προς το ΑΕΠ της χώρας καταγράφει αύξηση. Η κατάσταση του ισοζυγίου πληρωμών της Γεωργίας παραμένει επίσης ευάλωτη λόγω του πολύ μεγάλου ελλείμματος του ισοζυγίου τρεχουσών συναλλαγών και του υψηλού εξωτερικού χρέους. Τα συναλλαγματικά αποθέματα της Γεωργίας έχουν παραμείνει σταθερά σε απόλυτους όρους, ωστόσο – δεδομένων των αυξανόμενων αναγκών σε συναλλαγματικά αποθέματα – βρίσκονται κάτω από το επίπεδο που εκτιμάται ως επαρκές από το Διεθνές Νομισματικό Ταμείο (ΔΝΤ). Η Γεωργία συνεχίζει επίσης τη διαδικασία προσαρμογής της στις απαιτήσεις της DCFTA με την Ένωση. </w:t>
      </w:r>
    </w:p>
    <w:p w:rsidR="008B4161" w:rsidRPr="00357FBC" w:rsidRDefault="008B4161" w:rsidP="00DA1321">
      <w:pPr>
        <w:pStyle w:val="Considrant"/>
        <w:numPr>
          <w:ilvl w:val="0"/>
          <w:numId w:val="7"/>
        </w:numPr>
      </w:pPr>
      <w:r w:rsidRPr="00357FBC">
        <w:t>Σε αυτό το πλαίσιο, οι αρχές της Γεωργίας και το ΔΝΤ σύναψαν, τον Απρίλιο του 2017, τριετή (2017-2020) συμφωνία διευρυμένης χρηματοδοτικής διευκόλυνσης (EFF) ύψους 285,3 εκατ. USD. Η συμφωνία αυτή εγκρίθηκε από το Εκτελεστικό Συμβούλιο του ΔΝΤ στις 12 Απριλίου 2017. Ο στόχος της συμφωνίας διευρυμένης χρηματοδοτικής διευκόλυνσης είναι η στήριξη ενός προγράμματος οικονομικής μεταρρύθμισης που θα βοηθήσει τη Γεωργία να μειώσει τις οικονομικές ευπάθειες και να προωθήσει υψηλότερη και χωρίς αποκλεισμούς οικονομική ανάπτυξη.</w:t>
      </w:r>
    </w:p>
    <w:p w:rsidR="008B4161" w:rsidRPr="00357FBC" w:rsidRDefault="008B4161" w:rsidP="00DA1321">
      <w:pPr>
        <w:pStyle w:val="Considrant"/>
        <w:numPr>
          <w:ilvl w:val="0"/>
          <w:numId w:val="7"/>
        </w:numPr>
      </w:pPr>
      <w:r w:rsidRPr="00357FBC">
        <w:t xml:space="preserve">Βάσει των υπολειπόμενων εξωτερικών χρηματοδοτικών αναγκών της Γεωργίας, οι αρχές της χώρας ζήτησαν συμπληρωματική μακροοικονομική χρηματοδοτική συνδρομή από την Ένωση τον Ιούνιο του 2017. </w:t>
      </w:r>
    </w:p>
    <w:p w:rsidR="008B4161" w:rsidRPr="00357FBC" w:rsidRDefault="008B4161" w:rsidP="00DA1321">
      <w:pPr>
        <w:pStyle w:val="Considrant"/>
        <w:numPr>
          <w:ilvl w:val="0"/>
          <w:numId w:val="7"/>
        </w:numPr>
      </w:pPr>
      <w:r w:rsidRPr="00357FBC">
        <w:t>Έπειτα από τη στρατιωτική σύγκρουση με τη Ρωσία τον Αύγουστο του 2008, η Γεωργία επωφελήθηκε από δύο πράξεις ΜΧΣ, για τις οποίες δεσμεύτηκε η Ένωση στη διεθνή διάσκεψη δωρητών που πραγματοποιήθηκε στις Βρυξέλλες τον Οκτώβριο του 2008. Η πρώτη από τις εν λόγω πράξεις (46 εκατ. EUR, εξ ολοκλήρου υπό μορφή επιχορηγήσεων) υλοποιήθηκε την περίοδο 2009-2010 και η δεύτερη (επίσης 46 εκατ. EUR, κατά το ήμισυ υπό μορφή επιχορηγήσεων και το υπόλοιπο υπό μορφή δανείων) υλοποιήθηκε την περίοδο 2015-2017. Η Ένωση έχει διαθέσει επίσης στη Γεωργία 610-746 εκατ. EUR στο πλαίσιο του Ευρωπαϊκού Μηχανισμού Γειτονίας (ΕΜΓ) για την περίοδο 2014-2020, συμπεριλαμβανομένης δημοσιονομικής στήριξης και τεχνικής βοήθειας. Επιπλέον, η Γεωργία επωφελείται από το Ταμείο Επενδύσεων Γειτονίας (NIF), το οποίο συνεισέφερε περίπου 86 εκατ. EUR σε έργα στη Γεωργία κατά την περίοδο 2008-2017.</w:t>
      </w:r>
    </w:p>
    <w:p w:rsidR="008B4161" w:rsidRPr="00357FBC" w:rsidRDefault="008B4161" w:rsidP="008B4161">
      <w:pPr>
        <w:pStyle w:val="Considrant"/>
      </w:pPr>
      <w:r w:rsidRPr="00357FBC">
        <w:t>Δεδομένου ότι η Γεωργία είναι χώρα που καλύπτεται από την ΕΠΓ, θα πρέπει να θεωρείται επιλέξιμη για να λάβει μακροοικονομική χρηματοδοτική συνδρομή από την Ένωση.</w:t>
      </w:r>
    </w:p>
    <w:p w:rsidR="008B4161" w:rsidRPr="00357FBC" w:rsidRDefault="008B4161" w:rsidP="008B4161">
      <w:pPr>
        <w:pStyle w:val="Considrant"/>
      </w:pPr>
      <w:r w:rsidRPr="00357FBC">
        <w:t>Η μακροοικονομική χρηματοδοτική συνδρομή της Ένωσης θα πρέπει να συνιστά έκτακτο χρηματοδοτικό μέσο χορηγούμενης άνευ όρων και χωρίς ειδικό σκοπό στήριξης του ισοζυγίου πληρωμών, το οποίο αποσκοπεί στην αντιμετώπιση των άμεσων αναγκών εξωτερικής χρηματοδότησης του δικαιούχου και θα πρέπει να στηρίζει την εφαρμογή προγράμματος πολιτικής που περιλαμβάνει σοβαρά και άμεσα μέτρα προσαρμογής και διαρθρωτικής μεταρρύθμισης, με σκοπό τη βελτίωση της κατάστασης του ισοζυγίου πληρωμών βραχυπρόθεσμα.</w:t>
      </w:r>
    </w:p>
    <w:p w:rsidR="008B4161" w:rsidRPr="00357FBC" w:rsidRDefault="008B4161" w:rsidP="008B4161">
      <w:pPr>
        <w:pStyle w:val="Considrant"/>
      </w:pPr>
      <w:r w:rsidRPr="00357FBC">
        <w:t>Δεδομένου ότι εξακολουθεί να υπάρχει σημαντικό υπολειπόμενο κενό εξωτερικής χρηματοδότησης στο ισοζύγιο πληρωμών της Γεωργίας, υψηλότερο από τους πόρους που χορηγούν το ΔΝΤ και άλλοι πολυμερείς οργανισμοί, η μακροοικονομική χρηματοδοτική συνδρομή της Ένωσης προς τη Γεωργία, υπό τις τρέχουσες έκτακτες περιστάσεις, θεωρείται κατάλληλη απόκριση στο αίτημα της Γεωργίας για στήριξη της οικονομικής σταθεροποίησής της σε συνδυασμό με το πρόγραμμα του ΔΝΤ. Η μακροοικονομική χρηματοδοτική συνδρομή της Ένωσης θα στηρίξει την οικονομική σταθεροποίηση και το πρόγραμμα διαρθρωτικών μεταρρυθμίσεων της Γεωργίας, συμπληρώνοντας τους πόρους που διατίθενται στο πλαίσιο των χρηματοδοτικών ρυθμίσεων του ΔΝΤ.</w:t>
      </w:r>
    </w:p>
    <w:p w:rsidR="008B4161" w:rsidRPr="00357FBC" w:rsidRDefault="008B4161" w:rsidP="008B4161">
      <w:pPr>
        <w:pStyle w:val="Considrant"/>
      </w:pPr>
      <w:r w:rsidRPr="00357FBC">
        <w:t>Η μακροοικονομική χρηματοδοτική συνδρομή της Ένωσης θα πρέπει να αποσκοπεί στην αποκατάσταση μιας βιώσιμης κατάστασης εξωτερικής χρηματοδότησης για τη Γεωργία στηρίζοντας με τον τρόπο αυτό την οικονομική και κοινωνική ανάπτυξή της.</w:t>
      </w:r>
    </w:p>
    <w:p w:rsidR="008B4161" w:rsidRPr="00357FBC" w:rsidRDefault="008B4161" w:rsidP="008B4161">
      <w:pPr>
        <w:pStyle w:val="Considrant"/>
      </w:pPr>
      <w:r w:rsidRPr="00357FBC">
        <w:t xml:space="preserve">Ο προσδιορισμός του ποσού της μακροοικονομικής χρηματοδοτικής συνδρομής της Ένωσης βασίζεται σε μια ολοκληρωμένη ποσοτική εκτίμηση των υπολειπόμενων εξωτερικών χρηματοδοτικών αναγκών της Γεωργίας και λαμβάνει υπόψη την ικανότητά της για αυτοχρηματοδότηση μέσω ιδίων πόρων, και ιδίως μέσω των διεθνών συναλλαγματικών αποθεμάτων που διαθέτει. Η μακροοικονομική χρηματοδοτική συνδρομή της Ένωσης θα πρέπει να συμπληρώνει τα προγράμματα και τους πόρους που χορηγούν το ΔΝΤ και η Παγκόσμια Τράπεζα. Κατά τον καθορισμό του ποσού της συνδρομής λαμβάνονται επίσης υπόψη οι αναμενόμενες χρηματοδοτικές συνεισφορές διμερών και πολυμερών χορηγών και η ανάγκη να διασφαλιστεί δίκαιη κατανομή των βαρών μεταξύ της Ένωσης και των άλλων χορηγών, καθώς και η προϋπάρχουσα διάθεση εκ μέρους της Ένωσης άλλων μέσων εξωτερικής χρηματοδότησης στη Γεωργία και η προστιθέμενη αξία της συνολικής συμμετοχής της Ένωσης. </w:t>
      </w:r>
    </w:p>
    <w:p w:rsidR="008B4161" w:rsidRPr="00357FBC" w:rsidRDefault="008B4161" w:rsidP="008B4161">
      <w:pPr>
        <w:pStyle w:val="Considrant"/>
        <w:rPr>
          <w:szCs w:val="24"/>
        </w:rPr>
      </w:pPr>
      <w:r w:rsidRPr="00357FBC">
        <w:rPr>
          <w:color w:val="000000"/>
        </w:rPr>
        <w:t xml:space="preserve">Λαμβανομένων υπόψη των υπολειπόμενων εξωτερικών χρηματοδοτικών αναγκών </w:t>
      </w:r>
      <w:r w:rsidRPr="00357FBC">
        <w:t>της Γεωργίας,</w:t>
      </w:r>
      <w:r w:rsidRPr="00357FBC">
        <w:rPr>
          <w:color w:val="000000"/>
        </w:rPr>
        <w:t xml:space="preserve"> του επιπέδου οικονομικής και κοινωνικής ανάπτυξής της, όπως μετράται με βάση το κατά κεφαλήν εισόδημα και </w:t>
      </w:r>
      <w:r w:rsidRPr="00357FBC">
        <w:t>το ποσοστό φτώχειας</w:t>
      </w:r>
      <w:r w:rsidRPr="00357FBC">
        <w:rPr>
          <w:color w:val="000000"/>
        </w:rPr>
        <w:t>, καθώς και του επιπέδου χρέους της χώρας, μέρος της συνδρομής θα πρέπει να παρασχεθεί υπό μορφή επιχορηγήσεων.</w:t>
      </w:r>
    </w:p>
    <w:p w:rsidR="008B4161" w:rsidRPr="00357FBC" w:rsidRDefault="008B4161" w:rsidP="008B4161">
      <w:pPr>
        <w:pStyle w:val="Considrant"/>
      </w:pPr>
      <w:r w:rsidRPr="00357FBC">
        <w:t>Η Επιτροπή θα πρέπει να μεριμνήσει ώστε η μακροοικονομική χρηματοδοτική συνδρομή της Ένωσης να συμπλέει νομικά και ουσιαστικά με τις βασικές αρχές, τους στόχους και τα μέτρα που λαμβάνονται στους διάφορους τομείς της εξωτερικής δράσης και τις άλλες συναφείς πολιτικές της Ένωσης.</w:t>
      </w:r>
    </w:p>
    <w:p w:rsidR="008B4161" w:rsidRPr="00357FBC" w:rsidRDefault="008B4161" w:rsidP="008B4161">
      <w:pPr>
        <w:pStyle w:val="Considrant"/>
      </w:pPr>
      <w:r w:rsidRPr="00357FBC">
        <w:t>Η μακροοικονομική χρηματοδοτική συνδρομή της Ένωσης θα πρέπει να στηρίξει την εξωτερική πολιτική της έναντι της Γεωργίας. Οι υπηρεσίες της Επιτροπής και η Ευρωπαϊκή Υπηρεσία Εξωτερικής Δράσης θα πρέπει να συνεργάζονται στενά σε όλη τη διάρκεια της επιχείρησης μακροοικονομικής χρηματοδοτικής συνδρομής για τον συντονισμό και την εξασφάλιση της συνοχής της εξωτερικής πολιτικής της Ένωσης.</w:t>
      </w:r>
    </w:p>
    <w:p w:rsidR="008B4161" w:rsidRPr="00357FBC" w:rsidRDefault="008B4161" w:rsidP="008B4161">
      <w:pPr>
        <w:pStyle w:val="Considrant"/>
      </w:pPr>
      <w:r w:rsidRPr="00357FBC">
        <w:t>Η μακροοικονομική χρηματοδοτική συνδρομή της Ένωσης θα πρέπει να στηρίζει την προσήλωση της Γεωργίας στις κοινές με την Ένωση αξίες, στις οποίες περιλαμβάνονται η δημοκρατία, το κράτος δικαίου, η χρηστή διακυβέρνηση, ο σεβασμός των ανθρωπίνων δικαιωμάτων, η βιώσιμη ανάπτυξη και η μείωση της φτώχειας, καθώς και την προσήλωσή της στις αρχές του ελεύθερου και θεμιτού εμπορίου που ασκείται βάσει κανόνων.</w:t>
      </w:r>
    </w:p>
    <w:p w:rsidR="008B4161" w:rsidRPr="00357FBC" w:rsidRDefault="008B4161" w:rsidP="008B4161">
      <w:pPr>
        <w:pStyle w:val="Considrant"/>
      </w:pPr>
      <w:r w:rsidRPr="00357FBC">
        <w:t>Προϋπόθεση για τη χορήγηση της μακροοικονομικής χρηματοδοτικής συνδρομής της Ένωσης θα πρέπει να είναι ο σεβασμός, εκ μέρους της Γεωργίας, των ουσιαστικών θεσμών της δημοκρατίας –συμπεριλαμβανομένου του πολυκομματικού κοινοβουλευτικού συστήματος– και του κράτους δικαίου και η εγγύηση του σεβασμού των ανθρωπίνων δικαιωμάτων. Επιπλέον, οι ειδικοί στόχοι της μακροοικονομικής χρηματοδοτικής συνδρομής της Ένωσης θα πρέπει να αφορούν την ενίσχυση της αποτελεσματικότητας, της διαφάνειας και της λογοδοσίας των συστημάτων διαχείρισης των δημόσιων οικονομικών στη Γεωργία και να προωθούν τις διαρθρωτικές μεταρρυθμίσεις που σκοπό έχουν να στηρίξουν τη βιώσιμη και χωρίς αποκλεισμούς ανάπτυξη, τη δημιουργία θέσεων εργασίας και τη δημοσιονομική εξυγίανση. Τόσο η εκπλήρωση των προϋποθέσεων όσο και η επίτευξη των στόχων αυτών θα πρέπει να παρακολουθούνται τακτικά από την Επιτροπή και την Ευρωπαϊκή Υπηρεσία Εξωτερικής Δράσης.</w:t>
      </w:r>
    </w:p>
    <w:p w:rsidR="008B4161" w:rsidRPr="00357FBC" w:rsidRDefault="008B4161" w:rsidP="008B4161">
      <w:pPr>
        <w:pStyle w:val="Considrant"/>
      </w:pPr>
      <w:r w:rsidRPr="00357FBC">
        <w:t>Για να διασφαλιστεί η αποτελεσματική προστασία των οικονομικών συμφερόντων της Ένωσης που συνδέονται με τη μακροοικονομική χρηματοδοτική συνδρομή της, η Γεωργία θα πρέπει να λάβει τα κατάλληλα μέτρα για την πρόληψη και την καταπολέμηση της απάτης, της διαφθοράς και οποιωνδήποτε άλλων παρατυπιών που συνδέονται με τη συνδρομή. Επιπλέον, θα πρέπει να προβλεφθεί ότι η Επιτροπή θα διενεργεί ελέγχους ενώ το Ελεγκτικό Συνέδριο θα διενεργεί ελέγχους.</w:t>
      </w:r>
    </w:p>
    <w:p w:rsidR="008B4161" w:rsidRPr="00357FBC" w:rsidRDefault="008B4161" w:rsidP="008B4161">
      <w:pPr>
        <w:pStyle w:val="Considrant"/>
      </w:pPr>
      <w:r w:rsidRPr="00357FBC">
        <w:t xml:space="preserve">Η αποδέσμευση της μακροοικονομικής χρηματοδοτικής συνδρομής της Ένωσης δεν θίγει τις εξουσίες του Ευρωπαϊκού Κοινοβουλίου και του Συμβουλίου (ως αρμόδιας για τον προϋπολογισμό αρχής). </w:t>
      </w:r>
    </w:p>
    <w:p w:rsidR="008B4161" w:rsidRPr="00357FBC" w:rsidRDefault="008B4161" w:rsidP="008B4161">
      <w:pPr>
        <w:pStyle w:val="Considrant"/>
        <w:rPr>
          <w:szCs w:val="24"/>
        </w:rPr>
      </w:pPr>
      <w:r w:rsidRPr="00357FBC">
        <w:rPr>
          <w:color w:val="000000"/>
        </w:rPr>
        <w:t>Τα ποσά της μακροοικονομικής χρηματοδοτικής συνδρομής που χορηγούνται υπό μορφή επιχορηγήσεων και τα ποσά της μακροοικονομικής χρηματοδοτικής συνδρομής που χορηγούνται υπό μορφή δανείου θα πρέπει να είναι σύμφωνα με τις πιστώσεις του προϋπολογισμού που προβλέπονται στο πολυετές δημοσιονομικό πλαίσιο.</w:t>
      </w:r>
    </w:p>
    <w:p w:rsidR="008B4161" w:rsidRPr="00357FBC" w:rsidRDefault="008B4161" w:rsidP="008B4161">
      <w:pPr>
        <w:pStyle w:val="Considrant"/>
      </w:pPr>
      <w:r w:rsidRPr="00357FBC">
        <w:t>Η μακροοικονομική χρηματοδοτική συνδρομή της Ένωσης θα πρέπει να τελεί υπό τη διαχείριση της Επιτροπής. Για να εξασφαλιστεί η δυνατότητα του Ευρωπαϊκού Κοινοβουλίου και του Συμβουλίου να παρακολουθούν την εφαρμογή της παρούσας απόφασης, η Επιτροπή θα πρέπει να τα ενημερώνει τακτικά για τις εξελίξεις που αφορούν τη συνδρομή και να τους παρέχει τα σχετικά έγγραφα.</w:t>
      </w:r>
    </w:p>
    <w:p w:rsidR="008B4161" w:rsidRPr="00357FBC" w:rsidRDefault="008B4161" w:rsidP="008B4161">
      <w:pPr>
        <w:pStyle w:val="Considrant"/>
      </w:pPr>
      <w:r w:rsidRPr="00357FBC">
        <w:t>Προκειμένου να διασφαλιστούν ενιαίοι όροι για την εφαρμογή της παρούσας απόφασης, θα πρέπει να ανατεθούν εκτελεστικές εξουσίες στην Επιτροπή. Οι εν λόγω εξουσίες θα πρέπει να ασκούνται σύμφωνα με τον κανονισμό (ΕΕ) αριθ. 182/2011 του Ευρωπαϊκού Κοινοβουλίου και του Συμβουλίου</w:t>
      </w:r>
      <w:r w:rsidRPr="00357FBC">
        <w:rPr>
          <w:rStyle w:val="FootnoteReference"/>
        </w:rPr>
        <w:footnoteReference w:id="7"/>
      </w:r>
      <w:r w:rsidRPr="00357FBC">
        <w:t>.</w:t>
      </w:r>
    </w:p>
    <w:p w:rsidR="008B4161" w:rsidRPr="00357FBC" w:rsidRDefault="008B4161" w:rsidP="008B4161">
      <w:pPr>
        <w:pStyle w:val="Considrant"/>
      </w:pPr>
      <w:r w:rsidRPr="00357FBC">
        <w:t>Η μακροοικονομική χρηματοδοτική συνδρομή της Ένωσης θα πρέπει να υπόκειται σε όρους οικονομικής πολιτικής που θα καθοριστούν σε μνημόνιο συνεννόησης. Προκειμένου να εξασφαλιστούν ενιαίοι όροι εφαρμογής και για λόγους αποτελεσματικότητας, η Επιτροπή θα πρέπει να εξουσιοδοτηθεί να διαπραγματευτεί τους εν λόγω όρους με τις αρχές της Γεωργίας υπό την εποπτεία της επιτροπής των αντιπροσώπων των κρατών μελών δυνάμει του κανονισμού (ΕΕ) αριθ. 182/2011. Δυνάμει του εν λόγω κανονισμού, η συμβουλευτική διαδικασία θα πρέπει κατά γενικό κανόνα να εφαρμόζεται σε όλες τις περιπτώσεις εκτός από αυτές που προβλέπονται στον εν λόγω κανονισμό. Λαμβανομένων υπόψη των δυνητικά σημαντικών επιπτώσεων συνδρομής άνω των 90 εκατ. EUR, είναι σκόπιμο να χρησιμοποιηθεί η διαδικασία εξέτασης για πράξεις που υπερβαίνουν το εν λόγω κατώτατο όριο. Λαμβανομένου υπόψη του ποσού της μακροοικονομικής χρηματοδοτικής συνδρομής της Ένωσης στη Γεωργία, θα πρέπει να εφαρμοστεί η συμβουλευτική διαδικασία για την έγκριση του μνημονίου συνεννόησης και για τυχόν μείωση, αναστολή ή ακύρωση της συνδρομής,</w:t>
      </w:r>
    </w:p>
    <w:p w:rsidR="008B4161" w:rsidRPr="00357FBC" w:rsidRDefault="008B4161" w:rsidP="008B4161">
      <w:pPr>
        <w:pStyle w:val="Formuledadoption"/>
      </w:pPr>
      <w:r w:rsidRPr="00357FBC">
        <w:t>ΕΞΕΔΩΣΕ ΤΗΝ ΠΑΡΟΥΣΑ ΑΠΟΦΑΣΗ:</w:t>
      </w:r>
    </w:p>
    <w:p w:rsidR="008B4161" w:rsidRPr="00357FBC" w:rsidRDefault="008B4161" w:rsidP="008B4161">
      <w:pPr>
        <w:keepNext/>
        <w:spacing w:before="360"/>
        <w:jc w:val="center"/>
        <w:rPr>
          <w:i/>
        </w:rPr>
      </w:pPr>
      <w:r w:rsidRPr="00357FBC">
        <w:rPr>
          <w:i/>
        </w:rPr>
        <w:t>Άρθρο 1</w:t>
      </w:r>
    </w:p>
    <w:p w:rsidR="008B4161" w:rsidRPr="00357FBC" w:rsidRDefault="008B4161" w:rsidP="008B4161">
      <w:r w:rsidRPr="00357FBC">
        <w:t>1.</w:t>
      </w:r>
      <w:r w:rsidRPr="00357FBC">
        <w:tab/>
        <w:t xml:space="preserve">Η Ένωση χορηγεί μακροοικονομική χρηματοδοτική συνδρομή ανώτατου ποσού 45 εκατ. EUR στη Γεωργία («μακροοικονομική χρηματοδοτική συνδρομή της Ένωσης»), με σκοπό τη στήριξη της οικονομικής σταθεροποίησης και ενός ουσιαστικού προγράμματος μεταρρυθμίσεων στη Γεωργία. Από αυτό το ανώτατο ποσό, έως 35 εκατ. EUR θα διατεθούν με τη μορφή δανείων και έως 10 εκατ. EUR με τη μορφή επιχορηγήσεων. Η αποδέσμευση της μακροοικονομικής χρηματοδοτικής συνδρομής της Ένωσης εξαρτάται από την έγκριση του προϋπολογισμού της Ένωσης για το σχετικό έτος από το Ευρωπαϊκό Κοινοβούλιο και το Συμβούλιο. Η χρηματοδοτική συνδρομή συμβάλλει στην κάλυψη των αναγκών που σχετίζονται με το ισοζύγιο πληρωμών της Γεωργίας, όπως αυτές προσδιορίζονται στο πρόγραμμα του ΔΝΤ. </w:t>
      </w:r>
    </w:p>
    <w:p w:rsidR="008B4161" w:rsidRPr="00357FBC" w:rsidRDefault="008B4161" w:rsidP="008B4161">
      <w:r w:rsidRPr="00357FBC">
        <w:t>2.</w:t>
      </w:r>
      <w:r w:rsidRPr="00357FBC">
        <w:tab/>
        <w:t>Για τη χρηματοδότηση της δανειακής συνιστώσας της μακροοικονομικής χρηματοδοτικής συνδρομής της Ένωσης, η Επιτροπή εξουσιοδοτείται εξ ονόματος της Ένωσης να δανείζεται τα αναγκαία κεφάλαια από τις κεφαλαιαγορές ή από χρηματοπιστωτικούς οργανισμούς και να τα δανείζει στη Γεωργία. Τα δάνεια έχουν μέγιστη μέση διάρκεια 15 ετών.</w:t>
      </w:r>
    </w:p>
    <w:p w:rsidR="008B4161" w:rsidRPr="00357FBC" w:rsidRDefault="008B4161" w:rsidP="008B4161">
      <w:r w:rsidRPr="00357FBC">
        <w:t>3.</w:t>
      </w:r>
      <w:r w:rsidRPr="00357FBC">
        <w:tab/>
        <w:t>Η Επιτροπή διαχειρίζεται την αποδέσμευση της μακροοικονομικής χρηματοδοτικής συνδρομής της Ένωσης κατά τρόπο συνεπή προς τις συμφωνίες ή τις συνεννοήσεις μεταξύ του Διεθνούς Νομισματικού Ταμείου (ΔΝΤ) και της Γεωργίας και προς τις βασικές αξίες και τους στόχους των οικονομικών μεταρρυθμίσεων που ορίζονται στη Συμφωνία Σύνδεσης ΕΕ- Γεωργίας, συμπεριλαμβανομένης της DCFTA, που συμφωνήθηκε στο πλαίσιο της Ευρωπαϊκής Πολιτικής Γειτονίας (ΕΠΓ).</w:t>
      </w:r>
    </w:p>
    <w:p w:rsidR="008B4161" w:rsidRPr="00357FBC" w:rsidRDefault="008B4161" w:rsidP="008B4161">
      <w:r w:rsidRPr="00357FBC">
        <w:t>Η Επιτροπή ενημερώνει τακτικά το Ευρωπαϊκό Κοινοβούλιο και το Συμβούλιο για τις εξελίξεις που αφορούν τη μακροοικονομική χρηματοδοτική συνδρομή της Ένωσης, συμπεριλαμβανομένων των σχετικών εκταμιεύσεων και διαβιβάζει τα σχετικά έγγραφα στα εν λόγω όργανα εγκαίρως.</w:t>
      </w:r>
    </w:p>
    <w:p w:rsidR="008B4161" w:rsidRPr="00357FBC" w:rsidRDefault="008B4161" w:rsidP="008B4161">
      <w:r w:rsidRPr="00357FBC">
        <w:t>4.</w:t>
      </w:r>
      <w:r w:rsidRPr="00357FBC">
        <w:tab/>
        <w:t>Η μακροοικονομική χρηματοδοτική συνδρομή της Ένωσης διατίθεται για περίοδο δυόμισι ετών, αρχής γενομένης από την πρώτη ημέρα μετά την έναρξη ισχύος του μνημονίου συμφωνίας που αναφέρεται στο άρθρο 3 παράγραφος 1.</w:t>
      </w:r>
    </w:p>
    <w:p w:rsidR="008B4161" w:rsidRPr="00357FBC" w:rsidRDefault="008B4161" w:rsidP="008B4161">
      <w:r w:rsidRPr="00357FBC">
        <w:t>5.</w:t>
      </w:r>
      <w:r w:rsidRPr="00357FBC">
        <w:tab/>
        <w:t>Εάν οι ανάγκες χρηματοδότησης της Γεωργίας μειωθούν σημαντικά κατά την περίοδο εκταμίευσης της μακροοικονομικής χρηματοδοτικής συνδρομής της Ένωσης σε σύγκριση με τις αρχικές προβλέψεις, η Επιτροπή, ενεργώντας σύμφωνα με τη συμβουλευτική διαδικασία του άρθρου 7 παράγραφος 2, μειώνει το ποσό της συνδρομής ή την αναστέλλει ή την ακυρώνει.</w:t>
      </w:r>
    </w:p>
    <w:p w:rsidR="008B4161" w:rsidRPr="00357FBC" w:rsidRDefault="008B4161" w:rsidP="008B4161">
      <w:pPr>
        <w:keepNext/>
        <w:spacing w:before="360"/>
        <w:jc w:val="center"/>
        <w:rPr>
          <w:i/>
        </w:rPr>
      </w:pPr>
      <w:r w:rsidRPr="00357FBC">
        <w:rPr>
          <w:i/>
        </w:rPr>
        <w:t>Άρθρο 2</w:t>
      </w:r>
    </w:p>
    <w:p w:rsidR="008B4161" w:rsidRPr="00357FBC" w:rsidRDefault="008B4161" w:rsidP="008B4161">
      <w:r w:rsidRPr="00357FBC">
        <w:t>1.</w:t>
      </w:r>
      <w:r w:rsidRPr="00357FBC">
        <w:tab/>
        <w:t>Προϋπόθεση για τη χορήγηση της μακροοικονομικής χρηματοδοτικής συνδρομής της Ένωσης είναι ο σεβασμός, εκ μέρους της Γεωργίας, των ουσιαστικών θεσμών της δημοκρατίας –συμπεριλαμβανομένου του πολυκομματικού κοινοβουλευτικού συστήματος– και του κράτους δικαίου και η εγγύηση του σεβασμού των ανθρωπίνων δικαιωμάτων.</w:t>
      </w:r>
    </w:p>
    <w:p w:rsidR="008B4161" w:rsidRPr="00357FBC" w:rsidRDefault="008B4161" w:rsidP="008B4161">
      <w:r w:rsidRPr="00357FBC">
        <w:t>2.</w:t>
      </w:r>
      <w:r w:rsidRPr="00357FBC">
        <w:tab/>
        <w:t xml:space="preserve">Η Επιτροπή και η Ευρωπαϊκή Υπηρεσία Εξωτερικής Δράσης παρακολουθούν την τήρηση αυτής της προϋπόθεσης καθ’ όλη τη διάρκεια ισχύος της μακροοικονομικής χρηματοδοτικής συνδρομής της Ένωσης. </w:t>
      </w:r>
    </w:p>
    <w:p w:rsidR="008B4161" w:rsidRPr="00357FBC" w:rsidRDefault="008B4161" w:rsidP="008B4161">
      <w:r w:rsidRPr="00357FBC">
        <w:t>3.</w:t>
      </w:r>
      <w:r w:rsidRPr="00357FBC">
        <w:tab/>
        <w:t>Οι παράγραφοι 1 και 2 του παρόντος άρθρου εφαρμόζονται σύμφωνα με την απόφαση 2010/427/ΕΕ του Συμβουλίου</w:t>
      </w:r>
      <w:r w:rsidRPr="00357FBC">
        <w:rPr>
          <w:rStyle w:val="FootnoteReference"/>
        </w:rPr>
        <w:footnoteReference w:id="8"/>
      </w:r>
      <w:r w:rsidRPr="00357FBC">
        <w:t>.</w:t>
      </w:r>
    </w:p>
    <w:p w:rsidR="008B4161" w:rsidRPr="00357FBC" w:rsidRDefault="008B4161" w:rsidP="008B4161">
      <w:pPr>
        <w:keepNext/>
        <w:spacing w:before="360"/>
        <w:jc w:val="center"/>
        <w:rPr>
          <w:i/>
        </w:rPr>
      </w:pPr>
      <w:r w:rsidRPr="00357FBC">
        <w:rPr>
          <w:i/>
        </w:rPr>
        <w:t>Άρθρο 3</w:t>
      </w:r>
    </w:p>
    <w:p w:rsidR="008B4161" w:rsidRPr="00357FBC" w:rsidRDefault="008B4161" w:rsidP="008B4161">
      <w:r w:rsidRPr="00357FBC">
        <w:t>1.</w:t>
      </w:r>
      <w:r w:rsidRPr="00357FBC">
        <w:tab/>
        <w:t xml:space="preserve">Η Επιτροπή, σύμφωνα με τη συμβουλευτική διαδικασία του άρθρου 7 παράγραφος 2, συμφωνεί με τις αρχές της Γεωργίας σαφώς καθορισμένους όρους οικονομικής πολιτικής και χρηματοδοτικούς όρους, εστιάζοντας στις διαρθρωτικές μεταρρυθμίσεις και στην εξυγίανση των δημόσιων οικονομικών, στους οποίους υπόκειται η μακροοικονομική χρηματοδοτική συνδρομή της Ένωσης και οι οποίοι καθορίζονται σε μνημόνιο συνεννόησης («το μνημόνιο συνεννόησης») που περιλαμβάνει χρονοδιάγραμμα εκπλήρωσης των εν λόγω όρων. Οι όροι οικονομικής πολιτικής και οι χρηματοδοτικοί όροι που καθορίζονται στο μνημόνιο συνεννόησης είναι συνεπείς με τις συμφωνίες ή τα μνημόνια που αναφέρονται στο άρθρο 1 παράγραφος 3, συμπεριλαμβανομένων των προγραμμάτων μακροοικονομικής προσαρμογής και διαρθρωτικών μεταρρυθμίσεων που εφαρμόζει η Γεωργία με τη στήριξη του ΔΝΤ. </w:t>
      </w:r>
    </w:p>
    <w:p w:rsidR="008B4161" w:rsidRPr="00357FBC" w:rsidRDefault="008B4161" w:rsidP="008B4161">
      <w:r w:rsidRPr="00357FBC">
        <w:t>2.</w:t>
      </w:r>
      <w:r w:rsidRPr="00357FBC">
        <w:tab/>
        <w:t>Οι όροι που αναφέρονται στην παράγραφο 1 αποσκοπούν, ειδικότερα, στην ενίσχυση της αποτελεσματικότητας, της διαφάνειας και της λογοδοσίας των συστημάτων διαχείρισης των δημόσιων οικονομικών στη Γεωργία, συμπεριλαμβανομένης της χρήσης της μακροοικονομικής χρηματοδοτικής συνδρομής της Ένωσης. Κατά τον σχεδιασμό των μέτρων πολιτικής λαμβάνονται επίσης δεόντως υπόψη η πρόοδος όσον αφορά το αμοιβαίο άνοιγμα των αγορών, η ανάπτυξη θεμιτών εμπορικών συναλλαγών βάσει κανόνων και άλλες προτεραιότητες στο πλαίσιο της εξωτερικής πολιτικής της Ένωσης. Η Επιτροπή παρακολουθεί τακτικά την πρόοδο που σημειώνεται στην επίτευξη των στόχων αυτών.</w:t>
      </w:r>
    </w:p>
    <w:p w:rsidR="008B4161" w:rsidRPr="00357FBC" w:rsidRDefault="008B4161" w:rsidP="008B4161">
      <w:r w:rsidRPr="00357FBC">
        <w:t>3.</w:t>
      </w:r>
      <w:r w:rsidRPr="00357FBC">
        <w:tab/>
        <w:t xml:space="preserve">Οι λεπτομερείς χρηματοδοτικοί όροι της μακροοικονομικής χρηματοδοτικής συνδρομής της Ένωσης καθορίζονται σε συμφωνία δανειοδότησης και σε συμφωνία επιχορήγησης που πρόκειται να συναφθούν μεταξύ της Επιτροπής και των αρχών της Γεωργίας. </w:t>
      </w:r>
    </w:p>
    <w:p w:rsidR="008B4161" w:rsidRPr="00357FBC" w:rsidRDefault="008B4161" w:rsidP="008B4161">
      <w:r w:rsidRPr="00357FBC">
        <w:t>4.</w:t>
      </w:r>
      <w:r w:rsidRPr="00357FBC">
        <w:tab/>
        <w:t>Η Επιτροπή ελέγχει σε τακτά διαστήματα ότι εξακολουθούν να πληρούνται οι όροι που αναφέρονται στο άρθρο 4 παράγραφος 3, συμπεριλαμβανομένου και του κατά πόσον οι οικονομικές πολιτικές της Γεωργίας συνάδουν με τους στόχους της μακροοικονομικής χρηματοδοτικής συνδρομής της Ένωσης. Στο πλαίσιο αυτό, η Επιτροπή συνεργάζεται στενά με το ΔΝΤ και την Παγκόσμια Τράπεζα και, εφόσον είναι αναγκαίο, με το Ευρωπαϊκό Κοινοβούλιο και το Συμβούλιο.</w:t>
      </w:r>
    </w:p>
    <w:p w:rsidR="008B4161" w:rsidRPr="00357FBC" w:rsidRDefault="008B4161" w:rsidP="008B4161">
      <w:pPr>
        <w:keepNext/>
        <w:spacing w:before="360"/>
        <w:jc w:val="center"/>
        <w:rPr>
          <w:i/>
        </w:rPr>
      </w:pPr>
      <w:r w:rsidRPr="00357FBC">
        <w:rPr>
          <w:i/>
        </w:rPr>
        <w:t>Άρθρο 4</w:t>
      </w:r>
    </w:p>
    <w:p w:rsidR="008B4161" w:rsidRPr="00357FBC" w:rsidRDefault="008B4161" w:rsidP="008B4161">
      <w:r w:rsidRPr="00357FBC">
        <w:t>1.</w:t>
      </w:r>
      <w:r w:rsidRPr="00357FBC">
        <w:tab/>
        <w:t xml:space="preserve">Με την επιφύλαξη των όρων της παραγράφου 3, η μακροοικονομική χρηματοδοτική συνδρομή της Ένωσης </w:t>
      </w:r>
      <w:r w:rsidR="008E3070" w:rsidRPr="00357FBC">
        <w:t>καθίσταται διαθέσιμη</w:t>
      </w:r>
      <w:r w:rsidRPr="00357FBC">
        <w:t xml:space="preserve"> από την Επιτροπή σε </w:t>
      </w:r>
      <w:r w:rsidR="008E3070" w:rsidRPr="00357FBC">
        <w:t xml:space="preserve">δύο </w:t>
      </w:r>
      <w:r w:rsidRPr="00357FBC">
        <w:t xml:space="preserve">δόσεις, εκάστη των οποίων περιλαμβάνει μία συνιστώσα δανείου και μία συνιστώσα επιχορήγησης. Το ύψος κάθε δόσης καθορίζεται στο μνημόνιο συνεννόησης που αναφέρεται στο άρθρο 3. </w:t>
      </w:r>
    </w:p>
    <w:p w:rsidR="008B4161" w:rsidRPr="00357FBC" w:rsidRDefault="008B4161" w:rsidP="008B4161">
      <w:r w:rsidRPr="00357FBC">
        <w:t>2.</w:t>
      </w:r>
      <w:r w:rsidRPr="00357FBC">
        <w:tab/>
        <w:t>Τα ποσά της μακροοικονομικής χρηματοδοτικής συνδρομής της Ένωσης που χορηγούνται υπό μορφή δανείου διατίθενται, κατά περίπτωση, σύμφωνα με τον κανονισμό (ΕΚ, Ευρατόμ) αριθ. 480/2009 του Συμβουλίου</w:t>
      </w:r>
      <w:r w:rsidRPr="00357FBC">
        <w:rPr>
          <w:rStyle w:val="FootnoteReference"/>
        </w:rPr>
        <w:footnoteReference w:id="9"/>
      </w:r>
      <w:r w:rsidRPr="00357FBC">
        <w:t xml:space="preserve">. </w:t>
      </w:r>
    </w:p>
    <w:p w:rsidR="008B4161" w:rsidRPr="00357FBC" w:rsidRDefault="008B4161" w:rsidP="008B4161">
      <w:r w:rsidRPr="00357FBC">
        <w:t>3.</w:t>
      </w:r>
      <w:r w:rsidRPr="00357FBC">
        <w:tab/>
        <w:t xml:space="preserve">Η απόφαση της Επιτροπής για την αποδέσμευση </w:t>
      </w:r>
      <w:r w:rsidR="008E3070" w:rsidRPr="00357FBC">
        <w:t>των δόσεων</w:t>
      </w:r>
      <w:r w:rsidRPr="00357FBC">
        <w:t xml:space="preserve"> εξαρτάται από την εκπλήρωση όλων των ακόλουθων όρων:</w:t>
      </w:r>
    </w:p>
    <w:p w:rsidR="008B4161" w:rsidRPr="00357FBC" w:rsidRDefault="005C6CB5" w:rsidP="005C6CB5">
      <w:pPr>
        <w:pStyle w:val="Point1"/>
      </w:pPr>
      <w:r w:rsidRPr="00357FBC">
        <w:t>α)</w:t>
      </w:r>
      <w:r w:rsidRPr="00357FBC">
        <w:tab/>
      </w:r>
      <w:r w:rsidR="008B4161" w:rsidRPr="00357FBC">
        <w:t>την προϋπόθεση που ορίζεται στο άρθρο 2·</w:t>
      </w:r>
    </w:p>
    <w:p w:rsidR="008B4161" w:rsidRPr="00357FBC" w:rsidRDefault="005C6CB5" w:rsidP="005C6CB5">
      <w:pPr>
        <w:pStyle w:val="Point1"/>
      </w:pPr>
      <w:r w:rsidRPr="00357FBC">
        <w:t>β)</w:t>
      </w:r>
      <w:r w:rsidRPr="00357FBC">
        <w:tab/>
      </w:r>
      <w:r w:rsidR="008B4161" w:rsidRPr="00357FBC">
        <w:t>τις συνεχείς ικανοποιητικές επιδόσεις ως προς την εφαρμογή προγράμματος πολιτικής που περιλαμβάνει μέτρα ισχυρής προσαρμογής και διαρθρωτικών μεταρρυθμίσεων τα οποία στηρίζονται από μη προληπτική πιστωτική συμφωνία του ΔΝΤ· και</w:t>
      </w:r>
    </w:p>
    <w:p w:rsidR="008B4161" w:rsidRPr="00357FBC" w:rsidRDefault="005C6CB5" w:rsidP="005C6CB5">
      <w:pPr>
        <w:pStyle w:val="Point1"/>
      </w:pPr>
      <w:r w:rsidRPr="00357FBC">
        <w:t>γ)</w:t>
      </w:r>
      <w:r w:rsidRPr="00357FBC">
        <w:tab/>
      </w:r>
      <w:r w:rsidR="008B4161" w:rsidRPr="00357FBC">
        <w:t>την ικανοποιητική εφαρμογή των όρων οικονομικής πολιτικής και των χρηματοδοτικών όρων που συμφωνούνται στο μνημόνιο συνεννόησης.</w:t>
      </w:r>
    </w:p>
    <w:p w:rsidR="008B4161" w:rsidRPr="00357FBC" w:rsidRDefault="008B4161" w:rsidP="008B4161">
      <w:r w:rsidRPr="00357FBC">
        <w:t xml:space="preserve">Η εκταμίευση της δεύτερης δόσης πραγματοποιείται, καταρχήν, το νωρίτερο τρεις μήνες μετά την εκταμίευση της πρώτης δόσης. </w:t>
      </w:r>
    </w:p>
    <w:p w:rsidR="008B4161" w:rsidRPr="00357FBC" w:rsidRDefault="008B4161" w:rsidP="008B4161">
      <w:r w:rsidRPr="00357FBC">
        <w:t>4.</w:t>
      </w:r>
      <w:r w:rsidRPr="00357FBC">
        <w:tab/>
        <w:t xml:space="preserve">Όταν δεν πληρούνται οι όροι της παραγράφου 3, η Επιτροπή αναστέλλει προσωρινά ή ακυρώνει την εκταμίευση της μακροοικονομικής χρηματοδοτικής συνδρομής της Ένωσης. Σε τέτοιες περιπτώσεις, η Επιτροπή ενημερώνει το Ευρωπαϊκό Κοινοβούλιο και το Συμβούλιο σχετικά με τους λόγους της εν λόγω αναστολής ή ακύρωσης. </w:t>
      </w:r>
    </w:p>
    <w:p w:rsidR="008B4161" w:rsidRPr="00357FBC" w:rsidRDefault="008B4161" w:rsidP="008B4161">
      <w:r w:rsidRPr="00357FBC">
        <w:t>5.</w:t>
      </w:r>
      <w:r w:rsidRPr="00357FBC">
        <w:tab/>
        <w:t xml:space="preserve">Η μακροοικονομική χρηματοδοτική συνδρομή της Ένωσης εκταμιεύεται στην Εθνική Τράπεζα της Γεωργίας. Με την επιφύλαξη των όρων που πρόκειται να συμφωνηθούν στο μνημόνιο συνεννόησης, περιλαμβανομένης της επιβεβαίωσης των υπολειπόμενων δημοσιονομικών χρηματοδοτικών αναγκών, τα ενωσιακά κονδύλια μπορεί να έχουν ως τελικό αποδέκτη το Υπουργείο Οικονομικών της Γεωργίας. </w:t>
      </w:r>
    </w:p>
    <w:p w:rsidR="008B4161" w:rsidRPr="00357FBC" w:rsidRDefault="008B4161" w:rsidP="008B4161">
      <w:pPr>
        <w:keepNext/>
        <w:spacing w:before="360"/>
        <w:jc w:val="center"/>
        <w:rPr>
          <w:i/>
        </w:rPr>
      </w:pPr>
      <w:r w:rsidRPr="00357FBC">
        <w:rPr>
          <w:i/>
        </w:rPr>
        <w:t>Άρθρο 5</w:t>
      </w:r>
    </w:p>
    <w:p w:rsidR="008B4161" w:rsidRPr="00357FBC" w:rsidRDefault="008B4161" w:rsidP="008B4161">
      <w:r w:rsidRPr="00357FBC">
        <w:t>1.</w:t>
      </w:r>
      <w:r w:rsidRPr="00357FBC">
        <w:tab/>
        <w:t>Οι δανειοληπτικές και δανειοδοτικές πράξεις που σχετίζονται με τη δανειακή συνιστώσα της μακροοικονομικής χρηματοδοτικής συνδρομής της Ένωσης διενεργούνται σε ευρώ με την ίδια τοκοφόρο ημερομηνία και δεν εμπλέκουν την Ένωση σε μεταβολή της διάρκειας ούτε την εκθέτουν σε ανάληψη οποιωνδήποτε κινδύνων συναλλάγματος ή επιτοκίου, ούτε σε ανάληψη οποιουδήποτε άλλου εμπορικού κινδύνου.</w:t>
      </w:r>
    </w:p>
    <w:p w:rsidR="008B4161" w:rsidRPr="00357FBC" w:rsidRDefault="008B4161" w:rsidP="008B4161">
      <w:r w:rsidRPr="00357FBC">
        <w:t>2.</w:t>
      </w:r>
      <w:r w:rsidRPr="00357FBC">
        <w:tab/>
        <w:t xml:space="preserve">Όποτε το επιτρέπουν οι περιστάσεις και εφόσον υποβάλλει σχετικό αίτημα η Γεωργία, η Επιτροπή μπορεί να λάβει τα αναγκαία μέτρα προκειμένου να διασφαλίσει την προσθήκη ρήτρας πρόωρης εξόφλησης στους όρους και τις προϋποθέσεις του δανείου και την ύπαρξη ανάλογης ρήτρας στους όρους και τις προϋποθέσεις των δανειοληπτικών πράξεων. </w:t>
      </w:r>
    </w:p>
    <w:p w:rsidR="008B4161" w:rsidRPr="00357FBC" w:rsidRDefault="008B4161" w:rsidP="008B4161">
      <w:r w:rsidRPr="00357FBC">
        <w:t>3.</w:t>
      </w:r>
      <w:r w:rsidRPr="00357FBC">
        <w:tab/>
        <w:t>Όταν οι περιστάσεις επιτρέπουν βελτίωση του επιτοκίου του δανείου και εφόσον υποβάλλει σχετικό αίτημα η Γεωργία, η Επιτροπή μπορεί να αποφασίσει να αναχρηματοδοτήσει το σύνολο ή μέρος των αρχικών δανειοληπτικών πράξεων ή μπορεί να αναπροσαρμόσει τους αντίστοιχους χρηματοδοτικούς όρους. Οι πράξεις αναχρηματοδότησης ή αναπροσαρμογής διενεργούνται σύμφωνα με τις παραγράφους 1 και 4 και δεν έχουν ως αποτέλεσμα την παράταση της διάρκειας των οικείων δανειοληπτικών πράξεων ή την αύξηση του οφειλόμενου κεφαλαίου κατά την ημερομηνία διεξαγωγής των πράξεων αναχρηματοδότησης ή αναπροσαρμογής.</w:t>
      </w:r>
    </w:p>
    <w:p w:rsidR="008B4161" w:rsidRPr="00357FBC" w:rsidRDefault="008B4161" w:rsidP="008B4161">
      <w:r w:rsidRPr="00357FBC">
        <w:t>4.</w:t>
      </w:r>
      <w:r w:rsidRPr="00357FBC">
        <w:tab/>
        <w:t>Το σύνολο των εξόδων της Ένωσης που συνδέονται με τις δανειοληπτικές και τις δανειοδοτικές πράξεις στο πλαίσιο της παρούσας απόφασης βαρύνει τη Γεωργία.</w:t>
      </w:r>
    </w:p>
    <w:p w:rsidR="008B4161" w:rsidRPr="00357FBC" w:rsidRDefault="008B4161" w:rsidP="008B4161">
      <w:r w:rsidRPr="00357FBC">
        <w:t>5.</w:t>
      </w:r>
      <w:r w:rsidRPr="00357FBC">
        <w:tab/>
        <w:t>Η Επιτροπή ενημερώνει το Ευρωπαϊκό Κοινοβούλιο και το Συμβούλιο για τις εξελίξεις ως προς τις πράξεις που αναφέρονται στις παραγράφους 2 και 3.</w:t>
      </w:r>
    </w:p>
    <w:p w:rsidR="008B4161" w:rsidRPr="00357FBC" w:rsidRDefault="008B4161" w:rsidP="008B4161">
      <w:pPr>
        <w:keepNext/>
        <w:spacing w:before="360"/>
        <w:jc w:val="center"/>
        <w:rPr>
          <w:i/>
        </w:rPr>
      </w:pPr>
      <w:r w:rsidRPr="00357FBC">
        <w:rPr>
          <w:i/>
        </w:rPr>
        <w:t>Άρθρο 6</w:t>
      </w:r>
    </w:p>
    <w:p w:rsidR="008B4161" w:rsidRPr="00357FBC" w:rsidRDefault="008B4161" w:rsidP="008B4161">
      <w:r w:rsidRPr="00357FBC">
        <w:t>1.</w:t>
      </w:r>
      <w:r w:rsidRPr="00357FBC">
        <w:tab/>
        <w:t>Η μακροοικονομική χρηματοδοτική συνδρομή της Ένωσης υλοποιείται σύμφωνα με τον κανονισμό (ΕΕ, Ευρατόμ) αριθ. 966/2012 του Ευρωπαϊκού Κοινοβουλίου και του Συμβουλίου</w:t>
      </w:r>
      <w:r w:rsidRPr="00357FBC">
        <w:rPr>
          <w:rStyle w:val="FootnoteReference"/>
        </w:rPr>
        <w:footnoteReference w:id="10"/>
      </w:r>
      <w:r w:rsidRPr="00357FBC">
        <w:t xml:space="preserve"> και </w:t>
      </w:r>
      <w:r w:rsidRPr="00357FBC">
        <w:rPr>
          <w:color w:val="000000"/>
        </w:rPr>
        <w:t>τον κατ’ εξουσιοδότηση κανονισμό (ΕΕ) αριθ. 1268/2012 της Επιτροπής</w:t>
      </w:r>
      <w:r w:rsidRPr="00357FBC">
        <w:rPr>
          <w:rStyle w:val="FootnoteReference"/>
        </w:rPr>
        <w:footnoteReference w:id="11"/>
      </w:r>
      <w:r w:rsidRPr="00357FBC">
        <w:t>.</w:t>
      </w:r>
    </w:p>
    <w:p w:rsidR="008B4161" w:rsidRPr="00357FBC" w:rsidRDefault="008B4161" w:rsidP="008B4161">
      <w:r w:rsidRPr="00357FBC">
        <w:t>2.</w:t>
      </w:r>
      <w:r w:rsidRPr="00357FBC">
        <w:tab/>
        <w:t xml:space="preserve">Η υλοποίηση της μακροοικονομικής χρηματοδοτικής συνδρομής της Ένωσης τελεί υπό άμεση διαχείριση. </w:t>
      </w:r>
    </w:p>
    <w:p w:rsidR="008B4161" w:rsidRPr="00357FBC" w:rsidRDefault="008B4161" w:rsidP="008B4161">
      <w:r w:rsidRPr="00357FBC">
        <w:t>3.</w:t>
      </w:r>
      <w:r w:rsidRPr="00357FBC">
        <w:tab/>
        <w:t xml:space="preserve">Η συμφωνία δανειοδότησης και η συμφωνία επιχορήγησης που πρόκειται να συνομολογηθούν με τις αρχές της Γεωργίας περιλαμβάνουν διατάξεις οι οποίες: </w:t>
      </w:r>
    </w:p>
    <w:p w:rsidR="008B4161" w:rsidRPr="00357FBC" w:rsidRDefault="004B3E7F" w:rsidP="004B3E7F">
      <w:pPr>
        <w:pStyle w:val="Point1"/>
      </w:pPr>
      <w:r w:rsidRPr="00357FBC">
        <w:t>α)</w:t>
      </w:r>
      <w:r w:rsidRPr="00357FBC">
        <w:tab/>
      </w:r>
      <w:r w:rsidR="008B4161" w:rsidRPr="00357FBC">
        <w:t>διασφαλίζουν ότι η Γεωργία ελέγχει τακτικά αν η χρηματοδότηση που χορηγείται από τον προϋπολογισμό της Ένωσης χρησιμοποιείται ορθά, λαμβάνει τα αναγκαία μέτρα για την πρόληψη παρατυπιών και απάτης και, εάν είναι απαραίτητο, κινεί δικαστική διαδικασία για την ανάκτηση ποσών καταβληθέντων βάσει της παρούσας απόφασης τα οποία χρησιμοποιήθηκαν παρανόμως·</w:t>
      </w:r>
    </w:p>
    <w:p w:rsidR="008B4161" w:rsidRPr="00357FBC" w:rsidRDefault="004B3E7F" w:rsidP="004B3E7F">
      <w:pPr>
        <w:pStyle w:val="Point1"/>
      </w:pPr>
      <w:r w:rsidRPr="00357FBC">
        <w:t>β)</w:t>
      </w:r>
      <w:r w:rsidRPr="00357FBC">
        <w:tab/>
      </w:r>
      <w:r w:rsidR="008B4161" w:rsidRPr="00357FBC">
        <w:t>διασφαλίζουν την προστασία των οικονομικών συμφερόντων της Ένωσης, προβλέποντας ιδίως ειδικά μέτρα για την πρόληψη και την καταπολέμηση της απάτης, της διαφθοράς και κάθε άλλης παρατυπίας που επηρεάζει τη μακροοικονομική χρηματοδοτική συνδρομή της Ένωσης, σύμφωνα με τον κανονισμό (ΕΚ, Ευρατόμ) αριθ. 2988/95 του Συμβουλίου</w:t>
      </w:r>
      <w:r w:rsidR="008B4161" w:rsidRPr="00357FBC">
        <w:rPr>
          <w:rStyle w:val="FootnoteReference"/>
        </w:rPr>
        <w:footnoteReference w:id="12"/>
      </w:r>
      <w:r w:rsidR="008B4161" w:rsidRPr="00357FBC">
        <w:t>, τον κανονισμό (ΕΚ, Ευρατόμ) αριθ. 2185/96 του Συμβουλίου</w:t>
      </w:r>
      <w:r w:rsidR="008B4161" w:rsidRPr="00357FBC">
        <w:rPr>
          <w:rStyle w:val="FootnoteReference"/>
        </w:rPr>
        <w:footnoteReference w:id="13"/>
      </w:r>
      <w:r w:rsidR="008B4161" w:rsidRPr="00357FBC">
        <w:t xml:space="preserve"> και τον κανονισμό (ΕΕ, Ευρατόμ) αριθ. 883/2013 του Ευρωπαϊκού Κοινοβουλίου και του Συμβουλίου</w:t>
      </w:r>
      <w:r w:rsidR="008B4161" w:rsidRPr="00357FBC">
        <w:rPr>
          <w:rStyle w:val="FootnoteReference"/>
        </w:rPr>
        <w:footnoteReference w:id="14"/>
      </w:r>
      <w:r w:rsidR="008B4161" w:rsidRPr="00357FBC">
        <w:t xml:space="preserve">· </w:t>
      </w:r>
    </w:p>
    <w:p w:rsidR="008B4161" w:rsidRPr="00357FBC" w:rsidRDefault="004B3E7F" w:rsidP="004B3E7F">
      <w:pPr>
        <w:pStyle w:val="Point1"/>
      </w:pPr>
      <w:r w:rsidRPr="00357FBC">
        <w:t>γ)</w:t>
      </w:r>
      <w:r w:rsidRPr="00357FBC">
        <w:tab/>
      </w:r>
      <w:r w:rsidR="008B4161" w:rsidRPr="00357FBC">
        <w:t xml:space="preserve">εξουσιοδοτούν ρητά την Επιτροπή, περιλαμβανομένης της Ευρωπαϊκής Υπηρεσίας Καταπολέμησης της Απάτης, ή τους εκπροσώπους της, να διενεργούν ελέγχους, συμπεριλαμβανομένων επιτόπιων ελέγχων και επιθεωρήσεων· </w:t>
      </w:r>
    </w:p>
    <w:p w:rsidR="008B4161" w:rsidRPr="00357FBC" w:rsidRDefault="004B3E7F" w:rsidP="004B3E7F">
      <w:pPr>
        <w:pStyle w:val="Point1"/>
      </w:pPr>
      <w:r w:rsidRPr="00357FBC">
        <w:t>δ)</w:t>
      </w:r>
      <w:r w:rsidRPr="00357FBC">
        <w:tab/>
      </w:r>
      <w:r w:rsidR="008B4161" w:rsidRPr="00357FBC">
        <w:t>εξουσιοδοτούν ρητά την Επιτροπή και το Ελεγκτικό Συνέδριο να διενεργούν ελέγχους πριν και μετά την περίοδο διαθεσιμότητας της μακροοικονομικής χρηματοδοτικής συνδρομής της Ένωσης, συμπεριλαμβανομένων ελέγχων εγγράφων και επιτόπιων ελέγχων, όπως επιχειρησιακές αξιολογήσεις·</w:t>
      </w:r>
    </w:p>
    <w:p w:rsidR="008B4161" w:rsidRPr="00357FBC" w:rsidRDefault="004B3E7F" w:rsidP="004B3E7F">
      <w:pPr>
        <w:pStyle w:val="Point1"/>
      </w:pPr>
      <w:r w:rsidRPr="00357FBC">
        <w:t>ε)</w:t>
      </w:r>
      <w:r w:rsidRPr="00357FBC">
        <w:tab/>
      </w:r>
      <w:r w:rsidR="008B4161" w:rsidRPr="00357FBC">
        <w:t>διασφαλίζουν ότι η Ένωση έχει δικαίωμα πρόωρης αποπληρωμής του δανείου και/ή πλήρους επιστροφής της επιχορήγησης, εάν διαπιστωθεί ότι, σε σχέση με τη διαχείριση της μακροοικονομικής χρηματοδοτικής συνδρομής της Ένωσης, η Γεωργία έχει εμπλακεί σε οποιαδήποτε πράξη απάτης ή διαφθοράς ή οποιαδήποτε άλλη παράνομη δραστηριότητα σε βάρος των οικονομικών συμφερόντων της Ένωσης.</w:t>
      </w:r>
    </w:p>
    <w:p w:rsidR="008B4161" w:rsidRPr="00357FBC" w:rsidRDefault="008B4161" w:rsidP="008B4161">
      <w:r w:rsidRPr="00357FBC">
        <w:t>4.</w:t>
      </w:r>
      <w:r w:rsidRPr="00357FBC">
        <w:tab/>
        <w:t>Πριν από την υλοποίηση της μακροοικονομικής χρηματοδοτικής συνδρομής της Ένωσης, η Επιτροπή αξιολογεί, μέσω επιχειρησιακής αξιολόγησης, την ορθότητα των δημοσιονομικών ρυθμίσεων, των διοικητικών διαδικασιών και των μηχανισμών εσωτερικού και εξωτερικού ελέγχου της Γεωργίας που σχετίζονται με τη συνδρομή.</w:t>
      </w:r>
    </w:p>
    <w:p w:rsidR="008B4161" w:rsidRPr="00357FBC" w:rsidRDefault="008B4161" w:rsidP="008B4161">
      <w:pPr>
        <w:keepNext/>
        <w:spacing w:before="360"/>
        <w:jc w:val="center"/>
        <w:rPr>
          <w:i/>
        </w:rPr>
      </w:pPr>
      <w:r w:rsidRPr="00357FBC">
        <w:rPr>
          <w:i/>
        </w:rPr>
        <w:t>Άρθρο 7</w:t>
      </w:r>
    </w:p>
    <w:p w:rsidR="008B4161" w:rsidRPr="00357FBC" w:rsidRDefault="008B4161" w:rsidP="008B4161">
      <w:r w:rsidRPr="00357FBC">
        <w:t>1.</w:t>
      </w:r>
      <w:r w:rsidRPr="00357FBC">
        <w:tab/>
        <w:t>Η Επιτροπή επικουρείται από επιτροπή. Πρόκειται για επιτροπή κατά την έννοια του κανονισμού (ΕΕ) αριθ. 182/2011.</w:t>
      </w:r>
    </w:p>
    <w:p w:rsidR="008B4161" w:rsidRPr="00357FBC" w:rsidRDefault="008B4161" w:rsidP="008B4161">
      <w:r w:rsidRPr="00357FBC">
        <w:t>2.</w:t>
      </w:r>
      <w:r w:rsidRPr="00357FBC">
        <w:tab/>
        <w:t>Όταν γίνεται αναφορά στην παρούσα παράγραφο, εφαρμόζεται το άρθρο 4 του κανονισμού (ΕΕ) αριθ. 182/2011.</w:t>
      </w:r>
    </w:p>
    <w:p w:rsidR="008B4161" w:rsidRPr="00357FBC" w:rsidRDefault="008B4161" w:rsidP="008B4161">
      <w:pPr>
        <w:keepNext/>
        <w:spacing w:before="360"/>
        <w:jc w:val="center"/>
        <w:rPr>
          <w:i/>
        </w:rPr>
      </w:pPr>
      <w:r w:rsidRPr="00357FBC">
        <w:rPr>
          <w:i/>
        </w:rPr>
        <w:t>Άρθρο 8</w:t>
      </w:r>
    </w:p>
    <w:p w:rsidR="008B4161" w:rsidRPr="00357FBC" w:rsidRDefault="008B4161" w:rsidP="008B4161">
      <w:r w:rsidRPr="00357FBC">
        <w:t>1.</w:t>
      </w:r>
      <w:r w:rsidRPr="00357FBC">
        <w:tab/>
        <w:t>Η Επιτροπή υποβάλλει, έως τις 30 Ιουνίου κάθε έτους, έκθεση στο Ευρωπαϊκό Κοινοβούλιο και στο Συμβούλιο σχετικά με την εφαρμογή της παρούσας απόφασης κατά το προηγούμενο έτος, η οποία περιλαμβάνει αξιολόγηση αυτής της εφαρμογής. Στην έκθεση:</w:t>
      </w:r>
    </w:p>
    <w:p w:rsidR="008B4161" w:rsidRPr="00357FBC" w:rsidRDefault="00513C02" w:rsidP="00513C02">
      <w:pPr>
        <w:pStyle w:val="Point1"/>
      </w:pPr>
      <w:r w:rsidRPr="00357FBC">
        <w:t>α)</w:t>
      </w:r>
      <w:r w:rsidRPr="00357FBC">
        <w:tab/>
      </w:r>
      <w:r w:rsidR="008B4161" w:rsidRPr="00357FBC">
        <w:t>εξετάζεται η πρόοδος που έχει σημειωθεί όσον αφορά την υλοποίηση της μακροοικονομικής χρηματοδοτικής συνδρομής της Ένωσης·</w:t>
      </w:r>
    </w:p>
    <w:p w:rsidR="008B4161" w:rsidRPr="00357FBC" w:rsidRDefault="00513C02" w:rsidP="00513C02">
      <w:pPr>
        <w:pStyle w:val="Point1"/>
      </w:pPr>
      <w:r w:rsidRPr="00357FBC">
        <w:t>β)</w:t>
      </w:r>
      <w:r w:rsidRPr="00357FBC">
        <w:tab/>
      </w:r>
      <w:r w:rsidR="008B4161" w:rsidRPr="00357FBC">
        <w:t>αξιολογούνται η οικονομική κατάσταση και οι προοπτικές της Γεωργίας, καθώς και η πρόοδος στην εφαρμογή των μέτρων πολιτικής που αναφέρονται στο άρθρο 3 παράγραφος 1·</w:t>
      </w:r>
    </w:p>
    <w:p w:rsidR="008B4161" w:rsidRPr="00357FBC" w:rsidRDefault="00513C02" w:rsidP="00513C02">
      <w:pPr>
        <w:pStyle w:val="Point1"/>
      </w:pPr>
      <w:r w:rsidRPr="00357FBC">
        <w:t>γ)</w:t>
      </w:r>
      <w:r w:rsidRPr="00357FBC">
        <w:tab/>
      </w:r>
      <w:r w:rsidR="008B4161" w:rsidRPr="00357FBC">
        <w:t>παρουσιάζεται η σχέση μεταξύ των όρων οικονομικής πολιτικής που καθορίζονται στο μνημόνιο συνεννόησης, των τρεχουσών οικονομικών και δημοσιονομικών επιδόσεων της Γεωργίας και των αποφάσεων της Επιτροπής να εκταμιεύσει τις δόσεις της μακροοικονομικής χρηματοδοτικής συνδρομής της Ένωσης.</w:t>
      </w:r>
    </w:p>
    <w:p w:rsidR="008B4161" w:rsidRPr="00357FBC" w:rsidRDefault="008B4161" w:rsidP="008B4161">
      <w:r w:rsidRPr="00357FBC">
        <w:t>2.</w:t>
      </w:r>
      <w:r w:rsidRPr="00357FBC">
        <w:tab/>
        <w:t>Το αργότερο δύο έτη μετά τη λήξη της περιόδου διαθεσιμότητας που αναφέρεται στο άρθρο 1 παράγραφος 4, η Επιτροπή υποβάλλει στο Ευρωπαϊκό Κοινοβούλιο και στο Συμβούλιο έκθεση εκ των υστέρων αξιολόγησης όσον αφορά τα αποτελέσματα και την αποτελεσματικότητα της περατωθείσας μακροοικονομικής χρηματοδοτικής συνδρομής της Ένωσης καθώς και τον βαθμό στον οποίο συνέβαλαν στην επίτευξη των σκοπών της συνδρομής.</w:t>
      </w:r>
    </w:p>
    <w:p w:rsidR="008B4161" w:rsidRPr="00357FBC" w:rsidRDefault="008B4161" w:rsidP="008B4161">
      <w:pPr>
        <w:keepNext/>
        <w:spacing w:before="360"/>
        <w:jc w:val="center"/>
        <w:rPr>
          <w:i/>
        </w:rPr>
      </w:pPr>
      <w:r w:rsidRPr="00357FBC">
        <w:rPr>
          <w:i/>
        </w:rPr>
        <w:t>Άρθρο 9</w:t>
      </w:r>
    </w:p>
    <w:p w:rsidR="008B4161" w:rsidRPr="00357FBC" w:rsidRDefault="008B4161" w:rsidP="008B4161">
      <w:r w:rsidRPr="00357FBC">
        <w:t xml:space="preserve">Η παρούσα απόφαση αρχίζει να ισχύει την τρίτη ημέρα από τη δημοσίευσή της στην </w:t>
      </w:r>
      <w:r w:rsidRPr="00357FBC">
        <w:rPr>
          <w:i/>
        </w:rPr>
        <w:t>Επίσημη Εφημερίδα της Ευρωπαϊκής Ένωσης</w:t>
      </w:r>
      <w:r w:rsidRPr="00357FBC">
        <w:t>.</w:t>
      </w:r>
    </w:p>
    <w:p w:rsidR="008B4161" w:rsidRPr="00357FBC" w:rsidRDefault="001B6923" w:rsidP="001B6923">
      <w:pPr>
        <w:pStyle w:val="Fait"/>
      </w:pPr>
      <w:r w:rsidRPr="001B6923">
        <w:t>Βρυξέλλες,</w:t>
      </w:r>
    </w:p>
    <w:p w:rsidR="008B4161" w:rsidRPr="00357FBC" w:rsidRDefault="008B4161" w:rsidP="008B4161">
      <w:pPr>
        <w:pStyle w:val="Institutionquisigne"/>
      </w:pPr>
      <w:r w:rsidRPr="00357FBC">
        <w:t>Για το Ευρωπαϊκό Κοινοβούλιο</w:t>
      </w:r>
      <w:r w:rsidRPr="00357FBC">
        <w:tab/>
        <w:t>Για το Συμβούλιο</w:t>
      </w:r>
    </w:p>
    <w:p w:rsidR="008B4161" w:rsidRPr="00357FBC" w:rsidRDefault="008B4161" w:rsidP="008B4161">
      <w:pPr>
        <w:pStyle w:val="Personnequisigne"/>
      </w:pPr>
      <w:r w:rsidRPr="00357FBC">
        <w:t>Ο Πρόεδρος</w:t>
      </w:r>
      <w:r w:rsidRPr="00357FBC">
        <w:tab/>
        <w:t>Ο Πρόεδρος</w:t>
      </w:r>
    </w:p>
    <w:p w:rsidR="0014641C" w:rsidRPr="00357FBC" w:rsidRDefault="0014641C" w:rsidP="0014641C">
      <w:pPr>
        <w:sectPr w:rsidR="0014641C" w:rsidRPr="00357FBC" w:rsidSect="001B6923">
          <w:pgSz w:w="11907" w:h="16839"/>
          <w:pgMar w:top="1134" w:right="1417" w:bottom="1134" w:left="1417" w:header="709" w:footer="709" w:gutter="0"/>
          <w:cols w:space="708"/>
          <w:docGrid w:linePitch="360"/>
        </w:sectPr>
      </w:pPr>
    </w:p>
    <w:p w:rsidR="0014641C" w:rsidRPr="00357FBC" w:rsidRDefault="0014641C" w:rsidP="00B02641">
      <w:pPr>
        <w:pStyle w:val="Fichefinanciretitre"/>
        <w:rPr>
          <w:noProof/>
        </w:rPr>
      </w:pPr>
      <w:r w:rsidRPr="00357FBC">
        <w:t>ΝΟΜΟΘΕΤΙΚΟ ΔΗΜΟΣΙΟΝΟΜΙΚΟ ΔΕΛΤΙΟ</w:t>
      </w:r>
    </w:p>
    <w:p w:rsidR="0014641C" w:rsidRPr="00357FBC" w:rsidRDefault="0014641C" w:rsidP="00B02641">
      <w:pPr>
        <w:pStyle w:val="ManualHeading1"/>
        <w:rPr>
          <w:noProof/>
        </w:rPr>
      </w:pPr>
      <w:r w:rsidRPr="00357FBC">
        <w:t>1.</w:t>
      </w:r>
      <w:r w:rsidRPr="00357FBC">
        <w:tab/>
        <w:t xml:space="preserve">ΠΛΑΙΣΙΟ ΤΗΣ ΠΡΟΤΑΣΗΣ/ΠΡΩΤΟΒΟΥΛΙΑΣ </w:t>
      </w:r>
    </w:p>
    <w:p w:rsidR="0014641C" w:rsidRPr="00357FBC" w:rsidRDefault="0014641C" w:rsidP="00B02641">
      <w:pPr>
        <w:pStyle w:val="ManualHeading2"/>
        <w:rPr>
          <w:b w:val="0"/>
          <w:noProof/>
        </w:rPr>
      </w:pPr>
      <w:r w:rsidRPr="00357FBC">
        <w:tab/>
      </w:r>
      <w:r w:rsidRPr="00357FBC">
        <w:rPr>
          <w:b w:val="0"/>
          <w:noProof/>
        </w:rPr>
        <w:t>1.1.</w:t>
      </w:r>
      <w:r w:rsidRPr="00357FBC">
        <w:tab/>
      </w:r>
      <w:r w:rsidRPr="00357FBC">
        <w:rPr>
          <w:b w:val="0"/>
          <w:noProof/>
        </w:rPr>
        <w:t xml:space="preserve">Τίτλος της πρότασης/πρωτοβουλίας </w:t>
      </w:r>
    </w:p>
    <w:p w:rsidR="0014641C" w:rsidRPr="00357FBC" w:rsidRDefault="0014641C" w:rsidP="00B02641">
      <w:pPr>
        <w:pStyle w:val="ManualHeading2"/>
        <w:rPr>
          <w:b w:val="0"/>
          <w:noProof/>
        </w:rPr>
      </w:pPr>
      <w:r w:rsidRPr="00357FBC">
        <w:tab/>
      </w:r>
      <w:r w:rsidRPr="00357FBC">
        <w:rPr>
          <w:b w:val="0"/>
          <w:noProof/>
        </w:rPr>
        <w:t>1.2.</w:t>
      </w:r>
      <w:r w:rsidRPr="00357FBC">
        <w:tab/>
      </w:r>
      <w:r w:rsidRPr="00357FBC">
        <w:rPr>
          <w:b w:val="0"/>
          <w:noProof/>
        </w:rPr>
        <w:t>Σχετικοί τομείς πολιτικής στη δομή ΔΒΔ/ΠΒΔ</w:t>
      </w:r>
    </w:p>
    <w:p w:rsidR="0014641C" w:rsidRPr="00357FBC" w:rsidRDefault="0014641C" w:rsidP="00B02641">
      <w:pPr>
        <w:pStyle w:val="ManualHeading2"/>
        <w:rPr>
          <w:b w:val="0"/>
          <w:noProof/>
        </w:rPr>
      </w:pPr>
      <w:r w:rsidRPr="00357FBC">
        <w:tab/>
      </w:r>
      <w:r w:rsidRPr="00357FBC">
        <w:rPr>
          <w:b w:val="0"/>
          <w:noProof/>
        </w:rPr>
        <w:t>1.3.</w:t>
      </w:r>
      <w:r w:rsidRPr="00357FBC">
        <w:tab/>
      </w:r>
      <w:r w:rsidRPr="00357FBC">
        <w:rPr>
          <w:b w:val="0"/>
          <w:noProof/>
        </w:rPr>
        <w:t xml:space="preserve">Χαρακτήρας της πρότασης/πρωτοβουλίας </w:t>
      </w:r>
    </w:p>
    <w:p w:rsidR="0014641C" w:rsidRPr="00357FBC" w:rsidRDefault="0014641C" w:rsidP="00B02641">
      <w:pPr>
        <w:pStyle w:val="ManualHeading2"/>
        <w:rPr>
          <w:b w:val="0"/>
          <w:noProof/>
        </w:rPr>
      </w:pPr>
      <w:r w:rsidRPr="00357FBC">
        <w:tab/>
      </w:r>
      <w:r w:rsidRPr="00357FBC">
        <w:rPr>
          <w:b w:val="0"/>
          <w:noProof/>
        </w:rPr>
        <w:t>1.4.</w:t>
      </w:r>
      <w:r w:rsidRPr="00357FBC">
        <w:tab/>
      </w:r>
      <w:r w:rsidRPr="00357FBC">
        <w:rPr>
          <w:b w:val="0"/>
          <w:noProof/>
        </w:rPr>
        <w:t xml:space="preserve">Στόχος/-οι </w:t>
      </w:r>
    </w:p>
    <w:p w:rsidR="0014641C" w:rsidRPr="00357FBC" w:rsidRDefault="0014641C" w:rsidP="00B02641">
      <w:pPr>
        <w:pStyle w:val="ManualHeading2"/>
        <w:rPr>
          <w:b w:val="0"/>
          <w:noProof/>
        </w:rPr>
      </w:pPr>
      <w:r w:rsidRPr="00357FBC">
        <w:tab/>
      </w:r>
      <w:r w:rsidRPr="00357FBC">
        <w:rPr>
          <w:b w:val="0"/>
          <w:noProof/>
        </w:rPr>
        <w:t>1.5.</w:t>
      </w:r>
      <w:r w:rsidRPr="00357FBC">
        <w:tab/>
      </w:r>
      <w:r w:rsidRPr="00357FBC">
        <w:rPr>
          <w:b w:val="0"/>
          <w:noProof/>
        </w:rPr>
        <w:t xml:space="preserve">Αιτιολόγηση της πρότασης/πρωτοβουλίας </w:t>
      </w:r>
    </w:p>
    <w:p w:rsidR="0014641C" w:rsidRPr="00357FBC" w:rsidRDefault="0014641C" w:rsidP="00B02641">
      <w:pPr>
        <w:pStyle w:val="ManualHeading2"/>
        <w:rPr>
          <w:b w:val="0"/>
          <w:noProof/>
        </w:rPr>
      </w:pPr>
      <w:r w:rsidRPr="00357FBC">
        <w:tab/>
      </w:r>
      <w:r w:rsidRPr="00357FBC">
        <w:rPr>
          <w:b w:val="0"/>
          <w:noProof/>
        </w:rPr>
        <w:t>1.6.</w:t>
      </w:r>
      <w:r w:rsidRPr="00357FBC">
        <w:tab/>
      </w:r>
      <w:r w:rsidRPr="00357FBC">
        <w:rPr>
          <w:b w:val="0"/>
          <w:noProof/>
        </w:rPr>
        <w:t xml:space="preserve">Διάρκεια και δημοσιονομικές επιπτώσεις </w:t>
      </w:r>
    </w:p>
    <w:p w:rsidR="0014641C" w:rsidRPr="00357FBC" w:rsidRDefault="0014641C" w:rsidP="00B02641">
      <w:pPr>
        <w:pStyle w:val="ManualHeading2"/>
        <w:rPr>
          <w:b w:val="0"/>
          <w:noProof/>
        </w:rPr>
      </w:pPr>
      <w:r w:rsidRPr="00357FBC">
        <w:tab/>
      </w:r>
      <w:r w:rsidRPr="00357FBC">
        <w:rPr>
          <w:b w:val="0"/>
          <w:noProof/>
        </w:rPr>
        <w:t>1.7.</w:t>
      </w:r>
      <w:r w:rsidRPr="00357FBC">
        <w:tab/>
      </w:r>
      <w:r w:rsidRPr="00357FBC">
        <w:rPr>
          <w:b w:val="0"/>
          <w:noProof/>
        </w:rPr>
        <w:t xml:space="preserve">Προβλεπόμενος/-οι τρόπος/-οι διαχείρισης </w:t>
      </w:r>
    </w:p>
    <w:p w:rsidR="0014641C" w:rsidRPr="00357FBC" w:rsidRDefault="0014641C" w:rsidP="00B02641">
      <w:pPr>
        <w:pStyle w:val="ManualHeading1"/>
        <w:rPr>
          <w:noProof/>
        </w:rPr>
      </w:pPr>
      <w:r w:rsidRPr="00357FBC">
        <w:t>2.</w:t>
      </w:r>
      <w:r w:rsidRPr="00357FBC">
        <w:tab/>
        <w:t xml:space="preserve">ΜΕΤΡΑ ΔΙΑΧΕΙΡΙΣΗΣ </w:t>
      </w:r>
    </w:p>
    <w:p w:rsidR="0014641C" w:rsidRPr="00357FBC" w:rsidRDefault="0014641C" w:rsidP="00B02641">
      <w:pPr>
        <w:pStyle w:val="ManualHeading2"/>
        <w:rPr>
          <w:b w:val="0"/>
          <w:noProof/>
        </w:rPr>
      </w:pPr>
      <w:r w:rsidRPr="00357FBC">
        <w:tab/>
      </w:r>
      <w:r w:rsidRPr="00357FBC">
        <w:rPr>
          <w:b w:val="0"/>
          <w:noProof/>
        </w:rPr>
        <w:t>2.1.</w:t>
      </w:r>
      <w:r w:rsidRPr="00357FBC">
        <w:tab/>
      </w:r>
      <w:r w:rsidRPr="00357FBC">
        <w:rPr>
          <w:b w:val="0"/>
          <w:noProof/>
        </w:rPr>
        <w:t xml:space="preserve">Διατάξεις στον τομέα της παρακολούθησης και της υποβολής εκθέσεων </w:t>
      </w:r>
    </w:p>
    <w:p w:rsidR="0014641C" w:rsidRPr="00357FBC" w:rsidRDefault="0014641C" w:rsidP="00B02641">
      <w:pPr>
        <w:pStyle w:val="ManualHeading2"/>
        <w:rPr>
          <w:b w:val="0"/>
          <w:noProof/>
        </w:rPr>
      </w:pPr>
      <w:r w:rsidRPr="00357FBC">
        <w:tab/>
      </w:r>
      <w:r w:rsidRPr="00357FBC">
        <w:rPr>
          <w:b w:val="0"/>
          <w:noProof/>
        </w:rPr>
        <w:t>2.2.</w:t>
      </w:r>
      <w:r w:rsidRPr="00357FBC">
        <w:tab/>
      </w:r>
      <w:r w:rsidRPr="00357FBC">
        <w:rPr>
          <w:b w:val="0"/>
          <w:noProof/>
        </w:rPr>
        <w:t xml:space="preserve">Σύστημα διαχείρισης και ελέγχου </w:t>
      </w:r>
    </w:p>
    <w:p w:rsidR="0014641C" w:rsidRPr="00357FBC" w:rsidRDefault="0014641C" w:rsidP="00B02641">
      <w:pPr>
        <w:pStyle w:val="ManualHeading2"/>
        <w:rPr>
          <w:b w:val="0"/>
          <w:noProof/>
        </w:rPr>
      </w:pPr>
      <w:r w:rsidRPr="00357FBC">
        <w:tab/>
      </w:r>
      <w:r w:rsidRPr="00357FBC">
        <w:rPr>
          <w:b w:val="0"/>
          <w:noProof/>
        </w:rPr>
        <w:t>2.3.</w:t>
      </w:r>
      <w:r w:rsidRPr="00357FBC">
        <w:tab/>
      </w:r>
      <w:r w:rsidRPr="00357FBC">
        <w:rPr>
          <w:b w:val="0"/>
          <w:noProof/>
        </w:rPr>
        <w:t xml:space="preserve">Μέτρα για την πρόληψη περιπτώσεων απάτης και παρατυπίας </w:t>
      </w:r>
    </w:p>
    <w:p w:rsidR="0014641C" w:rsidRPr="00357FBC" w:rsidRDefault="0014641C" w:rsidP="00B02641">
      <w:pPr>
        <w:pStyle w:val="ManualHeading1"/>
        <w:rPr>
          <w:noProof/>
        </w:rPr>
      </w:pPr>
      <w:r w:rsidRPr="00357FBC">
        <w:t>3.</w:t>
      </w:r>
      <w:r w:rsidRPr="00357FBC">
        <w:tab/>
        <w:t xml:space="preserve">ΕΚΤΙΜΩΜΕΝΕΣ ΔΗΜΟΣΙΟΝΟΜΙΚΕΣ ΕΠΙΠΤΩΣΕΙΣ ΤΗΣ ΠΡΟΤΑΣΗΣ/ΠΡΩΤΟΒΟΥΛΙΑΣ </w:t>
      </w:r>
    </w:p>
    <w:p w:rsidR="0014641C" w:rsidRPr="00357FBC" w:rsidRDefault="0014641C" w:rsidP="00B02641">
      <w:pPr>
        <w:pStyle w:val="ManualHeading2"/>
        <w:rPr>
          <w:b w:val="0"/>
          <w:noProof/>
        </w:rPr>
      </w:pPr>
      <w:r w:rsidRPr="00357FBC">
        <w:tab/>
      </w:r>
      <w:r w:rsidRPr="00357FBC">
        <w:rPr>
          <w:b w:val="0"/>
          <w:noProof/>
        </w:rPr>
        <w:t>3.1.</w:t>
      </w:r>
      <w:r w:rsidRPr="00357FBC">
        <w:tab/>
      </w:r>
      <w:r w:rsidRPr="00357FBC">
        <w:rPr>
          <w:b w:val="0"/>
          <w:noProof/>
        </w:rPr>
        <w:t xml:space="preserve">Τομέας/-είς του πολυετούς δημοσιονομικού πλαισίου και γραμμή/-ές δαπανών του προϋπολογισμού που επηρεάζονται </w:t>
      </w:r>
    </w:p>
    <w:p w:rsidR="0014641C" w:rsidRPr="00357FBC" w:rsidRDefault="0014641C" w:rsidP="00B02641">
      <w:pPr>
        <w:pStyle w:val="ManualHeading2"/>
        <w:rPr>
          <w:noProof/>
        </w:rPr>
      </w:pPr>
      <w:r w:rsidRPr="00357FBC">
        <w:tab/>
      </w:r>
      <w:r w:rsidRPr="00357FBC">
        <w:rPr>
          <w:b w:val="0"/>
          <w:noProof/>
        </w:rPr>
        <w:t>3.2.</w:t>
      </w:r>
      <w:r w:rsidRPr="00357FBC">
        <w:tab/>
      </w:r>
      <w:r w:rsidRPr="00357FBC">
        <w:rPr>
          <w:b w:val="0"/>
          <w:noProof/>
        </w:rPr>
        <w:t>Εκτιμώμενες επιπτώσεις στις δαπάνες</w:t>
      </w:r>
      <w:r w:rsidRPr="00357FBC">
        <w:t xml:space="preserve"> </w:t>
      </w:r>
    </w:p>
    <w:p w:rsidR="0014641C" w:rsidRPr="00357FBC" w:rsidRDefault="0014641C" w:rsidP="00B02641">
      <w:pPr>
        <w:pStyle w:val="ManualHeading3"/>
        <w:rPr>
          <w:noProof/>
        </w:rPr>
      </w:pPr>
      <w:r w:rsidRPr="00357FBC">
        <w:tab/>
        <w:t>3.2.1.</w:t>
      </w:r>
      <w:r w:rsidRPr="00357FBC">
        <w:tab/>
        <w:t xml:space="preserve">Συνοπτική παρουσίαση των εκτιμώμενων επιπτώσεων στις δαπάνες </w:t>
      </w:r>
    </w:p>
    <w:p w:rsidR="0014641C" w:rsidRPr="00357FBC" w:rsidRDefault="0014641C" w:rsidP="00B02641">
      <w:pPr>
        <w:pStyle w:val="ManualHeading3"/>
        <w:rPr>
          <w:noProof/>
        </w:rPr>
      </w:pPr>
      <w:r w:rsidRPr="00357FBC">
        <w:tab/>
        <w:t>3.2.2.</w:t>
      </w:r>
      <w:r w:rsidRPr="00357FBC">
        <w:tab/>
        <w:t xml:space="preserve">Εκτιμώμενες επιπτώσεις στις επιχειρησιακές πιστώσεις </w:t>
      </w:r>
    </w:p>
    <w:p w:rsidR="0014641C" w:rsidRPr="00357FBC" w:rsidRDefault="0014641C" w:rsidP="00B02641">
      <w:pPr>
        <w:pStyle w:val="ManualHeading3"/>
        <w:rPr>
          <w:noProof/>
        </w:rPr>
      </w:pPr>
      <w:r w:rsidRPr="00357FBC">
        <w:tab/>
        <w:t>3.2.3.</w:t>
      </w:r>
      <w:r w:rsidRPr="00357FBC">
        <w:tab/>
        <w:t>Εκτιμώμενες επιπτώσεις στις πιστώσεις διοικητικού χαρακτήρα</w:t>
      </w:r>
    </w:p>
    <w:p w:rsidR="0014641C" w:rsidRPr="00357FBC" w:rsidRDefault="0014641C" w:rsidP="00B02641">
      <w:pPr>
        <w:pStyle w:val="ManualHeading3"/>
        <w:rPr>
          <w:noProof/>
        </w:rPr>
      </w:pPr>
      <w:r w:rsidRPr="00357FBC">
        <w:tab/>
        <w:t>3.2.4.</w:t>
      </w:r>
      <w:r w:rsidRPr="00357FBC">
        <w:tab/>
        <w:t>Συμβατότητα με το ισχύον πολυετές δημοσιονομικό πλαίσιο</w:t>
      </w:r>
    </w:p>
    <w:p w:rsidR="0014641C" w:rsidRPr="00357FBC" w:rsidRDefault="0014641C" w:rsidP="00B02641">
      <w:pPr>
        <w:pStyle w:val="ManualHeading3"/>
        <w:rPr>
          <w:noProof/>
        </w:rPr>
      </w:pPr>
      <w:r w:rsidRPr="00357FBC">
        <w:tab/>
        <w:t>3.2.5.</w:t>
      </w:r>
      <w:r w:rsidRPr="00357FBC">
        <w:tab/>
        <w:t xml:space="preserve">Συμμετοχή τρίτων μερών στη χρηματοδότηση </w:t>
      </w:r>
    </w:p>
    <w:p w:rsidR="0014641C" w:rsidRPr="00357FBC" w:rsidRDefault="0014641C" w:rsidP="00B02641">
      <w:pPr>
        <w:pStyle w:val="ManualHeading2"/>
        <w:jc w:val="left"/>
        <w:rPr>
          <w:b w:val="0"/>
          <w:noProof/>
        </w:rPr>
        <w:sectPr w:rsidR="0014641C" w:rsidRPr="00357FBC" w:rsidSect="001B6923">
          <w:pgSz w:w="11907" w:h="16840" w:code="9"/>
          <w:pgMar w:top="1134" w:right="1418" w:bottom="1134" w:left="1418" w:header="709" w:footer="709" w:gutter="0"/>
          <w:cols w:space="708"/>
          <w:docGrid w:linePitch="360"/>
        </w:sectPr>
      </w:pPr>
      <w:r w:rsidRPr="00357FBC">
        <w:tab/>
      </w:r>
      <w:r w:rsidRPr="00357FBC">
        <w:rPr>
          <w:b w:val="0"/>
          <w:noProof/>
        </w:rPr>
        <w:t>3.3.</w:t>
      </w:r>
      <w:r w:rsidRPr="00357FBC">
        <w:tab/>
      </w:r>
      <w:r w:rsidRPr="00357FBC">
        <w:rPr>
          <w:b w:val="0"/>
          <w:noProof/>
        </w:rPr>
        <w:t>Εκτιμώμενες επιπτώσεις στα έσοδα</w:t>
      </w:r>
    </w:p>
    <w:p w:rsidR="00E76F98" w:rsidRPr="00357FBC" w:rsidRDefault="00E76F98" w:rsidP="00E76F98">
      <w:pPr>
        <w:jc w:val="center"/>
        <w:rPr>
          <w:b/>
          <w:u w:val="single"/>
        </w:rPr>
      </w:pPr>
      <w:r w:rsidRPr="00357FBC">
        <w:rPr>
          <w:b/>
          <w:u w:val="single"/>
        </w:rPr>
        <w:t>ΝΟΜΟΘΕΤΙΚΟ ΔΗΜΟΣΙΟΝΟΜΙΚΟ ΔΕΛΤΙΟ</w:t>
      </w:r>
    </w:p>
    <w:p w:rsidR="00E76F98" w:rsidRPr="00357FBC" w:rsidRDefault="00E76F98" w:rsidP="00E76F98">
      <w:pPr>
        <w:pStyle w:val="ManualHeading1"/>
      </w:pPr>
      <w:r w:rsidRPr="00357FBC">
        <w:t>1.</w:t>
      </w:r>
      <w:r w:rsidRPr="00357FBC">
        <w:tab/>
        <w:t xml:space="preserve">ΠΛΑΙΣΙΟ ΤΗΣ ΠΡΟΤΑΣΗΣ/ΠΡΩΤΟΒΟΥΛΙΑΣ </w:t>
      </w:r>
    </w:p>
    <w:p w:rsidR="00E76F98" w:rsidRPr="00357FBC" w:rsidRDefault="00E76F98" w:rsidP="00E76F98">
      <w:pPr>
        <w:pStyle w:val="ManualHeading2"/>
      </w:pPr>
      <w:r w:rsidRPr="00357FBC">
        <w:t>1.1.</w:t>
      </w:r>
      <w:r w:rsidRPr="00357FBC">
        <w:tab/>
        <w:t xml:space="preserve">Τίτλος της πρότασης/πρωτοβουλίας </w:t>
      </w:r>
    </w:p>
    <w:p w:rsidR="00E76F98" w:rsidRPr="00357FBC" w:rsidRDefault="00E76F98" w:rsidP="00E76F98">
      <w:pPr>
        <w:pStyle w:val="Text1"/>
      </w:pPr>
      <w:r w:rsidRPr="00357FBC">
        <w:t xml:space="preserve">Πρόταση απόφασης του Ευρωπαϊκού Κοινοβουλίου και του Συμβουλίου για τη χορήγηση μακροοικονομικής χρηματοδοτικής συνδρομής στη Γεωργία </w:t>
      </w:r>
    </w:p>
    <w:p w:rsidR="00E76F98" w:rsidRPr="00357FBC" w:rsidRDefault="00E76F98" w:rsidP="00E76F98">
      <w:pPr>
        <w:pStyle w:val="ManualHeading2"/>
      </w:pPr>
      <w:r w:rsidRPr="00357FBC">
        <w:t>1.2.</w:t>
      </w:r>
      <w:r w:rsidRPr="00357FBC">
        <w:tab/>
        <w:t>Σχετικοί τομείς πολιτικής στη δομή ΔΒΔ/ΠΒΔ</w:t>
      </w:r>
      <w:r w:rsidRPr="00357FBC">
        <w:rPr>
          <w:rStyle w:val="FootnoteReference"/>
        </w:rPr>
        <w:footnoteReference w:id="15"/>
      </w:r>
      <w:r w:rsidRPr="00357FBC">
        <w:t xml:space="preserve"> </w:t>
      </w:r>
    </w:p>
    <w:p w:rsidR="00E76F98" w:rsidRPr="00357FBC" w:rsidRDefault="00E76F98" w:rsidP="00E76F98">
      <w:pPr>
        <w:pStyle w:val="Text1"/>
      </w:pPr>
      <w:r w:rsidRPr="00357FBC">
        <w:t>Τομέας πολιτικής:</w:t>
      </w:r>
      <w:r w:rsidRPr="00357FBC">
        <w:tab/>
        <w:t>Τίτλος 01 – Οικονομικές και χρηματοδοτικές υποθέσεις</w:t>
      </w:r>
    </w:p>
    <w:p w:rsidR="00E76F98" w:rsidRPr="00357FBC" w:rsidRDefault="00E76F98" w:rsidP="00E76F98">
      <w:pPr>
        <w:pStyle w:val="Text1"/>
      </w:pPr>
      <w:r w:rsidRPr="00357FBC">
        <w:t>Δραστηριότητα:</w:t>
      </w:r>
      <w:r w:rsidRPr="00357FBC">
        <w:tab/>
        <w:t>03 — Διεθνείς οικονομικές και χρηματοδοτικές υποθέσεις</w:t>
      </w:r>
    </w:p>
    <w:p w:rsidR="00E76F98" w:rsidRPr="00357FBC" w:rsidRDefault="00E76F98" w:rsidP="00E76F98">
      <w:pPr>
        <w:pStyle w:val="ManualHeading2"/>
      </w:pPr>
      <w:r w:rsidRPr="00357FBC">
        <w:t>1.3.</w:t>
      </w:r>
      <w:r w:rsidRPr="00357FBC">
        <w:tab/>
        <w:t xml:space="preserve">Χαρακτήρας της πρότασης/πρωτοβουλίας </w:t>
      </w:r>
    </w:p>
    <w:p w:rsidR="00E76F98" w:rsidRPr="00357FBC" w:rsidRDefault="00E76F98" w:rsidP="00E76F98">
      <w:pPr>
        <w:pStyle w:val="Text1"/>
        <w:rPr>
          <w:b/>
        </w:rPr>
      </w:pPr>
      <w:r w:rsidRPr="00357FBC">
        <w:t xml:space="preserve">X </w:t>
      </w:r>
      <w:r w:rsidRPr="00357FBC">
        <w:rPr>
          <w:sz w:val="22"/>
        </w:rPr>
        <w:t>Η πρόταση/πρωτοβουλία αφορά</w:t>
      </w:r>
      <w:r w:rsidRPr="00357FBC">
        <w:rPr>
          <w:b/>
          <w:sz w:val="22"/>
        </w:rPr>
        <w:t xml:space="preserve"> νέα δράση</w:t>
      </w:r>
      <w:r w:rsidRPr="00357FBC">
        <w:rPr>
          <w:b/>
        </w:rPr>
        <w:t xml:space="preserve"> </w:t>
      </w:r>
    </w:p>
    <w:p w:rsidR="00E76F98" w:rsidRPr="00357FBC" w:rsidRDefault="00E76F98" w:rsidP="00E76F98">
      <w:pPr>
        <w:pStyle w:val="ManualHeading2"/>
      </w:pPr>
      <w:r w:rsidRPr="00357FBC">
        <w:t>1.4.</w:t>
      </w:r>
      <w:r w:rsidRPr="00357FBC">
        <w:tab/>
        <w:t>Στόχοι</w:t>
      </w:r>
    </w:p>
    <w:p w:rsidR="00E76F98" w:rsidRPr="00357FBC" w:rsidRDefault="00E76F98" w:rsidP="00E76F98">
      <w:pPr>
        <w:pStyle w:val="ManualHeading3"/>
        <w:rPr>
          <w:b/>
        </w:rPr>
      </w:pPr>
      <w:r w:rsidRPr="00357FBC">
        <w:t>1.4.1.</w:t>
      </w:r>
      <w:r w:rsidRPr="00357FBC">
        <w:tab/>
        <w:t>Ο (Οι) πολυετής(-είς) στρατηγικός(-οί) στόχος(-οι) της Επιτροπής τον(τους) οποίο(-ους) αφορά η πρόταση/ πρωτοβουλία</w:t>
      </w:r>
      <w:r w:rsidRPr="00357FBC">
        <w:rPr>
          <w:b/>
        </w:rPr>
        <w:t xml:space="preserve"> </w:t>
      </w:r>
    </w:p>
    <w:p w:rsidR="00E76F98" w:rsidRPr="00357FBC" w:rsidRDefault="00E76F98" w:rsidP="00E76F98">
      <w:pPr>
        <w:pStyle w:val="Text1"/>
      </w:pPr>
      <w:r w:rsidRPr="00357FBC">
        <w:t>«Νέα ώθηση στην απασχόληση, την ανάπτυξη και τις επενδύσεις: προώθηση της ευημερίας πέραν των συνόρων της ΕΕ»</w:t>
      </w:r>
    </w:p>
    <w:p w:rsidR="00E76F98" w:rsidRPr="00357FBC" w:rsidRDefault="00E76F98" w:rsidP="00E76F98">
      <w:pPr>
        <w:pStyle w:val="Text1"/>
      </w:pPr>
      <w:r w:rsidRPr="00357FBC">
        <w:t xml:space="preserve">Οι σχετικές δραστηριότητες της ΓΔ ECFIN είναι οι ακόλουθες: </w:t>
      </w:r>
    </w:p>
    <w:p w:rsidR="00E76F98" w:rsidRPr="00357FBC" w:rsidRDefault="00EE0AD7" w:rsidP="00EE0AD7">
      <w:pPr>
        <w:pStyle w:val="Point1"/>
      </w:pPr>
      <w:bookmarkStart w:id="1" w:name="DQPStarAt1DQPStarAt351C4F57ADBE4CD1A629F"/>
      <w:r>
        <w:t>α)</w:t>
      </w:r>
      <w:r w:rsidRPr="00EE0AD7">
        <w:tab/>
      </w:r>
      <w:r w:rsidR="00E76F98" w:rsidRPr="00357FBC">
        <w:t xml:space="preserve">Στήριξη της μακροοικονομικής σταθερότητας και προώθηση των μεταρρυθμίσεων που ενισχύουν την ανάπτυξη εκτός της ΕΕ, μεταξύ άλλων μέσω τακτικού οικονομικού διαλόγου με τους βασικούς εταίρους και με τη χορήγηση μακροοικονομικής χρηματοδοτικής συνδρομής· και </w:t>
      </w:r>
    </w:p>
    <w:bookmarkEnd w:id="1"/>
    <w:p w:rsidR="00E76F98" w:rsidRPr="00357FBC" w:rsidRDefault="00EE0AD7" w:rsidP="00EE0AD7">
      <w:pPr>
        <w:pStyle w:val="Point1"/>
      </w:pPr>
      <w:r>
        <w:t>β)</w:t>
      </w:r>
      <w:r w:rsidRPr="00EE0AD7">
        <w:tab/>
      </w:r>
      <w:r w:rsidR="00E76F98" w:rsidRPr="00357FBC">
        <w:t xml:space="preserve">Στήριξη της διαδικασίας διεύρυνσης, της εφαρμογής της πολιτικής γειτονίας της ΕΕ και των προτεραιοτήτων της ΕΕ σε τρίτες χώρες μέσω της διενέργειας οικονομικής ανάλυσης και της παροχής εκτιμήσεων πολιτικής και συμβουλών. </w:t>
      </w:r>
    </w:p>
    <w:p w:rsidR="00E76F98" w:rsidRPr="00357FBC" w:rsidRDefault="00E76F98" w:rsidP="00E76F98">
      <w:pPr>
        <w:pStyle w:val="ManualHeading3"/>
      </w:pPr>
      <w:r w:rsidRPr="00357FBC">
        <w:t>1.4.2.</w:t>
      </w:r>
      <w:r w:rsidRPr="00357FBC">
        <w:tab/>
        <w:t>Ειδικός/-οί στόχος/-οι και δραστηριότητα/-ες ΔΒΔ/ΠΒΔ</w:t>
      </w:r>
    </w:p>
    <w:p w:rsidR="00E76F98" w:rsidRPr="00357FBC" w:rsidRDefault="00E76F98" w:rsidP="00E76F98">
      <w:pPr>
        <w:pStyle w:val="Text1"/>
      </w:pPr>
      <w:r w:rsidRPr="00357FBC">
        <w:rPr>
          <w:u w:val="single"/>
        </w:rPr>
        <w:t>Ειδικός στόχος:</w:t>
      </w:r>
      <w:r w:rsidRPr="00357FBC">
        <w:t xml:space="preserve"> «Προώθηση της ευημερίας πέραν των συνόρων της ΕΕ»</w:t>
      </w:r>
    </w:p>
    <w:p w:rsidR="00E76F98" w:rsidRPr="00357FBC" w:rsidRDefault="00E76F98" w:rsidP="00E76F98">
      <w:pPr>
        <w:pStyle w:val="Text1"/>
        <w:rPr>
          <w:u w:val="single"/>
        </w:rPr>
      </w:pPr>
      <w:r w:rsidRPr="00357FBC">
        <w:rPr>
          <w:u w:val="single"/>
        </w:rPr>
        <w:t>Σχετική(-ές) δραστηριότητα(-ες) ΔΒΔ/ΠΒΔ:</w:t>
      </w:r>
    </w:p>
    <w:p w:rsidR="00E76F98" w:rsidRPr="00357FBC" w:rsidRDefault="00EE0AD7" w:rsidP="00EE0AD7">
      <w:pPr>
        <w:pStyle w:val="Point1"/>
      </w:pPr>
      <w:bookmarkStart w:id="2" w:name="DQPStarAt1DQPStarAtF7758E04FF5D423898176"/>
      <w:r>
        <w:t>α)</w:t>
      </w:r>
      <w:r w:rsidRPr="00EE0AD7">
        <w:tab/>
      </w:r>
      <w:r w:rsidR="00E76F98" w:rsidRPr="00357FBC">
        <w:t xml:space="preserve">Στήριξη της μακροοικονομικής σταθερότητας και προώθηση των μεταρρυθμίσεων που ενισχύουν την ανάπτυξη εκτός της ΕΕ, μεταξύ άλλων μέσω τακτικού οικονομικού διαλόγου με τους βασικούς εταίρους και με τη χορήγηση μακροοικονομικής χρηματοδοτικής συνδρομής· και </w:t>
      </w:r>
    </w:p>
    <w:bookmarkEnd w:id="2"/>
    <w:p w:rsidR="00E76F98" w:rsidRPr="00357FBC" w:rsidRDefault="00EE0AD7" w:rsidP="00EE0AD7">
      <w:pPr>
        <w:pStyle w:val="Point1"/>
        <w:rPr>
          <w:bCs/>
        </w:rPr>
      </w:pPr>
      <w:r>
        <w:t>β)</w:t>
      </w:r>
      <w:r w:rsidRPr="00EE0AD7">
        <w:tab/>
      </w:r>
      <w:r w:rsidR="00E76F98" w:rsidRPr="00357FBC">
        <w:t xml:space="preserve">Στήριξη της διαδικασίας διεύρυνσης, της εφαρμογής της πολιτικής γειτονίας της ΕΕ και των προτεραιοτήτων της ΕΕ σε τρίτες χώρες μέσω της διενέργειας οικονομικής ανάλυσης και της παροχής εκτιμήσεων πολιτικής και συμβουλών. </w:t>
      </w:r>
    </w:p>
    <w:p w:rsidR="00E76F98" w:rsidRPr="00357FBC" w:rsidRDefault="00E76F98" w:rsidP="00E76F98">
      <w:pPr>
        <w:pStyle w:val="ManualHeading3"/>
        <w:rPr>
          <w:b/>
        </w:rPr>
      </w:pPr>
      <w:r w:rsidRPr="00357FBC">
        <w:t>1.4.3.</w:t>
      </w:r>
      <w:r w:rsidRPr="00357FBC">
        <w:tab/>
        <w:t>Αναμενόμενο/-α αποτέλεσμα/-τα και επιπτώσεις</w:t>
      </w:r>
    </w:p>
    <w:p w:rsidR="00E76F98" w:rsidRPr="00357FBC" w:rsidRDefault="00E76F98" w:rsidP="00E76F98">
      <w:pPr>
        <w:pStyle w:val="Text1"/>
        <w:rPr>
          <w:b/>
          <w:u w:val="single"/>
        </w:rPr>
      </w:pPr>
      <w:r w:rsidRPr="00357FBC">
        <w:t xml:space="preserve">Η προτεινόμενη συνδρομή αποτελείται από δάνειο της ΕΕ ανώτατου ποσού 35 εκατ. EUR και επιχορήγηση ανώτατου ποσού 10 εκατ. EUR προς τη Γεωργία, με σκοπό να συμβάλει στην εδραίωση μιας περισσότερο διατηρήσιμης κατάστασης του ισοζυγίου πληρωμών. Η συνδρομή, η οποία θα εκταμιευτεί σε δύο δόσεις, αναμένεται ότι θα βοηθήσει τη χώρα να εξέλθει από τη δυσχερή οικονομική κατάσταση και την κατάσταση του ισοζυγίου πληρωμών που αντιμετωπίζει. Επίσης, θα προωθήσει διαρθρωτικές μεταρρυθμίσεις που αποσκοπούν στην αύξηση της βιώσιμης οικονομικής ανάπτυξης, στη μείωση των μακροοικονομικών ανισορροπιών και στη βελτίωση της διαχείρισης των δημόσιων οικονομικών. </w:t>
      </w:r>
    </w:p>
    <w:p w:rsidR="00E76F98" w:rsidRPr="00357FBC" w:rsidRDefault="00E76F98" w:rsidP="00E76F98">
      <w:pPr>
        <w:pStyle w:val="ManualHeading3"/>
      </w:pPr>
      <w:r w:rsidRPr="00357FBC">
        <w:t>1.4.4.</w:t>
      </w:r>
      <w:r w:rsidRPr="00357FBC">
        <w:tab/>
        <w:t xml:space="preserve">Δείκτες αποτελεσμάτων και επιπτώσεων </w:t>
      </w:r>
    </w:p>
    <w:p w:rsidR="00E76F98" w:rsidRPr="00357FBC" w:rsidRDefault="00E76F98" w:rsidP="00E76F98">
      <w:pPr>
        <w:pStyle w:val="Text1"/>
      </w:pPr>
      <w:r w:rsidRPr="00357FBC">
        <w:t xml:space="preserve">Οι αρχές θα πρέπει να υποβάλλουν αναφορά σε τακτική βάση προς τις υπηρεσίες της Επιτροπής σχετικά με ένα σύνολο δεικτών, καθώς και διεξοδική έκθεση όσον αφορά τη συμμόρφωση με τους συμφωνηθέντες όρους πολιτικής πριν από την εκταμίευση όλων των δόσεων της συνδρομής. </w:t>
      </w:r>
    </w:p>
    <w:p w:rsidR="00E76F98" w:rsidRPr="00357FBC" w:rsidRDefault="00E76F98" w:rsidP="00E76F98">
      <w:pPr>
        <w:pStyle w:val="Text1"/>
      </w:pPr>
      <w:r w:rsidRPr="00357FBC">
        <w:t xml:space="preserve">Οι υπηρεσίες της Επιτροπής θα συνεχίσουν να παρακολουθούν τη διαχείριση των δημόσιων οικονομικών μετά την επιχειρησιακή αξιολόγηση των χρηματοπιστωτικών δικτύων και των διοικητικών διαδικασιών στη Γεωργία που διενεργήθηκε κατά την προετοιμασία της παρούσας πράξης. Η αντιπροσωπία της ΕΕ στην Τιφλίδα θα υποβάλλει επίσης τακτική αναφορά σχετικά με θέματα που αφορούν την παρακολούθηση της συνδρομής. Οι υπηρεσίες της Επιτροπής θα βρίσκονται σε στενή συνεργασία με το ΔΝΤ και την Παγκόσμια Τράπεζα προκειμένου να επωφεληθούν από την πείρα και τις δραστηριότητες που αναπτύσσουν οι οργανισμοί αυτοί στη Γεωργία. </w:t>
      </w:r>
    </w:p>
    <w:p w:rsidR="00E76F98" w:rsidRPr="00357FBC" w:rsidRDefault="00E76F98" w:rsidP="00E76F98">
      <w:pPr>
        <w:pStyle w:val="Text1"/>
      </w:pPr>
      <w:r w:rsidRPr="00357FBC">
        <w:t>Η πρόταση νομοθετικής απόφασης προβλέπει την υποβολή ετήσιας έκθεσης προς το Συμβούλιο και το Ευρωπαϊκό Κοινοβούλιο, η οποία θα περιλαμβάνει εκτίμηση της υλοποίησης της παρούσας πράξης. Εντός δύο ετών από τη λήξη της περιόδου διαθεσιμότητας θα διενεργηθεί ανεξάρτητη εκ των υστέρων αξιολόγηση της συνδρομής.</w:t>
      </w:r>
    </w:p>
    <w:p w:rsidR="00E76F98" w:rsidRPr="00357FBC" w:rsidRDefault="00E76F98" w:rsidP="00E76F98">
      <w:pPr>
        <w:pStyle w:val="ManualHeading2"/>
      </w:pPr>
      <w:r w:rsidRPr="00357FBC">
        <w:t>1.5.</w:t>
      </w:r>
      <w:r w:rsidRPr="00357FBC">
        <w:tab/>
        <w:t xml:space="preserve">Αιτιολόγηση της πρότασης/πρωτοβουλίας </w:t>
      </w:r>
    </w:p>
    <w:p w:rsidR="00E76F98" w:rsidRPr="00357FBC" w:rsidRDefault="00E76F98" w:rsidP="00E76F98">
      <w:pPr>
        <w:pStyle w:val="ManualHeading3"/>
        <w:rPr>
          <w:b/>
        </w:rPr>
      </w:pPr>
      <w:r w:rsidRPr="00357FBC">
        <w:t>1.5.1.</w:t>
      </w:r>
      <w:r w:rsidRPr="00357FBC">
        <w:tab/>
        <w:t>Βραχυπρόθεσμη ή μακροπρόθεσμη κάλυψη αναγκών</w:t>
      </w:r>
      <w:r w:rsidRPr="00357FBC">
        <w:rPr>
          <w:b/>
        </w:rPr>
        <w:t xml:space="preserve"> </w:t>
      </w:r>
    </w:p>
    <w:p w:rsidR="00E76F98" w:rsidRPr="00357FBC" w:rsidRDefault="00E76F98" w:rsidP="00E76F98">
      <w:pPr>
        <w:pStyle w:val="Text1"/>
      </w:pPr>
      <w:r w:rsidRPr="00357FBC">
        <w:t xml:space="preserve">Η εκταμίευση της συνδρομής θα εξαρτηθεί από την ικανοποιητική εφαρμογή του συμφωνηθέντος οικονομικού προγράμματος μεταξύ της Γεωργίας και του ΔΝΤ, το οποίο εγκρίθηκε από το Εκτελεστικό Συμβούλιο του ΔΝΤ στις 12 Απριλίου 2017. Επιπλέον, η Επιτροπή συμφωνεί με τις αρχές της Γεωργίας ορισμένους όρους πολιτικής, οι οποίοι παρατίθενται σε μνημόνιο συνεννόησης και η ικανοποιητική τήρηση των οποίων αποτελεί προαπαιτούμενο για την αποδέσμευση της δεύτερης δόσης από την Επιτροπή. </w:t>
      </w:r>
    </w:p>
    <w:p w:rsidR="00E76F98" w:rsidRPr="00357FBC" w:rsidRDefault="00E76F98" w:rsidP="00E76F98">
      <w:pPr>
        <w:pStyle w:val="ManualHeading3"/>
      </w:pPr>
      <w:r w:rsidRPr="00357FBC">
        <w:t>1.5.2.</w:t>
      </w:r>
      <w:r w:rsidRPr="00357FBC">
        <w:tab/>
        <w:t>Προστιθέμενη αξία παρέμβασης της ΕΕ</w:t>
      </w:r>
    </w:p>
    <w:p w:rsidR="00E76F98" w:rsidRPr="00357FBC" w:rsidRDefault="00E76F98" w:rsidP="00E76F98">
      <w:pPr>
        <w:pStyle w:val="Text1"/>
      </w:pPr>
      <w:r w:rsidRPr="00357FBC">
        <w:t xml:space="preserve">Η προτεινόμενη ΜΧΣ θα βοηθήσει τη Γεωργία να αντιμετωπίσει τις επιπτώσεις του αδύναμου εξωτερικού περιβάλλοντος το οποίο, μέσω της μείωσης των εξαγωγών και των εμβασμάτων, οδήγησε σε σχετικά χαμηλή αύξηση του ΑΕΠ το 2016, να μειώσει την ευπάθεια της κατάστασης του ισοζυγίου πληρωμών της χώρας και να αντεπεξέλθει στην προσαρμογή προς τις απαιτήσεις της DCFTA. Με αυτό τον τρόπο, η προτεινόμενη ΜΧΣ θα συμβάλει στην προώθηση της μακροοικονομικής σταθερότητας και των διαρθρωτικών μεταρρυθμίσεων στη χώρα. Συμπληρώνοντας τους πόρους που διατίθενται από τους διεθνείς χρηματοδοτικούς οργανισμούς, άλλα μέσα της ΕΕ και λοιπούς χορηγούς, θα συμβάλει στη συνολική αποτελεσματικότητα του πακέτου χρηματοδοτικής στήριξης που χορηγήθηκε από τη διεθνή κοινότητα χορηγών. </w:t>
      </w:r>
    </w:p>
    <w:p w:rsidR="00E76F98" w:rsidRPr="00357FBC" w:rsidRDefault="00E76F98" w:rsidP="00E76F98">
      <w:pPr>
        <w:pStyle w:val="Text1"/>
      </w:pPr>
      <w:r w:rsidRPr="00357FBC">
        <w:t>Το προτεινόμενο πρόγραμμα θα ενισχύσει επίσης τη δέσμευση της κυβέρνησης για μεταρρυθμίσεις και τη βούλησή της για στενότερες σχέσεις με την ΕΕ. Το αποτέλεσμα αυτό θα επιτευχθεί, μεταξύ άλλων, με την επιβολή κατάλληλων όρων για την εκταμίευση της συνδρομής. Σε ευρύτερο πλαίσιο, το πρόγραμμα θα μεταδώσει στις άλλες χώρες της περιφέρειας το μήνυμα ότι η ΕΕ συνεχίζει να στηρίζει χώρες που εισέρχονται σε μια σαφή διαδικασία πολιτικών μεταρρυθμίσεων σε περιόδους οικονομικών δυσχερειών.</w:t>
      </w:r>
    </w:p>
    <w:p w:rsidR="00E76F98" w:rsidRPr="00357FBC" w:rsidRDefault="00E76F98" w:rsidP="00E76F98">
      <w:pPr>
        <w:pStyle w:val="ManualHeading3"/>
      </w:pPr>
      <w:r w:rsidRPr="00357FBC">
        <w:t>1.5.3.</w:t>
      </w:r>
      <w:r w:rsidRPr="00357FBC">
        <w:tab/>
        <w:t>Διδάγματα που αποκομίστηκαν από ανάλογες εμπειρίες του παρελθόντος</w:t>
      </w:r>
    </w:p>
    <w:p w:rsidR="00E76F98" w:rsidRPr="00357FBC" w:rsidRDefault="00E76F98" w:rsidP="00E76F98">
      <w:pPr>
        <w:pStyle w:val="Text1"/>
      </w:pPr>
      <w:r w:rsidRPr="00357FBC">
        <w:t>Από το 2004 έχουν διενεργηθεί περισσότερες από δεκαπέντε εκ των υστέρων αξιολογήσεις πράξεων μακροοικονομικής χρηματοδοτικής συνδρομής. Οι εν λόγω αξιολογήσεις κατέληξαν στο συμπέρασμα ότι οι πράξεις ΜΧΣ συμβάλλουν, αν και ενίοτε σε μέτριο βαθμό και με έμμεσο τρόπο, στη βελτίωση της βιωσιμότητας του εξωτερικού χρέους και της μακροοικονομικής σταθερότητας, καθώς και στην επίτευξη διαρθρωτικών μεταρρυθμίσεων στην αποδέκτρια χώρα. Στις περισσότερες περιπτώσεις, οι πράξεις ΜΧΣ είχαν θετικό αντίκτυπο στο ισοζύγιο πληρωμών της δικαιούχου χώρας και συνέβαλαν στη χαλάρωση των δημοσιονομικών περιορισμών της. Οδήγησαν επίσης και σε ελαφρά αύξηση της οικονομικής ανάπτυξης.</w:t>
      </w:r>
    </w:p>
    <w:p w:rsidR="00E76F98" w:rsidRPr="00357FBC" w:rsidRDefault="00E76F98" w:rsidP="00E76F98">
      <w:pPr>
        <w:pStyle w:val="ManualHeading3"/>
      </w:pPr>
      <w:r w:rsidRPr="00357FBC">
        <w:t>1.5.4.</w:t>
      </w:r>
      <w:r w:rsidRPr="00357FBC">
        <w:tab/>
        <w:t>Συμβατότητα και ενδεχόμενη συνέργεια με άλλα κατάλληλα μέσα</w:t>
      </w:r>
    </w:p>
    <w:p w:rsidR="00E76F98" w:rsidRPr="00357FBC" w:rsidRDefault="00E76F98" w:rsidP="00F2620F">
      <w:pPr>
        <w:pStyle w:val="Text1"/>
      </w:pPr>
      <w:r w:rsidRPr="00357FBC">
        <w:t>Η ΕΕ είναι ο σημαντικότερος χορηγός βοήθειας στη Γεωργία. Η συνδρομή της ΕΕ που διατέθηκε για τη Γεωργία στο πλαίσιο του ευρωπαϊκού μηχανισμού γειτονίας και εταιρικής σχέσης (ΕΜΓΕΣ) για την περίοδο 2007-2013 ανήλθε συνολικά σε 452 εκατ. EUR. Για την περίοδο 2014-2020, στο πλαίσιο του ευρωπαϊκού μηχανισμού γειτονίας (ΕΜΓ), η συνδρομή της ΕΕ προς τη Γεωργία μπορεί να κυμαίνεται μεταξύ ελάχιστης χορήγησης 610 εκατ. EUR και μέγιστης χορήγησης 746 εκατ. EUR. Τα κεφάλαια αυτά συμπληρώνονται με χρηματοδότηση από άλλα μέσα της ΕΕ, όπως το ταμείο επενδύσεων γειτονίας (NIF). Πέραν των προγραμμάτων διμερούς συνεργασίας, η Γεωργία επωφελείται επίσης από διάφορα περιφερειακά προγράμματα, κυρίως στους τομείς των μεταφορών, της ενέργειας και του περιβάλλοντος. Η Γεωργία συμμετέχει επίσης σε πρωτοβουλίες οι οποίες είναι ανοικτές σε όλες τις χώρες της γειτονίας, όπως Erasmus+, TAIEX και SIGMA. Πέραν του ΕΜΓ, η Γεωργία είναι επιλέξιμη για χρηματοδότηση στο πλαίσιο των ακόλουθων θεματικών μέσων και προγραμμάτων της ΕΕ: ευρωπαϊκό μέσο για τη δημοκρατία και τα δικαιώματα του ανθρώπου (EIDHR), μηχανισμός συμβολής στη σταθερότητα και την ειρήνη (IcSP), καθώς και προγράμματα για τις οργανώσεις της κοινωνίας των πολιτών και τις τοπικές αρχές, για τη ανθρώπινη ανάπτυξη και τη μετανάστευση και το άσυλο. Επίσης, η Ευρωπαϊκή Τράπεζα Επενδύσεων έχει χορηγήσει από το 2010 δάνεια ύψους 1 267 εκατ. EUR.</w:t>
      </w:r>
    </w:p>
    <w:p w:rsidR="00E76F98" w:rsidRPr="00357FBC" w:rsidRDefault="00E76F98" w:rsidP="00E76F98">
      <w:pPr>
        <w:pStyle w:val="Text1"/>
      </w:pPr>
      <w:r w:rsidRPr="00357FBC">
        <w:t>Η καθοριστική προστιθέμενη αξία της ΜΧΣ σε σύγκριση με άλλα ενωσιακά μέσα θα είναι η δημιουργία ενός σταθερού μακροοικονομικού πλαισίου, συμπεριλαμβανομένης της προαγωγής διατηρήσιμου ισοζυγίου πληρωμών και διατηρήσιμης δημοσιονομικής κατάστασης, και ενός κατάλληλου πλαισίου για διαρθρωτικές μεταρρυθμίσεις. Η ΜΧΣ δεν παρέχει τακτική χρηματοδοτική στήριξη για τη μακροπρόθεσμη οικονομική και κοινωνική ανάπτυξη των αποδεκτριών χωρών. Θα διακοπεί μόλις η κατάσταση του εξωτερικού χρέους της χώρας επανέλθει σε βιώσιμη τροχιά. Στη συνέχεια θα χρησιμοποιηθούν τα κανονικά μέσα συνδρομής συνεργασίας της ΕΕ.</w:t>
      </w:r>
    </w:p>
    <w:p w:rsidR="00E76F98" w:rsidRPr="00357FBC" w:rsidRDefault="00E76F98" w:rsidP="00E76F98">
      <w:pPr>
        <w:pStyle w:val="Text1"/>
      </w:pPr>
      <w:r w:rsidRPr="00357FBC">
        <w:t>Επίσης, η ΜΧΣ προορίζεται είναι συμπληρωματική προς τις παρεμβάσεις των διεθνών χρηματοπιστωτικών οργανισμών, και ειδικότερα τα προγράμματα προσαρμογής και μεταρρύθμισης που στηρίζονται από τη διευρυμένη χρηματοδοτική διευκόλυνση του ΔΝΤ και τα δάνεια αναπτυξιακής πολιτικής της Παγκόσμιας Τράπεζας.</w:t>
      </w:r>
    </w:p>
    <w:p w:rsidR="00E76F98" w:rsidRPr="00357FBC" w:rsidRDefault="00E76F98" w:rsidP="00E76F98">
      <w:pPr>
        <w:pStyle w:val="ManualHeading2"/>
      </w:pPr>
      <w:r w:rsidRPr="00357FBC">
        <w:t>1.6.</w:t>
      </w:r>
      <w:r w:rsidRPr="00357FBC">
        <w:tab/>
        <w:t xml:space="preserve">Διάρκεια και δημοσιονομικές επιπτώσεις </w:t>
      </w:r>
    </w:p>
    <w:p w:rsidR="00E76F98" w:rsidRPr="00357FBC" w:rsidRDefault="00E76F98" w:rsidP="00E76F98">
      <w:pPr>
        <w:pStyle w:val="Text1"/>
      </w:pPr>
      <w:r w:rsidRPr="00357FBC">
        <w:t xml:space="preserve">X Πρόταση/πρωτοβουλία </w:t>
      </w:r>
      <w:r w:rsidRPr="00357FBC">
        <w:rPr>
          <w:b/>
        </w:rPr>
        <w:t xml:space="preserve">περιορισμένης διάρκειας </w:t>
      </w:r>
    </w:p>
    <w:p w:rsidR="00E76F98" w:rsidRPr="00357FBC" w:rsidRDefault="00E76F98" w:rsidP="00E76F98">
      <w:pPr>
        <w:pStyle w:val="Text1"/>
      </w:pPr>
      <w:r w:rsidRPr="00357FBC">
        <w:t xml:space="preserve">X Η πρόταση/πρωτοβουλία ισχύει για δυόμισι έτη από την έναρξη ισχύος του μνημονίου συνεννόησης που αναφέρεται στο άρθρο 1 παράγραφος 4 της απόφασης </w:t>
      </w:r>
    </w:p>
    <w:p w:rsidR="00E76F98" w:rsidRPr="00357FBC" w:rsidRDefault="00E76F98" w:rsidP="00E76F98">
      <w:pPr>
        <w:pStyle w:val="Text1"/>
      </w:pPr>
      <w:r w:rsidRPr="00357FBC">
        <w:t xml:space="preserve">X Η δημοσιονομική επίπτωση αναμένεται να γίνει αισθητή από το 2017 έως το 2020 </w:t>
      </w:r>
    </w:p>
    <w:p w:rsidR="00E76F98" w:rsidRPr="00357FBC" w:rsidRDefault="00E76F98" w:rsidP="00E76F98">
      <w:pPr>
        <w:pStyle w:val="ManualHeading2"/>
      </w:pPr>
      <w:r w:rsidRPr="00357FBC">
        <w:t>1.7.</w:t>
      </w:r>
      <w:r w:rsidRPr="00357FBC">
        <w:tab/>
        <w:t>Προβλεπόμενος(-οι) τρόπος(-οι) διαχείρισης</w:t>
      </w:r>
      <w:r w:rsidRPr="00357FBC">
        <w:rPr>
          <w:rStyle w:val="FootnoteReference"/>
        </w:rPr>
        <w:footnoteReference w:id="16"/>
      </w:r>
      <w:r w:rsidRPr="00357FBC">
        <w:rPr>
          <w:rStyle w:val="FootnoteReference"/>
        </w:rPr>
        <w:t xml:space="preserve"> </w:t>
      </w:r>
    </w:p>
    <w:p w:rsidR="00E76F98" w:rsidRPr="00357FBC" w:rsidRDefault="00E76F98" w:rsidP="00E76F98">
      <w:pPr>
        <w:pStyle w:val="Text1"/>
      </w:pPr>
      <w:r w:rsidRPr="00357FBC">
        <w:t xml:space="preserve">X </w:t>
      </w:r>
      <w:r w:rsidRPr="00357FBC">
        <w:rPr>
          <w:b/>
        </w:rPr>
        <w:t>Άμεση διαχείριση</w:t>
      </w:r>
      <w:r w:rsidRPr="00357FBC">
        <w:t xml:space="preserve"> από την Επιτροπή </w:t>
      </w:r>
    </w:p>
    <w:p w:rsidR="00E76F98" w:rsidRPr="00357FBC" w:rsidRDefault="00E76F98" w:rsidP="00E76F98">
      <w:pPr>
        <w:pStyle w:val="ManualHeading1"/>
      </w:pPr>
      <w:r w:rsidRPr="00357FBC">
        <w:t>2.</w:t>
      </w:r>
      <w:r w:rsidRPr="00357FBC">
        <w:tab/>
        <w:t xml:space="preserve">ΜΕΤΡΑ ΔΙΑΧΕΙΡΙΣΗΣ </w:t>
      </w:r>
    </w:p>
    <w:p w:rsidR="00E76F98" w:rsidRPr="00357FBC" w:rsidRDefault="00E76F98" w:rsidP="00E76F98">
      <w:pPr>
        <w:pStyle w:val="ManualHeading2"/>
      </w:pPr>
      <w:r w:rsidRPr="00357FBC">
        <w:t>2.1.</w:t>
      </w:r>
      <w:r w:rsidRPr="00357FBC">
        <w:tab/>
        <w:t xml:space="preserve">Διατάξεις στον τομέα της παρακολούθησης και της υποβολής εκθέσεων </w:t>
      </w:r>
    </w:p>
    <w:p w:rsidR="00E76F98" w:rsidRPr="00357FBC" w:rsidRDefault="00E76F98" w:rsidP="00E76F98">
      <w:pPr>
        <w:pStyle w:val="Text1"/>
      </w:pPr>
      <w:r w:rsidRPr="00357FBC">
        <w:t xml:space="preserve">Η συνδρομή είναι μακροοικονομικής φύσεως και έχει σχεδιαστεί έτσι ώστε να είναι συμβατή με το οικονομικό πρόγραμμα που στηρίζεται από το ΔΝΤ. Οι υπηρεσίες της Επιτροπής θα παρακολουθούν την πορεία της δράσης με βάση την πρόοδο στην εφαρμογή του προγράμματος του ΔΝΤ και των ειδικών μέτρων μεταρρύθμισης που θα συμφωνηθούν με τις αρχές της Γεωργίας σε μνημόνιο συνεννόησης (βλέπε επίσης σημείο 1.4.4). </w:t>
      </w:r>
    </w:p>
    <w:p w:rsidR="00E76F98" w:rsidRPr="00357FBC" w:rsidRDefault="00E76F98" w:rsidP="00E76F98">
      <w:pPr>
        <w:pStyle w:val="ManualHeading2"/>
      </w:pPr>
      <w:r w:rsidRPr="00357FBC">
        <w:t>2.2.</w:t>
      </w:r>
      <w:r w:rsidRPr="00357FBC">
        <w:tab/>
        <w:t xml:space="preserve">Σύστημα διαχείρισης και ελέγχου </w:t>
      </w:r>
    </w:p>
    <w:p w:rsidR="00E76F98" w:rsidRPr="00357FBC" w:rsidRDefault="00E76F98" w:rsidP="00E76F98">
      <w:pPr>
        <w:pStyle w:val="ManualHeading3"/>
        <w:rPr>
          <w:b/>
        </w:rPr>
      </w:pPr>
      <w:r w:rsidRPr="00357FBC">
        <w:t>2.2.1.</w:t>
      </w:r>
      <w:r w:rsidRPr="00357FBC">
        <w:tab/>
        <w:t>Κίνδυνος/-οι που έχει/-ουν εντοπιστεί</w:t>
      </w:r>
      <w:r w:rsidRPr="00357FBC">
        <w:rPr>
          <w:b/>
        </w:rPr>
        <w:t xml:space="preserve"> </w:t>
      </w:r>
    </w:p>
    <w:p w:rsidR="00E76F98" w:rsidRPr="00357FBC" w:rsidRDefault="00E76F98" w:rsidP="00E76F98">
      <w:pPr>
        <w:pStyle w:val="Text1"/>
      </w:pPr>
      <w:r w:rsidRPr="00357FBC">
        <w:t xml:space="preserve">Υπάρχουν πιστωτικοί κίνδυνοι, κίνδυνοι πολιτικής και πολιτικοί κίνδυνοι που συνδέονται με την προτεινόμενη πράξη ΜΧΣ. </w:t>
      </w:r>
    </w:p>
    <w:p w:rsidR="00E76F98" w:rsidRPr="00357FBC" w:rsidRDefault="00E76F98" w:rsidP="00E76F98">
      <w:pPr>
        <w:pStyle w:val="Text1"/>
      </w:pPr>
      <w:r w:rsidRPr="00357FBC">
        <w:t xml:space="preserve">Υπάρχει κίνδυνος η μακροοικονομική χρηματοδοτική συνδρομή να χρησιμοποιηθεί παρατύπως. Καθώς η ΜΧΣ δεν προορίζεται για συγκεκριμένες δαπάνες που θα πραγματοποιηθούν από τη Γεωργία, ο κίνδυνος αυτός συνδέεται με παράγοντες όπως η γενική ποιότητα των συστημάτων διαχείρισης στην κεντρική τράπεζα και το Υπουργείο Οικονομικών και η καταλληλότητα των ικανοτήτων εσωτερικού και εξωτερικού ελέγχου. </w:t>
      </w:r>
    </w:p>
    <w:p w:rsidR="00E76F98" w:rsidRPr="00357FBC" w:rsidRDefault="00E76F98" w:rsidP="00E76F98">
      <w:pPr>
        <w:pStyle w:val="Text1"/>
      </w:pPr>
      <w:r w:rsidRPr="00357FBC">
        <w:t>Ένας δεύτερος κίνδυνος απορρέει από την πιθανότητα η Γεωργία να  να μην εξοφλήσει τις χρηματοοικονομικές της υποχρεώσεις έναντι της ΕΕ από τα δάνεια της προτεινόμενης ΜΧΣ (κίνδυνος αθέτησης ή πιστωτικός κίνδυνος), κάτι το οποίο θα μπορούσε να προκληθεί, για παράδειγμα, λόγω σημαντικής επιπρόσθετης επιδείνωσης της κατάστασης του ισοζυγίου πληρωμών και της δημοσιονομικής κατάστασης της χώρας.</w:t>
      </w:r>
    </w:p>
    <w:p w:rsidR="00E76F98" w:rsidRPr="00357FBC" w:rsidRDefault="00E76F98" w:rsidP="00F2620F">
      <w:pPr>
        <w:pStyle w:val="Text1"/>
      </w:pPr>
      <w:r w:rsidRPr="00357FBC">
        <w:t>Άλλος βασικός κίνδυνος για την πράξη απορρέει από την περιφερειακή γεωπολιτική κατάσταση, ειδικότερα λόγω των συνεχιζόμενων δύσκολων σχέσεων της Γεωργίας με τη Ρωσία και τις αποσχισθείσες περιφέρειες της Αμπχαζίας και της Νότιας Οσετίας. Η επιδείνωση αυτής της περιφερειακής γεωπολιτικής κατάστασης θα μπορούσε να έχει αρνητικές επιπτώσεις για τη μακροοικονομική σταθερότητα της Γεωργίας, επηρεάζοντας τις επιδόσεις του προγράμματος του ΔΝΤ και την εκταμίευση και/ή την αποπληρωμή της προτεινόμενης ΜΧΣ.</w:t>
      </w:r>
    </w:p>
    <w:p w:rsidR="00E76F98" w:rsidRPr="00357FBC" w:rsidRDefault="00E76F98" w:rsidP="00F2620F">
      <w:pPr>
        <w:pStyle w:val="Text1"/>
        <w:rPr>
          <w:i/>
        </w:rPr>
      </w:pPr>
      <w:r w:rsidRPr="00357FBC">
        <w:t>Τέλος, η οικονομία της Γεωργίας αντιμετωπίζει άλλους ευρύτερους κινδύνους εξαιτίας των αβέβαιων οικονομικών προοπτικών σε περιφερειακό και παγκόσμιο επίπεδο. Η περιφερειακή και η παγκόσμια ανάπτυξη αναμένεται να αυξηθούν το 2017, αλλά θα παραμείνουν σε χαμηλά επίπεδα και θα εξακολουθήσουν να υπόκειται σε κινδύνους υποχώρησης λόγω προστατευτισμού, μεταβλητότητας των χρηματοπιστωτικών αγορών και δυνητικής περαιτέρω ανατίμησης του δολαρίου ΗΠΑ. Εάν οι κίνδυνοι αυτοί γίνουν πραγματικότητα, θα μπορούσαν να περιορίσουν την οικονομική ανάπτυξη της Γεωργίας, κάτι το οποίο σε συνδυασμό με την υψηλή ανισότητα και το σχετικά περιορισμένο δίκτυο κοινωνικής προστασίας, θα μπορούσε να επιβαρύνει τον προϋπολογισμό και να μειώσει την εγχώρια στήριξη για τις διαρθρωτικές μεταρρυθμίσεις.</w:t>
      </w:r>
    </w:p>
    <w:p w:rsidR="00E76F98" w:rsidRPr="00357FBC" w:rsidRDefault="00E76F98" w:rsidP="00E76F98">
      <w:pPr>
        <w:pStyle w:val="ManualHeading3"/>
      </w:pPr>
      <w:r w:rsidRPr="00357FBC">
        <w:t>2.2.2.</w:t>
      </w:r>
      <w:r w:rsidRPr="00357FBC">
        <w:tab/>
        <w:t xml:space="preserve">Προβλεπόμενη(-ες) μέθοδος(-οι) ελέγχου </w:t>
      </w:r>
    </w:p>
    <w:p w:rsidR="00E76F98" w:rsidRPr="00357FBC" w:rsidRDefault="00E76F98" w:rsidP="00E76F98">
      <w:pPr>
        <w:pStyle w:val="Text1"/>
      </w:pPr>
      <w:r w:rsidRPr="00357FBC">
        <w:t xml:space="preserve">Η μακροοικονομική χρηματοδοτική συνδρομή υπόκειται σε διαδικασίες εξακρίβωσης και ελέγχου υπό την ευθύνη της Επιτροπής, συμπεριλαμβανομένης της Ευρωπαϊκής Υπηρεσίας Καταπολέμησης της Απάτης (OLAF), και του Ελεγκτικού Συνεδρίου. </w:t>
      </w:r>
    </w:p>
    <w:p w:rsidR="00E76F98" w:rsidRPr="00357FBC" w:rsidRDefault="00E76F98" w:rsidP="00E76F98">
      <w:pPr>
        <w:pStyle w:val="ManualHeading3"/>
      </w:pPr>
      <w:r w:rsidRPr="00357FBC">
        <w:t>2.2.3.</w:t>
      </w:r>
      <w:r w:rsidRPr="00357FBC">
        <w:tab/>
        <w:t>Κόστος και οφέλη των ελέγχων και πιθανό ποσοστό μη συμμόρφωσης</w:t>
      </w:r>
    </w:p>
    <w:p w:rsidR="00E76F98" w:rsidRPr="00357FBC" w:rsidRDefault="00E76F98" w:rsidP="00E76F98">
      <w:pPr>
        <w:pStyle w:val="Text1"/>
      </w:pPr>
      <w:r w:rsidRPr="00357FBC">
        <w:t xml:space="preserve">Οι βασικές δαπάνες για την Επιτροπή που σχετίζονται με τις μεθόδους επαλήθευσης και ελέγχου περιγράφονται στον πίνακα 3.2.1. Επιπλέον, υπάρχουν δαπάνες για το Ελεγκτικό Συνέδριο και για τις πιθανές παρεμβάσεις της OLAF. Η επιχειρησιακή αξιολόγηση των χρηματοπιστωτικών και διοικητικών κυκλωμάτων της Γεωργίας, η οποία θα εκπονηθεί από τις υπηρεσίες της Επιτροπής –με τη συνδρομή εξωτερικών συμβούλων– το 2017, θα συμβάλει στην εκτίμηση των κινδύνων κατάχρησης των κονδυλίων και, ως παράπλευρο όφελος, θα παράσχει χρήσιμες πληροφορίες σχετικά με τις απαραίτητες μεταρρυθμίσεις στον τομέα της διαχείρισης των δημόσιων οικονομικών, οι οποίες θα μπορούσαν στη συνέχεια να ενσωματωθούν στους όρους πολιτικής της πράξης. Όσον αφορά το πιθανό ποσοστό μη συμμόρφωσης, ο κίνδυνος μη συμμόρφωσης (μη αποπληρωμή του δανείου ή κατάχρηση των κονδυλίων) κρίνεται χαμηλός βάσει της πείρας που έχει συσσωρευτεί σε σχέση με τον μηχανισμό της ΜΧΣ από τη δημιουργία του. </w:t>
      </w:r>
    </w:p>
    <w:p w:rsidR="00E76F98" w:rsidRPr="00357FBC" w:rsidRDefault="00E76F98" w:rsidP="00E76F98">
      <w:pPr>
        <w:pStyle w:val="ManualHeading2"/>
      </w:pPr>
      <w:r w:rsidRPr="00357FBC">
        <w:t>2.3.</w:t>
      </w:r>
      <w:r w:rsidRPr="00357FBC">
        <w:tab/>
        <w:t xml:space="preserve">Μέτρα για την πρόληψη περιπτώσεων απάτης και παρατυπίας </w:t>
      </w:r>
    </w:p>
    <w:p w:rsidR="00E76F98" w:rsidRPr="00357FBC" w:rsidRDefault="00E76F98" w:rsidP="00E76F98">
      <w:pPr>
        <w:pStyle w:val="Text1"/>
      </w:pPr>
      <w:r w:rsidRPr="00357FBC">
        <w:t xml:space="preserve">Προκειμένου να μετριαστούν οι κίνδυνοι παράτυπης χρήσης, θα ληφθούν ορισμένα μέτρα: </w:t>
      </w:r>
    </w:p>
    <w:p w:rsidR="00E76F98" w:rsidRPr="00357FBC" w:rsidRDefault="00E76F98" w:rsidP="00E76F98">
      <w:pPr>
        <w:pStyle w:val="Text1"/>
      </w:pPr>
      <w:r w:rsidRPr="00357FBC">
        <w:t xml:space="preserve">Πρώτον, η συμφωνία δανειοδότησης και η συμφωνία επιχορήγησης θα περιλαμβάνουν δέσμη διατάξεων σχετικά με την επιθεώρηση, την πρόληψη της διαφθοράς, τους λογιστικούς ελέγχους και την ανάκτηση κεφαλαίων σε περίπτωση απάτης ή διαφθοράς. Επίσης, η συνδρομή θα καταβληθεί σε ειδικό λογαριασμό στην Εθνική Τράπεζα της Γεωργίας. </w:t>
      </w:r>
    </w:p>
    <w:p w:rsidR="00E76F98" w:rsidRPr="00357FBC" w:rsidRDefault="00E76F98" w:rsidP="00E76F98">
      <w:pPr>
        <w:pStyle w:val="Text1"/>
      </w:pPr>
      <w:r w:rsidRPr="00357FBC">
        <w:t xml:space="preserve">Επιπλέον, οι υπηρεσίες της Επιτροπής, με τη συνδρομή εξωτερικών συμβούλων, βρίσκονται στο στάδιο οριστικοποίησης σχεδίου επιχειρησιακής αξιολόγησης σχετικά με την αξιοπιστία των χρηματοπιστωτικών κυκλωμάτων και των διοικητικών διαδικασιών που συνδέονται με αυτό το είδος συνδρομής. Βάσει των προκαταρκτικών πορισμάτων των συμβούλων (που παραλήφθηκαν τον Σεπτέμβριο του 2017) προκύπτει ότι η τρέχουσα κατάσταση των διοικητικών και χρηματοπιστωτικών δικτύων της Γεωργίας είναι επαρκής για τη διαχείριση μιας νέας πράξης ΜΧΣ, μολονότι εξακολουθούν να υπάρχουν ορισμένες αδυναμίες. </w:t>
      </w:r>
    </w:p>
    <w:p w:rsidR="00E76F98" w:rsidRPr="00357FBC" w:rsidRDefault="00E76F98" w:rsidP="00E76F98">
      <w:pPr>
        <w:pStyle w:val="Text1"/>
      </w:pPr>
      <w:r w:rsidRPr="00357FBC">
        <w:t>Τέλος, η συνδρομή υπόκειται σε διαδικασίες εξακρίβωσης και ελέγχου υπό την ευθύνη της Επιτροπής, συμπεριλαμβανομένης της Ευρωπαϊκής Υπηρεσίας Καταπολέμησης της Απάτης (OLAF) και του Ελεγκτικού Συνεδρίου.</w:t>
      </w:r>
    </w:p>
    <w:p w:rsidR="00E76F98" w:rsidRPr="00357FBC" w:rsidRDefault="00E76F98" w:rsidP="00E76F98">
      <w:pPr>
        <w:pStyle w:val="ManualHeading1"/>
      </w:pPr>
      <w:r w:rsidRPr="00357FBC">
        <w:t>3.</w:t>
      </w:r>
      <w:r w:rsidRPr="00357FBC">
        <w:tab/>
        <w:t xml:space="preserve">ΕΚΤΙΜΩΜΕΝΕΣ ΔΗΜΟΣΙΟΝΟΜΙΚΕΣ ΕΠΙΠΤΩΣΕΙΣ ΤΗΣ ΠΡΟΤΑΣΗΣ/ΠΡΩΤΟΒΟΥΛΙΑΣ </w:t>
      </w:r>
    </w:p>
    <w:p w:rsidR="00E76F98" w:rsidRPr="00357FBC" w:rsidRDefault="00E76F98" w:rsidP="00E76F98">
      <w:pPr>
        <w:pStyle w:val="ManualHeading2"/>
      </w:pPr>
      <w:r w:rsidRPr="00357FBC">
        <w:t>3.1.</w:t>
      </w:r>
      <w:r w:rsidRPr="00357FBC">
        <w:tab/>
        <w:t>Τομέας/-είς του πολυετούς δημοσιονομικού πλαισίου και γραμμή/-ές δαπανών του προϋπολογισμού που επηρεάζονται</w:t>
      </w:r>
      <w:r w:rsidRPr="00357FBC">
        <w:rPr>
          <w:i/>
        </w:rPr>
        <w:t xml:space="preserve"> </w:t>
      </w:r>
    </w:p>
    <w:p w:rsidR="00E76F98" w:rsidRPr="00357FBC" w:rsidRDefault="00E76F98" w:rsidP="00E76F98">
      <w:pPr>
        <w:pStyle w:val="ListBullet1"/>
      </w:pPr>
      <w:bookmarkStart w:id="3" w:name="DQPStarAt1DQPStarAt2DF7A59398DA49949E402"/>
      <w:r w:rsidRPr="00357FBC">
        <w:t>Υφιστάμενες γραμμές του προϋπολογισμού</w:t>
      </w:r>
    </w:p>
    <w:bookmarkEnd w:id="3"/>
    <w:p w:rsidR="00E76F98" w:rsidRPr="00357FBC" w:rsidRDefault="00E76F98" w:rsidP="00E76F98">
      <w:pPr>
        <w:pStyle w:val="Text1"/>
      </w:pPr>
      <w:r w:rsidRPr="00357FBC">
        <w:t>01 03 02: Μακροοικονομική χρηματοδοτική συνδρομή</w:t>
      </w:r>
    </w:p>
    <w:p w:rsidR="00E76F98" w:rsidRPr="00357FBC" w:rsidRDefault="00E76F98" w:rsidP="00E76F98">
      <w:pPr>
        <w:pStyle w:val="Text1"/>
      </w:pPr>
      <w:r w:rsidRPr="00357FBC">
        <w:t>01 03 06 – Τροφοδότηση του Ταμείου Εγγυήσεων</w:t>
      </w:r>
    </w:p>
    <w:p w:rsidR="00E76F98" w:rsidRPr="00357FBC" w:rsidRDefault="00E76F98" w:rsidP="00E76F98">
      <w:pPr>
        <w:pStyle w:val="Text1"/>
      </w:pPr>
      <w:r w:rsidRPr="00357FBC">
        <w:t>Σύμφωνα με τη σειρά των τομέων του πολυετούς δημοσιονομικού πλαισίου και των γραμμών του προϋπολογισμού.</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062"/>
        <w:gridCol w:w="1199"/>
        <w:gridCol w:w="1134"/>
        <w:gridCol w:w="1275"/>
        <w:gridCol w:w="1134"/>
        <w:gridCol w:w="1134"/>
      </w:tblGrid>
      <w:tr w:rsidR="00E76F98" w:rsidRPr="00357FBC" w:rsidTr="0031307A">
        <w:tc>
          <w:tcPr>
            <w:tcW w:w="1134" w:type="dxa"/>
            <w:vMerge w:val="restart"/>
            <w:vAlign w:val="center"/>
          </w:tcPr>
          <w:p w:rsidR="00E76F98" w:rsidRPr="00357FBC" w:rsidRDefault="00E76F98" w:rsidP="00B02641">
            <w:pPr>
              <w:spacing w:before="60" w:after="60"/>
              <w:jc w:val="center"/>
            </w:pPr>
            <w:r w:rsidRPr="00357FBC">
              <w:rPr>
                <w:sz w:val="18"/>
              </w:rPr>
              <w:t>Τομέας του πολυετούς δημοσιονομικού πλαισίου</w:t>
            </w:r>
          </w:p>
        </w:tc>
        <w:tc>
          <w:tcPr>
            <w:tcW w:w="2062" w:type="dxa"/>
            <w:vAlign w:val="center"/>
          </w:tcPr>
          <w:p w:rsidR="00E76F98" w:rsidRPr="00357FBC" w:rsidRDefault="00E76F98" w:rsidP="00B02641">
            <w:pPr>
              <w:spacing w:before="60" w:after="60"/>
              <w:jc w:val="center"/>
            </w:pPr>
            <w:r w:rsidRPr="00357FBC">
              <w:rPr>
                <w:sz w:val="20"/>
              </w:rPr>
              <w:t>Γραμμή προϋπολογισμού</w:t>
            </w:r>
          </w:p>
        </w:tc>
        <w:tc>
          <w:tcPr>
            <w:tcW w:w="1199" w:type="dxa"/>
            <w:vAlign w:val="center"/>
          </w:tcPr>
          <w:p w:rsidR="00E76F98" w:rsidRPr="00357FBC" w:rsidRDefault="00E76F98" w:rsidP="00B02641">
            <w:pPr>
              <w:spacing w:before="60" w:after="60"/>
              <w:jc w:val="center"/>
            </w:pPr>
            <w:r w:rsidRPr="00357FBC">
              <w:rPr>
                <w:sz w:val="18"/>
              </w:rPr>
              <w:t xml:space="preserve">Είδος της </w:t>
            </w:r>
            <w:r w:rsidRPr="00357FBC">
              <w:rPr>
                <w:b/>
                <w:sz w:val="18"/>
              </w:rPr>
              <w:br/>
            </w:r>
            <w:r w:rsidRPr="00357FBC">
              <w:rPr>
                <w:sz w:val="18"/>
              </w:rPr>
              <w:t>δαπάνης</w:t>
            </w:r>
          </w:p>
        </w:tc>
        <w:tc>
          <w:tcPr>
            <w:tcW w:w="4677" w:type="dxa"/>
            <w:gridSpan w:val="4"/>
            <w:vAlign w:val="center"/>
          </w:tcPr>
          <w:p w:rsidR="00E76F98" w:rsidRPr="00357FBC" w:rsidRDefault="00E76F98" w:rsidP="00B02641">
            <w:pPr>
              <w:spacing w:before="60" w:after="60"/>
              <w:jc w:val="center"/>
            </w:pPr>
            <w:r w:rsidRPr="00357FBC">
              <w:rPr>
                <w:sz w:val="20"/>
              </w:rPr>
              <w:t xml:space="preserve">Συμμετοχή </w:t>
            </w:r>
          </w:p>
        </w:tc>
      </w:tr>
      <w:tr w:rsidR="00E76F98" w:rsidRPr="00357FBC" w:rsidTr="0031307A">
        <w:tc>
          <w:tcPr>
            <w:tcW w:w="1134" w:type="dxa"/>
            <w:vMerge/>
            <w:vAlign w:val="center"/>
          </w:tcPr>
          <w:p w:rsidR="00E76F98" w:rsidRPr="00357FBC" w:rsidRDefault="00E76F98" w:rsidP="00B02641">
            <w:pPr>
              <w:jc w:val="center"/>
            </w:pPr>
          </w:p>
        </w:tc>
        <w:tc>
          <w:tcPr>
            <w:tcW w:w="2062" w:type="dxa"/>
            <w:vAlign w:val="center"/>
          </w:tcPr>
          <w:p w:rsidR="00E76F98" w:rsidRPr="00357FBC" w:rsidRDefault="00E76F98" w:rsidP="00B02641">
            <w:r w:rsidRPr="00357FBC">
              <w:rPr>
                <w:sz w:val="20"/>
              </w:rPr>
              <w:t xml:space="preserve">Αριθμός </w:t>
            </w:r>
            <w:r w:rsidRPr="00357FBC">
              <w:rPr>
                <w:sz w:val="20"/>
              </w:rPr>
              <w:br/>
              <w:t>[Περιγραφή ………………………...……….]</w:t>
            </w:r>
          </w:p>
        </w:tc>
        <w:tc>
          <w:tcPr>
            <w:tcW w:w="1199" w:type="dxa"/>
            <w:vAlign w:val="center"/>
          </w:tcPr>
          <w:p w:rsidR="00E76F98" w:rsidRPr="00357FBC" w:rsidRDefault="00E76F98" w:rsidP="00B02641">
            <w:pPr>
              <w:jc w:val="center"/>
            </w:pPr>
            <w:r w:rsidRPr="00357FBC">
              <w:rPr>
                <w:sz w:val="18"/>
              </w:rPr>
              <w:t>ΔΠ/ΜΔΠ</w:t>
            </w:r>
            <w:r w:rsidRPr="00357FBC">
              <w:rPr>
                <w:sz w:val="18"/>
              </w:rPr>
              <w:br/>
            </w:r>
            <w:r w:rsidRPr="00357FBC">
              <w:rPr>
                <w:sz w:val="18"/>
                <w:vertAlign w:val="superscript"/>
              </w:rPr>
              <w:t>(</w:t>
            </w:r>
            <w:r w:rsidRPr="00357FBC">
              <w:rPr>
                <w:rStyle w:val="FootnoteReference"/>
                <w:sz w:val="18"/>
              </w:rPr>
              <w:footnoteReference w:id="17"/>
            </w:r>
            <w:r w:rsidRPr="00357FBC">
              <w:rPr>
                <w:sz w:val="18"/>
                <w:vertAlign w:val="superscript"/>
              </w:rPr>
              <w:t>)</w:t>
            </w:r>
          </w:p>
          <w:p w:rsidR="00E76F98" w:rsidRPr="00357FBC" w:rsidRDefault="00E76F98" w:rsidP="00B02641">
            <w:pPr>
              <w:jc w:val="center"/>
            </w:pPr>
          </w:p>
        </w:tc>
        <w:tc>
          <w:tcPr>
            <w:tcW w:w="1134" w:type="dxa"/>
            <w:vAlign w:val="center"/>
          </w:tcPr>
          <w:p w:rsidR="00E76F98" w:rsidRPr="00357FBC" w:rsidRDefault="00E76F98" w:rsidP="00B02641">
            <w:pPr>
              <w:jc w:val="center"/>
            </w:pPr>
            <w:r w:rsidRPr="00357FBC">
              <w:rPr>
                <w:sz w:val="18"/>
              </w:rPr>
              <w:t>χωρών ΕΖΕΣ</w:t>
            </w:r>
            <w:r w:rsidRPr="00357FBC">
              <w:rPr>
                <w:rStyle w:val="FootnoteReference"/>
                <w:sz w:val="18"/>
              </w:rPr>
              <w:footnoteReference w:id="18"/>
            </w:r>
          </w:p>
          <w:p w:rsidR="00E76F98" w:rsidRPr="00357FBC" w:rsidRDefault="00E76F98" w:rsidP="00B02641">
            <w:pPr>
              <w:jc w:val="center"/>
              <w:rPr>
                <w:b/>
                <w:sz w:val="18"/>
              </w:rPr>
            </w:pPr>
          </w:p>
        </w:tc>
        <w:tc>
          <w:tcPr>
            <w:tcW w:w="1275" w:type="dxa"/>
            <w:vAlign w:val="center"/>
          </w:tcPr>
          <w:p w:rsidR="00E76F98" w:rsidRPr="00357FBC" w:rsidRDefault="00E76F98" w:rsidP="00B02641">
            <w:pPr>
              <w:jc w:val="center"/>
            </w:pPr>
            <w:r w:rsidRPr="00357FBC">
              <w:rPr>
                <w:sz w:val="18"/>
              </w:rPr>
              <w:t>υποψηφίων για ένταξη χωρών</w:t>
            </w:r>
            <w:r w:rsidRPr="00357FBC">
              <w:rPr>
                <w:rStyle w:val="FootnoteReference"/>
                <w:sz w:val="18"/>
              </w:rPr>
              <w:footnoteReference w:id="19"/>
            </w:r>
          </w:p>
          <w:p w:rsidR="00E76F98" w:rsidRPr="00357FBC" w:rsidRDefault="00E76F98" w:rsidP="00B02641">
            <w:pPr>
              <w:jc w:val="center"/>
              <w:rPr>
                <w:sz w:val="18"/>
              </w:rPr>
            </w:pPr>
          </w:p>
        </w:tc>
        <w:tc>
          <w:tcPr>
            <w:tcW w:w="1134" w:type="dxa"/>
            <w:vAlign w:val="center"/>
          </w:tcPr>
          <w:p w:rsidR="00E76F98" w:rsidRPr="00357FBC" w:rsidRDefault="00E76F98" w:rsidP="00B02641">
            <w:pPr>
              <w:jc w:val="center"/>
              <w:rPr>
                <w:sz w:val="18"/>
              </w:rPr>
            </w:pPr>
            <w:r w:rsidRPr="00357FBC">
              <w:rPr>
                <w:sz w:val="18"/>
              </w:rPr>
              <w:t>τρίτων χωρών</w:t>
            </w:r>
          </w:p>
          <w:p w:rsidR="00E76F98" w:rsidRPr="00357FBC" w:rsidRDefault="00E76F98" w:rsidP="00B02641">
            <w:pPr>
              <w:jc w:val="center"/>
            </w:pPr>
          </w:p>
        </w:tc>
        <w:tc>
          <w:tcPr>
            <w:tcW w:w="1134" w:type="dxa"/>
            <w:vAlign w:val="center"/>
          </w:tcPr>
          <w:p w:rsidR="00E76F98" w:rsidRPr="00357FBC" w:rsidRDefault="00E76F98" w:rsidP="00B02641">
            <w:pPr>
              <w:jc w:val="center"/>
            </w:pPr>
            <w:r w:rsidRPr="00357FBC">
              <w:rPr>
                <w:sz w:val="16"/>
              </w:rPr>
              <w:t xml:space="preserve">κατά την έννοια του άρθρου 18 παράγραφος 1 στοιχείο αα) του δημοσιονομικού κανονισμού </w:t>
            </w:r>
          </w:p>
        </w:tc>
      </w:tr>
      <w:tr w:rsidR="00E76F98" w:rsidRPr="00357FBC" w:rsidTr="0031307A">
        <w:tc>
          <w:tcPr>
            <w:tcW w:w="1134" w:type="dxa"/>
            <w:vAlign w:val="center"/>
          </w:tcPr>
          <w:p w:rsidR="00E76F98" w:rsidRPr="00357FBC" w:rsidRDefault="00E76F98" w:rsidP="00B02641">
            <w:pPr>
              <w:jc w:val="center"/>
            </w:pPr>
            <w:r w:rsidRPr="00357FBC">
              <w:t>4</w:t>
            </w:r>
          </w:p>
        </w:tc>
        <w:tc>
          <w:tcPr>
            <w:tcW w:w="2062" w:type="dxa"/>
            <w:vAlign w:val="center"/>
          </w:tcPr>
          <w:p w:rsidR="00E76F98" w:rsidRPr="00357FBC" w:rsidRDefault="00E76F98" w:rsidP="00B02641">
            <w:pPr>
              <w:autoSpaceDE w:val="0"/>
              <w:autoSpaceDN w:val="0"/>
              <w:adjustRightInd w:val="0"/>
              <w:spacing w:before="0" w:after="0"/>
              <w:jc w:val="left"/>
              <w:rPr>
                <w:rFonts w:ascii="TimesNewRoman" w:hAnsi="TimesNewRoman" w:cs="TimesNewRoman"/>
                <w:sz w:val="23"/>
                <w:szCs w:val="23"/>
              </w:rPr>
            </w:pPr>
            <w:r w:rsidRPr="00357FBC">
              <w:rPr>
                <w:rFonts w:ascii="TimesNewRoman" w:hAnsi="TimesNewRoman"/>
                <w:sz w:val="23"/>
              </w:rPr>
              <w:t>01 03 02:</w:t>
            </w:r>
          </w:p>
          <w:p w:rsidR="00E76F98" w:rsidRPr="004C7F78" w:rsidRDefault="00E76F98" w:rsidP="00B02641">
            <w:pPr>
              <w:spacing w:after="60"/>
              <w:rPr>
                <w:szCs w:val="24"/>
              </w:rPr>
            </w:pPr>
            <w:r w:rsidRPr="004C7F78">
              <w:rPr>
                <w:szCs w:val="24"/>
              </w:rPr>
              <w:t>Μακροοικονομική χρηματοδοτική συνδρομή</w:t>
            </w:r>
          </w:p>
        </w:tc>
        <w:tc>
          <w:tcPr>
            <w:tcW w:w="1199" w:type="dxa"/>
            <w:vAlign w:val="center"/>
          </w:tcPr>
          <w:p w:rsidR="00E76F98" w:rsidRPr="00357FBC" w:rsidRDefault="00E76F98" w:rsidP="00B02641">
            <w:pPr>
              <w:jc w:val="center"/>
            </w:pPr>
            <w:r w:rsidRPr="00357FBC">
              <w:t>ΔΠ</w:t>
            </w:r>
          </w:p>
        </w:tc>
        <w:tc>
          <w:tcPr>
            <w:tcW w:w="1134" w:type="dxa"/>
            <w:vAlign w:val="center"/>
          </w:tcPr>
          <w:p w:rsidR="00E76F98" w:rsidRPr="00357FBC" w:rsidRDefault="00E76F98" w:rsidP="00B02641">
            <w:pPr>
              <w:jc w:val="center"/>
            </w:pPr>
            <w:r w:rsidRPr="00357FBC">
              <w:t>ΟΧΙ</w:t>
            </w:r>
          </w:p>
        </w:tc>
        <w:tc>
          <w:tcPr>
            <w:tcW w:w="1275" w:type="dxa"/>
            <w:vAlign w:val="center"/>
          </w:tcPr>
          <w:p w:rsidR="00E76F98" w:rsidRPr="00357FBC" w:rsidRDefault="00E76F98" w:rsidP="00B02641">
            <w:pPr>
              <w:jc w:val="center"/>
            </w:pPr>
            <w:r w:rsidRPr="00357FBC">
              <w:t>ΟΧΙ</w:t>
            </w:r>
          </w:p>
        </w:tc>
        <w:tc>
          <w:tcPr>
            <w:tcW w:w="1134" w:type="dxa"/>
            <w:vAlign w:val="center"/>
          </w:tcPr>
          <w:p w:rsidR="00E76F98" w:rsidRPr="00357FBC" w:rsidRDefault="00E76F98" w:rsidP="00B02641">
            <w:pPr>
              <w:jc w:val="center"/>
            </w:pPr>
            <w:r w:rsidRPr="00357FBC">
              <w:t>ΟΧΙ</w:t>
            </w:r>
          </w:p>
        </w:tc>
        <w:tc>
          <w:tcPr>
            <w:tcW w:w="1134" w:type="dxa"/>
            <w:vAlign w:val="center"/>
          </w:tcPr>
          <w:p w:rsidR="00E76F98" w:rsidRPr="00357FBC" w:rsidRDefault="00E76F98" w:rsidP="00B02641">
            <w:pPr>
              <w:jc w:val="center"/>
            </w:pPr>
            <w:r w:rsidRPr="00357FBC">
              <w:t>ΟΧΙ</w:t>
            </w:r>
          </w:p>
        </w:tc>
      </w:tr>
      <w:tr w:rsidR="00E76F98" w:rsidRPr="00357FBC" w:rsidTr="0031307A">
        <w:tc>
          <w:tcPr>
            <w:tcW w:w="1134" w:type="dxa"/>
            <w:vAlign w:val="center"/>
          </w:tcPr>
          <w:p w:rsidR="00E76F98" w:rsidRPr="00357FBC" w:rsidRDefault="00E76F98" w:rsidP="00B02641">
            <w:pPr>
              <w:jc w:val="center"/>
            </w:pPr>
            <w:r w:rsidRPr="00357FBC">
              <w:t>4</w:t>
            </w:r>
          </w:p>
        </w:tc>
        <w:tc>
          <w:tcPr>
            <w:tcW w:w="2062" w:type="dxa"/>
            <w:vAlign w:val="center"/>
          </w:tcPr>
          <w:p w:rsidR="00E76F98" w:rsidRPr="00357FBC" w:rsidRDefault="00E76F98" w:rsidP="00B02641">
            <w:pPr>
              <w:spacing w:before="60"/>
              <w:jc w:val="left"/>
            </w:pPr>
            <w:r w:rsidRPr="00357FBC">
              <w:t xml:space="preserve">01 03 06: </w:t>
            </w:r>
          </w:p>
          <w:p w:rsidR="00E76F98" w:rsidRPr="00357FBC" w:rsidRDefault="00E76F98" w:rsidP="00B02641">
            <w:pPr>
              <w:spacing w:before="60"/>
              <w:jc w:val="left"/>
            </w:pPr>
            <w:r w:rsidRPr="00357FBC">
              <w:t>Τροφοδότηση του Ταμείου Εγγυήσεων</w:t>
            </w:r>
          </w:p>
        </w:tc>
        <w:tc>
          <w:tcPr>
            <w:tcW w:w="1199" w:type="dxa"/>
            <w:vAlign w:val="center"/>
          </w:tcPr>
          <w:p w:rsidR="00E76F98" w:rsidRPr="00357FBC" w:rsidRDefault="00B02641" w:rsidP="00B02641">
            <w:pPr>
              <w:jc w:val="center"/>
            </w:pPr>
            <w:r w:rsidRPr="00357FBC">
              <w:t>ΜΔΠ</w:t>
            </w:r>
          </w:p>
        </w:tc>
        <w:tc>
          <w:tcPr>
            <w:tcW w:w="1134" w:type="dxa"/>
            <w:vAlign w:val="center"/>
          </w:tcPr>
          <w:p w:rsidR="00E76F98" w:rsidRPr="00357FBC" w:rsidRDefault="00E76F98" w:rsidP="00B02641">
            <w:pPr>
              <w:jc w:val="center"/>
            </w:pPr>
            <w:r w:rsidRPr="00357FBC">
              <w:t>ΟΧΙ</w:t>
            </w:r>
          </w:p>
        </w:tc>
        <w:tc>
          <w:tcPr>
            <w:tcW w:w="1275" w:type="dxa"/>
            <w:vAlign w:val="center"/>
          </w:tcPr>
          <w:p w:rsidR="00E76F98" w:rsidRPr="00357FBC" w:rsidRDefault="00E76F98" w:rsidP="00B02641">
            <w:pPr>
              <w:jc w:val="center"/>
            </w:pPr>
            <w:r w:rsidRPr="00357FBC">
              <w:t>ΟΧΙ</w:t>
            </w:r>
          </w:p>
        </w:tc>
        <w:tc>
          <w:tcPr>
            <w:tcW w:w="1134" w:type="dxa"/>
            <w:vAlign w:val="center"/>
          </w:tcPr>
          <w:p w:rsidR="00E76F98" w:rsidRPr="00357FBC" w:rsidRDefault="00E76F98" w:rsidP="00B02641">
            <w:pPr>
              <w:jc w:val="center"/>
            </w:pPr>
            <w:r w:rsidRPr="00357FBC">
              <w:t>ΟΧΙ</w:t>
            </w:r>
          </w:p>
        </w:tc>
        <w:tc>
          <w:tcPr>
            <w:tcW w:w="1134" w:type="dxa"/>
            <w:vAlign w:val="center"/>
          </w:tcPr>
          <w:p w:rsidR="00E76F98" w:rsidRPr="00357FBC" w:rsidRDefault="00E76F98" w:rsidP="00B02641">
            <w:pPr>
              <w:jc w:val="center"/>
            </w:pPr>
            <w:r w:rsidRPr="00357FBC">
              <w:t>ΟΧΙ</w:t>
            </w:r>
          </w:p>
        </w:tc>
      </w:tr>
    </w:tbl>
    <w:p w:rsidR="00E76F98" w:rsidRPr="00357FBC" w:rsidRDefault="00E76F98" w:rsidP="00F2620F">
      <w:pPr>
        <w:pStyle w:val="Text1"/>
      </w:pPr>
      <w:r w:rsidRPr="00357FBC">
        <w:t>Το Ταμείο Εγγυήσεων για τις εξωτερικές δράσεις πρέπει να τροφοδοτείται σύμφωνα με τον κανονισμό για το Ταμείο,</w:t>
      </w:r>
      <w:r w:rsidRPr="00357FBC">
        <w:rPr>
          <w:rStyle w:val="FootnoteReference"/>
        </w:rPr>
        <w:footnoteReference w:id="20"/>
      </w:r>
      <w:r w:rsidRPr="00357FBC">
        <w:t xml:space="preserve">με τη χρησιμοποίηση των πιστώσεων της θέσης του προϋπολογισμού 01 03 06 («Τροφοδότηση του Ταμείου Εγγυήσεων»), σε ποσοστό 9% των συνολικών εκκρεμών υποχρεώσεων. Το ποσό τροφοδότησης υπολογίζεται στην αρχή του έτους «ν» ως η διαφορά μεταξύ του ποσού-στόχου και της αξίας των καθαρών διαθεσίμων του Ταμείου στο τέλος του έτους «ν-1». Το εν λόγω ποσό τροφοδότησης εισάγεται στο έτος «ν» στο σχέδιο προϋπολογισμού του έτους «ν+1» και καταβάλλεται εφάπαξ στην αρχή του έτους «ν+1» από τη γραμμή του προϋπολογισμού «Τροφοδότηση του Ταμείου Εγγυήσεων» (γραμμή προϋπολογισμού 01 03 06). Ως εκ τούτου, 9% (δηλ. 3,15 εκατ. EUR κατ’ ανώτατο όριο) του πραγματικά εκταμιευθέντος ποσού θα ληφθεί υπόψη στο ποσό-στόχο στο τέλος του έτους «ν-1», για τον υπολογισμό της τροφοδότησης του Ταμείου. </w:t>
      </w:r>
    </w:p>
    <w:p w:rsidR="00E76F98" w:rsidRPr="00357FBC" w:rsidRDefault="00E76F98" w:rsidP="00E76F98">
      <w:pPr>
        <w:autoSpaceDE w:val="0"/>
        <w:autoSpaceDN w:val="0"/>
        <w:adjustRightInd w:val="0"/>
        <w:spacing w:before="240" w:after="240"/>
      </w:pPr>
      <w:r w:rsidRPr="00357FBC">
        <w:t>Νέες γραμμές του προϋπολογισμού, των οποίων έχει ζητηθεί η δημιουργία: άνευ αντικειμένου.</w:t>
      </w:r>
    </w:p>
    <w:p w:rsidR="00E76F98" w:rsidRPr="00357FBC" w:rsidRDefault="00E76F98" w:rsidP="00E76F98">
      <w:pPr>
        <w:pStyle w:val="ManualHeading2"/>
      </w:pPr>
      <w:r w:rsidRPr="00357FBC">
        <w:t>3.2.</w:t>
      </w:r>
      <w:r w:rsidRPr="00357FBC">
        <w:tab/>
        <w:t xml:space="preserve">Εκτιμώμενες επιπτώσεις στις δαπάνες </w:t>
      </w:r>
    </w:p>
    <w:p w:rsidR="00E76F98" w:rsidRPr="00357FBC" w:rsidRDefault="00E76F98" w:rsidP="00E76F98">
      <w:pPr>
        <w:pStyle w:val="ManualHeading3"/>
        <w:spacing w:before="240"/>
        <w:rPr>
          <w:u w:val="single"/>
        </w:rPr>
      </w:pPr>
      <w:r w:rsidRPr="00357FBC">
        <w:t>3.2.1.</w:t>
      </w:r>
      <w:r w:rsidRPr="00357FBC">
        <w:tab/>
        <w:t xml:space="preserve">Συνοπτική παρουσίαση των εκτιμώμενων επιπτώσεων στις δαπάνες </w:t>
      </w:r>
    </w:p>
    <w:tbl>
      <w:tblPr>
        <w:tblW w:w="10916" w:type="dxa"/>
        <w:tblInd w:w="-318" w:type="dxa"/>
        <w:tblLayout w:type="fixed"/>
        <w:tblLook w:val="01E0" w:firstRow="1" w:lastRow="1" w:firstColumn="1" w:lastColumn="1" w:noHBand="0" w:noVBand="0"/>
      </w:tblPr>
      <w:tblGrid>
        <w:gridCol w:w="3676"/>
        <w:gridCol w:w="1342"/>
        <w:gridCol w:w="746"/>
        <w:gridCol w:w="34"/>
        <w:gridCol w:w="712"/>
        <w:gridCol w:w="33"/>
        <w:gridCol w:w="270"/>
        <w:gridCol w:w="438"/>
        <w:gridCol w:w="6"/>
        <w:gridCol w:w="746"/>
        <w:gridCol w:w="96"/>
        <w:gridCol w:w="651"/>
        <w:gridCol w:w="57"/>
        <w:gridCol w:w="669"/>
        <w:gridCol w:w="1371"/>
        <w:gridCol w:w="43"/>
        <w:gridCol w:w="26"/>
      </w:tblGrid>
      <w:tr w:rsidR="00E76F98" w:rsidRPr="00357FBC" w:rsidTr="00B02641">
        <w:trPr>
          <w:gridAfter w:val="1"/>
          <w:wAfter w:w="26" w:type="dxa"/>
        </w:trPr>
        <w:tc>
          <w:tcPr>
            <w:tcW w:w="3686" w:type="dxa"/>
          </w:tcPr>
          <w:p w:rsidR="00E76F98" w:rsidRPr="00357FBC" w:rsidRDefault="00E76F98" w:rsidP="00B02641">
            <w:pPr>
              <w:jc w:val="center"/>
            </w:pPr>
            <w:r w:rsidRPr="00357FBC">
              <w:rPr>
                <w:b/>
              </w:rPr>
              <w:t>Τομέας του πολυετούς δημοσιονομικού πλαισίου:</w:t>
            </w:r>
          </w:p>
        </w:tc>
        <w:tc>
          <w:tcPr>
            <w:tcW w:w="1345" w:type="dxa"/>
          </w:tcPr>
          <w:p w:rsidR="00E76F98" w:rsidRPr="00357FBC" w:rsidRDefault="00E76F98" w:rsidP="00B02641">
            <w:pPr>
              <w:jc w:val="center"/>
              <w:rPr>
                <w:b/>
                <w:sz w:val="20"/>
              </w:rPr>
            </w:pPr>
            <w:r w:rsidRPr="00357FBC">
              <w:rPr>
                <w:b/>
                <w:sz w:val="20"/>
              </w:rPr>
              <w:br/>
              <w:t>4</w:t>
            </w:r>
          </w:p>
        </w:tc>
        <w:tc>
          <w:tcPr>
            <w:tcW w:w="748" w:type="dxa"/>
          </w:tcPr>
          <w:p w:rsidR="00E76F98" w:rsidRPr="00357FBC" w:rsidRDefault="00E76F98" w:rsidP="00B02641">
            <w:pPr>
              <w:jc w:val="center"/>
              <w:rPr>
                <w:sz w:val="20"/>
              </w:rPr>
            </w:pPr>
          </w:p>
        </w:tc>
        <w:tc>
          <w:tcPr>
            <w:tcW w:w="1051" w:type="dxa"/>
            <w:gridSpan w:val="4"/>
          </w:tcPr>
          <w:p w:rsidR="00E76F98" w:rsidRPr="00357FBC" w:rsidRDefault="00E76F98" w:rsidP="00B02641">
            <w:pPr>
              <w:jc w:val="right"/>
              <w:rPr>
                <w:sz w:val="20"/>
              </w:rPr>
            </w:pPr>
          </w:p>
        </w:tc>
        <w:tc>
          <w:tcPr>
            <w:tcW w:w="4086" w:type="dxa"/>
            <w:gridSpan w:val="9"/>
            <w:vAlign w:val="bottom"/>
          </w:tcPr>
          <w:p w:rsidR="00E76F98" w:rsidRPr="00357FBC" w:rsidRDefault="00E76F98" w:rsidP="00B02641">
            <w:pPr>
              <w:jc w:val="right"/>
            </w:pPr>
            <w:r w:rsidRPr="00357FBC">
              <w:rPr>
                <w:sz w:val="20"/>
              </w:rPr>
              <w:t>Σε εκατ. EUR (με 3 δεκαδικά ψηφία)</w:t>
            </w:r>
          </w:p>
        </w:tc>
      </w:tr>
      <w:tr w:rsidR="00E76F98" w:rsidRPr="00357FBC" w:rsidTr="00B0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Pr>
        <w:tc>
          <w:tcPr>
            <w:tcW w:w="3686" w:type="dxa"/>
            <w:tcBorders>
              <w:top w:val="single" w:sz="4" w:space="0" w:color="auto"/>
            </w:tcBorders>
            <w:vAlign w:val="center"/>
          </w:tcPr>
          <w:p w:rsidR="00E76F98" w:rsidRPr="00357FBC" w:rsidRDefault="00E76F98" w:rsidP="00B02641">
            <w:pPr>
              <w:jc w:val="center"/>
            </w:pPr>
            <w:r w:rsidRPr="00357FBC">
              <w:rPr>
                <w:sz w:val="22"/>
              </w:rPr>
              <w:t xml:space="preserve">ΓΔ: </w:t>
            </w:r>
            <w:r w:rsidRPr="00357FBC">
              <w:t>ECFIN</w:t>
            </w:r>
          </w:p>
        </w:tc>
        <w:tc>
          <w:tcPr>
            <w:tcW w:w="1345" w:type="dxa"/>
            <w:tcBorders>
              <w:top w:val="single" w:sz="4" w:space="0" w:color="auto"/>
            </w:tcBorders>
          </w:tcPr>
          <w:p w:rsidR="00E76F98" w:rsidRPr="00357FBC" w:rsidRDefault="00E76F98" w:rsidP="00B02641">
            <w:pPr>
              <w:rPr>
                <w:sz w:val="20"/>
              </w:rPr>
            </w:pPr>
          </w:p>
        </w:tc>
        <w:tc>
          <w:tcPr>
            <w:tcW w:w="748" w:type="dxa"/>
            <w:tcBorders>
              <w:top w:val="single" w:sz="4" w:space="0" w:color="auto"/>
            </w:tcBorders>
          </w:tcPr>
          <w:p w:rsidR="00E76F98" w:rsidRPr="00357FBC" w:rsidRDefault="00E76F98" w:rsidP="00B02641">
            <w:pPr>
              <w:jc w:val="center"/>
              <w:rPr>
                <w:sz w:val="20"/>
              </w:rPr>
            </w:pPr>
          </w:p>
        </w:tc>
        <w:tc>
          <w:tcPr>
            <w:tcW w:w="748" w:type="dxa"/>
            <w:gridSpan w:val="2"/>
            <w:tcBorders>
              <w:top w:val="single" w:sz="4" w:space="0" w:color="auto"/>
            </w:tcBorders>
            <w:vAlign w:val="center"/>
          </w:tcPr>
          <w:p w:rsidR="00E76F98" w:rsidRPr="00357FBC" w:rsidRDefault="00E76F98" w:rsidP="00B02641">
            <w:pPr>
              <w:jc w:val="center"/>
              <w:rPr>
                <w:sz w:val="20"/>
              </w:rPr>
            </w:pPr>
            <w:r w:rsidRPr="00357FBC">
              <w:rPr>
                <w:sz w:val="20"/>
              </w:rPr>
              <w:t xml:space="preserve">Έτος </w:t>
            </w:r>
            <w:r w:rsidRPr="00357FBC">
              <w:rPr>
                <w:b/>
                <w:sz w:val="20"/>
              </w:rPr>
              <w:t>2017</w:t>
            </w:r>
            <w:r w:rsidRPr="00357FBC">
              <w:rPr>
                <w:rStyle w:val="FootnoteReference"/>
                <w:b/>
                <w:sz w:val="20"/>
              </w:rPr>
              <w:footnoteReference w:id="21"/>
            </w:r>
          </w:p>
        </w:tc>
        <w:tc>
          <w:tcPr>
            <w:tcW w:w="748" w:type="dxa"/>
            <w:gridSpan w:val="4"/>
            <w:vAlign w:val="center"/>
          </w:tcPr>
          <w:p w:rsidR="00E76F98" w:rsidRPr="00357FBC" w:rsidRDefault="00E76F98" w:rsidP="00B02641">
            <w:pPr>
              <w:jc w:val="center"/>
            </w:pPr>
            <w:r w:rsidRPr="00357FBC">
              <w:rPr>
                <w:sz w:val="20"/>
              </w:rPr>
              <w:t>Έτος</w:t>
            </w:r>
            <w:r w:rsidRPr="00357FBC">
              <w:rPr>
                <w:sz w:val="20"/>
              </w:rPr>
              <w:br/>
            </w:r>
            <w:r w:rsidRPr="00357FBC">
              <w:rPr>
                <w:b/>
                <w:sz w:val="20"/>
              </w:rPr>
              <w:t>2018</w:t>
            </w:r>
          </w:p>
        </w:tc>
        <w:tc>
          <w:tcPr>
            <w:tcW w:w="748" w:type="dxa"/>
            <w:vAlign w:val="center"/>
          </w:tcPr>
          <w:p w:rsidR="00E76F98" w:rsidRPr="00357FBC" w:rsidRDefault="00E76F98" w:rsidP="00B02641">
            <w:pPr>
              <w:jc w:val="center"/>
            </w:pPr>
            <w:r w:rsidRPr="00357FBC">
              <w:rPr>
                <w:sz w:val="20"/>
              </w:rPr>
              <w:t>Έτος</w:t>
            </w:r>
            <w:r w:rsidRPr="00357FBC">
              <w:rPr>
                <w:sz w:val="20"/>
              </w:rPr>
              <w:br/>
            </w:r>
            <w:r w:rsidRPr="00357FBC">
              <w:rPr>
                <w:b/>
                <w:sz w:val="20"/>
              </w:rPr>
              <w:t>2019</w:t>
            </w:r>
          </w:p>
        </w:tc>
        <w:tc>
          <w:tcPr>
            <w:tcW w:w="748" w:type="dxa"/>
            <w:gridSpan w:val="2"/>
            <w:vAlign w:val="center"/>
          </w:tcPr>
          <w:p w:rsidR="00E76F98" w:rsidRPr="00357FBC" w:rsidRDefault="00E76F98" w:rsidP="00B02641">
            <w:pPr>
              <w:jc w:val="center"/>
            </w:pPr>
            <w:r w:rsidRPr="00357FBC">
              <w:rPr>
                <w:sz w:val="20"/>
              </w:rPr>
              <w:t>Έτος</w:t>
            </w:r>
            <w:r w:rsidRPr="00357FBC">
              <w:rPr>
                <w:sz w:val="20"/>
              </w:rPr>
              <w:br/>
            </w:r>
            <w:r w:rsidRPr="00357FBC">
              <w:rPr>
                <w:b/>
                <w:sz w:val="20"/>
              </w:rPr>
              <w:t>2020</w:t>
            </w:r>
          </w:p>
        </w:tc>
        <w:tc>
          <w:tcPr>
            <w:tcW w:w="727" w:type="dxa"/>
            <w:gridSpan w:val="2"/>
          </w:tcPr>
          <w:p w:rsidR="00E76F98" w:rsidRPr="00357FBC" w:rsidRDefault="00E76F98" w:rsidP="00B02641">
            <w:pPr>
              <w:jc w:val="center"/>
              <w:rPr>
                <w:b/>
                <w:sz w:val="20"/>
              </w:rPr>
            </w:pPr>
            <w:r w:rsidRPr="00357FBC">
              <w:rPr>
                <w:sz w:val="20"/>
              </w:rPr>
              <w:t>Έτος</w:t>
            </w:r>
            <w:r w:rsidRPr="00357FBC">
              <w:rPr>
                <w:sz w:val="20"/>
              </w:rPr>
              <w:br/>
            </w:r>
            <w:r w:rsidRPr="00357FBC">
              <w:rPr>
                <w:b/>
                <w:sz w:val="20"/>
              </w:rPr>
              <w:t>2021</w:t>
            </w:r>
          </w:p>
        </w:tc>
        <w:tc>
          <w:tcPr>
            <w:tcW w:w="1375" w:type="dxa"/>
            <w:vAlign w:val="center"/>
          </w:tcPr>
          <w:p w:rsidR="00E76F98" w:rsidRPr="00357FBC" w:rsidRDefault="00E76F98" w:rsidP="00B02641">
            <w:pPr>
              <w:jc w:val="center"/>
              <w:rPr>
                <w:b/>
                <w:sz w:val="20"/>
              </w:rPr>
            </w:pPr>
            <w:r w:rsidRPr="00357FBC">
              <w:rPr>
                <w:b/>
                <w:sz w:val="20"/>
              </w:rPr>
              <w:t>ΣΥΝΟΛΟ</w:t>
            </w:r>
          </w:p>
        </w:tc>
      </w:tr>
      <w:tr w:rsidR="00E76F98" w:rsidRPr="00357FBC" w:rsidTr="00B0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Height w:val="213"/>
        </w:trPr>
        <w:tc>
          <w:tcPr>
            <w:tcW w:w="5779" w:type="dxa"/>
            <w:gridSpan w:val="3"/>
            <w:vAlign w:val="center"/>
          </w:tcPr>
          <w:p w:rsidR="00E76F98" w:rsidRPr="00357FBC" w:rsidRDefault="00E76F98" w:rsidP="00B02641">
            <w:pPr>
              <w:spacing w:before="20" w:after="20"/>
            </w:pPr>
            <w:r w:rsidRPr="00357FBC">
              <w:rPr>
                <w:sz w:val="21"/>
                <w:szCs w:val="20"/>
              </w:rPr>
              <w:sym w:font="Wingdings" w:char="F09F"/>
            </w:r>
            <w:r w:rsidRPr="00357FBC">
              <w:rPr>
                <w:sz w:val="21"/>
              </w:rPr>
              <w:t xml:space="preserve"> Επιχειρησιακές πιστώσεις </w:t>
            </w:r>
          </w:p>
        </w:tc>
        <w:tc>
          <w:tcPr>
            <w:tcW w:w="748" w:type="dxa"/>
            <w:gridSpan w:val="2"/>
            <w:vAlign w:val="center"/>
          </w:tcPr>
          <w:p w:rsidR="00E76F98" w:rsidRPr="00357FBC" w:rsidRDefault="00E76F98" w:rsidP="00B02641">
            <w:pPr>
              <w:jc w:val="center"/>
              <w:rPr>
                <w:sz w:val="20"/>
              </w:rPr>
            </w:pPr>
          </w:p>
        </w:tc>
        <w:tc>
          <w:tcPr>
            <w:tcW w:w="748" w:type="dxa"/>
            <w:gridSpan w:val="4"/>
            <w:vAlign w:val="center"/>
          </w:tcPr>
          <w:p w:rsidR="00E76F98" w:rsidRPr="00357FBC" w:rsidRDefault="00E76F98" w:rsidP="00B02641">
            <w:pPr>
              <w:jc w:val="center"/>
              <w:rPr>
                <w:sz w:val="20"/>
              </w:rPr>
            </w:pPr>
          </w:p>
        </w:tc>
        <w:tc>
          <w:tcPr>
            <w:tcW w:w="748" w:type="dxa"/>
            <w:vAlign w:val="center"/>
          </w:tcPr>
          <w:p w:rsidR="00E76F98" w:rsidRPr="00357FBC" w:rsidRDefault="00E76F98" w:rsidP="00B02641">
            <w:pPr>
              <w:jc w:val="center"/>
              <w:rPr>
                <w:sz w:val="20"/>
              </w:rPr>
            </w:pPr>
          </w:p>
        </w:tc>
        <w:tc>
          <w:tcPr>
            <w:tcW w:w="748" w:type="dxa"/>
            <w:gridSpan w:val="2"/>
            <w:vAlign w:val="center"/>
          </w:tcPr>
          <w:p w:rsidR="00E76F98" w:rsidRPr="00357FBC" w:rsidRDefault="00E76F98" w:rsidP="00B02641">
            <w:pPr>
              <w:jc w:val="center"/>
              <w:rPr>
                <w:sz w:val="20"/>
              </w:rPr>
            </w:pPr>
          </w:p>
        </w:tc>
        <w:tc>
          <w:tcPr>
            <w:tcW w:w="727" w:type="dxa"/>
            <w:gridSpan w:val="2"/>
            <w:vAlign w:val="center"/>
          </w:tcPr>
          <w:p w:rsidR="00E76F98" w:rsidRPr="00357FBC" w:rsidRDefault="00E76F98" w:rsidP="00B02641">
            <w:pPr>
              <w:jc w:val="center"/>
              <w:rPr>
                <w:b/>
                <w:sz w:val="20"/>
              </w:rPr>
            </w:pPr>
          </w:p>
        </w:tc>
        <w:tc>
          <w:tcPr>
            <w:tcW w:w="1375" w:type="dxa"/>
            <w:vAlign w:val="center"/>
          </w:tcPr>
          <w:p w:rsidR="00E76F98" w:rsidRPr="00357FBC" w:rsidRDefault="00E76F98" w:rsidP="00B02641">
            <w:pPr>
              <w:jc w:val="center"/>
              <w:rPr>
                <w:b/>
                <w:sz w:val="20"/>
              </w:rPr>
            </w:pPr>
          </w:p>
        </w:tc>
      </w:tr>
      <w:tr w:rsidR="00E76F98" w:rsidRPr="00357FBC" w:rsidTr="00B0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Pr>
        <w:tc>
          <w:tcPr>
            <w:tcW w:w="3686" w:type="dxa"/>
            <w:vMerge w:val="restart"/>
            <w:vAlign w:val="center"/>
          </w:tcPr>
          <w:p w:rsidR="00E76F98" w:rsidRPr="00357FBC" w:rsidRDefault="00E76F98" w:rsidP="00B02641">
            <w:pPr>
              <w:jc w:val="left"/>
              <w:rPr>
                <w:sz w:val="20"/>
                <w:szCs w:val="20"/>
              </w:rPr>
            </w:pPr>
            <w:r w:rsidRPr="00357FBC">
              <w:rPr>
                <w:sz w:val="20"/>
              </w:rPr>
              <w:t xml:space="preserve">Γραμμή του προϋπολογισμού 01 03 02 Μακροοικονομική χρηματοδοτική συνδρομή </w:t>
            </w:r>
          </w:p>
        </w:tc>
        <w:tc>
          <w:tcPr>
            <w:tcW w:w="1345" w:type="dxa"/>
            <w:vAlign w:val="center"/>
          </w:tcPr>
          <w:p w:rsidR="00E76F98" w:rsidRPr="00357FBC" w:rsidRDefault="00E76F98" w:rsidP="00B02641">
            <w:pPr>
              <w:spacing w:before="20" w:after="20"/>
            </w:pPr>
            <w:r w:rsidRPr="00357FBC">
              <w:rPr>
                <w:sz w:val="18"/>
              </w:rPr>
              <w:t>Αναλήψεις υποχρεώσεων</w:t>
            </w:r>
          </w:p>
        </w:tc>
        <w:tc>
          <w:tcPr>
            <w:tcW w:w="748" w:type="dxa"/>
            <w:vAlign w:val="center"/>
          </w:tcPr>
          <w:p w:rsidR="00E76F98" w:rsidRPr="00357FBC" w:rsidRDefault="00E76F98" w:rsidP="00B02641">
            <w:pPr>
              <w:spacing w:before="20" w:after="20"/>
              <w:jc w:val="center"/>
              <w:rPr>
                <w:sz w:val="14"/>
              </w:rPr>
            </w:pPr>
            <w:r w:rsidRPr="00357FBC">
              <w:rPr>
                <w:sz w:val="14"/>
              </w:rPr>
              <w:t>(1)</w:t>
            </w:r>
          </w:p>
        </w:tc>
        <w:tc>
          <w:tcPr>
            <w:tcW w:w="748" w:type="dxa"/>
            <w:gridSpan w:val="2"/>
            <w:vAlign w:val="center"/>
          </w:tcPr>
          <w:p w:rsidR="00E76F98" w:rsidRPr="00357FBC" w:rsidRDefault="00E76F98" w:rsidP="00B02641">
            <w:pPr>
              <w:spacing w:before="40" w:after="40"/>
              <w:jc w:val="center"/>
              <w:rPr>
                <w:sz w:val="20"/>
                <w:szCs w:val="20"/>
              </w:rPr>
            </w:pPr>
          </w:p>
        </w:tc>
        <w:tc>
          <w:tcPr>
            <w:tcW w:w="748" w:type="dxa"/>
            <w:gridSpan w:val="4"/>
            <w:vAlign w:val="center"/>
          </w:tcPr>
          <w:p w:rsidR="00E76F98" w:rsidRPr="00357FBC" w:rsidRDefault="00E76F98" w:rsidP="00B02641">
            <w:pPr>
              <w:spacing w:before="40" w:after="40"/>
              <w:jc w:val="center"/>
              <w:rPr>
                <w:sz w:val="20"/>
                <w:szCs w:val="20"/>
              </w:rPr>
            </w:pPr>
            <w:r w:rsidRPr="00357FBC">
              <w:rPr>
                <w:sz w:val="20"/>
              </w:rPr>
              <w:t>10</w:t>
            </w:r>
          </w:p>
        </w:tc>
        <w:tc>
          <w:tcPr>
            <w:tcW w:w="748" w:type="dxa"/>
            <w:vAlign w:val="center"/>
          </w:tcPr>
          <w:p w:rsidR="00E76F98" w:rsidRPr="00357FBC" w:rsidRDefault="00E76F98" w:rsidP="00B02641">
            <w:pPr>
              <w:spacing w:before="20" w:after="20"/>
              <w:jc w:val="center"/>
              <w:rPr>
                <w:sz w:val="20"/>
                <w:szCs w:val="20"/>
              </w:rPr>
            </w:pPr>
          </w:p>
        </w:tc>
        <w:tc>
          <w:tcPr>
            <w:tcW w:w="748" w:type="dxa"/>
            <w:gridSpan w:val="2"/>
            <w:vAlign w:val="center"/>
          </w:tcPr>
          <w:p w:rsidR="00E76F98" w:rsidRPr="00357FBC" w:rsidRDefault="00E76F98" w:rsidP="00B02641">
            <w:pPr>
              <w:spacing w:before="20" w:after="20"/>
              <w:jc w:val="center"/>
              <w:rPr>
                <w:sz w:val="20"/>
                <w:szCs w:val="20"/>
              </w:rPr>
            </w:pPr>
          </w:p>
        </w:tc>
        <w:tc>
          <w:tcPr>
            <w:tcW w:w="727" w:type="dxa"/>
            <w:gridSpan w:val="2"/>
            <w:vAlign w:val="center"/>
          </w:tcPr>
          <w:p w:rsidR="00E76F98" w:rsidRPr="00357FBC" w:rsidRDefault="00E76F98" w:rsidP="00B02641">
            <w:pPr>
              <w:spacing w:before="20" w:after="20"/>
              <w:jc w:val="center"/>
              <w:rPr>
                <w:b/>
                <w:sz w:val="20"/>
                <w:szCs w:val="20"/>
              </w:rPr>
            </w:pPr>
          </w:p>
        </w:tc>
        <w:tc>
          <w:tcPr>
            <w:tcW w:w="1375" w:type="dxa"/>
            <w:vAlign w:val="center"/>
          </w:tcPr>
          <w:p w:rsidR="00E76F98" w:rsidRPr="00357FBC" w:rsidRDefault="00E76F98" w:rsidP="00B02641">
            <w:pPr>
              <w:spacing w:before="20" w:after="20"/>
              <w:jc w:val="center"/>
              <w:rPr>
                <w:b/>
                <w:sz w:val="20"/>
                <w:szCs w:val="20"/>
              </w:rPr>
            </w:pPr>
            <w:r w:rsidRPr="00357FBC">
              <w:rPr>
                <w:b/>
                <w:sz w:val="20"/>
              </w:rPr>
              <w:t>10</w:t>
            </w:r>
          </w:p>
        </w:tc>
      </w:tr>
      <w:tr w:rsidR="00E76F98" w:rsidRPr="00357FBC" w:rsidTr="00B0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Height w:val="331"/>
        </w:trPr>
        <w:tc>
          <w:tcPr>
            <w:tcW w:w="3686" w:type="dxa"/>
            <w:vMerge/>
          </w:tcPr>
          <w:p w:rsidR="00E76F98" w:rsidRPr="00357FBC" w:rsidRDefault="00E76F98" w:rsidP="00B02641">
            <w:pPr>
              <w:jc w:val="center"/>
              <w:rPr>
                <w:sz w:val="20"/>
                <w:szCs w:val="20"/>
              </w:rPr>
            </w:pPr>
          </w:p>
        </w:tc>
        <w:tc>
          <w:tcPr>
            <w:tcW w:w="1345" w:type="dxa"/>
            <w:vAlign w:val="center"/>
          </w:tcPr>
          <w:p w:rsidR="00E76F98" w:rsidRPr="00357FBC" w:rsidRDefault="00E76F98" w:rsidP="00B02641">
            <w:pPr>
              <w:spacing w:before="20" w:after="20"/>
            </w:pPr>
            <w:r w:rsidRPr="00357FBC">
              <w:rPr>
                <w:sz w:val="18"/>
              </w:rPr>
              <w:t>Πληρωμές</w:t>
            </w:r>
          </w:p>
        </w:tc>
        <w:tc>
          <w:tcPr>
            <w:tcW w:w="748" w:type="dxa"/>
            <w:vAlign w:val="center"/>
          </w:tcPr>
          <w:p w:rsidR="00E76F98" w:rsidRPr="00357FBC" w:rsidRDefault="00E76F98" w:rsidP="00B02641">
            <w:pPr>
              <w:spacing w:before="20" w:after="20"/>
              <w:jc w:val="center"/>
              <w:rPr>
                <w:sz w:val="14"/>
              </w:rPr>
            </w:pPr>
            <w:r w:rsidRPr="00357FBC">
              <w:rPr>
                <w:sz w:val="14"/>
              </w:rPr>
              <w:t>(2)</w:t>
            </w:r>
          </w:p>
        </w:tc>
        <w:tc>
          <w:tcPr>
            <w:tcW w:w="748" w:type="dxa"/>
            <w:gridSpan w:val="2"/>
            <w:vAlign w:val="center"/>
          </w:tcPr>
          <w:p w:rsidR="00E76F98" w:rsidRPr="00357FBC" w:rsidRDefault="00E76F98" w:rsidP="00B02641">
            <w:pPr>
              <w:spacing w:before="40" w:after="40"/>
              <w:jc w:val="center"/>
              <w:rPr>
                <w:sz w:val="20"/>
                <w:szCs w:val="20"/>
              </w:rPr>
            </w:pPr>
          </w:p>
        </w:tc>
        <w:tc>
          <w:tcPr>
            <w:tcW w:w="748" w:type="dxa"/>
            <w:gridSpan w:val="4"/>
            <w:vAlign w:val="center"/>
          </w:tcPr>
          <w:p w:rsidR="00E76F98" w:rsidRPr="00357FBC" w:rsidRDefault="00E76F98" w:rsidP="00B02641">
            <w:pPr>
              <w:spacing w:before="40" w:after="40"/>
              <w:jc w:val="center"/>
              <w:rPr>
                <w:sz w:val="20"/>
                <w:szCs w:val="20"/>
              </w:rPr>
            </w:pPr>
            <w:r w:rsidRPr="00357FBC">
              <w:rPr>
                <w:sz w:val="20"/>
              </w:rPr>
              <w:t>10</w:t>
            </w:r>
          </w:p>
        </w:tc>
        <w:tc>
          <w:tcPr>
            <w:tcW w:w="748" w:type="dxa"/>
            <w:vAlign w:val="center"/>
          </w:tcPr>
          <w:p w:rsidR="00E76F98" w:rsidRPr="00357FBC" w:rsidRDefault="00E76F98" w:rsidP="00B02641">
            <w:pPr>
              <w:spacing w:before="20" w:after="20"/>
              <w:jc w:val="center"/>
              <w:rPr>
                <w:sz w:val="20"/>
                <w:szCs w:val="20"/>
              </w:rPr>
            </w:pPr>
          </w:p>
        </w:tc>
        <w:tc>
          <w:tcPr>
            <w:tcW w:w="748" w:type="dxa"/>
            <w:gridSpan w:val="2"/>
            <w:vAlign w:val="center"/>
          </w:tcPr>
          <w:p w:rsidR="00E76F98" w:rsidRPr="00357FBC" w:rsidRDefault="00E76F98" w:rsidP="00B02641">
            <w:pPr>
              <w:spacing w:before="20" w:after="20"/>
              <w:jc w:val="center"/>
              <w:rPr>
                <w:sz w:val="20"/>
                <w:szCs w:val="20"/>
              </w:rPr>
            </w:pPr>
          </w:p>
        </w:tc>
        <w:tc>
          <w:tcPr>
            <w:tcW w:w="727" w:type="dxa"/>
            <w:gridSpan w:val="2"/>
            <w:vAlign w:val="center"/>
          </w:tcPr>
          <w:p w:rsidR="00E76F98" w:rsidRPr="00357FBC" w:rsidRDefault="00E76F98" w:rsidP="00B02641">
            <w:pPr>
              <w:spacing w:before="20" w:after="20"/>
              <w:jc w:val="center"/>
              <w:rPr>
                <w:b/>
                <w:sz w:val="20"/>
              </w:rPr>
            </w:pPr>
          </w:p>
        </w:tc>
        <w:tc>
          <w:tcPr>
            <w:tcW w:w="1375" w:type="dxa"/>
            <w:vAlign w:val="center"/>
          </w:tcPr>
          <w:p w:rsidR="00E76F98" w:rsidRPr="00357FBC" w:rsidRDefault="00E76F98" w:rsidP="00B02641">
            <w:pPr>
              <w:spacing w:before="20" w:after="20"/>
              <w:jc w:val="center"/>
              <w:rPr>
                <w:b/>
                <w:sz w:val="20"/>
                <w:szCs w:val="20"/>
              </w:rPr>
            </w:pPr>
            <w:r w:rsidRPr="00357FBC">
              <w:rPr>
                <w:b/>
                <w:sz w:val="20"/>
              </w:rPr>
              <w:t>10</w:t>
            </w:r>
          </w:p>
        </w:tc>
      </w:tr>
      <w:tr w:rsidR="00E76F98" w:rsidRPr="00357FBC" w:rsidTr="00B0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Pr>
        <w:tc>
          <w:tcPr>
            <w:tcW w:w="3686" w:type="dxa"/>
            <w:vMerge w:val="restart"/>
          </w:tcPr>
          <w:p w:rsidR="00E76F98" w:rsidRPr="00357FBC" w:rsidRDefault="00E76F98" w:rsidP="00B02641">
            <w:pPr>
              <w:jc w:val="left"/>
              <w:rPr>
                <w:sz w:val="20"/>
                <w:szCs w:val="20"/>
              </w:rPr>
            </w:pPr>
            <w:r w:rsidRPr="00357FBC">
              <w:rPr>
                <w:sz w:val="20"/>
              </w:rPr>
              <w:t>Γραμμή του προϋπολογισμού 01 03 06 Τροφοδότηση του Ταμείου Εγγυήσεων</w:t>
            </w:r>
          </w:p>
        </w:tc>
        <w:tc>
          <w:tcPr>
            <w:tcW w:w="1345" w:type="dxa"/>
            <w:vAlign w:val="center"/>
          </w:tcPr>
          <w:p w:rsidR="00E76F98" w:rsidRPr="00357FBC" w:rsidRDefault="00E76F98" w:rsidP="00B02641">
            <w:pPr>
              <w:spacing w:before="20" w:after="20"/>
            </w:pPr>
            <w:r w:rsidRPr="00357FBC">
              <w:rPr>
                <w:sz w:val="18"/>
              </w:rPr>
              <w:t>Αναλήψεις υποχρεώσεων</w:t>
            </w:r>
          </w:p>
        </w:tc>
        <w:tc>
          <w:tcPr>
            <w:tcW w:w="748" w:type="dxa"/>
            <w:vAlign w:val="center"/>
          </w:tcPr>
          <w:p w:rsidR="00E76F98" w:rsidRPr="00357FBC" w:rsidRDefault="00E76F98" w:rsidP="00B02641">
            <w:pPr>
              <w:spacing w:before="20" w:after="20"/>
              <w:jc w:val="center"/>
              <w:rPr>
                <w:sz w:val="14"/>
              </w:rPr>
            </w:pPr>
            <w:r w:rsidRPr="00357FBC">
              <w:rPr>
                <w:sz w:val="14"/>
              </w:rPr>
              <w:t>(1α)</w:t>
            </w:r>
          </w:p>
        </w:tc>
        <w:tc>
          <w:tcPr>
            <w:tcW w:w="748" w:type="dxa"/>
            <w:gridSpan w:val="2"/>
            <w:vAlign w:val="center"/>
          </w:tcPr>
          <w:p w:rsidR="00E76F98" w:rsidRPr="00357FBC" w:rsidRDefault="00E76F98" w:rsidP="00B02641">
            <w:pPr>
              <w:spacing w:before="20" w:after="20"/>
              <w:jc w:val="center"/>
              <w:rPr>
                <w:sz w:val="20"/>
                <w:szCs w:val="20"/>
              </w:rPr>
            </w:pPr>
          </w:p>
        </w:tc>
        <w:tc>
          <w:tcPr>
            <w:tcW w:w="748" w:type="dxa"/>
            <w:gridSpan w:val="4"/>
            <w:vAlign w:val="center"/>
          </w:tcPr>
          <w:p w:rsidR="00E76F98" w:rsidRPr="00357FBC" w:rsidRDefault="00E76F98" w:rsidP="00B02641">
            <w:pPr>
              <w:spacing w:before="20" w:after="20"/>
              <w:jc w:val="center"/>
              <w:rPr>
                <w:sz w:val="20"/>
                <w:szCs w:val="20"/>
              </w:rPr>
            </w:pPr>
          </w:p>
        </w:tc>
        <w:tc>
          <w:tcPr>
            <w:tcW w:w="748" w:type="dxa"/>
            <w:vAlign w:val="center"/>
          </w:tcPr>
          <w:p w:rsidR="00E76F98" w:rsidRPr="00357FBC" w:rsidRDefault="00E76F98" w:rsidP="00B02641">
            <w:pPr>
              <w:spacing w:before="20" w:after="20"/>
              <w:jc w:val="center"/>
              <w:rPr>
                <w:sz w:val="20"/>
                <w:szCs w:val="20"/>
              </w:rPr>
            </w:pPr>
          </w:p>
        </w:tc>
        <w:tc>
          <w:tcPr>
            <w:tcW w:w="748" w:type="dxa"/>
            <w:gridSpan w:val="2"/>
            <w:vAlign w:val="center"/>
          </w:tcPr>
          <w:p w:rsidR="00E76F98" w:rsidRPr="00357FBC" w:rsidRDefault="00E76F98" w:rsidP="00B02641">
            <w:pPr>
              <w:spacing w:before="20" w:after="20"/>
              <w:jc w:val="center"/>
              <w:rPr>
                <w:sz w:val="20"/>
                <w:szCs w:val="20"/>
              </w:rPr>
            </w:pPr>
            <w:r w:rsidRPr="00357FBC">
              <w:rPr>
                <w:sz w:val="20"/>
              </w:rPr>
              <w:t>3,15</w:t>
            </w:r>
          </w:p>
        </w:tc>
        <w:tc>
          <w:tcPr>
            <w:tcW w:w="727" w:type="dxa"/>
            <w:gridSpan w:val="2"/>
            <w:vAlign w:val="center"/>
          </w:tcPr>
          <w:p w:rsidR="00E76F98" w:rsidRPr="00357FBC" w:rsidRDefault="00E76F98" w:rsidP="00B02641">
            <w:pPr>
              <w:spacing w:before="20" w:after="20"/>
              <w:jc w:val="center"/>
              <w:rPr>
                <w:b/>
                <w:sz w:val="20"/>
                <w:szCs w:val="20"/>
              </w:rPr>
            </w:pPr>
          </w:p>
        </w:tc>
        <w:tc>
          <w:tcPr>
            <w:tcW w:w="1375" w:type="dxa"/>
            <w:vAlign w:val="center"/>
          </w:tcPr>
          <w:p w:rsidR="00E76F98" w:rsidRPr="00357FBC" w:rsidRDefault="00E76F98" w:rsidP="00B02641">
            <w:pPr>
              <w:spacing w:before="20" w:after="20"/>
              <w:jc w:val="center"/>
              <w:rPr>
                <w:b/>
                <w:sz w:val="20"/>
                <w:szCs w:val="20"/>
              </w:rPr>
            </w:pPr>
            <w:r w:rsidRPr="00357FBC">
              <w:rPr>
                <w:b/>
                <w:sz w:val="20"/>
              </w:rPr>
              <w:t>3,15</w:t>
            </w:r>
          </w:p>
        </w:tc>
      </w:tr>
      <w:tr w:rsidR="00E76F98" w:rsidRPr="00357FBC" w:rsidTr="00B0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Pr>
        <w:tc>
          <w:tcPr>
            <w:tcW w:w="3686" w:type="dxa"/>
            <w:vMerge/>
          </w:tcPr>
          <w:p w:rsidR="00E76F98" w:rsidRPr="00357FBC" w:rsidRDefault="00E76F98" w:rsidP="00B02641">
            <w:pPr>
              <w:jc w:val="center"/>
              <w:rPr>
                <w:sz w:val="20"/>
                <w:szCs w:val="20"/>
              </w:rPr>
            </w:pPr>
          </w:p>
        </w:tc>
        <w:tc>
          <w:tcPr>
            <w:tcW w:w="1345" w:type="dxa"/>
            <w:vAlign w:val="center"/>
          </w:tcPr>
          <w:p w:rsidR="00E76F98" w:rsidRPr="00357FBC" w:rsidRDefault="00E76F98" w:rsidP="00B02641">
            <w:pPr>
              <w:spacing w:before="20" w:after="20"/>
            </w:pPr>
            <w:r w:rsidRPr="00357FBC">
              <w:rPr>
                <w:sz w:val="18"/>
              </w:rPr>
              <w:t>Πληρωμές</w:t>
            </w:r>
          </w:p>
        </w:tc>
        <w:tc>
          <w:tcPr>
            <w:tcW w:w="748" w:type="dxa"/>
            <w:vAlign w:val="center"/>
          </w:tcPr>
          <w:p w:rsidR="00E76F98" w:rsidRPr="00357FBC" w:rsidRDefault="00E76F98" w:rsidP="00B02641">
            <w:pPr>
              <w:spacing w:before="20" w:after="20"/>
              <w:jc w:val="center"/>
              <w:rPr>
                <w:sz w:val="14"/>
              </w:rPr>
            </w:pPr>
            <w:r w:rsidRPr="00357FBC">
              <w:rPr>
                <w:sz w:val="14"/>
              </w:rPr>
              <w:t>(2α)</w:t>
            </w:r>
          </w:p>
        </w:tc>
        <w:tc>
          <w:tcPr>
            <w:tcW w:w="748" w:type="dxa"/>
            <w:gridSpan w:val="2"/>
            <w:vAlign w:val="center"/>
          </w:tcPr>
          <w:p w:rsidR="00E76F98" w:rsidRPr="00357FBC" w:rsidRDefault="00E76F98" w:rsidP="00B02641">
            <w:pPr>
              <w:spacing w:before="20" w:after="20"/>
              <w:jc w:val="center"/>
              <w:rPr>
                <w:sz w:val="20"/>
                <w:szCs w:val="20"/>
              </w:rPr>
            </w:pPr>
          </w:p>
        </w:tc>
        <w:tc>
          <w:tcPr>
            <w:tcW w:w="748" w:type="dxa"/>
            <w:gridSpan w:val="4"/>
            <w:vAlign w:val="center"/>
          </w:tcPr>
          <w:p w:rsidR="00E76F98" w:rsidRPr="00357FBC" w:rsidRDefault="00E76F98" w:rsidP="00B02641">
            <w:pPr>
              <w:spacing w:before="20" w:after="20"/>
              <w:jc w:val="center"/>
              <w:rPr>
                <w:sz w:val="20"/>
                <w:szCs w:val="20"/>
              </w:rPr>
            </w:pPr>
          </w:p>
        </w:tc>
        <w:tc>
          <w:tcPr>
            <w:tcW w:w="748" w:type="dxa"/>
            <w:vAlign w:val="center"/>
          </w:tcPr>
          <w:p w:rsidR="00E76F98" w:rsidRPr="00357FBC" w:rsidRDefault="00E76F98" w:rsidP="00B02641">
            <w:pPr>
              <w:spacing w:before="20" w:after="20"/>
              <w:jc w:val="center"/>
              <w:rPr>
                <w:sz w:val="20"/>
                <w:szCs w:val="20"/>
              </w:rPr>
            </w:pPr>
          </w:p>
        </w:tc>
        <w:tc>
          <w:tcPr>
            <w:tcW w:w="748" w:type="dxa"/>
            <w:gridSpan w:val="2"/>
            <w:vAlign w:val="center"/>
          </w:tcPr>
          <w:p w:rsidR="00E76F98" w:rsidRPr="00357FBC" w:rsidRDefault="00E76F98" w:rsidP="00B02641">
            <w:pPr>
              <w:spacing w:before="20" w:after="20"/>
              <w:jc w:val="center"/>
              <w:rPr>
                <w:sz w:val="20"/>
                <w:szCs w:val="20"/>
              </w:rPr>
            </w:pPr>
            <w:r w:rsidRPr="00357FBC">
              <w:rPr>
                <w:sz w:val="20"/>
              </w:rPr>
              <w:t>3,15</w:t>
            </w:r>
          </w:p>
        </w:tc>
        <w:tc>
          <w:tcPr>
            <w:tcW w:w="727" w:type="dxa"/>
            <w:gridSpan w:val="2"/>
            <w:vAlign w:val="center"/>
          </w:tcPr>
          <w:p w:rsidR="00E76F98" w:rsidRPr="00357FBC" w:rsidDel="00936E2E" w:rsidRDefault="00E76F98" w:rsidP="00B02641">
            <w:pPr>
              <w:spacing w:before="20" w:after="20"/>
              <w:jc w:val="center"/>
              <w:rPr>
                <w:b/>
                <w:sz w:val="20"/>
                <w:szCs w:val="20"/>
              </w:rPr>
            </w:pPr>
          </w:p>
        </w:tc>
        <w:tc>
          <w:tcPr>
            <w:tcW w:w="1375" w:type="dxa"/>
            <w:vAlign w:val="center"/>
          </w:tcPr>
          <w:p w:rsidR="00E76F98" w:rsidRPr="00357FBC" w:rsidRDefault="00E76F98" w:rsidP="00B02641">
            <w:pPr>
              <w:spacing w:before="20" w:after="20"/>
              <w:jc w:val="center"/>
              <w:rPr>
                <w:b/>
                <w:sz w:val="20"/>
                <w:szCs w:val="20"/>
              </w:rPr>
            </w:pPr>
            <w:r w:rsidRPr="00357FBC">
              <w:rPr>
                <w:b/>
                <w:sz w:val="20"/>
              </w:rPr>
              <w:t>3,15</w:t>
            </w:r>
          </w:p>
        </w:tc>
      </w:tr>
      <w:tr w:rsidR="00E76F98" w:rsidRPr="00357FBC" w:rsidTr="00B0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Height w:val="231"/>
        </w:trPr>
        <w:tc>
          <w:tcPr>
            <w:tcW w:w="5779" w:type="dxa"/>
            <w:gridSpan w:val="3"/>
            <w:vAlign w:val="center"/>
          </w:tcPr>
          <w:p w:rsidR="00E76F98" w:rsidRPr="00357FBC" w:rsidRDefault="005B73DC" w:rsidP="004C7F78">
            <w:pPr>
              <w:spacing w:before="60" w:after="60"/>
              <w:rPr>
                <w:sz w:val="20"/>
                <w:szCs w:val="20"/>
              </w:rPr>
            </w:pPr>
            <w:r w:rsidRPr="004C7F78">
              <w:rPr>
                <w:sz w:val="20"/>
              </w:rPr>
              <w:t>Επιχειρησιακή αξιολόγηση και εκ των υστέρων αξιολόγηση</w:t>
            </w:r>
          </w:p>
        </w:tc>
        <w:tc>
          <w:tcPr>
            <w:tcW w:w="748" w:type="dxa"/>
            <w:gridSpan w:val="2"/>
            <w:vAlign w:val="center"/>
          </w:tcPr>
          <w:p w:rsidR="00E76F98" w:rsidRPr="00357FBC" w:rsidRDefault="00E76F98" w:rsidP="00B02641">
            <w:pPr>
              <w:jc w:val="center"/>
              <w:rPr>
                <w:sz w:val="20"/>
                <w:szCs w:val="20"/>
              </w:rPr>
            </w:pPr>
          </w:p>
        </w:tc>
        <w:tc>
          <w:tcPr>
            <w:tcW w:w="748" w:type="dxa"/>
            <w:gridSpan w:val="4"/>
            <w:vAlign w:val="center"/>
          </w:tcPr>
          <w:p w:rsidR="00E76F98" w:rsidRPr="00357FBC" w:rsidRDefault="00E76F98" w:rsidP="00B02641">
            <w:pPr>
              <w:jc w:val="center"/>
              <w:rPr>
                <w:sz w:val="20"/>
                <w:szCs w:val="20"/>
              </w:rPr>
            </w:pPr>
          </w:p>
        </w:tc>
        <w:tc>
          <w:tcPr>
            <w:tcW w:w="748" w:type="dxa"/>
            <w:vAlign w:val="center"/>
          </w:tcPr>
          <w:p w:rsidR="00E76F98" w:rsidRPr="00357FBC" w:rsidRDefault="00E76F98" w:rsidP="00B02641">
            <w:pPr>
              <w:jc w:val="center"/>
              <w:rPr>
                <w:sz w:val="20"/>
                <w:szCs w:val="20"/>
              </w:rPr>
            </w:pPr>
          </w:p>
        </w:tc>
        <w:tc>
          <w:tcPr>
            <w:tcW w:w="748" w:type="dxa"/>
            <w:gridSpan w:val="2"/>
            <w:vAlign w:val="center"/>
          </w:tcPr>
          <w:p w:rsidR="00E76F98" w:rsidRPr="00357FBC" w:rsidRDefault="00E76F98" w:rsidP="00B02641">
            <w:pPr>
              <w:jc w:val="center"/>
              <w:rPr>
                <w:sz w:val="20"/>
                <w:szCs w:val="20"/>
              </w:rPr>
            </w:pPr>
          </w:p>
        </w:tc>
        <w:tc>
          <w:tcPr>
            <w:tcW w:w="727" w:type="dxa"/>
            <w:gridSpan w:val="2"/>
            <w:vAlign w:val="center"/>
          </w:tcPr>
          <w:p w:rsidR="00E76F98" w:rsidRPr="00357FBC" w:rsidRDefault="00E76F98" w:rsidP="00B02641">
            <w:pPr>
              <w:jc w:val="center"/>
              <w:rPr>
                <w:b/>
                <w:sz w:val="20"/>
                <w:szCs w:val="20"/>
              </w:rPr>
            </w:pPr>
          </w:p>
        </w:tc>
        <w:tc>
          <w:tcPr>
            <w:tcW w:w="1375" w:type="dxa"/>
            <w:vAlign w:val="center"/>
          </w:tcPr>
          <w:p w:rsidR="00E76F98" w:rsidRPr="00357FBC" w:rsidRDefault="00E76F98" w:rsidP="00B02641">
            <w:pPr>
              <w:jc w:val="center"/>
              <w:rPr>
                <w:b/>
                <w:sz w:val="20"/>
                <w:szCs w:val="20"/>
              </w:rPr>
            </w:pPr>
          </w:p>
        </w:tc>
      </w:tr>
      <w:tr w:rsidR="00E76F98" w:rsidRPr="00357FBC" w:rsidTr="00B0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Height w:val="319"/>
        </w:trPr>
        <w:tc>
          <w:tcPr>
            <w:tcW w:w="3686" w:type="dxa"/>
            <w:vAlign w:val="center"/>
          </w:tcPr>
          <w:p w:rsidR="00E76F98" w:rsidRPr="00357FBC" w:rsidRDefault="00E76F98" w:rsidP="00B02641">
            <w:pPr>
              <w:spacing w:before="60" w:after="60"/>
              <w:rPr>
                <w:sz w:val="20"/>
                <w:szCs w:val="20"/>
              </w:rPr>
            </w:pPr>
            <w:r w:rsidRPr="00357FBC">
              <w:rPr>
                <w:sz w:val="20"/>
              </w:rPr>
              <w:t>Γραμμή του προϋπολογισμού 01 03 02 Μακροοικονομική χρηματοδοτική συνδρομή</w:t>
            </w:r>
          </w:p>
        </w:tc>
        <w:tc>
          <w:tcPr>
            <w:tcW w:w="1345" w:type="dxa"/>
            <w:vAlign w:val="center"/>
          </w:tcPr>
          <w:p w:rsidR="00E76F98" w:rsidRPr="00357FBC" w:rsidRDefault="00E76F98" w:rsidP="00B02641">
            <w:pPr>
              <w:spacing w:before="40" w:after="40"/>
              <w:jc w:val="left"/>
              <w:rPr>
                <w:sz w:val="18"/>
              </w:rPr>
            </w:pPr>
            <w:r w:rsidRPr="00357FBC">
              <w:rPr>
                <w:sz w:val="18"/>
              </w:rPr>
              <w:t>Αναλήψεις υποχρεώσεων</w:t>
            </w:r>
          </w:p>
        </w:tc>
        <w:tc>
          <w:tcPr>
            <w:tcW w:w="748" w:type="dxa"/>
            <w:vAlign w:val="center"/>
          </w:tcPr>
          <w:p w:rsidR="00E76F98" w:rsidRPr="00357FBC" w:rsidRDefault="00E76F98" w:rsidP="00B02641">
            <w:pPr>
              <w:spacing w:before="40" w:after="40"/>
              <w:jc w:val="center"/>
              <w:rPr>
                <w:sz w:val="14"/>
              </w:rPr>
            </w:pPr>
            <w:r w:rsidRPr="00357FBC">
              <w:rPr>
                <w:sz w:val="14"/>
              </w:rPr>
              <w:t>(3)</w:t>
            </w:r>
          </w:p>
        </w:tc>
        <w:tc>
          <w:tcPr>
            <w:tcW w:w="748" w:type="dxa"/>
            <w:gridSpan w:val="2"/>
            <w:vAlign w:val="center"/>
          </w:tcPr>
          <w:p w:rsidR="00E76F98" w:rsidRPr="00357FBC" w:rsidRDefault="00E76F98" w:rsidP="00B02641">
            <w:pPr>
              <w:spacing w:before="40" w:after="40"/>
              <w:jc w:val="center"/>
              <w:rPr>
                <w:sz w:val="20"/>
                <w:szCs w:val="20"/>
              </w:rPr>
            </w:pPr>
            <w:r w:rsidRPr="00357FBC">
              <w:rPr>
                <w:sz w:val="20"/>
              </w:rPr>
              <w:t>0,07</w:t>
            </w:r>
          </w:p>
        </w:tc>
        <w:tc>
          <w:tcPr>
            <w:tcW w:w="748" w:type="dxa"/>
            <w:gridSpan w:val="4"/>
            <w:vAlign w:val="center"/>
          </w:tcPr>
          <w:p w:rsidR="00E76F98" w:rsidRPr="00357FBC" w:rsidRDefault="00E76F98" w:rsidP="00B02641">
            <w:pPr>
              <w:spacing w:before="40" w:after="40"/>
              <w:jc w:val="center"/>
              <w:rPr>
                <w:sz w:val="20"/>
                <w:szCs w:val="20"/>
              </w:rPr>
            </w:pPr>
          </w:p>
        </w:tc>
        <w:tc>
          <w:tcPr>
            <w:tcW w:w="748" w:type="dxa"/>
            <w:vAlign w:val="center"/>
          </w:tcPr>
          <w:p w:rsidR="00E76F98" w:rsidRPr="00357FBC" w:rsidRDefault="00E76F98" w:rsidP="00B02641">
            <w:pPr>
              <w:spacing w:before="40" w:after="40"/>
              <w:jc w:val="center"/>
              <w:rPr>
                <w:sz w:val="20"/>
                <w:szCs w:val="20"/>
              </w:rPr>
            </w:pPr>
          </w:p>
        </w:tc>
        <w:tc>
          <w:tcPr>
            <w:tcW w:w="748" w:type="dxa"/>
            <w:gridSpan w:val="2"/>
            <w:vAlign w:val="center"/>
          </w:tcPr>
          <w:p w:rsidR="00E76F98" w:rsidRPr="00357FBC" w:rsidRDefault="00E76F98" w:rsidP="00B02641">
            <w:pPr>
              <w:spacing w:before="40" w:after="40"/>
              <w:jc w:val="center"/>
              <w:rPr>
                <w:sz w:val="20"/>
                <w:szCs w:val="20"/>
              </w:rPr>
            </w:pPr>
            <w:r w:rsidRPr="00357FBC">
              <w:rPr>
                <w:sz w:val="20"/>
              </w:rPr>
              <w:t>0,15</w:t>
            </w:r>
          </w:p>
        </w:tc>
        <w:tc>
          <w:tcPr>
            <w:tcW w:w="727" w:type="dxa"/>
            <w:gridSpan w:val="2"/>
            <w:vAlign w:val="center"/>
          </w:tcPr>
          <w:p w:rsidR="00E76F98" w:rsidRPr="00357FBC" w:rsidRDefault="00E76F98" w:rsidP="00B02641">
            <w:pPr>
              <w:spacing w:before="40" w:after="40"/>
              <w:jc w:val="center"/>
              <w:rPr>
                <w:b/>
                <w:sz w:val="20"/>
                <w:szCs w:val="20"/>
              </w:rPr>
            </w:pPr>
          </w:p>
        </w:tc>
        <w:tc>
          <w:tcPr>
            <w:tcW w:w="1375" w:type="dxa"/>
            <w:vAlign w:val="center"/>
          </w:tcPr>
          <w:p w:rsidR="00E76F98" w:rsidRPr="00357FBC" w:rsidRDefault="00E76F98" w:rsidP="00B02641">
            <w:pPr>
              <w:spacing w:before="40" w:after="40"/>
              <w:jc w:val="center"/>
              <w:rPr>
                <w:b/>
                <w:sz w:val="20"/>
                <w:szCs w:val="20"/>
              </w:rPr>
            </w:pPr>
            <w:r w:rsidRPr="00357FBC">
              <w:rPr>
                <w:b/>
                <w:sz w:val="20"/>
              </w:rPr>
              <w:t>0,22</w:t>
            </w:r>
          </w:p>
        </w:tc>
      </w:tr>
      <w:tr w:rsidR="00E76F98" w:rsidRPr="00357FBC" w:rsidTr="00B0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Height w:val="319"/>
        </w:trPr>
        <w:tc>
          <w:tcPr>
            <w:tcW w:w="3686" w:type="dxa"/>
            <w:vAlign w:val="center"/>
          </w:tcPr>
          <w:p w:rsidR="00E76F98" w:rsidRPr="00357FBC" w:rsidRDefault="00E76F98" w:rsidP="00B02641">
            <w:pPr>
              <w:spacing w:before="60" w:after="60"/>
              <w:rPr>
                <w:sz w:val="20"/>
              </w:rPr>
            </w:pPr>
          </w:p>
        </w:tc>
        <w:tc>
          <w:tcPr>
            <w:tcW w:w="1345" w:type="dxa"/>
            <w:vAlign w:val="center"/>
          </w:tcPr>
          <w:p w:rsidR="00E76F98" w:rsidRPr="00357FBC" w:rsidRDefault="00E76F98" w:rsidP="00B02641">
            <w:pPr>
              <w:spacing w:before="40" w:after="40"/>
              <w:jc w:val="left"/>
              <w:rPr>
                <w:sz w:val="18"/>
              </w:rPr>
            </w:pPr>
            <w:r w:rsidRPr="00357FBC">
              <w:rPr>
                <w:sz w:val="18"/>
              </w:rPr>
              <w:t>Πληρωμές</w:t>
            </w:r>
          </w:p>
        </w:tc>
        <w:tc>
          <w:tcPr>
            <w:tcW w:w="748" w:type="dxa"/>
            <w:vAlign w:val="center"/>
          </w:tcPr>
          <w:p w:rsidR="00E76F98" w:rsidRPr="00357FBC" w:rsidRDefault="00E76F98" w:rsidP="00B02641">
            <w:pPr>
              <w:spacing w:before="40" w:after="40"/>
              <w:jc w:val="center"/>
              <w:rPr>
                <w:sz w:val="14"/>
              </w:rPr>
            </w:pPr>
            <w:r w:rsidRPr="00357FBC">
              <w:rPr>
                <w:sz w:val="14"/>
              </w:rPr>
              <w:t>(3α)</w:t>
            </w:r>
          </w:p>
        </w:tc>
        <w:tc>
          <w:tcPr>
            <w:tcW w:w="748" w:type="dxa"/>
            <w:gridSpan w:val="2"/>
            <w:vAlign w:val="center"/>
          </w:tcPr>
          <w:p w:rsidR="00E76F98" w:rsidRPr="00357FBC" w:rsidRDefault="00E76F98" w:rsidP="00B02641">
            <w:pPr>
              <w:spacing w:before="40" w:after="40"/>
              <w:jc w:val="center"/>
              <w:rPr>
                <w:sz w:val="20"/>
                <w:szCs w:val="20"/>
              </w:rPr>
            </w:pPr>
            <w:r w:rsidRPr="00357FBC">
              <w:rPr>
                <w:sz w:val="20"/>
              </w:rPr>
              <w:t>0,07</w:t>
            </w:r>
          </w:p>
        </w:tc>
        <w:tc>
          <w:tcPr>
            <w:tcW w:w="748" w:type="dxa"/>
            <w:gridSpan w:val="4"/>
            <w:vAlign w:val="center"/>
          </w:tcPr>
          <w:p w:rsidR="00E76F98" w:rsidRPr="00357FBC" w:rsidRDefault="00E76F98" w:rsidP="00B02641">
            <w:pPr>
              <w:spacing w:before="40" w:after="40"/>
              <w:jc w:val="center"/>
              <w:rPr>
                <w:sz w:val="20"/>
                <w:szCs w:val="20"/>
              </w:rPr>
            </w:pPr>
          </w:p>
        </w:tc>
        <w:tc>
          <w:tcPr>
            <w:tcW w:w="748" w:type="dxa"/>
            <w:vAlign w:val="center"/>
          </w:tcPr>
          <w:p w:rsidR="00E76F98" w:rsidRPr="00357FBC" w:rsidRDefault="00E76F98" w:rsidP="00B02641">
            <w:pPr>
              <w:spacing w:before="40" w:after="40"/>
              <w:jc w:val="center"/>
              <w:rPr>
                <w:sz w:val="20"/>
                <w:szCs w:val="20"/>
              </w:rPr>
            </w:pPr>
          </w:p>
        </w:tc>
        <w:tc>
          <w:tcPr>
            <w:tcW w:w="748" w:type="dxa"/>
            <w:gridSpan w:val="2"/>
            <w:vAlign w:val="center"/>
          </w:tcPr>
          <w:p w:rsidR="00E76F98" w:rsidRPr="00357FBC" w:rsidRDefault="00E76F98" w:rsidP="00B02641">
            <w:pPr>
              <w:spacing w:before="40" w:after="40"/>
              <w:jc w:val="center"/>
              <w:rPr>
                <w:sz w:val="20"/>
                <w:szCs w:val="20"/>
              </w:rPr>
            </w:pPr>
          </w:p>
        </w:tc>
        <w:tc>
          <w:tcPr>
            <w:tcW w:w="727" w:type="dxa"/>
            <w:gridSpan w:val="2"/>
            <w:vAlign w:val="center"/>
          </w:tcPr>
          <w:p w:rsidR="00E76F98" w:rsidRPr="00357FBC" w:rsidRDefault="00E76F98" w:rsidP="00B02641">
            <w:pPr>
              <w:spacing w:before="40" w:after="40"/>
              <w:jc w:val="center"/>
              <w:rPr>
                <w:b/>
                <w:sz w:val="20"/>
                <w:szCs w:val="20"/>
              </w:rPr>
            </w:pPr>
            <w:r w:rsidRPr="00357FBC">
              <w:rPr>
                <w:sz w:val="20"/>
              </w:rPr>
              <w:t>0,15</w:t>
            </w:r>
          </w:p>
        </w:tc>
        <w:tc>
          <w:tcPr>
            <w:tcW w:w="1375" w:type="dxa"/>
            <w:vAlign w:val="center"/>
          </w:tcPr>
          <w:p w:rsidR="00E76F98" w:rsidRPr="00357FBC" w:rsidRDefault="00E76F98" w:rsidP="00B02641">
            <w:pPr>
              <w:spacing w:before="40" w:after="40"/>
              <w:jc w:val="center"/>
              <w:rPr>
                <w:b/>
                <w:sz w:val="20"/>
                <w:szCs w:val="20"/>
              </w:rPr>
            </w:pPr>
            <w:r w:rsidRPr="00357FBC">
              <w:rPr>
                <w:b/>
                <w:sz w:val="20"/>
              </w:rPr>
              <w:t>0,22</w:t>
            </w:r>
          </w:p>
        </w:tc>
      </w:tr>
      <w:tr w:rsidR="00E76F98" w:rsidRPr="00357FBC" w:rsidTr="00B0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Pr>
        <w:tc>
          <w:tcPr>
            <w:tcW w:w="3686" w:type="dxa"/>
            <w:vMerge w:val="restart"/>
            <w:vAlign w:val="center"/>
          </w:tcPr>
          <w:p w:rsidR="00E76F98" w:rsidRPr="00357FBC" w:rsidRDefault="00E76F98" w:rsidP="00B02641">
            <w:pPr>
              <w:jc w:val="center"/>
              <w:rPr>
                <w:b/>
              </w:rPr>
            </w:pPr>
            <w:r w:rsidRPr="00357FBC">
              <w:rPr>
                <w:b/>
                <w:sz w:val="22"/>
              </w:rPr>
              <w:t>ΣΥΝΟΛΟ πιστώσεων</w:t>
            </w:r>
            <w:r w:rsidRPr="00357FBC">
              <w:rPr>
                <w:b/>
                <w:sz w:val="22"/>
              </w:rPr>
              <w:br/>
              <w:t xml:space="preserve">για τη ΓΔ </w:t>
            </w:r>
            <w:r w:rsidRPr="00357FBC">
              <w:rPr>
                <w:b/>
              </w:rPr>
              <w:t>ECFIN</w:t>
            </w:r>
          </w:p>
        </w:tc>
        <w:tc>
          <w:tcPr>
            <w:tcW w:w="1345" w:type="dxa"/>
            <w:vAlign w:val="center"/>
          </w:tcPr>
          <w:p w:rsidR="00E76F98" w:rsidRPr="00357FBC" w:rsidRDefault="00E76F98" w:rsidP="00B02641">
            <w:r w:rsidRPr="00357FBC">
              <w:rPr>
                <w:sz w:val="18"/>
              </w:rPr>
              <w:t>Αναλήψεις υποχρεώσεων</w:t>
            </w:r>
          </w:p>
        </w:tc>
        <w:tc>
          <w:tcPr>
            <w:tcW w:w="748" w:type="dxa"/>
            <w:vAlign w:val="center"/>
          </w:tcPr>
          <w:p w:rsidR="00E76F98" w:rsidRPr="00357FBC" w:rsidRDefault="005B73DC" w:rsidP="00B02641">
            <w:pPr>
              <w:jc w:val="center"/>
            </w:pPr>
            <w:r w:rsidRPr="00357FBC">
              <w:rPr>
                <w:sz w:val="14"/>
              </w:rPr>
              <w:t>(4) =1+1α +3</w:t>
            </w:r>
          </w:p>
        </w:tc>
        <w:tc>
          <w:tcPr>
            <w:tcW w:w="748" w:type="dxa"/>
            <w:gridSpan w:val="2"/>
            <w:vAlign w:val="center"/>
          </w:tcPr>
          <w:p w:rsidR="00E76F98" w:rsidRPr="00357FBC" w:rsidRDefault="00E76F98" w:rsidP="00B02641">
            <w:pPr>
              <w:spacing w:before="20" w:after="20"/>
              <w:jc w:val="center"/>
              <w:rPr>
                <w:sz w:val="20"/>
                <w:szCs w:val="20"/>
              </w:rPr>
            </w:pPr>
            <w:r w:rsidRPr="00357FBC">
              <w:rPr>
                <w:sz w:val="20"/>
              </w:rPr>
              <w:t>0,07</w:t>
            </w:r>
          </w:p>
        </w:tc>
        <w:tc>
          <w:tcPr>
            <w:tcW w:w="748" w:type="dxa"/>
            <w:gridSpan w:val="4"/>
            <w:vAlign w:val="center"/>
          </w:tcPr>
          <w:p w:rsidR="00E76F98" w:rsidRPr="00357FBC" w:rsidRDefault="00E76F98" w:rsidP="00B02641">
            <w:pPr>
              <w:spacing w:before="20" w:after="20"/>
              <w:jc w:val="center"/>
              <w:rPr>
                <w:sz w:val="20"/>
                <w:szCs w:val="20"/>
              </w:rPr>
            </w:pPr>
            <w:r w:rsidRPr="00357FBC">
              <w:rPr>
                <w:sz w:val="20"/>
              </w:rPr>
              <w:t>10</w:t>
            </w:r>
          </w:p>
        </w:tc>
        <w:tc>
          <w:tcPr>
            <w:tcW w:w="748" w:type="dxa"/>
            <w:vAlign w:val="center"/>
          </w:tcPr>
          <w:p w:rsidR="00E76F98" w:rsidRPr="00357FBC" w:rsidRDefault="00E76F98" w:rsidP="00B02641">
            <w:pPr>
              <w:spacing w:before="20" w:after="20"/>
              <w:jc w:val="center"/>
              <w:rPr>
                <w:sz w:val="20"/>
                <w:szCs w:val="20"/>
              </w:rPr>
            </w:pPr>
          </w:p>
        </w:tc>
        <w:tc>
          <w:tcPr>
            <w:tcW w:w="748" w:type="dxa"/>
            <w:gridSpan w:val="2"/>
            <w:vAlign w:val="center"/>
          </w:tcPr>
          <w:p w:rsidR="00E76F98" w:rsidRPr="00357FBC" w:rsidRDefault="00E76F98" w:rsidP="00B02641">
            <w:pPr>
              <w:spacing w:before="20" w:after="20"/>
              <w:jc w:val="center"/>
              <w:rPr>
                <w:sz w:val="20"/>
                <w:szCs w:val="20"/>
              </w:rPr>
            </w:pPr>
            <w:r w:rsidRPr="00357FBC">
              <w:rPr>
                <w:sz w:val="20"/>
              </w:rPr>
              <w:t>3,3</w:t>
            </w:r>
          </w:p>
        </w:tc>
        <w:tc>
          <w:tcPr>
            <w:tcW w:w="727" w:type="dxa"/>
            <w:gridSpan w:val="2"/>
            <w:vAlign w:val="center"/>
          </w:tcPr>
          <w:p w:rsidR="00E76F98" w:rsidRPr="00357FBC" w:rsidDel="002B084A" w:rsidRDefault="00E76F98" w:rsidP="00B02641">
            <w:pPr>
              <w:spacing w:before="20" w:after="20"/>
              <w:jc w:val="center"/>
              <w:rPr>
                <w:b/>
                <w:sz w:val="20"/>
                <w:szCs w:val="20"/>
              </w:rPr>
            </w:pPr>
          </w:p>
        </w:tc>
        <w:tc>
          <w:tcPr>
            <w:tcW w:w="1375" w:type="dxa"/>
            <w:vAlign w:val="center"/>
          </w:tcPr>
          <w:p w:rsidR="00E76F98" w:rsidRPr="00357FBC" w:rsidRDefault="00E76F98" w:rsidP="00B02641">
            <w:pPr>
              <w:spacing w:before="20" w:after="20"/>
              <w:jc w:val="center"/>
              <w:rPr>
                <w:b/>
                <w:sz w:val="20"/>
                <w:szCs w:val="20"/>
              </w:rPr>
            </w:pPr>
            <w:r w:rsidRPr="00357FBC">
              <w:rPr>
                <w:b/>
                <w:sz w:val="20"/>
              </w:rPr>
              <w:t>13,37</w:t>
            </w:r>
          </w:p>
        </w:tc>
      </w:tr>
      <w:tr w:rsidR="00E76F98" w:rsidRPr="00357FBC" w:rsidTr="00B0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Pr>
        <w:tc>
          <w:tcPr>
            <w:tcW w:w="3686" w:type="dxa"/>
            <w:vMerge/>
          </w:tcPr>
          <w:p w:rsidR="00E76F98" w:rsidRPr="00357FBC" w:rsidRDefault="00E76F98" w:rsidP="00B02641">
            <w:pPr>
              <w:rPr>
                <w:sz w:val="20"/>
              </w:rPr>
            </w:pPr>
          </w:p>
        </w:tc>
        <w:tc>
          <w:tcPr>
            <w:tcW w:w="1345" w:type="dxa"/>
            <w:vAlign w:val="center"/>
          </w:tcPr>
          <w:p w:rsidR="00E76F98" w:rsidRPr="00357FBC" w:rsidRDefault="00E76F98" w:rsidP="00B02641">
            <w:r w:rsidRPr="00357FBC">
              <w:rPr>
                <w:sz w:val="18"/>
              </w:rPr>
              <w:t>Πληρωμές</w:t>
            </w:r>
          </w:p>
        </w:tc>
        <w:tc>
          <w:tcPr>
            <w:tcW w:w="748" w:type="dxa"/>
            <w:vAlign w:val="center"/>
          </w:tcPr>
          <w:p w:rsidR="00E76F98" w:rsidRPr="00357FBC" w:rsidRDefault="005B73DC" w:rsidP="00B02641">
            <w:pPr>
              <w:jc w:val="center"/>
              <w:rPr>
                <w:sz w:val="14"/>
              </w:rPr>
            </w:pPr>
            <w:r w:rsidRPr="00357FBC">
              <w:rPr>
                <w:sz w:val="14"/>
              </w:rPr>
              <w:t>(5) =2+2α</w:t>
            </w:r>
          </w:p>
          <w:p w:rsidR="00E76F98" w:rsidRPr="00357FBC" w:rsidRDefault="00E76F98" w:rsidP="00B02641">
            <w:pPr>
              <w:jc w:val="center"/>
              <w:rPr>
                <w:sz w:val="14"/>
              </w:rPr>
            </w:pPr>
            <w:r w:rsidRPr="00357FBC">
              <w:rPr>
                <w:sz w:val="14"/>
              </w:rPr>
              <w:t>+3</w:t>
            </w:r>
          </w:p>
        </w:tc>
        <w:tc>
          <w:tcPr>
            <w:tcW w:w="748" w:type="dxa"/>
            <w:gridSpan w:val="2"/>
            <w:vAlign w:val="center"/>
          </w:tcPr>
          <w:p w:rsidR="00E76F98" w:rsidRPr="00357FBC" w:rsidRDefault="00E76F98" w:rsidP="00B02641">
            <w:pPr>
              <w:spacing w:before="20" w:after="20"/>
              <w:jc w:val="center"/>
              <w:rPr>
                <w:sz w:val="20"/>
                <w:szCs w:val="20"/>
              </w:rPr>
            </w:pPr>
            <w:r w:rsidRPr="00357FBC">
              <w:rPr>
                <w:sz w:val="20"/>
              </w:rPr>
              <w:t>0,07</w:t>
            </w:r>
          </w:p>
        </w:tc>
        <w:tc>
          <w:tcPr>
            <w:tcW w:w="748" w:type="dxa"/>
            <w:gridSpan w:val="4"/>
            <w:vAlign w:val="center"/>
          </w:tcPr>
          <w:p w:rsidR="00E76F98" w:rsidRPr="00357FBC" w:rsidRDefault="00E76F98" w:rsidP="00B02641">
            <w:pPr>
              <w:spacing w:before="20" w:after="20"/>
              <w:jc w:val="center"/>
              <w:rPr>
                <w:sz w:val="20"/>
                <w:szCs w:val="20"/>
              </w:rPr>
            </w:pPr>
            <w:r w:rsidRPr="00357FBC">
              <w:rPr>
                <w:sz w:val="20"/>
              </w:rPr>
              <w:t>10</w:t>
            </w:r>
          </w:p>
        </w:tc>
        <w:tc>
          <w:tcPr>
            <w:tcW w:w="748" w:type="dxa"/>
            <w:vAlign w:val="center"/>
          </w:tcPr>
          <w:p w:rsidR="00E76F98" w:rsidRPr="00357FBC" w:rsidRDefault="00E76F98" w:rsidP="00B02641">
            <w:pPr>
              <w:spacing w:before="20" w:after="20"/>
              <w:jc w:val="center"/>
              <w:rPr>
                <w:sz w:val="20"/>
                <w:szCs w:val="20"/>
              </w:rPr>
            </w:pPr>
          </w:p>
        </w:tc>
        <w:tc>
          <w:tcPr>
            <w:tcW w:w="748" w:type="dxa"/>
            <w:gridSpan w:val="2"/>
            <w:vAlign w:val="center"/>
          </w:tcPr>
          <w:p w:rsidR="00E76F98" w:rsidRPr="00357FBC" w:rsidRDefault="00E76F98" w:rsidP="00B02641">
            <w:pPr>
              <w:spacing w:before="20" w:after="20"/>
              <w:jc w:val="center"/>
              <w:rPr>
                <w:sz w:val="20"/>
                <w:szCs w:val="20"/>
              </w:rPr>
            </w:pPr>
            <w:r w:rsidRPr="00357FBC">
              <w:rPr>
                <w:sz w:val="20"/>
              </w:rPr>
              <w:t>3,15</w:t>
            </w:r>
          </w:p>
        </w:tc>
        <w:tc>
          <w:tcPr>
            <w:tcW w:w="727" w:type="dxa"/>
            <w:gridSpan w:val="2"/>
            <w:vAlign w:val="center"/>
          </w:tcPr>
          <w:p w:rsidR="00E76F98" w:rsidRPr="00357FBC" w:rsidDel="002B084A" w:rsidRDefault="00E76F98" w:rsidP="00B02641">
            <w:pPr>
              <w:spacing w:before="20" w:after="20"/>
              <w:jc w:val="center"/>
              <w:rPr>
                <w:sz w:val="20"/>
                <w:szCs w:val="20"/>
              </w:rPr>
            </w:pPr>
            <w:r w:rsidRPr="00357FBC">
              <w:rPr>
                <w:sz w:val="20"/>
              </w:rPr>
              <w:t>0,15</w:t>
            </w:r>
          </w:p>
        </w:tc>
        <w:tc>
          <w:tcPr>
            <w:tcW w:w="1375" w:type="dxa"/>
            <w:vAlign w:val="center"/>
          </w:tcPr>
          <w:p w:rsidR="00E76F98" w:rsidRPr="00357FBC" w:rsidRDefault="00E76F98" w:rsidP="00B02641">
            <w:pPr>
              <w:spacing w:before="20" w:after="20"/>
              <w:jc w:val="center"/>
              <w:rPr>
                <w:b/>
                <w:sz w:val="20"/>
                <w:szCs w:val="20"/>
              </w:rPr>
            </w:pPr>
            <w:r w:rsidRPr="00357FBC">
              <w:rPr>
                <w:b/>
                <w:sz w:val="20"/>
              </w:rPr>
              <w:t>13,37</w:t>
            </w:r>
          </w:p>
        </w:tc>
      </w:tr>
      <w:tr w:rsidR="00E76F98" w:rsidRPr="00357FBC" w:rsidTr="00B02641">
        <w:tc>
          <w:tcPr>
            <w:tcW w:w="5031" w:type="dxa"/>
            <w:gridSpan w:val="2"/>
          </w:tcPr>
          <w:p w:rsidR="00E76F98" w:rsidRPr="00357FBC" w:rsidRDefault="00E76F98" w:rsidP="00B02641">
            <w:pPr>
              <w:rPr>
                <w:sz w:val="18"/>
              </w:rPr>
            </w:pPr>
          </w:p>
        </w:tc>
        <w:tc>
          <w:tcPr>
            <w:tcW w:w="782" w:type="dxa"/>
            <w:gridSpan w:val="2"/>
          </w:tcPr>
          <w:p w:rsidR="00E76F98" w:rsidRPr="00357FBC" w:rsidRDefault="00E76F98" w:rsidP="00B02641">
            <w:pPr>
              <w:jc w:val="center"/>
              <w:rPr>
                <w:sz w:val="14"/>
              </w:rPr>
            </w:pPr>
          </w:p>
        </w:tc>
        <w:tc>
          <w:tcPr>
            <w:tcW w:w="747" w:type="dxa"/>
            <w:gridSpan w:val="2"/>
          </w:tcPr>
          <w:p w:rsidR="00E76F98" w:rsidRPr="00357FBC" w:rsidRDefault="00E76F98" w:rsidP="00B02641">
            <w:pPr>
              <w:spacing w:before="20" w:after="20"/>
              <w:jc w:val="right"/>
              <w:rPr>
                <w:sz w:val="20"/>
                <w:szCs w:val="20"/>
              </w:rPr>
            </w:pPr>
          </w:p>
        </w:tc>
        <w:tc>
          <w:tcPr>
            <w:tcW w:w="709" w:type="dxa"/>
            <w:gridSpan w:val="2"/>
          </w:tcPr>
          <w:p w:rsidR="00E76F98" w:rsidRPr="00357FBC" w:rsidRDefault="00E76F98" w:rsidP="00B02641">
            <w:pPr>
              <w:spacing w:before="20" w:after="20"/>
              <w:jc w:val="right"/>
              <w:rPr>
                <w:sz w:val="20"/>
                <w:szCs w:val="20"/>
              </w:rPr>
            </w:pPr>
          </w:p>
        </w:tc>
        <w:tc>
          <w:tcPr>
            <w:tcW w:w="850" w:type="dxa"/>
            <w:gridSpan w:val="3"/>
          </w:tcPr>
          <w:p w:rsidR="00E76F98" w:rsidRPr="00357FBC" w:rsidRDefault="00E76F98" w:rsidP="00B02641">
            <w:pPr>
              <w:spacing w:before="20" w:after="20"/>
              <w:jc w:val="right"/>
              <w:rPr>
                <w:color w:val="FF0000"/>
                <w:sz w:val="20"/>
                <w:szCs w:val="20"/>
              </w:rPr>
            </w:pPr>
          </w:p>
        </w:tc>
        <w:tc>
          <w:tcPr>
            <w:tcW w:w="709" w:type="dxa"/>
            <w:gridSpan w:val="2"/>
          </w:tcPr>
          <w:p w:rsidR="00E76F98" w:rsidRPr="00357FBC" w:rsidRDefault="00E76F98" w:rsidP="00B02641">
            <w:pPr>
              <w:spacing w:before="20" w:after="20"/>
              <w:jc w:val="right"/>
              <w:rPr>
                <w:color w:val="FF0000"/>
                <w:sz w:val="20"/>
                <w:szCs w:val="20"/>
              </w:rPr>
            </w:pPr>
          </w:p>
        </w:tc>
        <w:tc>
          <w:tcPr>
            <w:tcW w:w="670" w:type="dxa"/>
          </w:tcPr>
          <w:p w:rsidR="00E76F98" w:rsidRPr="00357FBC" w:rsidRDefault="00E76F98" w:rsidP="00B02641">
            <w:pPr>
              <w:spacing w:before="20" w:after="20"/>
              <w:jc w:val="center"/>
              <w:rPr>
                <w:b/>
                <w:color w:val="FF0000"/>
                <w:sz w:val="20"/>
                <w:szCs w:val="20"/>
              </w:rPr>
            </w:pPr>
          </w:p>
        </w:tc>
        <w:tc>
          <w:tcPr>
            <w:tcW w:w="1444" w:type="dxa"/>
            <w:gridSpan w:val="3"/>
          </w:tcPr>
          <w:p w:rsidR="00E76F98" w:rsidRPr="00357FBC" w:rsidRDefault="00E76F98" w:rsidP="00B02641">
            <w:pPr>
              <w:spacing w:before="20" w:after="20"/>
              <w:jc w:val="center"/>
              <w:rPr>
                <w:b/>
                <w:color w:val="FF0000"/>
                <w:sz w:val="20"/>
                <w:szCs w:val="20"/>
              </w:rPr>
            </w:pPr>
          </w:p>
        </w:tc>
      </w:tr>
      <w:tr w:rsidR="00E76F98" w:rsidRPr="00357FBC" w:rsidTr="00B0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vMerge w:val="restart"/>
            <w:shd w:val="clear" w:color="C0C0C0" w:fill="auto"/>
            <w:vAlign w:val="center"/>
          </w:tcPr>
          <w:p w:rsidR="00E76F98" w:rsidRPr="00357FBC" w:rsidRDefault="00E76F98" w:rsidP="00B02641">
            <w:pPr>
              <w:jc w:val="center"/>
            </w:pPr>
            <w:r w:rsidRPr="00357FBC">
              <w:rPr>
                <w:b/>
                <w:sz w:val="22"/>
              </w:rPr>
              <w:t xml:space="preserve">ΣΥΝΟΛΟ πιστώσεων </w:t>
            </w:r>
            <w:r w:rsidRPr="00357FBC">
              <w:rPr>
                <w:b/>
                <w:sz w:val="22"/>
              </w:rPr>
              <w:br/>
              <w:t>του ΤΟΜΕΑ 4</w:t>
            </w:r>
            <w:r w:rsidRPr="00357FBC">
              <w:rPr>
                <w:b/>
                <w:sz w:val="22"/>
              </w:rPr>
              <w:br/>
            </w:r>
            <w:r w:rsidRPr="00357FBC">
              <w:rPr>
                <w:sz w:val="22"/>
              </w:rPr>
              <w:t>του πολυετούς δημοσιονομικού πλαισίου</w:t>
            </w:r>
          </w:p>
        </w:tc>
        <w:tc>
          <w:tcPr>
            <w:tcW w:w="1344" w:type="dxa"/>
            <w:vAlign w:val="center"/>
          </w:tcPr>
          <w:p w:rsidR="00E76F98" w:rsidRPr="00357FBC" w:rsidRDefault="00E76F98" w:rsidP="00B02641">
            <w:r w:rsidRPr="00357FBC">
              <w:rPr>
                <w:sz w:val="18"/>
              </w:rPr>
              <w:t>Αναλήψεις υποχρεώσεων</w:t>
            </w:r>
          </w:p>
        </w:tc>
        <w:tc>
          <w:tcPr>
            <w:tcW w:w="782" w:type="dxa"/>
            <w:gridSpan w:val="2"/>
            <w:vAlign w:val="center"/>
          </w:tcPr>
          <w:p w:rsidR="00E76F98" w:rsidRPr="00357FBC" w:rsidRDefault="00E76F98" w:rsidP="00B02641">
            <w:pPr>
              <w:jc w:val="center"/>
              <w:rPr>
                <w:sz w:val="14"/>
              </w:rPr>
            </w:pPr>
            <w:r w:rsidRPr="00357FBC">
              <w:rPr>
                <w:sz w:val="14"/>
              </w:rPr>
              <w:t>=4</w:t>
            </w:r>
          </w:p>
        </w:tc>
        <w:tc>
          <w:tcPr>
            <w:tcW w:w="747" w:type="dxa"/>
            <w:gridSpan w:val="2"/>
            <w:vAlign w:val="center"/>
          </w:tcPr>
          <w:p w:rsidR="00E76F98" w:rsidRPr="00357FBC" w:rsidRDefault="00E76F98" w:rsidP="00B02641">
            <w:pPr>
              <w:spacing w:before="20" w:after="20"/>
              <w:jc w:val="center"/>
              <w:rPr>
                <w:sz w:val="20"/>
                <w:szCs w:val="20"/>
              </w:rPr>
            </w:pPr>
            <w:r w:rsidRPr="00357FBC">
              <w:rPr>
                <w:sz w:val="20"/>
              </w:rPr>
              <w:t>0,07</w:t>
            </w:r>
          </w:p>
        </w:tc>
        <w:tc>
          <w:tcPr>
            <w:tcW w:w="709" w:type="dxa"/>
            <w:gridSpan w:val="2"/>
            <w:vAlign w:val="center"/>
          </w:tcPr>
          <w:p w:rsidR="00E76F98" w:rsidRPr="00357FBC" w:rsidRDefault="00E76F98" w:rsidP="00B02641">
            <w:pPr>
              <w:spacing w:before="20" w:after="20"/>
              <w:jc w:val="center"/>
              <w:rPr>
                <w:sz w:val="20"/>
                <w:szCs w:val="20"/>
              </w:rPr>
            </w:pPr>
            <w:r w:rsidRPr="00357FBC">
              <w:rPr>
                <w:sz w:val="20"/>
              </w:rPr>
              <w:t>10</w:t>
            </w:r>
          </w:p>
        </w:tc>
        <w:tc>
          <w:tcPr>
            <w:tcW w:w="850" w:type="dxa"/>
            <w:gridSpan w:val="3"/>
            <w:vAlign w:val="center"/>
          </w:tcPr>
          <w:p w:rsidR="00E76F98" w:rsidRPr="00357FBC" w:rsidRDefault="00E76F98" w:rsidP="00B02641">
            <w:pPr>
              <w:spacing w:before="20" w:after="20"/>
              <w:jc w:val="center"/>
              <w:rPr>
                <w:sz w:val="20"/>
                <w:szCs w:val="20"/>
              </w:rPr>
            </w:pPr>
          </w:p>
        </w:tc>
        <w:tc>
          <w:tcPr>
            <w:tcW w:w="709" w:type="dxa"/>
            <w:gridSpan w:val="2"/>
            <w:vAlign w:val="center"/>
          </w:tcPr>
          <w:p w:rsidR="00E76F98" w:rsidRPr="00357FBC" w:rsidRDefault="00E76F98" w:rsidP="00B02641">
            <w:pPr>
              <w:spacing w:before="20" w:after="20"/>
              <w:jc w:val="center"/>
              <w:rPr>
                <w:sz w:val="20"/>
                <w:szCs w:val="20"/>
              </w:rPr>
            </w:pPr>
            <w:r w:rsidRPr="00357FBC">
              <w:rPr>
                <w:sz w:val="20"/>
              </w:rPr>
              <w:t>3,3</w:t>
            </w:r>
          </w:p>
        </w:tc>
        <w:tc>
          <w:tcPr>
            <w:tcW w:w="670" w:type="dxa"/>
          </w:tcPr>
          <w:p w:rsidR="00E76F98" w:rsidRPr="00357FBC" w:rsidDel="00B039B7" w:rsidRDefault="00E76F98" w:rsidP="00B02641">
            <w:pPr>
              <w:spacing w:before="20" w:after="20"/>
              <w:jc w:val="center"/>
              <w:rPr>
                <w:b/>
                <w:sz w:val="20"/>
                <w:szCs w:val="20"/>
              </w:rPr>
            </w:pPr>
          </w:p>
        </w:tc>
        <w:tc>
          <w:tcPr>
            <w:tcW w:w="1444" w:type="dxa"/>
            <w:gridSpan w:val="3"/>
            <w:vAlign w:val="center"/>
          </w:tcPr>
          <w:p w:rsidR="00E76F98" w:rsidRPr="00357FBC" w:rsidRDefault="00E76F98" w:rsidP="00B02641">
            <w:pPr>
              <w:spacing w:before="20" w:after="20"/>
              <w:jc w:val="center"/>
              <w:rPr>
                <w:b/>
                <w:sz w:val="20"/>
                <w:szCs w:val="20"/>
              </w:rPr>
            </w:pPr>
            <w:r w:rsidRPr="00357FBC">
              <w:rPr>
                <w:b/>
                <w:sz w:val="20"/>
              </w:rPr>
              <w:t>13,37</w:t>
            </w:r>
          </w:p>
        </w:tc>
      </w:tr>
      <w:tr w:rsidR="00E76F98" w:rsidRPr="00357FBC" w:rsidTr="00B0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vMerge/>
            <w:shd w:val="thinDiagStripe" w:color="C0C0C0" w:fill="auto"/>
          </w:tcPr>
          <w:p w:rsidR="00E76F98" w:rsidRPr="00357FBC" w:rsidRDefault="00E76F98" w:rsidP="00B02641">
            <w:pPr>
              <w:rPr>
                <w:sz w:val="20"/>
              </w:rPr>
            </w:pPr>
          </w:p>
        </w:tc>
        <w:tc>
          <w:tcPr>
            <w:tcW w:w="1344" w:type="dxa"/>
            <w:vAlign w:val="center"/>
          </w:tcPr>
          <w:p w:rsidR="00E76F98" w:rsidRPr="00357FBC" w:rsidRDefault="00E76F98" w:rsidP="00B02641">
            <w:r w:rsidRPr="00357FBC">
              <w:rPr>
                <w:sz w:val="18"/>
              </w:rPr>
              <w:t>Πληρωμές</w:t>
            </w:r>
          </w:p>
        </w:tc>
        <w:tc>
          <w:tcPr>
            <w:tcW w:w="782" w:type="dxa"/>
            <w:gridSpan w:val="2"/>
            <w:vAlign w:val="center"/>
          </w:tcPr>
          <w:p w:rsidR="00E76F98" w:rsidRPr="00357FBC" w:rsidRDefault="00E76F98" w:rsidP="00B02641">
            <w:pPr>
              <w:jc w:val="center"/>
              <w:rPr>
                <w:sz w:val="14"/>
              </w:rPr>
            </w:pPr>
            <w:r w:rsidRPr="00357FBC">
              <w:rPr>
                <w:sz w:val="14"/>
              </w:rPr>
              <w:t>=5</w:t>
            </w:r>
          </w:p>
        </w:tc>
        <w:tc>
          <w:tcPr>
            <w:tcW w:w="747" w:type="dxa"/>
            <w:gridSpan w:val="2"/>
            <w:vAlign w:val="center"/>
          </w:tcPr>
          <w:p w:rsidR="00E76F98" w:rsidRPr="00357FBC" w:rsidRDefault="00E76F98" w:rsidP="00B02641">
            <w:pPr>
              <w:spacing w:before="20" w:after="20"/>
              <w:jc w:val="center"/>
              <w:rPr>
                <w:sz w:val="20"/>
                <w:szCs w:val="20"/>
              </w:rPr>
            </w:pPr>
            <w:r w:rsidRPr="00357FBC">
              <w:rPr>
                <w:sz w:val="20"/>
              </w:rPr>
              <w:t>0,07</w:t>
            </w:r>
          </w:p>
        </w:tc>
        <w:tc>
          <w:tcPr>
            <w:tcW w:w="709" w:type="dxa"/>
            <w:gridSpan w:val="2"/>
            <w:vAlign w:val="center"/>
          </w:tcPr>
          <w:p w:rsidR="00E76F98" w:rsidRPr="00357FBC" w:rsidRDefault="00E76F98" w:rsidP="00B02641">
            <w:pPr>
              <w:spacing w:before="20" w:after="20"/>
              <w:jc w:val="center"/>
              <w:rPr>
                <w:sz w:val="20"/>
                <w:szCs w:val="20"/>
              </w:rPr>
            </w:pPr>
            <w:r w:rsidRPr="00357FBC">
              <w:rPr>
                <w:sz w:val="20"/>
              </w:rPr>
              <w:t>10</w:t>
            </w:r>
          </w:p>
        </w:tc>
        <w:tc>
          <w:tcPr>
            <w:tcW w:w="850" w:type="dxa"/>
            <w:gridSpan w:val="3"/>
            <w:vAlign w:val="center"/>
          </w:tcPr>
          <w:p w:rsidR="00E76F98" w:rsidRPr="00357FBC" w:rsidRDefault="00E76F98" w:rsidP="00B02641">
            <w:pPr>
              <w:spacing w:before="20" w:after="20"/>
              <w:jc w:val="center"/>
              <w:rPr>
                <w:sz w:val="20"/>
                <w:szCs w:val="20"/>
              </w:rPr>
            </w:pPr>
          </w:p>
        </w:tc>
        <w:tc>
          <w:tcPr>
            <w:tcW w:w="709" w:type="dxa"/>
            <w:gridSpan w:val="2"/>
            <w:vAlign w:val="center"/>
          </w:tcPr>
          <w:p w:rsidR="00E76F98" w:rsidRPr="00357FBC" w:rsidRDefault="00E76F98" w:rsidP="00B02641">
            <w:pPr>
              <w:spacing w:before="20" w:after="20"/>
              <w:jc w:val="center"/>
              <w:rPr>
                <w:sz w:val="20"/>
                <w:szCs w:val="20"/>
              </w:rPr>
            </w:pPr>
            <w:r w:rsidRPr="00357FBC">
              <w:rPr>
                <w:sz w:val="20"/>
              </w:rPr>
              <w:t>3,15</w:t>
            </w:r>
          </w:p>
        </w:tc>
        <w:tc>
          <w:tcPr>
            <w:tcW w:w="670" w:type="dxa"/>
            <w:vAlign w:val="center"/>
          </w:tcPr>
          <w:p w:rsidR="00E76F98" w:rsidRPr="00357FBC" w:rsidRDefault="00E76F98" w:rsidP="00B02641">
            <w:pPr>
              <w:spacing w:before="20" w:after="20"/>
              <w:jc w:val="center"/>
              <w:rPr>
                <w:sz w:val="20"/>
                <w:szCs w:val="20"/>
              </w:rPr>
            </w:pPr>
            <w:r w:rsidRPr="00357FBC">
              <w:rPr>
                <w:sz w:val="20"/>
              </w:rPr>
              <w:t>0,15</w:t>
            </w:r>
          </w:p>
        </w:tc>
        <w:tc>
          <w:tcPr>
            <w:tcW w:w="1444" w:type="dxa"/>
            <w:gridSpan w:val="3"/>
            <w:vAlign w:val="center"/>
          </w:tcPr>
          <w:p w:rsidR="00E76F98" w:rsidRPr="00357FBC" w:rsidRDefault="00E76F98" w:rsidP="00B02641">
            <w:pPr>
              <w:spacing w:before="20" w:after="20"/>
              <w:jc w:val="center"/>
              <w:rPr>
                <w:b/>
                <w:sz w:val="20"/>
                <w:szCs w:val="20"/>
              </w:rPr>
            </w:pPr>
            <w:r w:rsidRPr="00357FBC">
              <w:rPr>
                <w:b/>
                <w:sz w:val="20"/>
              </w:rPr>
              <w:t>13,37</w:t>
            </w:r>
          </w:p>
        </w:tc>
      </w:tr>
    </w:tbl>
    <w:p w:rsidR="00E76F98" w:rsidRPr="00357FBC" w:rsidRDefault="00E76F98" w:rsidP="00E76F98">
      <w:pPr>
        <w:spacing w:after="40"/>
        <w:rPr>
          <w:b/>
          <w:sz w:val="22"/>
          <w:u w:val="single"/>
        </w:rPr>
      </w:pPr>
    </w:p>
    <w:p w:rsidR="00BA428B" w:rsidRPr="00357FBC" w:rsidRDefault="00BA428B">
      <w:pPr>
        <w:spacing w:before="0" w:after="200" w:line="276" w:lineRule="auto"/>
        <w:jc w:val="left"/>
      </w:pPr>
      <w:r w:rsidRPr="00357FBC">
        <w:br w:type="page"/>
      </w:r>
    </w:p>
    <w:p w:rsidR="00E76F98" w:rsidRPr="00357FBC" w:rsidRDefault="00E76F98" w:rsidP="008B4161">
      <w:pPr>
        <w:rPr>
          <w:b/>
          <w:sz w:val="22"/>
          <w:u w:val="single"/>
        </w:rPr>
      </w:pPr>
      <w:r w:rsidRPr="00357FBC">
        <w:rPr>
          <w:b/>
          <w:sz w:val="22"/>
          <w:u w:val="single"/>
        </w:rPr>
        <w:t>Αν η πρόταση/πρωτοβουλία επηρεάζει περισσότερους του ενός τομείς:</w:t>
      </w:r>
    </w:p>
    <w:p w:rsidR="00E76F98" w:rsidRPr="00357FBC" w:rsidRDefault="00E76F98" w:rsidP="00E76F98">
      <w:pPr>
        <w:spacing w:before="240"/>
        <w:jc w:val="right"/>
        <w:rPr>
          <w:sz w:val="20"/>
        </w:rPr>
      </w:pPr>
      <w:r w:rsidRPr="00357FBC">
        <w:rPr>
          <w:sz w:val="20"/>
        </w:rPr>
        <w:t>Σε εκατ. EUR (με 3 δεκαδικά ψηφία)</w:t>
      </w:r>
    </w:p>
    <w:tbl>
      <w:tblPr>
        <w:tblW w:w="109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1842"/>
        <w:gridCol w:w="851"/>
        <w:gridCol w:w="142"/>
        <w:gridCol w:w="709"/>
        <w:gridCol w:w="142"/>
        <w:gridCol w:w="708"/>
        <w:gridCol w:w="851"/>
        <w:gridCol w:w="993"/>
        <w:gridCol w:w="993"/>
        <w:gridCol w:w="708"/>
      </w:tblGrid>
      <w:tr w:rsidR="00E76F98" w:rsidRPr="00357FBC" w:rsidTr="00B02641">
        <w:tc>
          <w:tcPr>
            <w:tcW w:w="3053" w:type="dxa"/>
            <w:vAlign w:val="center"/>
          </w:tcPr>
          <w:p w:rsidR="00E76F98" w:rsidRPr="00357FBC" w:rsidRDefault="00E76F98" w:rsidP="00B02641">
            <w:pPr>
              <w:ind w:left="-174" w:right="-108"/>
              <w:jc w:val="center"/>
            </w:pPr>
            <w:r w:rsidRPr="00357FBC">
              <w:rPr>
                <w:b/>
              </w:rPr>
              <w:t>Τομέας του πολυετούς δημοσιονομικού πλαισίου:</w:t>
            </w:r>
          </w:p>
        </w:tc>
        <w:tc>
          <w:tcPr>
            <w:tcW w:w="1842" w:type="dxa"/>
          </w:tcPr>
          <w:p w:rsidR="00E76F98" w:rsidRPr="00357FBC" w:rsidRDefault="00E76F98" w:rsidP="00B02641">
            <w:pPr>
              <w:jc w:val="center"/>
              <w:rPr>
                <w:sz w:val="20"/>
              </w:rPr>
            </w:pPr>
            <w:r w:rsidRPr="00357FBC">
              <w:rPr>
                <w:b/>
                <w:sz w:val="20"/>
              </w:rPr>
              <w:br/>
              <w:t>5</w:t>
            </w:r>
          </w:p>
        </w:tc>
        <w:tc>
          <w:tcPr>
            <w:tcW w:w="993" w:type="dxa"/>
            <w:gridSpan w:val="2"/>
          </w:tcPr>
          <w:p w:rsidR="00E76F98" w:rsidRPr="00357FBC" w:rsidRDefault="00E76F98" w:rsidP="00B02641">
            <w:pPr>
              <w:jc w:val="center"/>
              <w:rPr>
                <w:sz w:val="22"/>
              </w:rPr>
            </w:pPr>
          </w:p>
        </w:tc>
        <w:tc>
          <w:tcPr>
            <w:tcW w:w="5104" w:type="dxa"/>
            <w:gridSpan w:val="7"/>
            <w:vAlign w:val="center"/>
          </w:tcPr>
          <w:p w:rsidR="00E76F98" w:rsidRPr="00357FBC" w:rsidRDefault="00E76F98" w:rsidP="00B02641">
            <w:pPr>
              <w:jc w:val="center"/>
              <w:rPr>
                <w:b/>
                <w:sz w:val="20"/>
              </w:rPr>
            </w:pPr>
            <w:r w:rsidRPr="00357FBC">
              <w:rPr>
                <w:sz w:val="22"/>
              </w:rPr>
              <w:t>«Διοικητικές δαπάνες»</w:t>
            </w:r>
          </w:p>
        </w:tc>
      </w:tr>
      <w:tr w:rsidR="00E76F98" w:rsidRPr="00357FBC" w:rsidTr="00B02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8" w:type="dxa"/>
        </w:trPr>
        <w:tc>
          <w:tcPr>
            <w:tcW w:w="3053" w:type="dxa"/>
          </w:tcPr>
          <w:p w:rsidR="00E76F98" w:rsidRPr="00357FBC" w:rsidRDefault="00E76F98" w:rsidP="00B02641">
            <w:pPr>
              <w:jc w:val="center"/>
            </w:pPr>
          </w:p>
        </w:tc>
        <w:tc>
          <w:tcPr>
            <w:tcW w:w="1842" w:type="dxa"/>
          </w:tcPr>
          <w:p w:rsidR="00E76F98" w:rsidRPr="00357FBC" w:rsidRDefault="00E76F98" w:rsidP="00B02641">
            <w:pPr>
              <w:rPr>
                <w:sz w:val="20"/>
              </w:rPr>
            </w:pPr>
          </w:p>
        </w:tc>
        <w:tc>
          <w:tcPr>
            <w:tcW w:w="851" w:type="dxa"/>
          </w:tcPr>
          <w:p w:rsidR="00E76F98" w:rsidRPr="00357FBC" w:rsidRDefault="00E76F98" w:rsidP="00B02641">
            <w:pPr>
              <w:jc w:val="center"/>
              <w:rPr>
                <w:sz w:val="20"/>
              </w:rPr>
            </w:pPr>
            <w:r w:rsidRPr="00357FBC">
              <w:rPr>
                <w:sz w:val="20"/>
              </w:rPr>
              <w:t>Έτος</w:t>
            </w:r>
            <w:r w:rsidRPr="00357FBC">
              <w:rPr>
                <w:sz w:val="20"/>
              </w:rPr>
              <w:br/>
            </w:r>
            <w:r w:rsidRPr="00357FBC">
              <w:rPr>
                <w:b/>
                <w:sz w:val="20"/>
              </w:rPr>
              <w:t>2017</w:t>
            </w:r>
          </w:p>
        </w:tc>
        <w:tc>
          <w:tcPr>
            <w:tcW w:w="851" w:type="dxa"/>
            <w:gridSpan w:val="2"/>
          </w:tcPr>
          <w:p w:rsidR="00E76F98" w:rsidRPr="00357FBC" w:rsidRDefault="00E76F98" w:rsidP="00B02641">
            <w:pPr>
              <w:jc w:val="center"/>
            </w:pPr>
            <w:r w:rsidRPr="00357FBC">
              <w:rPr>
                <w:sz w:val="20"/>
              </w:rPr>
              <w:t>Έτος</w:t>
            </w:r>
            <w:r w:rsidRPr="00357FBC">
              <w:rPr>
                <w:sz w:val="20"/>
              </w:rPr>
              <w:br/>
            </w:r>
            <w:r w:rsidRPr="00357FBC">
              <w:rPr>
                <w:b/>
                <w:sz w:val="20"/>
              </w:rPr>
              <w:t>2018</w:t>
            </w:r>
          </w:p>
        </w:tc>
        <w:tc>
          <w:tcPr>
            <w:tcW w:w="850" w:type="dxa"/>
            <w:gridSpan w:val="2"/>
          </w:tcPr>
          <w:p w:rsidR="00E76F98" w:rsidRPr="00357FBC" w:rsidRDefault="00E76F98" w:rsidP="00B02641">
            <w:pPr>
              <w:jc w:val="center"/>
            </w:pPr>
            <w:r w:rsidRPr="00357FBC">
              <w:rPr>
                <w:sz w:val="20"/>
              </w:rPr>
              <w:t>Έτος</w:t>
            </w:r>
            <w:r w:rsidRPr="00357FBC">
              <w:rPr>
                <w:sz w:val="20"/>
              </w:rPr>
              <w:br/>
            </w:r>
            <w:r w:rsidRPr="00357FBC">
              <w:rPr>
                <w:b/>
                <w:sz w:val="20"/>
              </w:rPr>
              <w:t>2019</w:t>
            </w:r>
          </w:p>
        </w:tc>
        <w:tc>
          <w:tcPr>
            <w:tcW w:w="851" w:type="dxa"/>
          </w:tcPr>
          <w:p w:rsidR="00E76F98" w:rsidRPr="00357FBC" w:rsidRDefault="00E76F98" w:rsidP="00B02641">
            <w:pPr>
              <w:jc w:val="center"/>
              <w:rPr>
                <w:b/>
                <w:sz w:val="20"/>
              </w:rPr>
            </w:pPr>
            <w:r w:rsidRPr="00357FBC">
              <w:rPr>
                <w:sz w:val="20"/>
              </w:rPr>
              <w:t>Έτος</w:t>
            </w:r>
            <w:r w:rsidRPr="00357FBC">
              <w:rPr>
                <w:sz w:val="20"/>
              </w:rPr>
              <w:br/>
            </w:r>
            <w:r w:rsidRPr="00357FBC">
              <w:rPr>
                <w:b/>
                <w:sz w:val="20"/>
              </w:rPr>
              <w:t>2020</w:t>
            </w:r>
          </w:p>
        </w:tc>
        <w:tc>
          <w:tcPr>
            <w:tcW w:w="993" w:type="dxa"/>
          </w:tcPr>
          <w:p w:rsidR="00E76F98" w:rsidRPr="00357FBC" w:rsidRDefault="00E76F98" w:rsidP="00B02641">
            <w:pPr>
              <w:jc w:val="center"/>
              <w:rPr>
                <w:b/>
                <w:sz w:val="20"/>
              </w:rPr>
            </w:pPr>
            <w:r w:rsidRPr="00357FBC">
              <w:rPr>
                <w:sz w:val="20"/>
              </w:rPr>
              <w:t>Έτος</w:t>
            </w:r>
            <w:r w:rsidRPr="00357FBC">
              <w:rPr>
                <w:b/>
                <w:sz w:val="20"/>
              </w:rPr>
              <w:br/>
              <w:t>2021</w:t>
            </w:r>
          </w:p>
        </w:tc>
        <w:tc>
          <w:tcPr>
            <w:tcW w:w="993" w:type="dxa"/>
          </w:tcPr>
          <w:p w:rsidR="00E76F98" w:rsidRPr="00357FBC" w:rsidRDefault="00E76F98" w:rsidP="00B02641">
            <w:pPr>
              <w:jc w:val="center"/>
              <w:rPr>
                <w:b/>
                <w:sz w:val="20"/>
              </w:rPr>
            </w:pPr>
            <w:r w:rsidRPr="00357FBC">
              <w:rPr>
                <w:b/>
                <w:sz w:val="20"/>
              </w:rPr>
              <w:t>ΣΥΝΟΛΟ</w:t>
            </w:r>
          </w:p>
        </w:tc>
      </w:tr>
      <w:tr w:rsidR="00E76F98" w:rsidRPr="00357FBC" w:rsidTr="00B02641">
        <w:trPr>
          <w:gridAfter w:val="5"/>
          <w:wAfter w:w="4253" w:type="dxa"/>
        </w:trPr>
        <w:tc>
          <w:tcPr>
            <w:tcW w:w="3053" w:type="dxa"/>
            <w:vAlign w:val="center"/>
          </w:tcPr>
          <w:p w:rsidR="00E76F98" w:rsidRPr="00357FBC" w:rsidRDefault="00E76F98" w:rsidP="00B02641">
            <w:pPr>
              <w:spacing w:before="60" w:after="60"/>
              <w:jc w:val="center"/>
            </w:pPr>
            <w:r w:rsidRPr="00357FBC">
              <w:rPr>
                <w:sz w:val="22"/>
              </w:rPr>
              <w:t>ΓΔ: ECFIN</w:t>
            </w:r>
          </w:p>
        </w:tc>
        <w:tc>
          <w:tcPr>
            <w:tcW w:w="2693" w:type="dxa"/>
            <w:gridSpan w:val="2"/>
            <w:tcBorders>
              <w:top w:val="nil"/>
              <w:right w:val="nil"/>
            </w:tcBorders>
          </w:tcPr>
          <w:p w:rsidR="00E76F98" w:rsidRPr="00357FBC" w:rsidRDefault="00E76F98" w:rsidP="00B02641">
            <w:pPr>
              <w:spacing w:before="60" w:after="60"/>
              <w:jc w:val="center"/>
            </w:pPr>
          </w:p>
        </w:tc>
        <w:tc>
          <w:tcPr>
            <w:tcW w:w="993" w:type="dxa"/>
            <w:gridSpan w:val="3"/>
            <w:tcBorders>
              <w:top w:val="nil"/>
              <w:right w:val="nil"/>
            </w:tcBorders>
          </w:tcPr>
          <w:p w:rsidR="00E76F98" w:rsidRPr="00357FBC" w:rsidRDefault="00E76F98" w:rsidP="00B02641">
            <w:pPr>
              <w:spacing w:before="60" w:after="60"/>
              <w:jc w:val="center"/>
            </w:pPr>
          </w:p>
        </w:tc>
      </w:tr>
      <w:tr w:rsidR="00E76F98" w:rsidRPr="00357FBC" w:rsidTr="00B02641">
        <w:trPr>
          <w:gridAfter w:val="1"/>
          <w:wAfter w:w="708" w:type="dxa"/>
          <w:trHeight w:val="313"/>
        </w:trPr>
        <w:tc>
          <w:tcPr>
            <w:tcW w:w="4895" w:type="dxa"/>
            <w:gridSpan w:val="2"/>
            <w:vAlign w:val="center"/>
          </w:tcPr>
          <w:p w:rsidR="00E76F98" w:rsidRPr="00357FBC" w:rsidRDefault="00E76F98" w:rsidP="00B02641">
            <w:pPr>
              <w:spacing w:before="20" w:after="20"/>
            </w:pPr>
            <w:r w:rsidRPr="00357FBC">
              <w:rPr>
                <w:sz w:val="22"/>
              </w:rPr>
              <w:sym w:font="Wingdings" w:char="F09F"/>
            </w:r>
            <w:r w:rsidRPr="00357FBC">
              <w:t xml:space="preserve"> Ανθρώπινοι πόροι </w:t>
            </w:r>
          </w:p>
        </w:tc>
        <w:tc>
          <w:tcPr>
            <w:tcW w:w="851" w:type="dxa"/>
            <w:vAlign w:val="center"/>
          </w:tcPr>
          <w:p w:rsidR="00E76F98" w:rsidRPr="00357FBC" w:rsidRDefault="00E76F98" w:rsidP="00B02641">
            <w:pPr>
              <w:spacing w:before="60" w:after="60" w:line="200" w:lineRule="exact"/>
              <w:jc w:val="center"/>
              <w:rPr>
                <w:sz w:val="20"/>
                <w:szCs w:val="20"/>
              </w:rPr>
            </w:pPr>
            <w:r w:rsidRPr="00357FBC">
              <w:rPr>
                <w:sz w:val="20"/>
              </w:rPr>
              <w:t>0,041</w:t>
            </w:r>
          </w:p>
        </w:tc>
        <w:tc>
          <w:tcPr>
            <w:tcW w:w="851" w:type="dxa"/>
            <w:gridSpan w:val="2"/>
            <w:vAlign w:val="center"/>
          </w:tcPr>
          <w:p w:rsidR="00E76F98" w:rsidRPr="00357FBC" w:rsidRDefault="00E76F98" w:rsidP="00B02641">
            <w:pPr>
              <w:spacing w:before="60" w:after="60" w:line="200" w:lineRule="exact"/>
              <w:jc w:val="center"/>
              <w:rPr>
                <w:sz w:val="20"/>
                <w:szCs w:val="20"/>
              </w:rPr>
            </w:pPr>
            <w:r w:rsidRPr="00357FBC">
              <w:rPr>
                <w:sz w:val="20"/>
              </w:rPr>
              <w:t>0,058</w:t>
            </w:r>
          </w:p>
        </w:tc>
        <w:tc>
          <w:tcPr>
            <w:tcW w:w="850" w:type="dxa"/>
            <w:gridSpan w:val="2"/>
            <w:vAlign w:val="center"/>
          </w:tcPr>
          <w:p w:rsidR="00E76F98" w:rsidRPr="00357FBC" w:rsidRDefault="00E76F98" w:rsidP="00B02641">
            <w:pPr>
              <w:spacing w:before="60" w:after="60" w:line="200" w:lineRule="exact"/>
              <w:jc w:val="center"/>
              <w:rPr>
                <w:sz w:val="20"/>
                <w:szCs w:val="20"/>
              </w:rPr>
            </w:pPr>
            <w:r w:rsidRPr="00357FBC">
              <w:rPr>
                <w:sz w:val="20"/>
              </w:rPr>
              <w:t>0,006</w:t>
            </w:r>
          </w:p>
        </w:tc>
        <w:tc>
          <w:tcPr>
            <w:tcW w:w="851" w:type="dxa"/>
            <w:vAlign w:val="center"/>
          </w:tcPr>
          <w:p w:rsidR="00E76F98" w:rsidRPr="00357FBC" w:rsidRDefault="00E76F98" w:rsidP="00B02641">
            <w:pPr>
              <w:spacing w:before="60" w:after="60" w:line="200" w:lineRule="exact"/>
              <w:jc w:val="center"/>
              <w:rPr>
                <w:sz w:val="20"/>
                <w:szCs w:val="20"/>
              </w:rPr>
            </w:pPr>
            <w:r w:rsidRPr="00357FBC">
              <w:rPr>
                <w:sz w:val="20"/>
              </w:rPr>
              <w:t>0,010</w:t>
            </w:r>
          </w:p>
        </w:tc>
        <w:tc>
          <w:tcPr>
            <w:tcW w:w="993" w:type="dxa"/>
            <w:vAlign w:val="center"/>
          </w:tcPr>
          <w:p w:rsidR="00E76F98" w:rsidRPr="00357FBC" w:rsidRDefault="00E76F98" w:rsidP="00B02641">
            <w:pPr>
              <w:spacing w:before="20" w:after="20"/>
              <w:jc w:val="center"/>
              <w:rPr>
                <w:sz w:val="20"/>
                <w:szCs w:val="20"/>
              </w:rPr>
            </w:pPr>
            <w:r w:rsidRPr="00357FBC">
              <w:rPr>
                <w:sz w:val="20"/>
              </w:rPr>
              <w:t>0,010</w:t>
            </w:r>
          </w:p>
        </w:tc>
        <w:tc>
          <w:tcPr>
            <w:tcW w:w="993" w:type="dxa"/>
            <w:vAlign w:val="center"/>
          </w:tcPr>
          <w:p w:rsidR="00E76F98" w:rsidRPr="00357FBC" w:rsidRDefault="00E76F98" w:rsidP="00B02641">
            <w:pPr>
              <w:spacing w:before="20" w:after="20"/>
              <w:jc w:val="center"/>
              <w:rPr>
                <w:b/>
                <w:sz w:val="20"/>
                <w:szCs w:val="20"/>
              </w:rPr>
            </w:pPr>
            <w:r w:rsidRPr="00357FBC">
              <w:rPr>
                <w:b/>
                <w:sz w:val="20"/>
              </w:rPr>
              <w:t>0,125</w:t>
            </w:r>
          </w:p>
        </w:tc>
      </w:tr>
      <w:tr w:rsidR="00E76F98" w:rsidRPr="00357FBC" w:rsidTr="00B02641">
        <w:trPr>
          <w:gridAfter w:val="1"/>
          <w:wAfter w:w="708" w:type="dxa"/>
          <w:trHeight w:val="351"/>
        </w:trPr>
        <w:tc>
          <w:tcPr>
            <w:tcW w:w="4895" w:type="dxa"/>
            <w:gridSpan w:val="2"/>
            <w:vAlign w:val="center"/>
          </w:tcPr>
          <w:p w:rsidR="00E76F98" w:rsidRPr="00357FBC" w:rsidRDefault="00E76F98" w:rsidP="00B02641">
            <w:pPr>
              <w:spacing w:before="20" w:after="20"/>
            </w:pPr>
            <w:r w:rsidRPr="00357FBC">
              <w:rPr>
                <w:sz w:val="22"/>
              </w:rPr>
              <w:sym w:font="Wingdings" w:char="F09F"/>
            </w:r>
            <w:r w:rsidRPr="00357FBC">
              <w:rPr>
                <w:sz w:val="22"/>
              </w:rPr>
              <w:t xml:space="preserve"> Άλλες διοικητικές δαπάνες </w:t>
            </w:r>
          </w:p>
        </w:tc>
        <w:tc>
          <w:tcPr>
            <w:tcW w:w="851" w:type="dxa"/>
            <w:vAlign w:val="center"/>
          </w:tcPr>
          <w:p w:rsidR="00E76F98" w:rsidRPr="00357FBC" w:rsidRDefault="00E76F98" w:rsidP="00B02641">
            <w:pPr>
              <w:spacing w:before="20" w:after="20"/>
              <w:jc w:val="center"/>
              <w:rPr>
                <w:sz w:val="20"/>
                <w:szCs w:val="20"/>
              </w:rPr>
            </w:pPr>
            <w:r w:rsidRPr="00357FBC">
              <w:rPr>
                <w:sz w:val="20"/>
              </w:rPr>
              <w:t>0,010</w:t>
            </w:r>
          </w:p>
        </w:tc>
        <w:tc>
          <w:tcPr>
            <w:tcW w:w="851" w:type="dxa"/>
            <w:gridSpan w:val="2"/>
            <w:vAlign w:val="center"/>
          </w:tcPr>
          <w:p w:rsidR="00E76F98" w:rsidRPr="00357FBC" w:rsidRDefault="00E76F98" w:rsidP="00B02641">
            <w:pPr>
              <w:spacing w:before="20" w:after="20"/>
              <w:jc w:val="center"/>
              <w:rPr>
                <w:sz w:val="20"/>
                <w:szCs w:val="20"/>
              </w:rPr>
            </w:pPr>
            <w:r w:rsidRPr="00357FBC">
              <w:rPr>
                <w:sz w:val="20"/>
              </w:rPr>
              <w:t>0,020</w:t>
            </w:r>
          </w:p>
        </w:tc>
        <w:tc>
          <w:tcPr>
            <w:tcW w:w="850" w:type="dxa"/>
            <w:gridSpan w:val="2"/>
            <w:vAlign w:val="center"/>
          </w:tcPr>
          <w:p w:rsidR="00E76F98" w:rsidRPr="00357FBC" w:rsidRDefault="00E76F98" w:rsidP="00B02641">
            <w:pPr>
              <w:spacing w:before="20" w:after="20"/>
              <w:jc w:val="center"/>
              <w:rPr>
                <w:sz w:val="20"/>
                <w:szCs w:val="20"/>
              </w:rPr>
            </w:pPr>
          </w:p>
        </w:tc>
        <w:tc>
          <w:tcPr>
            <w:tcW w:w="851" w:type="dxa"/>
            <w:vAlign w:val="center"/>
          </w:tcPr>
          <w:p w:rsidR="00E76F98" w:rsidRPr="00357FBC" w:rsidRDefault="00E76F98" w:rsidP="00B02641">
            <w:pPr>
              <w:spacing w:before="20" w:after="20"/>
              <w:jc w:val="center"/>
              <w:rPr>
                <w:b/>
                <w:sz w:val="20"/>
                <w:szCs w:val="20"/>
              </w:rPr>
            </w:pPr>
          </w:p>
        </w:tc>
        <w:tc>
          <w:tcPr>
            <w:tcW w:w="993" w:type="dxa"/>
            <w:vAlign w:val="center"/>
          </w:tcPr>
          <w:p w:rsidR="00E76F98" w:rsidRPr="00357FBC" w:rsidRDefault="00E76F98" w:rsidP="00B02641">
            <w:pPr>
              <w:spacing w:before="20" w:after="20"/>
              <w:jc w:val="center"/>
              <w:rPr>
                <w:sz w:val="20"/>
                <w:szCs w:val="20"/>
              </w:rPr>
            </w:pPr>
          </w:p>
        </w:tc>
        <w:tc>
          <w:tcPr>
            <w:tcW w:w="993" w:type="dxa"/>
            <w:vAlign w:val="center"/>
          </w:tcPr>
          <w:p w:rsidR="00E76F98" w:rsidRPr="00357FBC" w:rsidRDefault="00E76F98" w:rsidP="00B02641">
            <w:pPr>
              <w:spacing w:before="20" w:after="20"/>
              <w:jc w:val="center"/>
              <w:rPr>
                <w:b/>
                <w:sz w:val="20"/>
                <w:szCs w:val="20"/>
              </w:rPr>
            </w:pPr>
            <w:r w:rsidRPr="00357FBC">
              <w:rPr>
                <w:b/>
                <w:sz w:val="20"/>
              </w:rPr>
              <w:t>0,030</w:t>
            </w:r>
          </w:p>
        </w:tc>
      </w:tr>
      <w:tr w:rsidR="00E76F98" w:rsidRPr="00357FBC" w:rsidTr="00B02641">
        <w:trPr>
          <w:gridAfter w:val="1"/>
          <w:wAfter w:w="708" w:type="dxa"/>
        </w:trPr>
        <w:tc>
          <w:tcPr>
            <w:tcW w:w="3053" w:type="dxa"/>
            <w:vAlign w:val="center"/>
          </w:tcPr>
          <w:p w:rsidR="00E76F98" w:rsidRPr="00357FBC" w:rsidRDefault="00E76F98" w:rsidP="00B02641">
            <w:pPr>
              <w:jc w:val="center"/>
              <w:rPr>
                <w:b/>
              </w:rPr>
            </w:pPr>
            <w:r w:rsidRPr="00357FBC">
              <w:rPr>
                <w:b/>
                <w:sz w:val="22"/>
              </w:rPr>
              <w:t>ΣΥΝΟΛΟ ΓΔ</w:t>
            </w:r>
            <w:r w:rsidRPr="00357FBC">
              <w:t xml:space="preserve"> ECFIN</w:t>
            </w:r>
          </w:p>
        </w:tc>
        <w:tc>
          <w:tcPr>
            <w:tcW w:w="1842" w:type="dxa"/>
            <w:vAlign w:val="center"/>
          </w:tcPr>
          <w:p w:rsidR="00E76F98" w:rsidRPr="00357FBC" w:rsidRDefault="00E76F98" w:rsidP="00B02641">
            <w:r w:rsidRPr="00357FBC">
              <w:rPr>
                <w:sz w:val="18"/>
              </w:rPr>
              <w:t xml:space="preserve">Πιστώσεις </w:t>
            </w:r>
          </w:p>
        </w:tc>
        <w:tc>
          <w:tcPr>
            <w:tcW w:w="851" w:type="dxa"/>
            <w:vAlign w:val="center"/>
          </w:tcPr>
          <w:p w:rsidR="00E76F98" w:rsidRPr="00357FBC" w:rsidRDefault="00E76F98" w:rsidP="00B02641">
            <w:pPr>
              <w:spacing w:before="60" w:after="60" w:line="200" w:lineRule="exact"/>
              <w:jc w:val="center"/>
              <w:rPr>
                <w:sz w:val="20"/>
                <w:szCs w:val="20"/>
              </w:rPr>
            </w:pPr>
            <w:r w:rsidRPr="00357FBC">
              <w:rPr>
                <w:sz w:val="20"/>
              </w:rPr>
              <w:t>0,051</w:t>
            </w:r>
          </w:p>
        </w:tc>
        <w:tc>
          <w:tcPr>
            <w:tcW w:w="851" w:type="dxa"/>
            <w:gridSpan w:val="2"/>
            <w:vAlign w:val="center"/>
          </w:tcPr>
          <w:p w:rsidR="00E76F98" w:rsidRPr="00357FBC" w:rsidRDefault="00E76F98" w:rsidP="00B02641">
            <w:pPr>
              <w:spacing w:before="60" w:after="60" w:line="200" w:lineRule="exact"/>
              <w:jc w:val="center"/>
              <w:rPr>
                <w:sz w:val="20"/>
                <w:szCs w:val="20"/>
              </w:rPr>
            </w:pPr>
            <w:r w:rsidRPr="00357FBC">
              <w:rPr>
                <w:sz w:val="20"/>
              </w:rPr>
              <w:t>0,078</w:t>
            </w:r>
          </w:p>
        </w:tc>
        <w:tc>
          <w:tcPr>
            <w:tcW w:w="850" w:type="dxa"/>
            <w:gridSpan w:val="2"/>
            <w:vAlign w:val="center"/>
          </w:tcPr>
          <w:p w:rsidR="00E76F98" w:rsidRPr="00357FBC" w:rsidRDefault="00E76F98" w:rsidP="00B02641">
            <w:pPr>
              <w:spacing w:before="60" w:after="60" w:line="200" w:lineRule="exact"/>
              <w:jc w:val="center"/>
              <w:rPr>
                <w:sz w:val="20"/>
                <w:szCs w:val="20"/>
              </w:rPr>
            </w:pPr>
            <w:r w:rsidRPr="00357FBC">
              <w:rPr>
                <w:sz w:val="20"/>
              </w:rPr>
              <w:t>0,006</w:t>
            </w:r>
          </w:p>
        </w:tc>
        <w:tc>
          <w:tcPr>
            <w:tcW w:w="851" w:type="dxa"/>
            <w:vAlign w:val="center"/>
          </w:tcPr>
          <w:p w:rsidR="00E76F98" w:rsidRPr="00357FBC" w:rsidRDefault="00E76F98" w:rsidP="00B02641">
            <w:pPr>
              <w:spacing w:before="60" w:after="60" w:line="200" w:lineRule="exact"/>
              <w:jc w:val="center"/>
              <w:rPr>
                <w:sz w:val="20"/>
                <w:szCs w:val="20"/>
              </w:rPr>
            </w:pPr>
            <w:r w:rsidRPr="00357FBC">
              <w:rPr>
                <w:sz w:val="20"/>
              </w:rPr>
              <w:t>0,010</w:t>
            </w:r>
          </w:p>
        </w:tc>
        <w:tc>
          <w:tcPr>
            <w:tcW w:w="993" w:type="dxa"/>
            <w:vAlign w:val="center"/>
          </w:tcPr>
          <w:p w:rsidR="00E76F98" w:rsidRPr="00357FBC" w:rsidRDefault="00E76F98" w:rsidP="00B02641">
            <w:pPr>
              <w:spacing w:before="20" w:after="20"/>
              <w:jc w:val="center"/>
              <w:rPr>
                <w:sz w:val="20"/>
                <w:szCs w:val="20"/>
              </w:rPr>
            </w:pPr>
            <w:r w:rsidRPr="00357FBC">
              <w:rPr>
                <w:sz w:val="20"/>
              </w:rPr>
              <w:t>0,010</w:t>
            </w:r>
          </w:p>
        </w:tc>
        <w:tc>
          <w:tcPr>
            <w:tcW w:w="993" w:type="dxa"/>
            <w:vAlign w:val="center"/>
          </w:tcPr>
          <w:p w:rsidR="00E76F98" w:rsidRPr="00357FBC" w:rsidRDefault="00E76F98" w:rsidP="00B02641">
            <w:pPr>
              <w:spacing w:before="20" w:after="20"/>
              <w:jc w:val="center"/>
              <w:rPr>
                <w:b/>
                <w:sz w:val="20"/>
                <w:szCs w:val="20"/>
              </w:rPr>
            </w:pPr>
            <w:r w:rsidRPr="00357FBC">
              <w:rPr>
                <w:b/>
                <w:sz w:val="20"/>
              </w:rPr>
              <w:t>0,155</w:t>
            </w:r>
          </w:p>
        </w:tc>
      </w:tr>
      <w:tr w:rsidR="00E76F98" w:rsidRPr="00357FBC" w:rsidTr="00B02641">
        <w:trPr>
          <w:gridAfter w:val="1"/>
          <w:wAfter w:w="708" w:type="dxa"/>
        </w:trPr>
        <w:tc>
          <w:tcPr>
            <w:tcW w:w="3053" w:type="dxa"/>
            <w:shd w:val="clear" w:color="C0C0C0" w:fill="auto"/>
            <w:vAlign w:val="center"/>
          </w:tcPr>
          <w:p w:rsidR="00E76F98" w:rsidRPr="00357FBC" w:rsidRDefault="00E76F98" w:rsidP="00B02641">
            <w:pPr>
              <w:jc w:val="center"/>
            </w:pPr>
            <w:r w:rsidRPr="00357FBC">
              <w:rPr>
                <w:b/>
                <w:sz w:val="22"/>
              </w:rPr>
              <w:t>ΣΥΝΟΛΟ πιστώσεων</w:t>
            </w:r>
            <w:r w:rsidRPr="00357FBC">
              <w:rPr>
                <w:b/>
                <w:sz w:val="22"/>
              </w:rPr>
              <w:br/>
              <w:t>του ΤΟΜΕΑ 5</w:t>
            </w:r>
            <w:r w:rsidRPr="00357FBC">
              <w:rPr>
                <w:b/>
                <w:sz w:val="22"/>
              </w:rPr>
              <w:br/>
            </w:r>
            <w:r w:rsidRPr="00357FBC">
              <w:rPr>
                <w:sz w:val="22"/>
              </w:rPr>
              <w:t>του πολυετούς δημοσιονομικού πλαισίου</w:t>
            </w:r>
            <w:r w:rsidRPr="00357FBC">
              <w:rPr>
                <w:b/>
                <w:sz w:val="22"/>
              </w:rPr>
              <w:t xml:space="preserve"> </w:t>
            </w:r>
          </w:p>
        </w:tc>
        <w:tc>
          <w:tcPr>
            <w:tcW w:w="1842" w:type="dxa"/>
            <w:vAlign w:val="center"/>
          </w:tcPr>
          <w:p w:rsidR="00E76F98" w:rsidRPr="00357FBC" w:rsidRDefault="00E76F98" w:rsidP="00B02641">
            <w:pPr>
              <w:spacing w:before="40" w:after="40"/>
            </w:pPr>
            <w:r w:rsidRPr="00357FBC">
              <w:rPr>
                <w:sz w:val="18"/>
              </w:rPr>
              <w:t>(Σύνολο πιστώσεων ανάληψης υποχρεώσεων = Σύνολο πληρωμών)</w:t>
            </w:r>
          </w:p>
        </w:tc>
        <w:tc>
          <w:tcPr>
            <w:tcW w:w="851" w:type="dxa"/>
            <w:vAlign w:val="center"/>
          </w:tcPr>
          <w:p w:rsidR="00E76F98" w:rsidRPr="00357FBC" w:rsidRDefault="00E76F98" w:rsidP="00B02641">
            <w:pPr>
              <w:spacing w:before="60" w:after="60" w:line="200" w:lineRule="exact"/>
              <w:jc w:val="center"/>
              <w:rPr>
                <w:sz w:val="20"/>
                <w:szCs w:val="20"/>
              </w:rPr>
            </w:pPr>
            <w:r w:rsidRPr="00357FBC">
              <w:rPr>
                <w:sz w:val="20"/>
              </w:rPr>
              <w:t>0,051</w:t>
            </w:r>
          </w:p>
        </w:tc>
        <w:tc>
          <w:tcPr>
            <w:tcW w:w="851" w:type="dxa"/>
            <w:gridSpan w:val="2"/>
            <w:vAlign w:val="center"/>
          </w:tcPr>
          <w:p w:rsidR="00E76F98" w:rsidRPr="00357FBC" w:rsidRDefault="00E76F98" w:rsidP="00B02641">
            <w:pPr>
              <w:spacing w:before="60" w:after="60" w:line="200" w:lineRule="exact"/>
              <w:jc w:val="center"/>
              <w:rPr>
                <w:sz w:val="20"/>
                <w:szCs w:val="20"/>
              </w:rPr>
            </w:pPr>
            <w:r w:rsidRPr="00357FBC">
              <w:rPr>
                <w:sz w:val="20"/>
              </w:rPr>
              <w:t>0,078</w:t>
            </w:r>
          </w:p>
        </w:tc>
        <w:tc>
          <w:tcPr>
            <w:tcW w:w="850" w:type="dxa"/>
            <w:gridSpan w:val="2"/>
            <w:vAlign w:val="center"/>
          </w:tcPr>
          <w:p w:rsidR="00E76F98" w:rsidRPr="00357FBC" w:rsidRDefault="00E76F98" w:rsidP="00B02641">
            <w:pPr>
              <w:spacing w:before="60" w:after="60" w:line="200" w:lineRule="exact"/>
              <w:jc w:val="center"/>
              <w:rPr>
                <w:sz w:val="20"/>
                <w:szCs w:val="20"/>
              </w:rPr>
            </w:pPr>
            <w:r w:rsidRPr="00357FBC">
              <w:rPr>
                <w:sz w:val="20"/>
              </w:rPr>
              <w:t>0,006</w:t>
            </w:r>
          </w:p>
        </w:tc>
        <w:tc>
          <w:tcPr>
            <w:tcW w:w="851" w:type="dxa"/>
            <w:vAlign w:val="center"/>
          </w:tcPr>
          <w:p w:rsidR="00E76F98" w:rsidRPr="00357FBC" w:rsidRDefault="00E76F98" w:rsidP="00B02641">
            <w:pPr>
              <w:spacing w:before="60" w:after="60" w:line="200" w:lineRule="exact"/>
              <w:jc w:val="center"/>
              <w:rPr>
                <w:sz w:val="20"/>
                <w:szCs w:val="20"/>
              </w:rPr>
            </w:pPr>
            <w:r w:rsidRPr="00357FBC">
              <w:rPr>
                <w:sz w:val="20"/>
              </w:rPr>
              <w:t>0,010</w:t>
            </w:r>
          </w:p>
        </w:tc>
        <w:tc>
          <w:tcPr>
            <w:tcW w:w="993" w:type="dxa"/>
            <w:vAlign w:val="center"/>
          </w:tcPr>
          <w:p w:rsidR="00E76F98" w:rsidRPr="00357FBC" w:rsidRDefault="00E76F98" w:rsidP="00B02641">
            <w:pPr>
              <w:spacing w:before="60" w:after="60" w:line="200" w:lineRule="exact"/>
              <w:jc w:val="center"/>
              <w:rPr>
                <w:sz w:val="20"/>
                <w:szCs w:val="20"/>
              </w:rPr>
            </w:pPr>
            <w:r w:rsidRPr="00357FBC">
              <w:rPr>
                <w:sz w:val="20"/>
              </w:rPr>
              <w:t>0,010</w:t>
            </w:r>
          </w:p>
        </w:tc>
        <w:tc>
          <w:tcPr>
            <w:tcW w:w="993" w:type="dxa"/>
            <w:vAlign w:val="center"/>
          </w:tcPr>
          <w:p w:rsidR="00E76F98" w:rsidRPr="00357FBC" w:rsidRDefault="00E76F98" w:rsidP="00B02641">
            <w:pPr>
              <w:spacing w:before="60" w:after="60" w:line="200" w:lineRule="exact"/>
              <w:jc w:val="center"/>
              <w:rPr>
                <w:sz w:val="20"/>
                <w:szCs w:val="20"/>
              </w:rPr>
            </w:pPr>
            <w:r w:rsidRPr="00357FBC">
              <w:rPr>
                <w:sz w:val="20"/>
              </w:rPr>
              <w:t>0,155</w:t>
            </w:r>
          </w:p>
        </w:tc>
      </w:tr>
    </w:tbl>
    <w:p w:rsidR="00E76F98" w:rsidRPr="00357FBC" w:rsidRDefault="00E76F98" w:rsidP="00E76F98">
      <w:pPr>
        <w:spacing w:before="240"/>
        <w:jc w:val="right"/>
        <w:rPr>
          <w:sz w:val="20"/>
        </w:rPr>
      </w:pPr>
      <w:r w:rsidRPr="00357FBC">
        <w:rPr>
          <w:sz w:val="20"/>
        </w:rPr>
        <w:t>Σε εκατ. EUR (με 3 δεκαδικά ψηφία)</w:t>
      </w:r>
    </w:p>
    <w:tbl>
      <w:tblPr>
        <w:tblW w:w="102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1842"/>
        <w:gridCol w:w="993"/>
        <w:gridCol w:w="851"/>
        <w:gridCol w:w="851"/>
        <w:gridCol w:w="850"/>
        <w:gridCol w:w="851"/>
        <w:gridCol w:w="992"/>
      </w:tblGrid>
      <w:tr w:rsidR="00E76F98" w:rsidRPr="00357FBC" w:rsidTr="00B02641">
        <w:tc>
          <w:tcPr>
            <w:tcW w:w="3054" w:type="dxa"/>
            <w:tcBorders>
              <w:top w:val="nil"/>
              <w:left w:val="nil"/>
              <w:right w:val="nil"/>
            </w:tcBorders>
            <w:vAlign w:val="center"/>
          </w:tcPr>
          <w:p w:rsidR="00E76F98" w:rsidRPr="00357FBC" w:rsidRDefault="00E76F98" w:rsidP="00B02641">
            <w:pPr>
              <w:jc w:val="center"/>
            </w:pPr>
          </w:p>
        </w:tc>
        <w:tc>
          <w:tcPr>
            <w:tcW w:w="1842" w:type="dxa"/>
            <w:tcBorders>
              <w:top w:val="nil"/>
              <w:left w:val="nil"/>
            </w:tcBorders>
          </w:tcPr>
          <w:p w:rsidR="00E76F98" w:rsidRPr="00357FBC" w:rsidRDefault="00E76F98" w:rsidP="00B02641">
            <w:pPr>
              <w:rPr>
                <w:sz w:val="20"/>
              </w:rPr>
            </w:pPr>
          </w:p>
        </w:tc>
        <w:tc>
          <w:tcPr>
            <w:tcW w:w="993" w:type="dxa"/>
          </w:tcPr>
          <w:p w:rsidR="00E76F98" w:rsidRPr="00357FBC" w:rsidRDefault="00E76F98" w:rsidP="00B02641">
            <w:pPr>
              <w:jc w:val="center"/>
            </w:pPr>
            <w:r w:rsidRPr="00357FBC">
              <w:rPr>
                <w:sz w:val="20"/>
              </w:rPr>
              <w:t>Έτος</w:t>
            </w:r>
            <w:r w:rsidRPr="00357FBC">
              <w:rPr>
                <w:sz w:val="20"/>
              </w:rPr>
              <w:br/>
            </w:r>
            <w:r w:rsidRPr="00357FBC">
              <w:rPr>
                <w:b/>
                <w:sz w:val="20"/>
              </w:rPr>
              <w:t>2017</w:t>
            </w:r>
          </w:p>
        </w:tc>
        <w:tc>
          <w:tcPr>
            <w:tcW w:w="851" w:type="dxa"/>
          </w:tcPr>
          <w:p w:rsidR="00E76F98" w:rsidRPr="00357FBC" w:rsidRDefault="00E76F98" w:rsidP="00B02641">
            <w:pPr>
              <w:jc w:val="center"/>
              <w:rPr>
                <w:sz w:val="20"/>
              </w:rPr>
            </w:pPr>
            <w:r w:rsidRPr="00357FBC">
              <w:rPr>
                <w:sz w:val="20"/>
              </w:rPr>
              <w:t>Έτος</w:t>
            </w:r>
            <w:r w:rsidRPr="00357FBC">
              <w:rPr>
                <w:sz w:val="20"/>
              </w:rPr>
              <w:br/>
            </w:r>
            <w:r w:rsidRPr="00357FBC">
              <w:rPr>
                <w:b/>
                <w:sz w:val="20"/>
              </w:rPr>
              <w:t>2018</w:t>
            </w:r>
          </w:p>
        </w:tc>
        <w:tc>
          <w:tcPr>
            <w:tcW w:w="851" w:type="dxa"/>
          </w:tcPr>
          <w:p w:rsidR="00E76F98" w:rsidRPr="00357FBC" w:rsidRDefault="00E76F98" w:rsidP="00B02641">
            <w:pPr>
              <w:jc w:val="center"/>
            </w:pPr>
            <w:r w:rsidRPr="00357FBC">
              <w:rPr>
                <w:sz w:val="20"/>
              </w:rPr>
              <w:t>Έτος</w:t>
            </w:r>
            <w:r w:rsidRPr="00357FBC">
              <w:rPr>
                <w:sz w:val="20"/>
              </w:rPr>
              <w:br/>
            </w:r>
            <w:r w:rsidRPr="00357FBC">
              <w:rPr>
                <w:b/>
                <w:sz w:val="20"/>
              </w:rPr>
              <w:t>2019</w:t>
            </w:r>
          </w:p>
        </w:tc>
        <w:tc>
          <w:tcPr>
            <w:tcW w:w="850" w:type="dxa"/>
          </w:tcPr>
          <w:p w:rsidR="00E76F98" w:rsidRPr="00357FBC" w:rsidRDefault="00E76F98" w:rsidP="00B02641">
            <w:pPr>
              <w:jc w:val="center"/>
            </w:pPr>
            <w:r w:rsidRPr="00357FBC">
              <w:rPr>
                <w:sz w:val="20"/>
              </w:rPr>
              <w:t>Έτος</w:t>
            </w:r>
            <w:r w:rsidRPr="00357FBC">
              <w:rPr>
                <w:sz w:val="20"/>
              </w:rPr>
              <w:br/>
            </w:r>
            <w:r w:rsidRPr="00357FBC">
              <w:rPr>
                <w:b/>
                <w:sz w:val="20"/>
              </w:rPr>
              <w:t>2020</w:t>
            </w:r>
          </w:p>
        </w:tc>
        <w:tc>
          <w:tcPr>
            <w:tcW w:w="851" w:type="dxa"/>
          </w:tcPr>
          <w:p w:rsidR="00E76F98" w:rsidRPr="00357FBC" w:rsidRDefault="00E76F98" w:rsidP="00B02641">
            <w:pPr>
              <w:jc w:val="center"/>
            </w:pPr>
            <w:r w:rsidRPr="00357FBC">
              <w:rPr>
                <w:sz w:val="20"/>
              </w:rPr>
              <w:t>Έτος</w:t>
            </w:r>
            <w:r w:rsidRPr="00357FBC">
              <w:rPr>
                <w:b/>
                <w:sz w:val="20"/>
              </w:rPr>
              <w:br/>
              <w:t>2021</w:t>
            </w:r>
          </w:p>
        </w:tc>
        <w:tc>
          <w:tcPr>
            <w:tcW w:w="992" w:type="dxa"/>
          </w:tcPr>
          <w:p w:rsidR="00E76F98" w:rsidRPr="00357FBC" w:rsidRDefault="00E76F98" w:rsidP="00B02641">
            <w:pPr>
              <w:jc w:val="center"/>
              <w:rPr>
                <w:b/>
                <w:sz w:val="20"/>
              </w:rPr>
            </w:pPr>
            <w:r w:rsidRPr="00357FBC">
              <w:rPr>
                <w:b/>
                <w:sz w:val="20"/>
              </w:rPr>
              <w:t>ΣΥΝΟΛΟ</w:t>
            </w:r>
          </w:p>
        </w:tc>
      </w:tr>
      <w:tr w:rsidR="00E76F98" w:rsidRPr="00357FBC" w:rsidTr="00B02641">
        <w:tc>
          <w:tcPr>
            <w:tcW w:w="3054" w:type="dxa"/>
            <w:vMerge w:val="restart"/>
            <w:shd w:val="clear" w:color="auto" w:fill="C0C0C0"/>
            <w:vAlign w:val="center"/>
          </w:tcPr>
          <w:p w:rsidR="00E76F98" w:rsidRPr="00357FBC" w:rsidRDefault="00E76F98" w:rsidP="00B02641">
            <w:pPr>
              <w:jc w:val="center"/>
            </w:pPr>
            <w:r w:rsidRPr="00357FBC">
              <w:rPr>
                <w:b/>
                <w:sz w:val="22"/>
              </w:rPr>
              <w:t xml:space="preserve">ΣΥΝΟΛΟ πιστώσεων </w:t>
            </w:r>
            <w:r w:rsidRPr="00357FBC">
              <w:rPr>
                <w:b/>
                <w:sz w:val="22"/>
              </w:rPr>
              <w:br/>
              <w:t>για τους ΤΟΜΕΙΣ 1 έως 5</w:t>
            </w:r>
            <w:r w:rsidRPr="00357FBC">
              <w:rPr>
                <w:b/>
                <w:sz w:val="22"/>
              </w:rPr>
              <w:br/>
            </w:r>
            <w:r w:rsidRPr="00357FBC">
              <w:rPr>
                <w:sz w:val="22"/>
              </w:rPr>
              <w:t>του πολυετούς δημοσιονομικού πλαισίου</w:t>
            </w:r>
            <w:r w:rsidRPr="00357FBC">
              <w:rPr>
                <w:b/>
                <w:sz w:val="22"/>
              </w:rPr>
              <w:t xml:space="preserve"> </w:t>
            </w:r>
          </w:p>
        </w:tc>
        <w:tc>
          <w:tcPr>
            <w:tcW w:w="1842" w:type="dxa"/>
            <w:vAlign w:val="center"/>
          </w:tcPr>
          <w:p w:rsidR="00E76F98" w:rsidRPr="00357FBC" w:rsidRDefault="00E76F98" w:rsidP="00B02641">
            <w:r w:rsidRPr="00357FBC">
              <w:rPr>
                <w:sz w:val="18"/>
              </w:rPr>
              <w:t>Αναλήψεις υποχρεώσεων</w:t>
            </w:r>
          </w:p>
        </w:tc>
        <w:tc>
          <w:tcPr>
            <w:tcW w:w="993" w:type="dxa"/>
            <w:vAlign w:val="center"/>
          </w:tcPr>
          <w:p w:rsidR="00E76F98" w:rsidRPr="00357FBC" w:rsidRDefault="00E76F98" w:rsidP="00B02641">
            <w:pPr>
              <w:spacing w:before="60" w:after="60"/>
              <w:jc w:val="center"/>
              <w:rPr>
                <w:sz w:val="20"/>
                <w:szCs w:val="20"/>
              </w:rPr>
            </w:pPr>
            <w:r w:rsidRPr="00357FBC">
              <w:rPr>
                <w:sz w:val="20"/>
              </w:rPr>
              <w:t>0,121</w:t>
            </w:r>
          </w:p>
        </w:tc>
        <w:tc>
          <w:tcPr>
            <w:tcW w:w="851" w:type="dxa"/>
            <w:vAlign w:val="center"/>
          </w:tcPr>
          <w:p w:rsidR="00E76F98" w:rsidRPr="00357FBC" w:rsidRDefault="00E76F98" w:rsidP="00B02641">
            <w:pPr>
              <w:spacing w:before="60" w:after="60"/>
              <w:jc w:val="center"/>
              <w:rPr>
                <w:sz w:val="20"/>
                <w:szCs w:val="20"/>
              </w:rPr>
            </w:pPr>
            <w:r w:rsidRPr="00357FBC">
              <w:rPr>
                <w:sz w:val="20"/>
              </w:rPr>
              <w:t>10,078</w:t>
            </w:r>
          </w:p>
        </w:tc>
        <w:tc>
          <w:tcPr>
            <w:tcW w:w="851" w:type="dxa"/>
            <w:vAlign w:val="center"/>
          </w:tcPr>
          <w:p w:rsidR="00E76F98" w:rsidRPr="00357FBC" w:rsidRDefault="00E76F98" w:rsidP="00B02641">
            <w:pPr>
              <w:spacing w:before="60" w:after="60"/>
              <w:jc w:val="center"/>
              <w:rPr>
                <w:sz w:val="20"/>
                <w:szCs w:val="20"/>
              </w:rPr>
            </w:pPr>
            <w:r w:rsidRPr="00357FBC">
              <w:rPr>
                <w:sz w:val="20"/>
              </w:rPr>
              <w:t>0,006</w:t>
            </w:r>
          </w:p>
        </w:tc>
        <w:tc>
          <w:tcPr>
            <w:tcW w:w="850" w:type="dxa"/>
            <w:vAlign w:val="center"/>
          </w:tcPr>
          <w:p w:rsidR="00E76F98" w:rsidRPr="00357FBC" w:rsidRDefault="00E76F98" w:rsidP="00B02641">
            <w:pPr>
              <w:spacing w:before="60" w:after="60"/>
              <w:jc w:val="center"/>
              <w:rPr>
                <w:sz w:val="20"/>
                <w:szCs w:val="20"/>
              </w:rPr>
            </w:pPr>
            <w:r w:rsidRPr="00357FBC">
              <w:rPr>
                <w:sz w:val="20"/>
              </w:rPr>
              <w:t>3,310</w:t>
            </w:r>
          </w:p>
        </w:tc>
        <w:tc>
          <w:tcPr>
            <w:tcW w:w="851" w:type="dxa"/>
            <w:vAlign w:val="center"/>
          </w:tcPr>
          <w:p w:rsidR="00E76F98" w:rsidRPr="00357FBC" w:rsidRDefault="00C40E09" w:rsidP="00B02641">
            <w:pPr>
              <w:spacing w:before="60" w:after="60"/>
              <w:jc w:val="center"/>
              <w:rPr>
                <w:sz w:val="20"/>
                <w:szCs w:val="20"/>
              </w:rPr>
            </w:pPr>
            <w:r w:rsidRPr="00357FBC">
              <w:rPr>
                <w:sz w:val="20"/>
              </w:rPr>
              <w:t>0,010</w:t>
            </w:r>
          </w:p>
        </w:tc>
        <w:tc>
          <w:tcPr>
            <w:tcW w:w="992" w:type="dxa"/>
            <w:vAlign w:val="center"/>
          </w:tcPr>
          <w:p w:rsidR="00E76F98" w:rsidRPr="00357FBC" w:rsidRDefault="00E76F98" w:rsidP="00B02641">
            <w:pPr>
              <w:spacing w:before="60" w:after="60"/>
              <w:jc w:val="center"/>
              <w:rPr>
                <w:b/>
                <w:sz w:val="20"/>
                <w:szCs w:val="20"/>
              </w:rPr>
            </w:pPr>
            <w:r w:rsidRPr="00357FBC">
              <w:rPr>
                <w:b/>
                <w:sz w:val="20"/>
              </w:rPr>
              <w:t>13,525</w:t>
            </w:r>
          </w:p>
        </w:tc>
      </w:tr>
      <w:tr w:rsidR="00E76F98" w:rsidRPr="00357FBC" w:rsidTr="00B02641">
        <w:tc>
          <w:tcPr>
            <w:tcW w:w="3054" w:type="dxa"/>
            <w:vMerge/>
            <w:shd w:val="clear" w:color="auto" w:fill="C0C0C0"/>
          </w:tcPr>
          <w:p w:rsidR="00E76F98" w:rsidRPr="00357FBC" w:rsidRDefault="00E76F98" w:rsidP="00B02641">
            <w:pPr>
              <w:rPr>
                <w:sz w:val="20"/>
              </w:rPr>
            </w:pPr>
          </w:p>
        </w:tc>
        <w:tc>
          <w:tcPr>
            <w:tcW w:w="1842" w:type="dxa"/>
            <w:vAlign w:val="center"/>
          </w:tcPr>
          <w:p w:rsidR="00E76F98" w:rsidRPr="00357FBC" w:rsidRDefault="00E76F98" w:rsidP="00B02641">
            <w:r w:rsidRPr="00357FBC">
              <w:rPr>
                <w:sz w:val="18"/>
              </w:rPr>
              <w:t>Πληρωμές</w:t>
            </w:r>
          </w:p>
        </w:tc>
        <w:tc>
          <w:tcPr>
            <w:tcW w:w="993" w:type="dxa"/>
            <w:vAlign w:val="center"/>
          </w:tcPr>
          <w:p w:rsidR="00E76F98" w:rsidRPr="00357FBC" w:rsidRDefault="00E76F98" w:rsidP="00B02641">
            <w:pPr>
              <w:spacing w:before="60" w:after="60"/>
              <w:jc w:val="center"/>
              <w:rPr>
                <w:sz w:val="20"/>
                <w:szCs w:val="20"/>
              </w:rPr>
            </w:pPr>
            <w:r w:rsidRPr="00357FBC">
              <w:rPr>
                <w:sz w:val="20"/>
              </w:rPr>
              <w:t>0,121</w:t>
            </w:r>
          </w:p>
        </w:tc>
        <w:tc>
          <w:tcPr>
            <w:tcW w:w="851" w:type="dxa"/>
            <w:vAlign w:val="center"/>
          </w:tcPr>
          <w:p w:rsidR="00E76F98" w:rsidRPr="00357FBC" w:rsidRDefault="00E76F98" w:rsidP="00B02641">
            <w:pPr>
              <w:spacing w:before="60" w:after="60"/>
              <w:jc w:val="center"/>
              <w:rPr>
                <w:sz w:val="20"/>
                <w:szCs w:val="20"/>
              </w:rPr>
            </w:pPr>
            <w:r w:rsidRPr="00357FBC">
              <w:rPr>
                <w:sz w:val="20"/>
              </w:rPr>
              <w:t>10,078</w:t>
            </w:r>
          </w:p>
        </w:tc>
        <w:tc>
          <w:tcPr>
            <w:tcW w:w="851" w:type="dxa"/>
            <w:vAlign w:val="center"/>
          </w:tcPr>
          <w:p w:rsidR="00E76F98" w:rsidRPr="00357FBC" w:rsidRDefault="00E76F98" w:rsidP="00B02641">
            <w:pPr>
              <w:spacing w:before="60" w:after="60"/>
              <w:jc w:val="center"/>
              <w:rPr>
                <w:sz w:val="20"/>
                <w:szCs w:val="20"/>
              </w:rPr>
            </w:pPr>
            <w:r w:rsidRPr="00357FBC">
              <w:rPr>
                <w:sz w:val="20"/>
              </w:rPr>
              <w:t>0,006</w:t>
            </w:r>
          </w:p>
        </w:tc>
        <w:tc>
          <w:tcPr>
            <w:tcW w:w="850" w:type="dxa"/>
            <w:vAlign w:val="center"/>
          </w:tcPr>
          <w:p w:rsidR="00E76F98" w:rsidRPr="00357FBC" w:rsidRDefault="00E76F98" w:rsidP="00B02641">
            <w:pPr>
              <w:spacing w:before="60" w:after="60"/>
              <w:jc w:val="center"/>
              <w:rPr>
                <w:sz w:val="20"/>
                <w:szCs w:val="20"/>
              </w:rPr>
            </w:pPr>
            <w:r w:rsidRPr="00357FBC">
              <w:rPr>
                <w:sz w:val="20"/>
              </w:rPr>
              <w:t>3,16</w:t>
            </w:r>
          </w:p>
        </w:tc>
        <w:tc>
          <w:tcPr>
            <w:tcW w:w="851" w:type="dxa"/>
            <w:vAlign w:val="center"/>
          </w:tcPr>
          <w:p w:rsidR="00E76F98" w:rsidRPr="00357FBC" w:rsidRDefault="00E76F98" w:rsidP="00B02641">
            <w:pPr>
              <w:spacing w:before="60" w:after="60"/>
              <w:jc w:val="center"/>
              <w:rPr>
                <w:sz w:val="20"/>
                <w:szCs w:val="20"/>
              </w:rPr>
            </w:pPr>
            <w:r w:rsidRPr="00357FBC">
              <w:rPr>
                <w:sz w:val="20"/>
              </w:rPr>
              <w:t>0,16</w:t>
            </w:r>
          </w:p>
        </w:tc>
        <w:tc>
          <w:tcPr>
            <w:tcW w:w="992" w:type="dxa"/>
            <w:vAlign w:val="center"/>
          </w:tcPr>
          <w:p w:rsidR="00E76F98" w:rsidRPr="00357FBC" w:rsidRDefault="00E76F98" w:rsidP="00B02641">
            <w:pPr>
              <w:spacing w:before="60" w:after="60"/>
              <w:jc w:val="center"/>
              <w:rPr>
                <w:b/>
                <w:sz w:val="20"/>
                <w:szCs w:val="20"/>
              </w:rPr>
            </w:pPr>
            <w:r w:rsidRPr="00357FBC">
              <w:rPr>
                <w:b/>
                <w:sz w:val="20"/>
              </w:rPr>
              <w:t>13,525</w:t>
            </w:r>
          </w:p>
        </w:tc>
      </w:tr>
    </w:tbl>
    <w:p w:rsidR="00E76F98" w:rsidRPr="00357FBC" w:rsidRDefault="00E76F98" w:rsidP="00E76F98">
      <w:pPr>
        <w:sectPr w:rsidR="00E76F98" w:rsidRPr="00357FBC" w:rsidSect="001B6923">
          <w:pgSz w:w="11907" w:h="16840" w:code="9"/>
          <w:pgMar w:top="1418" w:right="1134" w:bottom="1418" w:left="1134" w:header="709" w:footer="709" w:gutter="0"/>
          <w:cols w:space="708"/>
          <w:docGrid w:linePitch="360"/>
        </w:sectPr>
      </w:pPr>
    </w:p>
    <w:p w:rsidR="00E76F98" w:rsidRPr="00357FBC" w:rsidRDefault="00E76F98" w:rsidP="00E76F98">
      <w:pPr>
        <w:pStyle w:val="ManualHeading3"/>
      </w:pPr>
      <w:r w:rsidRPr="00357FBC">
        <w:t>3.2.2.</w:t>
      </w:r>
      <w:r w:rsidRPr="00357FBC">
        <w:tab/>
        <w:t xml:space="preserve">Εκτιμώμενες επιπτώσεις στις επιχειρησιακές πιστώσεις </w:t>
      </w:r>
    </w:p>
    <w:p w:rsidR="00E76F98" w:rsidRPr="00357FBC" w:rsidRDefault="00E76F98" w:rsidP="00E76F98">
      <w:pPr>
        <w:pStyle w:val="ListDash1"/>
      </w:pPr>
      <w:bookmarkStart w:id="4" w:name="DQPStarAt1DQPStarAtDDA9311F93CF48F7BD539"/>
      <w:r w:rsidRPr="00357FBC">
        <w:sym w:font="Wingdings" w:char="F0A8"/>
      </w:r>
      <w:r w:rsidRPr="00357FBC">
        <w:tab/>
        <w:t xml:space="preserve">Η πρόταση/πρωτοβουλία δεν συνεπάγεται τη χρησιμοποίηση επιχειρησιακών πιστώσεων </w:t>
      </w:r>
    </w:p>
    <w:bookmarkEnd w:id="4"/>
    <w:p w:rsidR="00E76F98" w:rsidRPr="00357FBC" w:rsidRDefault="00E76F98" w:rsidP="00E76F98">
      <w:pPr>
        <w:pStyle w:val="ListDash1"/>
      </w:pPr>
      <w:r w:rsidRPr="00357FBC">
        <w:t>X Η πρόταση/πρωτοβουλία συνεπάγεται τη χρησιμοποίηση επιχειρησιακών πιστώσεων, όπως εξηγείται κατωτέρω:</w:t>
      </w:r>
    </w:p>
    <w:p w:rsidR="00E76F98" w:rsidRPr="00357FBC" w:rsidRDefault="00E76F98" w:rsidP="00E76F98">
      <w:pPr>
        <w:spacing w:before="480"/>
        <w:jc w:val="right"/>
        <w:rPr>
          <w:sz w:val="4"/>
          <w:szCs w:val="4"/>
        </w:rPr>
      </w:pPr>
      <w:r w:rsidRPr="00357FBC">
        <w:rPr>
          <w:sz w:val="20"/>
        </w:rPr>
        <w:t>Πιστώσεις ανάληψης υποχρεώσεων σε εκατ. EUR (με 3 δεκαδικά ψηφία)</w:t>
      </w:r>
    </w:p>
    <w:tbl>
      <w:tblPr>
        <w:tblW w:w="0" w:type="auto"/>
        <w:tblInd w:w="534" w:type="dxa"/>
        <w:tblLook w:val="01E0" w:firstRow="1" w:lastRow="1" w:firstColumn="1" w:lastColumn="1" w:noHBand="0" w:noVBand="0"/>
      </w:tblPr>
      <w:tblGrid>
        <w:gridCol w:w="1358"/>
        <w:gridCol w:w="1571"/>
        <w:gridCol w:w="784"/>
        <w:gridCol w:w="1118"/>
        <w:gridCol w:w="2332"/>
        <w:gridCol w:w="1020"/>
        <w:gridCol w:w="1500"/>
        <w:gridCol w:w="2104"/>
        <w:gridCol w:w="1899"/>
      </w:tblGrid>
      <w:tr w:rsidR="00E76F98" w:rsidRPr="00357FBC" w:rsidTr="00B02641">
        <w:trPr>
          <w:gridAfter w:val="1"/>
          <w:wAfter w:w="1899" w:type="dxa"/>
        </w:trPr>
        <w:tc>
          <w:tcPr>
            <w:tcW w:w="1358" w:type="dxa"/>
          </w:tcPr>
          <w:p w:rsidR="00E76F98" w:rsidRPr="00357FBC" w:rsidRDefault="00E76F98" w:rsidP="00B02641">
            <w:pPr>
              <w:ind w:right="-29"/>
              <w:jc w:val="center"/>
              <w:rPr>
                <w:sz w:val="4"/>
                <w:szCs w:val="4"/>
              </w:rPr>
            </w:pPr>
          </w:p>
        </w:tc>
        <w:tc>
          <w:tcPr>
            <w:tcW w:w="1571" w:type="dxa"/>
          </w:tcPr>
          <w:p w:rsidR="00E76F98" w:rsidRPr="00357FBC" w:rsidRDefault="00E76F98" w:rsidP="00B02641">
            <w:pPr>
              <w:ind w:right="-29"/>
              <w:jc w:val="center"/>
              <w:rPr>
                <w:sz w:val="4"/>
                <w:szCs w:val="4"/>
              </w:rPr>
            </w:pPr>
          </w:p>
        </w:tc>
        <w:tc>
          <w:tcPr>
            <w:tcW w:w="784" w:type="dxa"/>
          </w:tcPr>
          <w:p w:rsidR="00E76F98" w:rsidRPr="00357FBC" w:rsidRDefault="00E76F98" w:rsidP="00B02641">
            <w:pPr>
              <w:ind w:right="-29"/>
              <w:jc w:val="center"/>
              <w:rPr>
                <w:sz w:val="4"/>
                <w:szCs w:val="4"/>
              </w:rPr>
            </w:pPr>
          </w:p>
        </w:tc>
        <w:tc>
          <w:tcPr>
            <w:tcW w:w="1118" w:type="dxa"/>
          </w:tcPr>
          <w:p w:rsidR="00E76F98" w:rsidRPr="00357FBC" w:rsidRDefault="00E76F98" w:rsidP="00B02641">
            <w:pPr>
              <w:ind w:right="-29"/>
              <w:jc w:val="center"/>
              <w:rPr>
                <w:sz w:val="4"/>
                <w:szCs w:val="4"/>
              </w:rPr>
            </w:pPr>
          </w:p>
        </w:tc>
        <w:tc>
          <w:tcPr>
            <w:tcW w:w="2332" w:type="dxa"/>
          </w:tcPr>
          <w:p w:rsidR="00E76F98" w:rsidRPr="00357FBC" w:rsidRDefault="00E76F98" w:rsidP="00B02641">
            <w:pPr>
              <w:ind w:right="-29"/>
              <w:jc w:val="center"/>
              <w:rPr>
                <w:sz w:val="4"/>
                <w:szCs w:val="4"/>
              </w:rPr>
            </w:pPr>
          </w:p>
        </w:tc>
        <w:tc>
          <w:tcPr>
            <w:tcW w:w="1020" w:type="dxa"/>
          </w:tcPr>
          <w:p w:rsidR="00E76F98" w:rsidRPr="00357FBC" w:rsidRDefault="00E76F98" w:rsidP="00B02641">
            <w:pPr>
              <w:ind w:right="-29"/>
              <w:jc w:val="center"/>
              <w:rPr>
                <w:b/>
                <w:sz w:val="4"/>
                <w:szCs w:val="4"/>
              </w:rPr>
            </w:pPr>
          </w:p>
        </w:tc>
        <w:tc>
          <w:tcPr>
            <w:tcW w:w="1500" w:type="dxa"/>
          </w:tcPr>
          <w:p w:rsidR="00E76F98" w:rsidRPr="00357FBC" w:rsidRDefault="00E76F98" w:rsidP="00B02641">
            <w:pPr>
              <w:ind w:right="-29"/>
              <w:jc w:val="center"/>
              <w:rPr>
                <w:sz w:val="4"/>
                <w:szCs w:val="4"/>
              </w:rPr>
            </w:pPr>
          </w:p>
        </w:tc>
        <w:tc>
          <w:tcPr>
            <w:tcW w:w="2104" w:type="dxa"/>
          </w:tcPr>
          <w:p w:rsidR="00E76F98" w:rsidRPr="00357FBC" w:rsidRDefault="00E76F98" w:rsidP="00B02641">
            <w:pPr>
              <w:ind w:right="-29"/>
              <w:jc w:val="center"/>
              <w:rPr>
                <w:sz w:val="4"/>
                <w:szCs w:val="4"/>
              </w:rPr>
            </w:pPr>
          </w:p>
        </w:tc>
      </w:tr>
      <w:tr w:rsidR="00E76F98" w:rsidRPr="00357FBC" w:rsidTr="00B02641">
        <w:tc>
          <w:tcPr>
            <w:tcW w:w="13686" w:type="dxa"/>
            <w:gridSpan w:val="9"/>
          </w:tcPr>
          <w:tbl>
            <w:tblPr>
              <w:tblStyle w:val="TableGrid"/>
              <w:tblW w:w="13151" w:type="dxa"/>
              <w:tblLook w:val="04A0" w:firstRow="1" w:lastRow="0" w:firstColumn="1" w:lastColumn="0" w:noHBand="0" w:noVBand="1"/>
            </w:tblPr>
            <w:tblGrid>
              <w:gridCol w:w="1406"/>
              <w:gridCol w:w="1622"/>
              <w:gridCol w:w="786"/>
              <w:gridCol w:w="14"/>
              <w:gridCol w:w="738"/>
              <w:gridCol w:w="800"/>
              <w:gridCol w:w="8"/>
              <w:gridCol w:w="730"/>
              <w:gridCol w:w="785"/>
              <w:gridCol w:w="15"/>
              <w:gridCol w:w="738"/>
              <w:gridCol w:w="800"/>
              <w:gridCol w:w="17"/>
              <w:gridCol w:w="724"/>
              <w:gridCol w:w="800"/>
              <w:gridCol w:w="738"/>
              <w:gridCol w:w="1224"/>
              <w:gridCol w:w="1206"/>
            </w:tblGrid>
            <w:tr w:rsidR="00E76F98" w:rsidRPr="00357FBC" w:rsidTr="00B02641">
              <w:tc>
                <w:tcPr>
                  <w:tcW w:w="1376" w:type="dxa"/>
                  <w:vMerge w:val="restart"/>
                </w:tcPr>
                <w:p w:rsidR="00E76F98" w:rsidRPr="00357FBC" w:rsidRDefault="00E76F98" w:rsidP="00B02641">
                  <w:pPr>
                    <w:ind w:right="-29"/>
                    <w:jc w:val="center"/>
                  </w:pPr>
                  <w:r w:rsidRPr="00357FBC">
                    <w:rPr>
                      <w:sz w:val="18"/>
                    </w:rPr>
                    <w:t xml:space="preserve"> </w:t>
                  </w:r>
                  <w:r w:rsidRPr="00357FBC">
                    <w:rPr>
                      <w:b/>
                      <w:sz w:val="18"/>
                    </w:rPr>
                    <w:t xml:space="preserve">Να προσδιοριστούν οι στόχοι και τα αποτελέσματα </w:t>
                  </w:r>
                </w:p>
                <w:p w:rsidR="00E76F98" w:rsidRPr="00357FBC" w:rsidRDefault="00E76F98" w:rsidP="00B02641">
                  <w:pPr>
                    <w:ind w:right="-29"/>
                    <w:jc w:val="center"/>
                    <w:rPr>
                      <w:b/>
                      <w:sz w:val="18"/>
                    </w:rPr>
                  </w:pPr>
                </w:p>
                <w:p w:rsidR="00E76F98" w:rsidRPr="00357FBC" w:rsidRDefault="00E76F98" w:rsidP="00B02641">
                  <w:pPr>
                    <w:ind w:right="-29"/>
                    <w:jc w:val="center"/>
                    <w:rPr>
                      <w:sz w:val="18"/>
                    </w:rPr>
                  </w:pPr>
                  <w:r w:rsidRPr="00357FBC">
                    <w:rPr>
                      <w:sz w:val="18"/>
                      <w:szCs w:val="18"/>
                    </w:rPr>
                    <w:sym w:font="Wingdings" w:char="F0F2"/>
                  </w:r>
                </w:p>
              </w:tc>
              <w:tc>
                <w:tcPr>
                  <w:tcW w:w="1755" w:type="dxa"/>
                </w:tcPr>
                <w:p w:rsidR="00E76F98" w:rsidRPr="00357FBC" w:rsidRDefault="00E76F98" w:rsidP="00B02641">
                  <w:pPr>
                    <w:ind w:right="-29"/>
                    <w:rPr>
                      <w:sz w:val="18"/>
                    </w:rPr>
                  </w:pPr>
                </w:p>
              </w:tc>
              <w:tc>
                <w:tcPr>
                  <w:tcW w:w="1469" w:type="dxa"/>
                  <w:gridSpan w:val="3"/>
                </w:tcPr>
                <w:p w:rsidR="00E76F98" w:rsidRPr="00357FBC" w:rsidRDefault="00E76F98" w:rsidP="00B02641">
                  <w:pPr>
                    <w:ind w:right="-29"/>
                    <w:jc w:val="center"/>
                    <w:rPr>
                      <w:sz w:val="18"/>
                    </w:rPr>
                  </w:pPr>
                  <w:r w:rsidRPr="00357FBC">
                    <w:rPr>
                      <w:sz w:val="18"/>
                    </w:rPr>
                    <w:t xml:space="preserve">Έτος </w:t>
                  </w:r>
                  <w:r w:rsidRPr="00357FBC">
                    <w:rPr>
                      <w:b/>
                      <w:sz w:val="18"/>
                    </w:rPr>
                    <w:t>2017</w:t>
                  </w:r>
                </w:p>
              </w:tc>
              <w:tc>
                <w:tcPr>
                  <w:tcW w:w="1470" w:type="dxa"/>
                  <w:gridSpan w:val="3"/>
                </w:tcPr>
                <w:p w:rsidR="00E76F98" w:rsidRPr="00357FBC" w:rsidRDefault="00E76F98" w:rsidP="00B02641">
                  <w:pPr>
                    <w:ind w:right="-29"/>
                    <w:jc w:val="center"/>
                    <w:rPr>
                      <w:sz w:val="18"/>
                    </w:rPr>
                  </w:pPr>
                  <w:r w:rsidRPr="00357FBC">
                    <w:rPr>
                      <w:sz w:val="18"/>
                    </w:rPr>
                    <w:t xml:space="preserve">Έτος </w:t>
                  </w:r>
                  <w:r w:rsidRPr="00357FBC">
                    <w:rPr>
                      <w:b/>
                      <w:sz w:val="18"/>
                    </w:rPr>
                    <w:t>2018</w:t>
                  </w:r>
                </w:p>
              </w:tc>
              <w:tc>
                <w:tcPr>
                  <w:tcW w:w="1465" w:type="dxa"/>
                  <w:gridSpan w:val="3"/>
                </w:tcPr>
                <w:p w:rsidR="00E76F98" w:rsidRPr="00357FBC" w:rsidRDefault="00E76F98" w:rsidP="00B02641">
                  <w:pPr>
                    <w:ind w:right="-29"/>
                    <w:jc w:val="center"/>
                    <w:rPr>
                      <w:b/>
                      <w:sz w:val="18"/>
                    </w:rPr>
                  </w:pPr>
                  <w:r w:rsidRPr="00357FBC">
                    <w:rPr>
                      <w:sz w:val="18"/>
                    </w:rPr>
                    <w:t xml:space="preserve">Έτος </w:t>
                  </w:r>
                  <w:r w:rsidRPr="00357FBC">
                    <w:rPr>
                      <w:b/>
                      <w:sz w:val="18"/>
                    </w:rPr>
                    <w:t>2019</w:t>
                  </w:r>
                </w:p>
              </w:tc>
              <w:tc>
                <w:tcPr>
                  <w:tcW w:w="1462" w:type="dxa"/>
                  <w:gridSpan w:val="3"/>
                </w:tcPr>
                <w:p w:rsidR="00E76F98" w:rsidRPr="00357FBC" w:rsidRDefault="00E76F98" w:rsidP="00B02641">
                  <w:pPr>
                    <w:ind w:right="-29"/>
                    <w:jc w:val="center"/>
                    <w:rPr>
                      <w:sz w:val="18"/>
                    </w:rPr>
                  </w:pPr>
                  <w:r w:rsidRPr="00357FBC">
                    <w:rPr>
                      <w:sz w:val="18"/>
                    </w:rPr>
                    <w:t xml:space="preserve">Έτος </w:t>
                  </w:r>
                  <w:r w:rsidRPr="00357FBC">
                    <w:rPr>
                      <w:b/>
                      <w:sz w:val="18"/>
                    </w:rPr>
                    <w:t>2020</w:t>
                  </w:r>
                </w:p>
              </w:tc>
              <w:tc>
                <w:tcPr>
                  <w:tcW w:w="1504" w:type="dxa"/>
                  <w:gridSpan w:val="2"/>
                </w:tcPr>
                <w:p w:rsidR="00E76F98" w:rsidRPr="00357FBC" w:rsidRDefault="00E76F98" w:rsidP="00B02641">
                  <w:pPr>
                    <w:ind w:right="-29"/>
                    <w:jc w:val="center"/>
                    <w:rPr>
                      <w:sz w:val="18"/>
                    </w:rPr>
                  </w:pPr>
                  <w:r w:rsidRPr="00357FBC">
                    <w:rPr>
                      <w:sz w:val="18"/>
                    </w:rPr>
                    <w:t xml:space="preserve">Έτος </w:t>
                  </w:r>
                  <w:r w:rsidRPr="00357FBC">
                    <w:rPr>
                      <w:b/>
                      <w:sz w:val="18"/>
                    </w:rPr>
                    <w:t>2021</w:t>
                  </w:r>
                </w:p>
              </w:tc>
              <w:tc>
                <w:tcPr>
                  <w:tcW w:w="2650" w:type="dxa"/>
                  <w:gridSpan w:val="2"/>
                </w:tcPr>
                <w:p w:rsidR="00E76F98" w:rsidRPr="00357FBC" w:rsidRDefault="00E76F98" w:rsidP="00B02641">
                  <w:pPr>
                    <w:ind w:right="-29"/>
                    <w:jc w:val="center"/>
                    <w:rPr>
                      <w:b/>
                      <w:sz w:val="18"/>
                    </w:rPr>
                  </w:pPr>
                  <w:r w:rsidRPr="00357FBC">
                    <w:rPr>
                      <w:b/>
                      <w:sz w:val="18"/>
                    </w:rPr>
                    <w:t>ΣΥΝΟΛΟ</w:t>
                  </w:r>
                </w:p>
              </w:tc>
            </w:tr>
            <w:tr w:rsidR="00E76F98" w:rsidRPr="00357FBC" w:rsidTr="00B02641">
              <w:tc>
                <w:tcPr>
                  <w:tcW w:w="1376" w:type="dxa"/>
                  <w:vMerge/>
                </w:tcPr>
                <w:p w:rsidR="00E76F98" w:rsidRPr="00357FBC" w:rsidRDefault="00E76F98" w:rsidP="00B02641">
                  <w:pPr>
                    <w:ind w:right="-29"/>
                    <w:rPr>
                      <w:sz w:val="18"/>
                    </w:rPr>
                  </w:pPr>
                </w:p>
              </w:tc>
              <w:tc>
                <w:tcPr>
                  <w:tcW w:w="11775" w:type="dxa"/>
                  <w:gridSpan w:val="17"/>
                </w:tcPr>
                <w:p w:rsidR="00E76F98" w:rsidRPr="00357FBC" w:rsidRDefault="00E76F98" w:rsidP="00B02641">
                  <w:pPr>
                    <w:ind w:right="-29"/>
                    <w:rPr>
                      <w:sz w:val="18"/>
                    </w:rPr>
                  </w:pPr>
                </w:p>
              </w:tc>
            </w:tr>
            <w:tr w:rsidR="00E76F98" w:rsidRPr="00357FBC" w:rsidTr="00B02641">
              <w:tc>
                <w:tcPr>
                  <w:tcW w:w="1376" w:type="dxa"/>
                  <w:vMerge/>
                </w:tcPr>
                <w:p w:rsidR="00E76F98" w:rsidRPr="00357FBC" w:rsidRDefault="00E76F98" w:rsidP="00B02641">
                  <w:pPr>
                    <w:ind w:right="-29"/>
                    <w:rPr>
                      <w:sz w:val="18"/>
                    </w:rPr>
                  </w:pPr>
                </w:p>
              </w:tc>
              <w:tc>
                <w:tcPr>
                  <w:tcW w:w="1755" w:type="dxa"/>
                  <w:vAlign w:val="center"/>
                </w:tcPr>
                <w:p w:rsidR="00E76F98" w:rsidRPr="00357FBC" w:rsidRDefault="00E76F98" w:rsidP="00B02641">
                  <w:pPr>
                    <w:ind w:right="-29"/>
                    <w:jc w:val="center"/>
                    <w:rPr>
                      <w:sz w:val="18"/>
                    </w:rPr>
                  </w:pPr>
                  <w:r w:rsidRPr="00357FBC">
                    <w:rPr>
                      <w:sz w:val="18"/>
                    </w:rPr>
                    <w:t>Είδος</w:t>
                  </w:r>
                  <w:r w:rsidRPr="00357FBC">
                    <w:rPr>
                      <w:rStyle w:val="FootnoteReference"/>
                      <w:sz w:val="18"/>
                    </w:rPr>
                    <w:footnoteReference w:id="22"/>
                  </w:r>
                </w:p>
              </w:tc>
              <w:tc>
                <w:tcPr>
                  <w:tcW w:w="777" w:type="dxa"/>
                  <w:gridSpan w:val="2"/>
                  <w:shd w:val="clear" w:color="auto" w:fill="D9D9D9" w:themeFill="background1" w:themeFillShade="D9"/>
                  <w:vAlign w:val="center"/>
                </w:tcPr>
                <w:p w:rsidR="00E76F98" w:rsidRPr="00357FBC" w:rsidRDefault="00E76F98" w:rsidP="00B02641">
                  <w:pPr>
                    <w:ind w:right="-29"/>
                    <w:jc w:val="center"/>
                    <w:rPr>
                      <w:sz w:val="18"/>
                    </w:rPr>
                  </w:pPr>
                  <w:r w:rsidRPr="00357FBC">
                    <w:rPr>
                      <w:sz w:val="18"/>
                    </w:rPr>
                    <w:t>Αριθμός</w:t>
                  </w:r>
                </w:p>
              </w:tc>
              <w:tc>
                <w:tcPr>
                  <w:tcW w:w="692" w:type="dxa"/>
                  <w:shd w:val="clear" w:color="auto" w:fill="D9D9D9" w:themeFill="background1" w:themeFillShade="D9"/>
                  <w:vAlign w:val="center"/>
                </w:tcPr>
                <w:p w:rsidR="00E76F98" w:rsidRPr="00357FBC" w:rsidRDefault="00E76F98" w:rsidP="00B02641">
                  <w:pPr>
                    <w:ind w:right="-29"/>
                    <w:jc w:val="center"/>
                    <w:rPr>
                      <w:sz w:val="18"/>
                    </w:rPr>
                  </w:pPr>
                  <w:r w:rsidRPr="00357FBC">
                    <w:rPr>
                      <w:sz w:val="18"/>
                    </w:rPr>
                    <w:t>Κόστος</w:t>
                  </w:r>
                </w:p>
              </w:tc>
              <w:tc>
                <w:tcPr>
                  <w:tcW w:w="777" w:type="dxa"/>
                  <w:shd w:val="clear" w:color="auto" w:fill="D9D9D9" w:themeFill="background1" w:themeFillShade="D9"/>
                  <w:vAlign w:val="center"/>
                </w:tcPr>
                <w:p w:rsidR="00E76F98" w:rsidRPr="00357FBC" w:rsidRDefault="00E76F98" w:rsidP="00B02641">
                  <w:pPr>
                    <w:ind w:right="-29"/>
                    <w:jc w:val="center"/>
                    <w:rPr>
                      <w:sz w:val="18"/>
                    </w:rPr>
                  </w:pPr>
                  <w:r w:rsidRPr="00357FBC">
                    <w:rPr>
                      <w:sz w:val="18"/>
                    </w:rPr>
                    <w:t>Αριθμός</w:t>
                  </w:r>
                </w:p>
              </w:tc>
              <w:tc>
                <w:tcPr>
                  <w:tcW w:w="693" w:type="dxa"/>
                  <w:gridSpan w:val="2"/>
                  <w:shd w:val="clear" w:color="auto" w:fill="D9D9D9" w:themeFill="background1" w:themeFillShade="D9"/>
                  <w:vAlign w:val="center"/>
                </w:tcPr>
                <w:p w:rsidR="00E76F98" w:rsidRPr="00357FBC" w:rsidRDefault="00E76F98" w:rsidP="00B02641">
                  <w:pPr>
                    <w:ind w:right="-29"/>
                    <w:jc w:val="center"/>
                    <w:rPr>
                      <w:sz w:val="18"/>
                    </w:rPr>
                  </w:pPr>
                  <w:r w:rsidRPr="00357FBC">
                    <w:rPr>
                      <w:sz w:val="18"/>
                    </w:rPr>
                    <w:t>Κόστος</w:t>
                  </w:r>
                </w:p>
              </w:tc>
              <w:tc>
                <w:tcPr>
                  <w:tcW w:w="777" w:type="dxa"/>
                  <w:gridSpan w:val="2"/>
                  <w:shd w:val="clear" w:color="auto" w:fill="D9D9D9" w:themeFill="background1" w:themeFillShade="D9"/>
                  <w:vAlign w:val="center"/>
                </w:tcPr>
                <w:p w:rsidR="00E76F98" w:rsidRPr="00357FBC" w:rsidRDefault="00E76F98" w:rsidP="00B02641">
                  <w:pPr>
                    <w:ind w:right="-29"/>
                    <w:jc w:val="center"/>
                    <w:rPr>
                      <w:sz w:val="18"/>
                    </w:rPr>
                  </w:pPr>
                  <w:r w:rsidRPr="00357FBC">
                    <w:rPr>
                      <w:sz w:val="18"/>
                    </w:rPr>
                    <w:t>Αριθμός</w:t>
                  </w:r>
                </w:p>
              </w:tc>
              <w:tc>
                <w:tcPr>
                  <w:tcW w:w="688" w:type="dxa"/>
                  <w:shd w:val="clear" w:color="auto" w:fill="D9D9D9" w:themeFill="background1" w:themeFillShade="D9"/>
                  <w:vAlign w:val="center"/>
                </w:tcPr>
                <w:p w:rsidR="00E76F98" w:rsidRPr="00357FBC" w:rsidRDefault="00E76F98" w:rsidP="00B02641">
                  <w:pPr>
                    <w:ind w:right="-29"/>
                    <w:jc w:val="center"/>
                    <w:rPr>
                      <w:sz w:val="18"/>
                    </w:rPr>
                  </w:pPr>
                  <w:r w:rsidRPr="00357FBC">
                    <w:rPr>
                      <w:sz w:val="18"/>
                    </w:rPr>
                    <w:t>Κόστος</w:t>
                  </w:r>
                </w:p>
              </w:tc>
              <w:tc>
                <w:tcPr>
                  <w:tcW w:w="777" w:type="dxa"/>
                  <w:shd w:val="clear" w:color="auto" w:fill="D9D9D9" w:themeFill="background1" w:themeFillShade="D9"/>
                  <w:vAlign w:val="center"/>
                </w:tcPr>
                <w:p w:rsidR="00E76F98" w:rsidRPr="00357FBC" w:rsidRDefault="00E76F98" w:rsidP="00B02641">
                  <w:pPr>
                    <w:ind w:right="-29"/>
                    <w:jc w:val="center"/>
                    <w:rPr>
                      <w:sz w:val="18"/>
                    </w:rPr>
                  </w:pPr>
                  <w:r w:rsidRPr="00357FBC">
                    <w:rPr>
                      <w:sz w:val="18"/>
                    </w:rPr>
                    <w:t>Αριθμός</w:t>
                  </w:r>
                </w:p>
              </w:tc>
              <w:tc>
                <w:tcPr>
                  <w:tcW w:w="685" w:type="dxa"/>
                  <w:gridSpan w:val="2"/>
                  <w:shd w:val="clear" w:color="auto" w:fill="D9D9D9" w:themeFill="background1" w:themeFillShade="D9"/>
                  <w:vAlign w:val="center"/>
                </w:tcPr>
                <w:p w:rsidR="00E76F98" w:rsidRPr="00357FBC" w:rsidRDefault="00E76F98" w:rsidP="00B02641">
                  <w:pPr>
                    <w:ind w:right="-29"/>
                    <w:jc w:val="center"/>
                    <w:rPr>
                      <w:sz w:val="18"/>
                    </w:rPr>
                  </w:pPr>
                  <w:r w:rsidRPr="00357FBC">
                    <w:rPr>
                      <w:sz w:val="18"/>
                    </w:rPr>
                    <w:t>Κόστος</w:t>
                  </w:r>
                </w:p>
              </w:tc>
              <w:tc>
                <w:tcPr>
                  <w:tcW w:w="777" w:type="dxa"/>
                  <w:shd w:val="clear" w:color="auto" w:fill="D9D9D9" w:themeFill="background1" w:themeFillShade="D9"/>
                  <w:vAlign w:val="center"/>
                </w:tcPr>
                <w:p w:rsidR="00E76F98" w:rsidRPr="00357FBC" w:rsidRDefault="00E76F98" w:rsidP="00B02641">
                  <w:pPr>
                    <w:ind w:right="-29"/>
                    <w:jc w:val="center"/>
                    <w:rPr>
                      <w:sz w:val="18"/>
                    </w:rPr>
                  </w:pPr>
                  <w:r w:rsidRPr="00357FBC">
                    <w:rPr>
                      <w:sz w:val="18"/>
                    </w:rPr>
                    <w:t>Αριθμός</w:t>
                  </w:r>
                </w:p>
              </w:tc>
              <w:tc>
                <w:tcPr>
                  <w:tcW w:w="727" w:type="dxa"/>
                  <w:shd w:val="clear" w:color="auto" w:fill="D9D9D9" w:themeFill="background1" w:themeFillShade="D9"/>
                  <w:vAlign w:val="center"/>
                </w:tcPr>
                <w:p w:rsidR="00E76F98" w:rsidRPr="00357FBC" w:rsidRDefault="00E76F98" w:rsidP="00B02641">
                  <w:pPr>
                    <w:ind w:right="-29"/>
                    <w:jc w:val="center"/>
                    <w:rPr>
                      <w:sz w:val="18"/>
                    </w:rPr>
                  </w:pPr>
                  <w:r w:rsidRPr="00357FBC">
                    <w:rPr>
                      <w:sz w:val="18"/>
                    </w:rPr>
                    <w:t>Κόστος</w:t>
                  </w:r>
                </w:p>
              </w:tc>
              <w:tc>
                <w:tcPr>
                  <w:tcW w:w="1325" w:type="dxa"/>
                  <w:shd w:val="clear" w:color="auto" w:fill="D9D9D9" w:themeFill="background1" w:themeFillShade="D9"/>
                  <w:vAlign w:val="center"/>
                </w:tcPr>
                <w:p w:rsidR="00E76F98" w:rsidRPr="00357FBC" w:rsidRDefault="00E76F98" w:rsidP="00B02641">
                  <w:pPr>
                    <w:ind w:right="-29"/>
                    <w:jc w:val="center"/>
                    <w:rPr>
                      <w:sz w:val="18"/>
                    </w:rPr>
                  </w:pPr>
                  <w:r w:rsidRPr="00357FBC">
                    <w:rPr>
                      <w:sz w:val="18"/>
                    </w:rPr>
                    <w:t>Συνολικός αριθμός</w:t>
                  </w:r>
                </w:p>
              </w:tc>
              <w:tc>
                <w:tcPr>
                  <w:tcW w:w="1325" w:type="dxa"/>
                  <w:shd w:val="clear" w:color="auto" w:fill="D9D9D9" w:themeFill="background1" w:themeFillShade="D9"/>
                  <w:vAlign w:val="center"/>
                </w:tcPr>
                <w:p w:rsidR="00E76F98" w:rsidRPr="00357FBC" w:rsidRDefault="00E76F98" w:rsidP="00B02641">
                  <w:pPr>
                    <w:ind w:right="-29"/>
                    <w:jc w:val="center"/>
                    <w:rPr>
                      <w:sz w:val="18"/>
                    </w:rPr>
                  </w:pPr>
                  <w:r w:rsidRPr="00357FBC">
                    <w:rPr>
                      <w:sz w:val="18"/>
                    </w:rPr>
                    <w:t>Συνολικό κόστος</w:t>
                  </w:r>
                </w:p>
              </w:tc>
            </w:tr>
            <w:tr w:rsidR="00E76F98" w:rsidRPr="00357FBC" w:rsidTr="00B02641">
              <w:tc>
                <w:tcPr>
                  <w:tcW w:w="13151" w:type="dxa"/>
                  <w:gridSpan w:val="18"/>
                </w:tcPr>
                <w:p w:rsidR="00E76F98" w:rsidRPr="00357FBC" w:rsidRDefault="00E76F98" w:rsidP="00B02641">
                  <w:pPr>
                    <w:ind w:right="-29"/>
                    <w:rPr>
                      <w:sz w:val="18"/>
                    </w:rPr>
                  </w:pPr>
                  <w:r w:rsidRPr="00357FBC">
                    <w:rPr>
                      <w:sz w:val="18"/>
                    </w:rPr>
                    <w:t>ΕΙΔΙΚΟΣ ΣΤΟΧΟΣ αριθ. 1</w:t>
                  </w:r>
                  <w:r w:rsidRPr="00357FBC">
                    <w:rPr>
                      <w:rStyle w:val="FootnoteReference"/>
                      <w:sz w:val="18"/>
                    </w:rPr>
                    <w:footnoteReference w:id="23"/>
                  </w:r>
                </w:p>
              </w:tc>
            </w:tr>
            <w:tr w:rsidR="00E76F98" w:rsidRPr="00357FBC" w:rsidTr="00B02641">
              <w:tc>
                <w:tcPr>
                  <w:tcW w:w="1376" w:type="dxa"/>
                  <w:vAlign w:val="center"/>
                </w:tcPr>
                <w:p w:rsidR="00E76F98" w:rsidRPr="00357FBC" w:rsidRDefault="00E76F98" w:rsidP="00B02641">
                  <w:pPr>
                    <w:ind w:right="-29"/>
                    <w:jc w:val="center"/>
                    <w:rPr>
                      <w:sz w:val="18"/>
                    </w:rPr>
                  </w:pPr>
                  <w:r w:rsidRPr="00357FBC">
                    <w:rPr>
                      <w:sz w:val="18"/>
                    </w:rPr>
                    <w:t>- Αποτέλεσμα 1</w:t>
                  </w:r>
                </w:p>
              </w:tc>
              <w:tc>
                <w:tcPr>
                  <w:tcW w:w="1755" w:type="dxa"/>
                  <w:vAlign w:val="center"/>
                </w:tcPr>
                <w:p w:rsidR="00E76F98" w:rsidRPr="00357FBC" w:rsidRDefault="00E76F98" w:rsidP="00B02641">
                  <w:pPr>
                    <w:ind w:right="-29"/>
                    <w:jc w:val="center"/>
                    <w:rPr>
                      <w:sz w:val="18"/>
                      <w:szCs w:val="18"/>
                    </w:rPr>
                  </w:pPr>
                  <w:r w:rsidRPr="00357FBC">
                    <w:rPr>
                      <w:sz w:val="18"/>
                    </w:rPr>
                    <w:t>Εκταμιεύσεις επιχορήγησης</w:t>
                  </w:r>
                </w:p>
              </w:tc>
              <w:tc>
                <w:tcPr>
                  <w:tcW w:w="763" w:type="dxa"/>
                  <w:vAlign w:val="center"/>
                </w:tcPr>
                <w:p w:rsidR="00E76F98" w:rsidRPr="00357FBC" w:rsidRDefault="00E76F98" w:rsidP="00B02641">
                  <w:pPr>
                    <w:ind w:right="-29"/>
                    <w:jc w:val="center"/>
                    <w:rPr>
                      <w:sz w:val="18"/>
                    </w:rPr>
                  </w:pPr>
                </w:p>
              </w:tc>
              <w:tc>
                <w:tcPr>
                  <w:tcW w:w="706" w:type="dxa"/>
                  <w:gridSpan w:val="2"/>
                  <w:vAlign w:val="center"/>
                </w:tcPr>
                <w:p w:rsidR="00E76F98" w:rsidRPr="00357FBC" w:rsidRDefault="00E76F98" w:rsidP="00B02641">
                  <w:pPr>
                    <w:ind w:right="-29"/>
                    <w:jc w:val="center"/>
                    <w:rPr>
                      <w:sz w:val="18"/>
                    </w:rPr>
                  </w:pPr>
                </w:p>
              </w:tc>
              <w:tc>
                <w:tcPr>
                  <w:tcW w:w="784" w:type="dxa"/>
                  <w:gridSpan w:val="2"/>
                  <w:vAlign w:val="center"/>
                </w:tcPr>
                <w:p w:rsidR="00E76F98" w:rsidRPr="00357FBC" w:rsidRDefault="00E76F98" w:rsidP="00B02641">
                  <w:pPr>
                    <w:ind w:right="-29"/>
                    <w:jc w:val="center"/>
                    <w:rPr>
                      <w:sz w:val="18"/>
                    </w:rPr>
                  </w:pPr>
                  <w:r w:rsidRPr="00357FBC">
                    <w:rPr>
                      <w:sz w:val="18"/>
                    </w:rPr>
                    <w:t>2</w:t>
                  </w:r>
                </w:p>
              </w:tc>
              <w:tc>
                <w:tcPr>
                  <w:tcW w:w="686" w:type="dxa"/>
                  <w:vAlign w:val="center"/>
                </w:tcPr>
                <w:p w:rsidR="00E76F98" w:rsidRPr="00357FBC" w:rsidRDefault="00E76F98" w:rsidP="00B02641">
                  <w:pPr>
                    <w:ind w:right="-29"/>
                    <w:jc w:val="center"/>
                    <w:rPr>
                      <w:sz w:val="18"/>
                    </w:rPr>
                  </w:pPr>
                  <w:r w:rsidRPr="00357FBC">
                    <w:rPr>
                      <w:sz w:val="18"/>
                    </w:rPr>
                    <w:t>10</w:t>
                  </w:r>
                </w:p>
              </w:tc>
              <w:tc>
                <w:tcPr>
                  <w:tcW w:w="763" w:type="dxa"/>
                  <w:vAlign w:val="center"/>
                </w:tcPr>
                <w:p w:rsidR="00E76F98" w:rsidRPr="00357FBC" w:rsidRDefault="00E76F98" w:rsidP="00B02641">
                  <w:pPr>
                    <w:ind w:right="-29"/>
                    <w:jc w:val="center"/>
                    <w:rPr>
                      <w:sz w:val="18"/>
                    </w:rPr>
                  </w:pPr>
                </w:p>
              </w:tc>
              <w:tc>
                <w:tcPr>
                  <w:tcW w:w="702" w:type="dxa"/>
                  <w:gridSpan w:val="2"/>
                  <w:vAlign w:val="center"/>
                </w:tcPr>
                <w:p w:rsidR="00E76F98" w:rsidRPr="00357FBC" w:rsidRDefault="00E76F98" w:rsidP="00B02641">
                  <w:pPr>
                    <w:ind w:right="-29"/>
                    <w:jc w:val="center"/>
                    <w:rPr>
                      <w:sz w:val="18"/>
                    </w:rPr>
                  </w:pPr>
                </w:p>
              </w:tc>
              <w:tc>
                <w:tcPr>
                  <w:tcW w:w="795" w:type="dxa"/>
                  <w:gridSpan w:val="2"/>
                  <w:vAlign w:val="center"/>
                </w:tcPr>
                <w:p w:rsidR="00E76F98" w:rsidRPr="00357FBC" w:rsidRDefault="00E76F98" w:rsidP="00B02641">
                  <w:pPr>
                    <w:ind w:right="-29"/>
                    <w:jc w:val="center"/>
                    <w:rPr>
                      <w:sz w:val="18"/>
                    </w:rPr>
                  </w:pPr>
                </w:p>
              </w:tc>
              <w:tc>
                <w:tcPr>
                  <w:tcW w:w="667" w:type="dxa"/>
                  <w:vAlign w:val="center"/>
                </w:tcPr>
                <w:p w:rsidR="00E76F98" w:rsidRPr="00357FBC" w:rsidRDefault="00E76F98" w:rsidP="00B02641">
                  <w:pPr>
                    <w:ind w:right="-29"/>
                    <w:jc w:val="center"/>
                    <w:rPr>
                      <w:sz w:val="18"/>
                    </w:rPr>
                  </w:pPr>
                </w:p>
              </w:tc>
              <w:tc>
                <w:tcPr>
                  <w:tcW w:w="777" w:type="dxa"/>
                  <w:vAlign w:val="center"/>
                </w:tcPr>
                <w:p w:rsidR="00E76F98" w:rsidRPr="00357FBC" w:rsidRDefault="00E76F98" w:rsidP="00B02641">
                  <w:pPr>
                    <w:ind w:right="-29"/>
                    <w:jc w:val="center"/>
                    <w:rPr>
                      <w:sz w:val="18"/>
                    </w:rPr>
                  </w:pPr>
                </w:p>
              </w:tc>
              <w:tc>
                <w:tcPr>
                  <w:tcW w:w="727" w:type="dxa"/>
                  <w:vAlign w:val="center"/>
                </w:tcPr>
                <w:p w:rsidR="00E76F98" w:rsidRPr="00357FBC" w:rsidRDefault="00E76F98" w:rsidP="00B02641">
                  <w:pPr>
                    <w:ind w:right="-29"/>
                    <w:jc w:val="center"/>
                    <w:rPr>
                      <w:sz w:val="18"/>
                    </w:rPr>
                  </w:pPr>
                </w:p>
              </w:tc>
              <w:tc>
                <w:tcPr>
                  <w:tcW w:w="1325" w:type="dxa"/>
                  <w:vAlign w:val="center"/>
                </w:tcPr>
                <w:p w:rsidR="00E76F98" w:rsidRPr="00357FBC" w:rsidRDefault="00E76F98" w:rsidP="00B02641">
                  <w:pPr>
                    <w:ind w:right="-29"/>
                    <w:jc w:val="center"/>
                    <w:rPr>
                      <w:sz w:val="18"/>
                    </w:rPr>
                  </w:pPr>
                  <w:r w:rsidRPr="00357FBC">
                    <w:rPr>
                      <w:sz w:val="18"/>
                    </w:rPr>
                    <w:t>2</w:t>
                  </w:r>
                </w:p>
              </w:tc>
              <w:tc>
                <w:tcPr>
                  <w:tcW w:w="1325" w:type="dxa"/>
                  <w:vAlign w:val="center"/>
                </w:tcPr>
                <w:p w:rsidR="00E76F98" w:rsidRPr="00357FBC" w:rsidRDefault="00E76F98" w:rsidP="00B02641">
                  <w:pPr>
                    <w:ind w:right="-29"/>
                    <w:jc w:val="center"/>
                    <w:rPr>
                      <w:sz w:val="18"/>
                    </w:rPr>
                  </w:pPr>
                  <w:r w:rsidRPr="00357FBC">
                    <w:rPr>
                      <w:sz w:val="18"/>
                    </w:rPr>
                    <w:t>10</w:t>
                  </w:r>
                </w:p>
              </w:tc>
            </w:tr>
            <w:tr w:rsidR="00E76F98" w:rsidRPr="00357FBC" w:rsidTr="00B02641">
              <w:tc>
                <w:tcPr>
                  <w:tcW w:w="1376" w:type="dxa"/>
                  <w:vAlign w:val="center"/>
                </w:tcPr>
                <w:p w:rsidR="00E76F98" w:rsidRPr="00357FBC" w:rsidRDefault="00E76F98" w:rsidP="00B02641">
                  <w:pPr>
                    <w:ind w:right="-29"/>
                    <w:jc w:val="center"/>
                    <w:rPr>
                      <w:sz w:val="18"/>
                    </w:rPr>
                  </w:pPr>
                  <w:r w:rsidRPr="00357FBC">
                    <w:rPr>
                      <w:sz w:val="18"/>
                    </w:rPr>
                    <w:t>- Αποτέλεσμα 2</w:t>
                  </w:r>
                </w:p>
              </w:tc>
              <w:tc>
                <w:tcPr>
                  <w:tcW w:w="1755" w:type="dxa"/>
                  <w:vAlign w:val="center"/>
                </w:tcPr>
                <w:p w:rsidR="00E76F98" w:rsidRPr="00357FBC" w:rsidRDefault="00E76F98" w:rsidP="00B02641">
                  <w:pPr>
                    <w:ind w:right="-29"/>
                    <w:jc w:val="center"/>
                    <w:rPr>
                      <w:sz w:val="18"/>
                    </w:rPr>
                  </w:pPr>
                  <w:r w:rsidRPr="00357FBC">
                    <w:rPr>
                      <w:sz w:val="18"/>
                    </w:rPr>
                    <w:t>Τροφοδότηση του Ταμείου Εγγυήσεων</w:t>
                  </w:r>
                </w:p>
              </w:tc>
              <w:tc>
                <w:tcPr>
                  <w:tcW w:w="763" w:type="dxa"/>
                  <w:vAlign w:val="center"/>
                </w:tcPr>
                <w:p w:rsidR="00E76F98" w:rsidRPr="00357FBC" w:rsidRDefault="00E76F98" w:rsidP="00B02641">
                  <w:pPr>
                    <w:ind w:right="-29"/>
                    <w:jc w:val="center"/>
                    <w:rPr>
                      <w:sz w:val="18"/>
                    </w:rPr>
                  </w:pPr>
                </w:p>
              </w:tc>
              <w:tc>
                <w:tcPr>
                  <w:tcW w:w="706" w:type="dxa"/>
                  <w:gridSpan w:val="2"/>
                  <w:vAlign w:val="center"/>
                </w:tcPr>
                <w:p w:rsidR="00E76F98" w:rsidRPr="00357FBC" w:rsidRDefault="00E76F98" w:rsidP="00B02641">
                  <w:pPr>
                    <w:ind w:right="-29"/>
                    <w:jc w:val="center"/>
                    <w:rPr>
                      <w:sz w:val="18"/>
                    </w:rPr>
                  </w:pPr>
                </w:p>
              </w:tc>
              <w:tc>
                <w:tcPr>
                  <w:tcW w:w="784" w:type="dxa"/>
                  <w:gridSpan w:val="2"/>
                  <w:vAlign w:val="center"/>
                </w:tcPr>
                <w:p w:rsidR="00E76F98" w:rsidRPr="00357FBC" w:rsidRDefault="00E76F98" w:rsidP="00B02641">
                  <w:pPr>
                    <w:ind w:right="-29"/>
                    <w:jc w:val="center"/>
                    <w:rPr>
                      <w:sz w:val="18"/>
                    </w:rPr>
                  </w:pPr>
                </w:p>
              </w:tc>
              <w:tc>
                <w:tcPr>
                  <w:tcW w:w="686" w:type="dxa"/>
                  <w:vAlign w:val="center"/>
                </w:tcPr>
                <w:p w:rsidR="00E76F98" w:rsidRPr="00357FBC" w:rsidRDefault="00E76F98" w:rsidP="00B02641">
                  <w:pPr>
                    <w:ind w:right="-29"/>
                    <w:jc w:val="center"/>
                    <w:rPr>
                      <w:sz w:val="18"/>
                    </w:rPr>
                  </w:pPr>
                </w:p>
              </w:tc>
              <w:tc>
                <w:tcPr>
                  <w:tcW w:w="763" w:type="dxa"/>
                  <w:vAlign w:val="center"/>
                </w:tcPr>
                <w:p w:rsidR="00E76F98" w:rsidRPr="00357FBC" w:rsidRDefault="00E76F98" w:rsidP="00B02641">
                  <w:pPr>
                    <w:ind w:right="-29"/>
                    <w:jc w:val="center"/>
                    <w:rPr>
                      <w:sz w:val="18"/>
                    </w:rPr>
                  </w:pPr>
                </w:p>
              </w:tc>
              <w:tc>
                <w:tcPr>
                  <w:tcW w:w="702" w:type="dxa"/>
                  <w:gridSpan w:val="2"/>
                  <w:vAlign w:val="center"/>
                </w:tcPr>
                <w:p w:rsidR="00E76F98" w:rsidRPr="00357FBC" w:rsidRDefault="00E76F98" w:rsidP="00B02641">
                  <w:pPr>
                    <w:ind w:right="-29"/>
                    <w:jc w:val="center"/>
                    <w:rPr>
                      <w:sz w:val="18"/>
                    </w:rPr>
                  </w:pPr>
                </w:p>
              </w:tc>
              <w:tc>
                <w:tcPr>
                  <w:tcW w:w="795" w:type="dxa"/>
                  <w:gridSpan w:val="2"/>
                  <w:vAlign w:val="center"/>
                </w:tcPr>
                <w:p w:rsidR="00E76F98" w:rsidRPr="00357FBC" w:rsidRDefault="00E76F98" w:rsidP="00B02641">
                  <w:pPr>
                    <w:ind w:right="-29"/>
                    <w:jc w:val="center"/>
                    <w:rPr>
                      <w:sz w:val="18"/>
                    </w:rPr>
                  </w:pPr>
                  <w:r w:rsidRPr="00357FBC">
                    <w:rPr>
                      <w:sz w:val="18"/>
                    </w:rPr>
                    <w:t>1</w:t>
                  </w:r>
                </w:p>
              </w:tc>
              <w:tc>
                <w:tcPr>
                  <w:tcW w:w="667" w:type="dxa"/>
                  <w:vAlign w:val="center"/>
                </w:tcPr>
                <w:p w:rsidR="00E76F98" w:rsidRPr="00357FBC" w:rsidRDefault="00E76F98" w:rsidP="00B02641">
                  <w:pPr>
                    <w:ind w:right="-29"/>
                    <w:jc w:val="center"/>
                    <w:rPr>
                      <w:sz w:val="18"/>
                    </w:rPr>
                  </w:pPr>
                  <w:r w:rsidRPr="00357FBC">
                    <w:rPr>
                      <w:sz w:val="18"/>
                    </w:rPr>
                    <w:t>3,15</w:t>
                  </w:r>
                </w:p>
              </w:tc>
              <w:tc>
                <w:tcPr>
                  <w:tcW w:w="777" w:type="dxa"/>
                  <w:vAlign w:val="center"/>
                </w:tcPr>
                <w:p w:rsidR="00E76F98" w:rsidRPr="00357FBC" w:rsidRDefault="00E76F98" w:rsidP="00B02641">
                  <w:pPr>
                    <w:ind w:right="-29"/>
                    <w:jc w:val="center"/>
                    <w:rPr>
                      <w:sz w:val="18"/>
                    </w:rPr>
                  </w:pPr>
                </w:p>
              </w:tc>
              <w:tc>
                <w:tcPr>
                  <w:tcW w:w="727" w:type="dxa"/>
                  <w:vAlign w:val="center"/>
                </w:tcPr>
                <w:p w:rsidR="00E76F98" w:rsidRPr="00357FBC" w:rsidRDefault="00E76F98" w:rsidP="00B02641">
                  <w:pPr>
                    <w:ind w:right="-29"/>
                    <w:jc w:val="center"/>
                    <w:rPr>
                      <w:sz w:val="18"/>
                    </w:rPr>
                  </w:pPr>
                </w:p>
              </w:tc>
              <w:tc>
                <w:tcPr>
                  <w:tcW w:w="1325" w:type="dxa"/>
                  <w:vAlign w:val="center"/>
                </w:tcPr>
                <w:p w:rsidR="00E76F98" w:rsidRPr="00357FBC" w:rsidRDefault="00E76F98" w:rsidP="00B02641">
                  <w:pPr>
                    <w:ind w:right="-29"/>
                    <w:jc w:val="center"/>
                    <w:rPr>
                      <w:sz w:val="18"/>
                    </w:rPr>
                  </w:pPr>
                  <w:r w:rsidRPr="00357FBC">
                    <w:rPr>
                      <w:sz w:val="18"/>
                    </w:rPr>
                    <w:t>1</w:t>
                  </w:r>
                </w:p>
              </w:tc>
              <w:tc>
                <w:tcPr>
                  <w:tcW w:w="1325" w:type="dxa"/>
                  <w:vAlign w:val="center"/>
                </w:tcPr>
                <w:p w:rsidR="00E76F98" w:rsidRPr="00357FBC" w:rsidRDefault="00E76F98" w:rsidP="00B02641">
                  <w:pPr>
                    <w:ind w:right="-29"/>
                    <w:jc w:val="center"/>
                    <w:rPr>
                      <w:sz w:val="18"/>
                    </w:rPr>
                  </w:pPr>
                  <w:r w:rsidRPr="00357FBC">
                    <w:rPr>
                      <w:sz w:val="18"/>
                    </w:rPr>
                    <w:t>3,15</w:t>
                  </w:r>
                </w:p>
              </w:tc>
            </w:tr>
            <w:tr w:rsidR="00D46FEF" w:rsidRPr="00357FBC" w:rsidTr="00B02641">
              <w:tc>
                <w:tcPr>
                  <w:tcW w:w="1376" w:type="dxa"/>
                  <w:vAlign w:val="center"/>
                </w:tcPr>
                <w:p w:rsidR="00D46FEF" w:rsidRPr="00357FBC" w:rsidRDefault="00D46FEF" w:rsidP="00B02641">
                  <w:pPr>
                    <w:ind w:right="-29"/>
                    <w:jc w:val="center"/>
                    <w:rPr>
                      <w:sz w:val="18"/>
                    </w:rPr>
                  </w:pPr>
                  <w:r w:rsidRPr="00357FBC">
                    <w:rPr>
                      <w:sz w:val="18"/>
                    </w:rPr>
                    <w:t>- Αποτέλεσμα 3</w:t>
                  </w:r>
                </w:p>
              </w:tc>
              <w:tc>
                <w:tcPr>
                  <w:tcW w:w="1755" w:type="dxa"/>
                  <w:vAlign w:val="center"/>
                </w:tcPr>
                <w:p w:rsidR="00D46FEF" w:rsidRPr="00357FBC" w:rsidRDefault="00D46FEF" w:rsidP="00B02641">
                  <w:pPr>
                    <w:ind w:right="-29"/>
                    <w:jc w:val="center"/>
                    <w:rPr>
                      <w:sz w:val="18"/>
                      <w:szCs w:val="18"/>
                    </w:rPr>
                  </w:pPr>
                  <w:r w:rsidRPr="00357FBC">
                    <w:rPr>
                      <w:sz w:val="18"/>
                    </w:rPr>
                    <w:t>Επιχειρησιακή αξιολόγηση</w:t>
                  </w:r>
                </w:p>
              </w:tc>
              <w:tc>
                <w:tcPr>
                  <w:tcW w:w="763" w:type="dxa"/>
                  <w:vAlign w:val="center"/>
                </w:tcPr>
                <w:p w:rsidR="00D46FEF" w:rsidRPr="00357FBC" w:rsidRDefault="009E35CF" w:rsidP="00B02641">
                  <w:pPr>
                    <w:ind w:right="-29"/>
                    <w:jc w:val="center"/>
                    <w:rPr>
                      <w:sz w:val="18"/>
                    </w:rPr>
                  </w:pPr>
                  <w:r w:rsidRPr="00357FBC">
                    <w:rPr>
                      <w:sz w:val="18"/>
                    </w:rPr>
                    <w:t>1</w:t>
                  </w:r>
                </w:p>
              </w:tc>
              <w:tc>
                <w:tcPr>
                  <w:tcW w:w="706" w:type="dxa"/>
                  <w:gridSpan w:val="2"/>
                  <w:vAlign w:val="center"/>
                </w:tcPr>
                <w:p w:rsidR="00D46FEF" w:rsidRPr="00357FBC" w:rsidRDefault="00D46FEF" w:rsidP="00B02641">
                  <w:pPr>
                    <w:ind w:right="-29"/>
                    <w:jc w:val="center"/>
                    <w:rPr>
                      <w:sz w:val="18"/>
                    </w:rPr>
                  </w:pPr>
                  <w:r w:rsidRPr="00357FBC">
                    <w:rPr>
                      <w:sz w:val="18"/>
                    </w:rPr>
                    <w:t>0,07</w:t>
                  </w:r>
                </w:p>
              </w:tc>
              <w:tc>
                <w:tcPr>
                  <w:tcW w:w="784" w:type="dxa"/>
                  <w:gridSpan w:val="2"/>
                  <w:vAlign w:val="center"/>
                </w:tcPr>
                <w:p w:rsidR="00D46FEF" w:rsidRPr="00357FBC" w:rsidRDefault="00D46FEF" w:rsidP="00B02641">
                  <w:pPr>
                    <w:ind w:right="-29"/>
                    <w:jc w:val="center"/>
                    <w:rPr>
                      <w:sz w:val="18"/>
                    </w:rPr>
                  </w:pPr>
                </w:p>
              </w:tc>
              <w:tc>
                <w:tcPr>
                  <w:tcW w:w="686" w:type="dxa"/>
                  <w:vAlign w:val="center"/>
                </w:tcPr>
                <w:p w:rsidR="00D46FEF" w:rsidRPr="00357FBC" w:rsidRDefault="00D46FEF" w:rsidP="00B02641">
                  <w:pPr>
                    <w:ind w:right="-29"/>
                    <w:jc w:val="center"/>
                    <w:rPr>
                      <w:sz w:val="18"/>
                    </w:rPr>
                  </w:pPr>
                </w:p>
              </w:tc>
              <w:tc>
                <w:tcPr>
                  <w:tcW w:w="763" w:type="dxa"/>
                  <w:vAlign w:val="center"/>
                </w:tcPr>
                <w:p w:rsidR="00D46FEF" w:rsidRPr="00357FBC" w:rsidRDefault="00D46FEF" w:rsidP="00B02641">
                  <w:pPr>
                    <w:ind w:right="-29"/>
                    <w:jc w:val="center"/>
                    <w:rPr>
                      <w:sz w:val="18"/>
                    </w:rPr>
                  </w:pPr>
                </w:p>
              </w:tc>
              <w:tc>
                <w:tcPr>
                  <w:tcW w:w="702" w:type="dxa"/>
                  <w:gridSpan w:val="2"/>
                  <w:vAlign w:val="center"/>
                </w:tcPr>
                <w:p w:rsidR="00D46FEF" w:rsidRPr="00357FBC" w:rsidRDefault="00D46FEF" w:rsidP="00B02641">
                  <w:pPr>
                    <w:ind w:right="-29"/>
                    <w:jc w:val="center"/>
                    <w:rPr>
                      <w:sz w:val="18"/>
                    </w:rPr>
                  </w:pPr>
                </w:p>
              </w:tc>
              <w:tc>
                <w:tcPr>
                  <w:tcW w:w="795" w:type="dxa"/>
                  <w:gridSpan w:val="2"/>
                  <w:vAlign w:val="center"/>
                </w:tcPr>
                <w:p w:rsidR="00D46FEF" w:rsidRPr="00357FBC" w:rsidRDefault="00D46FEF" w:rsidP="00B02641">
                  <w:pPr>
                    <w:ind w:right="-29"/>
                    <w:jc w:val="center"/>
                    <w:rPr>
                      <w:sz w:val="18"/>
                    </w:rPr>
                  </w:pPr>
                </w:p>
              </w:tc>
              <w:tc>
                <w:tcPr>
                  <w:tcW w:w="667" w:type="dxa"/>
                  <w:vAlign w:val="center"/>
                </w:tcPr>
                <w:p w:rsidR="00D46FEF" w:rsidRPr="00357FBC" w:rsidRDefault="00D46FEF" w:rsidP="00B02641">
                  <w:pPr>
                    <w:ind w:right="-29"/>
                    <w:jc w:val="center"/>
                    <w:rPr>
                      <w:sz w:val="18"/>
                    </w:rPr>
                  </w:pPr>
                </w:p>
              </w:tc>
              <w:tc>
                <w:tcPr>
                  <w:tcW w:w="777" w:type="dxa"/>
                  <w:vAlign w:val="center"/>
                </w:tcPr>
                <w:p w:rsidR="00D46FEF" w:rsidRPr="00357FBC" w:rsidRDefault="00D46FEF" w:rsidP="00B02641">
                  <w:pPr>
                    <w:ind w:right="-29"/>
                    <w:jc w:val="center"/>
                    <w:rPr>
                      <w:sz w:val="18"/>
                    </w:rPr>
                  </w:pPr>
                </w:p>
              </w:tc>
              <w:tc>
                <w:tcPr>
                  <w:tcW w:w="727" w:type="dxa"/>
                  <w:vAlign w:val="center"/>
                </w:tcPr>
                <w:p w:rsidR="00D46FEF" w:rsidRPr="00357FBC" w:rsidRDefault="00D46FEF" w:rsidP="00B02641">
                  <w:pPr>
                    <w:ind w:right="-29"/>
                    <w:jc w:val="center"/>
                    <w:rPr>
                      <w:sz w:val="18"/>
                    </w:rPr>
                  </w:pPr>
                </w:p>
              </w:tc>
              <w:tc>
                <w:tcPr>
                  <w:tcW w:w="1325" w:type="dxa"/>
                  <w:vAlign w:val="center"/>
                </w:tcPr>
                <w:p w:rsidR="00D46FEF" w:rsidRPr="00357FBC" w:rsidRDefault="00D46FEF" w:rsidP="00B02641">
                  <w:pPr>
                    <w:ind w:right="-29"/>
                    <w:jc w:val="center"/>
                    <w:rPr>
                      <w:sz w:val="18"/>
                    </w:rPr>
                  </w:pPr>
                </w:p>
              </w:tc>
              <w:tc>
                <w:tcPr>
                  <w:tcW w:w="1325" w:type="dxa"/>
                  <w:vAlign w:val="center"/>
                </w:tcPr>
                <w:p w:rsidR="00D46FEF" w:rsidRPr="00357FBC" w:rsidRDefault="00D46FEF" w:rsidP="00B02641">
                  <w:pPr>
                    <w:ind w:right="-29"/>
                    <w:jc w:val="center"/>
                    <w:rPr>
                      <w:sz w:val="18"/>
                    </w:rPr>
                  </w:pPr>
                  <w:r w:rsidRPr="00357FBC">
                    <w:rPr>
                      <w:sz w:val="18"/>
                    </w:rPr>
                    <w:t>0,07</w:t>
                  </w:r>
                </w:p>
              </w:tc>
            </w:tr>
            <w:tr w:rsidR="00E76F98" w:rsidRPr="00357FBC" w:rsidTr="00B02641">
              <w:tc>
                <w:tcPr>
                  <w:tcW w:w="1376" w:type="dxa"/>
                  <w:vAlign w:val="center"/>
                </w:tcPr>
                <w:p w:rsidR="00E76F98" w:rsidRPr="00357FBC" w:rsidRDefault="00E76F98" w:rsidP="00B02641">
                  <w:pPr>
                    <w:ind w:right="-29"/>
                    <w:jc w:val="center"/>
                    <w:rPr>
                      <w:sz w:val="18"/>
                    </w:rPr>
                  </w:pPr>
                  <w:r w:rsidRPr="00357FBC">
                    <w:rPr>
                      <w:sz w:val="18"/>
                    </w:rPr>
                    <w:t>- Αποτέλεσμα 4</w:t>
                  </w:r>
                </w:p>
              </w:tc>
              <w:tc>
                <w:tcPr>
                  <w:tcW w:w="1755" w:type="dxa"/>
                  <w:vAlign w:val="center"/>
                </w:tcPr>
                <w:p w:rsidR="00E76F98" w:rsidRPr="00357FBC" w:rsidRDefault="00E76F98" w:rsidP="00B02641">
                  <w:pPr>
                    <w:ind w:right="-29"/>
                    <w:jc w:val="center"/>
                    <w:rPr>
                      <w:sz w:val="18"/>
                    </w:rPr>
                  </w:pPr>
                  <w:r w:rsidRPr="00357FBC">
                    <w:rPr>
                      <w:sz w:val="18"/>
                    </w:rPr>
                    <w:t>Εκ των υστέρων αξιολόγηση</w:t>
                  </w:r>
                </w:p>
              </w:tc>
              <w:tc>
                <w:tcPr>
                  <w:tcW w:w="763" w:type="dxa"/>
                  <w:vAlign w:val="center"/>
                </w:tcPr>
                <w:p w:rsidR="00E76F98" w:rsidRPr="00357FBC" w:rsidRDefault="00E76F98" w:rsidP="00B02641">
                  <w:pPr>
                    <w:ind w:right="-29"/>
                    <w:jc w:val="center"/>
                    <w:rPr>
                      <w:sz w:val="18"/>
                    </w:rPr>
                  </w:pPr>
                </w:p>
              </w:tc>
              <w:tc>
                <w:tcPr>
                  <w:tcW w:w="706" w:type="dxa"/>
                  <w:gridSpan w:val="2"/>
                  <w:vAlign w:val="center"/>
                </w:tcPr>
                <w:p w:rsidR="00E76F98" w:rsidRPr="00357FBC" w:rsidRDefault="00E76F98" w:rsidP="00B02641">
                  <w:pPr>
                    <w:ind w:right="-29"/>
                    <w:jc w:val="center"/>
                    <w:rPr>
                      <w:sz w:val="18"/>
                    </w:rPr>
                  </w:pPr>
                </w:p>
              </w:tc>
              <w:tc>
                <w:tcPr>
                  <w:tcW w:w="784" w:type="dxa"/>
                  <w:gridSpan w:val="2"/>
                  <w:vAlign w:val="center"/>
                </w:tcPr>
                <w:p w:rsidR="00E76F98" w:rsidRPr="00357FBC" w:rsidRDefault="00E76F98" w:rsidP="00B02641">
                  <w:pPr>
                    <w:ind w:right="-29"/>
                    <w:jc w:val="center"/>
                    <w:rPr>
                      <w:sz w:val="18"/>
                    </w:rPr>
                  </w:pPr>
                </w:p>
              </w:tc>
              <w:tc>
                <w:tcPr>
                  <w:tcW w:w="686" w:type="dxa"/>
                  <w:vAlign w:val="center"/>
                </w:tcPr>
                <w:p w:rsidR="00E76F98" w:rsidRPr="00357FBC" w:rsidRDefault="00E76F98" w:rsidP="00B02641">
                  <w:pPr>
                    <w:ind w:right="-29"/>
                    <w:jc w:val="center"/>
                    <w:rPr>
                      <w:sz w:val="18"/>
                    </w:rPr>
                  </w:pPr>
                </w:p>
              </w:tc>
              <w:tc>
                <w:tcPr>
                  <w:tcW w:w="763" w:type="dxa"/>
                  <w:vAlign w:val="center"/>
                </w:tcPr>
                <w:p w:rsidR="00E76F98" w:rsidRPr="00357FBC" w:rsidRDefault="00E76F98" w:rsidP="00B02641">
                  <w:pPr>
                    <w:ind w:right="-29"/>
                    <w:jc w:val="center"/>
                    <w:rPr>
                      <w:sz w:val="18"/>
                    </w:rPr>
                  </w:pPr>
                </w:p>
              </w:tc>
              <w:tc>
                <w:tcPr>
                  <w:tcW w:w="702" w:type="dxa"/>
                  <w:gridSpan w:val="2"/>
                  <w:vAlign w:val="center"/>
                </w:tcPr>
                <w:p w:rsidR="00E76F98" w:rsidRPr="00357FBC" w:rsidRDefault="00E76F98" w:rsidP="00B02641">
                  <w:pPr>
                    <w:ind w:right="-29"/>
                    <w:jc w:val="center"/>
                    <w:rPr>
                      <w:sz w:val="18"/>
                    </w:rPr>
                  </w:pPr>
                </w:p>
              </w:tc>
              <w:tc>
                <w:tcPr>
                  <w:tcW w:w="795" w:type="dxa"/>
                  <w:gridSpan w:val="2"/>
                  <w:vAlign w:val="center"/>
                </w:tcPr>
                <w:p w:rsidR="00E76F98" w:rsidRPr="00357FBC" w:rsidRDefault="00E76F98" w:rsidP="00B02641">
                  <w:pPr>
                    <w:ind w:right="-29"/>
                    <w:jc w:val="center"/>
                    <w:rPr>
                      <w:sz w:val="18"/>
                    </w:rPr>
                  </w:pPr>
                  <w:r w:rsidRPr="00357FBC">
                    <w:rPr>
                      <w:sz w:val="18"/>
                    </w:rPr>
                    <w:t>1</w:t>
                  </w:r>
                </w:p>
              </w:tc>
              <w:tc>
                <w:tcPr>
                  <w:tcW w:w="667" w:type="dxa"/>
                  <w:vAlign w:val="center"/>
                </w:tcPr>
                <w:p w:rsidR="00E76F98" w:rsidRPr="00357FBC" w:rsidRDefault="00E76F98" w:rsidP="00B02641">
                  <w:pPr>
                    <w:ind w:right="-29"/>
                    <w:jc w:val="center"/>
                    <w:rPr>
                      <w:sz w:val="18"/>
                    </w:rPr>
                  </w:pPr>
                  <w:r w:rsidRPr="00357FBC">
                    <w:rPr>
                      <w:sz w:val="18"/>
                    </w:rPr>
                    <w:t>0,15</w:t>
                  </w:r>
                </w:p>
              </w:tc>
              <w:tc>
                <w:tcPr>
                  <w:tcW w:w="777" w:type="dxa"/>
                  <w:vAlign w:val="center"/>
                </w:tcPr>
                <w:p w:rsidR="00E76F98" w:rsidRPr="00357FBC" w:rsidRDefault="00E76F98" w:rsidP="00B02641">
                  <w:pPr>
                    <w:ind w:right="-29"/>
                    <w:jc w:val="center"/>
                    <w:rPr>
                      <w:sz w:val="18"/>
                    </w:rPr>
                  </w:pPr>
                </w:p>
              </w:tc>
              <w:tc>
                <w:tcPr>
                  <w:tcW w:w="727" w:type="dxa"/>
                  <w:vAlign w:val="center"/>
                </w:tcPr>
                <w:p w:rsidR="00E76F98" w:rsidRPr="00357FBC" w:rsidRDefault="00E76F98" w:rsidP="00B02641">
                  <w:pPr>
                    <w:ind w:right="-29"/>
                    <w:jc w:val="center"/>
                    <w:rPr>
                      <w:sz w:val="18"/>
                    </w:rPr>
                  </w:pPr>
                </w:p>
              </w:tc>
              <w:tc>
                <w:tcPr>
                  <w:tcW w:w="1325" w:type="dxa"/>
                  <w:vAlign w:val="center"/>
                </w:tcPr>
                <w:p w:rsidR="00E76F98" w:rsidRPr="00357FBC" w:rsidRDefault="00E76F98" w:rsidP="00B02641">
                  <w:pPr>
                    <w:ind w:right="-29"/>
                    <w:jc w:val="center"/>
                    <w:rPr>
                      <w:sz w:val="18"/>
                    </w:rPr>
                  </w:pPr>
                  <w:r w:rsidRPr="00357FBC">
                    <w:rPr>
                      <w:sz w:val="18"/>
                    </w:rPr>
                    <w:t>1</w:t>
                  </w:r>
                </w:p>
              </w:tc>
              <w:tc>
                <w:tcPr>
                  <w:tcW w:w="1325" w:type="dxa"/>
                  <w:vAlign w:val="center"/>
                </w:tcPr>
                <w:p w:rsidR="00E76F98" w:rsidRPr="00357FBC" w:rsidRDefault="00E76F98" w:rsidP="00B02641">
                  <w:pPr>
                    <w:ind w:right="-29"/>
                    <w:jc w:val="center"/>
                    <w:rPr>
                      <w:sz w:val="18"/>
                    </w:rPr>
                  </w:pPr>
                  <w:r w:rsidRPr="00357FBC">
                    <w:rPr>
                      <w:sz w:val="18"/>
                    </w:rPr>
                    <w:t>0,15</w:t>
                  </w:r>
                </w:p>
              </w:tc>
            </w:tr>
            <w:tr w:rsidR="00E76F98" w:rsidRPr="00357FBC" w:rsidTr="00B02641">
              <w:tc>
                <w:tcPr>
                  <w:tcW w:w="3131" w:type="dxa"/>
                  <w:gridSpan w:val="2"/>
                  <w:vAlign w:val="center"/>
                </w:tcPr>
                <w:p w:rsidR="00E76F98" w:rsidRPr="00357FBC" w:rsidRDefault="00E76F98" w:rsidP="00B02641">
                  <w:pPr>
                    <w:ind w:right="-29"/>
                    <w:jc w:val="center"/>
                    <w:rPr>
                      <w:sz w:val="18"/>
                    </w:rPr>
                  </w:pPr>
                  <w:r w:rsidRPr="00357FBC">
                    <w:rPr>
                      <w:sz w:val="18"/>
                    </w:rPr>
                    <w:t>Μερικό σύνολο για τον ειδικό στόχο αριθ. 1</w:t>
                  </w:r>
                </w:p>
              </w:tc>
              <w:tc>
                <w:tcPr>
                  <w:tcW w:w="763" w:type="dxa"/>
                  <w:vAlign w:val="center"/>
                </w:tcPr>
                <w:p w:rsidR="00E76F98" w:rsidRPr="00357FBC" w:rsidRDefault="00E76F98" w:rsidP="00B02641">
                  <w:pPr>
                    <w:ind w:right="-29"/>
                    <w:jc w:val="center"/>
                    <w:rPr>
                      <w:sz w:val="18"/>
                    </w:rPr>
                  </w:pPr>
                </w:p>
              </w:tc>
              <w:tc>
                <w:tcPr>
                  <w:tcW w:w="706" w:type="dxa"/>
                  <w:gridSpan w:val="2"/>
                  <w:vAlign w:val="center"/>
                </w:tcPr>
                <w:p w:rsidR="00E76F98" w:rsidRPr="00357FBC" w:rsidRDefault="00E76F98" w:rsidP="00B02641">
                  <w:pPr>
                    <w:ind w:right="-29"/>
                    <w:jc w:val="center"/>
                    <w:rPr>
                      <w:sz w:val="18"/>
                    </w:rPr>
                  </w:pPr>
                </w:p>
              </w:tc>
              <w:tc>
                <w:tcPr>
                  <w:tcW w:w="784" w:type="dxa"/>
                  <w:gridSpan w:val="2"/>
                  <w:vAlign w:val="center"/>
                </w:tcPr>
                <w:p w:rsidR="00E76F98" w:rsidRPr="00357FBC" w:rsidRDefault="00E76F98" w:rsidP="00B02641">
                  <w:pPr>
                    <w:ind w:right="-29"/>
                    <w:jc w:val="center"/>
                    <w:rPr>
                      <w:sz w:val="18"/>
                    </w:rPr>
                  </w:pPr>
                  <w:r w:rsidRPr="00357FBC">
                    <w:rPr>
                      <w:sz w:val="18"/>
                    </w:rPr>
                    <w:t>2</w:t>
                  </w:r>
                </w:p>
              </w:tc>
              <w:tc>
                <w:tcPr>
                  <w:tcW w:w="686" w:type="dxa"/>
                  <w:vAlign w:val="center"/>
                </w:tcPr>
                <w:p w:rsidR="00E76F98" w:rsidRPr="00357FBC" w:rsidRDefault="00E76F98" w:rsidP="00B02641">
                  <w:pPr>
                    <w:ind w:right="-29"/>
                    <w:jc w:val="center"/>
                    <w:rPr>
                      <w:sz w:val="18"/>
                    </w:rPr>
                  </w:pPr>
                  <w:r w:rsidRPr="00357FBC">
                    <w:rPr>
                      <w:sz w:val="18"/>
                    </w:rPr>
                    <w:t>10</w:t>
                  </w:r>
                </w:p>
              </w:tc>
              <w:tc>
                <w:tcPr>
                  <w:tcW w:w="763" w:type="dxa"/>
                  <w:vAlign w:val="center"/>
                </w:tcPr>
                <w:p w:rsidR="00E76F98" w:rsidRPr="00357FBC" w:rsidRDefault="00E76F98" w:rsidP="00B02641">
                  <w:pPr>
                    <w:ind w:right="-29"/>
                    <w:jc w:val="center"/>
                    <w:rPr>
                      <w:sz w:val="18"/>
                    </w:rPr>
                  </w:pPr>
                </w:p>
              </w:tc>
              <w:tc>
                <w:tcPr>
                  <w:tcW w:w="702" w:type="dxa"/>
                  <w:gridSpan w:val="2"/>
                  <w:vAlign w:val="center"/>
                </w:tcPr>
                <w:p w:rsidR="00E76F98" w:rsidRPr="00357FBC" w:rsidRDefault="00E76F98" w:rsidP="00B02641">
                  <w:pPr>
                    <w:ind w:right="-29"/>
                    <w:jc w:val="center"/>
                    <w:rPr>
                      <w:sz w:val="18"/>
                    </w:rPr>
                  </w:pPr>
                </w:p>
              </w:tc>
              <w:tc>
                <w:tcPr>
                  <w:tcW w:w="795" w:type="dxa"/>
                  <w:gridSpan w:val="2"/>
                  <w:vAlign w:val="center"/>
                </w:tcPr>
                <w:p w:rsidR="00E76F98" w:rsidRPr="00357FBC" w:rsidRDefault="00E76F98" w:rsidP="00B02641">
                  <w:pPr>
                    <w:ind w:right="-29"/>
                    <w:jc w:val="center"/>
                    <w:rPr>
                      <w:sz w:val="18"/>
                    </w:rPr>
                  </w:pPr>
                  <w:r w:rsidRPr="00357FBC">
                    <w:rPr>
                      <w:sz w:val="18"/>
                    </w:rPr>
                    <w:t>2</w:t>
                  </w:r>
                </w:p>
              </w:tc>
              <w:tc>
                <w:tcPr>
                  <w:tcW w:w="667" w:type="dxa"/>
                  <w:vAlign w:val="center"/>
                </w:tcPr>
                <w:p w:rsidR="00E76F98" w:rsidRPr="00357FBC" w:rsidRDefault="00E76F98" w:rsidP="00B02641">
                  <w:pPr>
                    <w:ind w:right="-29"/>
                    <w:jc w:val="center"/>
                    <w:rPr>
                      <w:sz w:val="18"/>
                    </w:rPr>
                  </w:pPr>
                  <w:r w:rsidRPr="00357FBC">
                    <w:rPr>
                      <w:sz w:val="18"/>
                    </w:rPr>
                    <w:t>3,3</w:t>
                  </w:r>
                </w:p>
              </w:tc>
              <w:tc>
                <w:tcPr>
                  <w:tcW w:w="777" w:type="dxa"/>
                  <w:vAlign w:val="center"/>
                </w:tcPr>
                <w:p w:rsidR="00E76F98" w:rsidRPr="00357FBC" w:rsidRDefault="00E76F98" w:rsidP="00B02641">
                  <w:pPr>
                    <w:ind w:right="-29"/>
                    <w:jc w:val="center"/>
                    <w:rPr>
                      <w:sz w:val="18"/>
                    </w:rPr>
                  </w:pPr>
                </w:p>
              </w:tc>
              <w:tc>
                <w:tcPr>
                  <w:tcW w:w="727" w:type="dxa"/>
                  <w:vAlign w:val="center"/>
                </w:tcPr>
                <w:p w:rsidR="00E76F98" w:rsidRPr="00357FBC" w:rsidRDefault="00E76F98" w:rsidP="00B02641">
                  <w:pPr>
                    <w:ind w:right="-29"/>
                    <w:jc w:val="center"/>
                    <w:rPr>
                      <w:sz w:val="18"/>
                    </w:rPr>
                  </w:pPr>
                </w:p>
              </w:tc>
              <w:tc>
                <w:tcPr>
                  <w:tcW w:w="1325" w:type="dxa"/>
                  <w:vAlign w:val="center"/>
                </w:tcPr>
                <w:p w:rsidR="00E76F98" w:rsidRPr="00357FBC" w:rsidRDefault="00E76F98" w:rsidP="00B02641">
                  <w:pPr>
                    <w:ind w:right="-29"/>
                    <w:jc w:val="center"/>
                    <w:rPr>
                      <w:sz w:val="18"/>
                    </w:rPr>
                  </w:pPr>
                  <w:r w:rsidRPr="00357FBC">
                    <w:rPr>
                      <w:sz w:val="18"/>
                    </w:rPr>
                    <w:t>5</w:t>
                  </w:r>
                </w:p>
              </w:tc>
              <w:tc>
                <w:tcPr>
                  <w:tcW w:w="1325" w:type="dxa"/>
                  <w:vAlign w:val="center"/>
                </w:tcPr>
                <w:p w:rsidR="00E76F98" w:rsidRPr="00357FBC" w:rsidRDefault="00E76F98" w:rsidP="00B02641">
                  <w:pPr>
                    <w:ind w:right="-29"/>
                    <w:jc w:val="center"/>
                    <w:rPr>
                      <w:sz w:val="18"/>
                    </w:rPr>
                  </w:pPr>
                  <w:r w:rsidRPr="00357FBC">
                    <w:rPr>
                      <w:sz w:val="18"/>
                    </w:rPr>
                    <w:t>13,37</w:t>
                  </w:r>
                </w:p>
              </w:tc>
            </w:tr>
            <w:tr w:rsidR="00E76F98" w:rsidRPr="00357FBC" w:rsidTr="00B02641">
              <w:tc>
                <w:tcPr>
                  <w:tcW w:w="3131" w:type="dxa"/>
                  <w:gridSpan w:val="2"/>
                  <w:vAlign w:val="center"/>
                </w:tcPr>
                <w:p w:rsidR="00E76F98" w:rsidRPr="00357FBC" w:rsidRDefault="00E76F98" w:rsidP="00B02641">
                  <w:pPr>
                    <w:ind w:right="-29"/>
                    <w:jc w:val="center"/>
                    <w:rPr>
                      <w:sz w:val="18"/>
                    </w:rPr>
                  </w:pPr>
                  <w:r w:rsidRPr="00357FBC">
                    <w:rPr>
                      <w:b/>
                      <w:sz w:val="18"/>
                    </w:rPr>
                    <w:t>ΣΥΝΟΛΙΚΟ ΚΟΣΤΟΣ</w:t>
                  </w:r>
                </w:p>
              </w:tc>
              <w:tc>
                <w:tcPr>
                  <w:tcW w:w="763" w:type="dxa"/>
                  <w:vAlign w:val="center"/>
                </w:tcPr>
                <w:p w:rsidR="00E76F98" w:rsidRPr="00357FBC" w:rsidRDefault="00E76F98" w:rsidP="00B02641">
                  <w:pPr>
                    <w:ind w:right="-29"/>
                    <w:jc w:val="center"/>
                    <w:rPr>
                      <w:sz w:val="18"/>
                    </w:rPr>
                  </w:pPr>
                </w:p>
              </w:tc>
              <w:tc>
                <w:tcPr>
                  <w:tcW w:w="706" w:type="dxa"/>
                  <w:gridSpan w:val="2"/>
                  <w:vAlign w:val="center"/>
                </w:tcPr>
                <w:p w:rsidR="00E76F98" w:rsidRPr="00357FBC" w:rsidRDefault="00E76F98" w:rsidP="00B02641">
                  <w:pPr>
                    <w:ind w:right="-29"/>
                    <w:jc w:val="center"/>
                    <w:rPr>
                      <w:sz w:val="18"/>
                    </w:rPr>
                  </w:pPr>
                </w:p>
              </w:tc>
              <w:tc>
                <w:tcPr>
                  <w:tcW w:w="784" w:type="dxa"/>
                  <w:gridSpan w:val="2"/>
                  <w:vAlign w:val="center"/>
                </w:tcPr>
                <w:p w:rsidR="00E76F98" w:rsidRPr="00357FBC" w:rsidRDefault="00E76F98" w:rsidP="00B02641">
                  <w:pPr>
                    <w:ind w:right="-29"/>
                    <w:jc w:val="center"/>
                    <w:rPr>
                      <w:sz w:val="18"/>
                    </w:rPr>
                  </w:pPr>
                  <w:r w:rsidRPr="00357FBC">
                    <w:rPr>
                      <w:sz w:val="18"/>
                    </w:rPr>
                    <w:t>2</w:t>
                  </w:r>
                </w:p>
              </w:tc>
              <w:tc>
                <w:tcPr>
                  <w:tcW w:w="686" w:type="dxa"/>
                  <w:vAlign w:val="center"/>
                </w:tcPr>
                <w:p w:rsidR="00E76F98" w:rsidRPr="00357FBC" w:rsidRDefault="00E76F98" w:rsidP="00B02641">
                  <w:pPr>
                    <w:ind w:right="-29"/>
                    <w:jc w:val="center"/>
                    <w:rPr>
                      <w:sz w:val="18"/>
                    </w:rPr>
                  </w:pPr>
                  <w:r w:rsidRPr="00357FBC">
                    <w:rPr>
                      <w:sz w:val="18"/>
                    </w:rPr>
                    <w:t>10</w:t>
                  </w:r>
                </w:p>
              </w:tc>
              <w:tc>
                <w:tcPr>
                  <w:tcW w:w="763" w:type="dxa"/>
                  <w:vAlign w:val="center"/>
                </w:tcPr>
                <w:p w:rsidR="00E76F98" w:rsidRPr="00357FBC" w:rsidRDefault="00E76F98" w:rsidP="00B02641">
                  <w:pPr>
                    <w:ind w:right="-29"/>
                    <w:jc w:val="center"/>
                    <w:rPr>
                      <w:sz w:val="18"/>
                    </w:rPr>
                  </w:pPr>
                </w:p>
              </w:tc>
              <w:tc>
                <w:tcPr>
                  <w:tcW w:w="702" w:type="dxa"/>
                  <w:gridSpan w:val="2"/>
                  <w:vAlign w:val="center"/>
                </w:tcPr>
                <w:p w:rsidR="00E76F98" w:rsidRPr="00357FBC" w:rsidRDefault="00E76F98" w:rsidP="00B02641">
                  <w:pPr>
                    <w:ind w:right="-29"/>
                    <w:jc w:val="center"/>
                    <w:rPr>
                      <w:sz w:val="18"/>
                    </w:rPr>
                  </w:pPr>
                </w:p>
              </w:tc>
              <w:tc>
                <w:tcPr>
                  <w:tcW w:w="795" w:type="dxa"/>
                  <w:gridSpan w:val="2"/>
                  <w:vAlign w:val="center"/>
                </w:tcPr>
                <w:p w:rsidR="00E76F98" w:rsidRPr="00357FBC" w:rsidRDefault="00E76F98" w:rsidP="00B02641">
                  <w:pPr>
                    <w:ind w:right="-29"/>
                    <w:jc w:val="center"/>
                    <w:rPr>
                      <w:sz w:val="18"/>
                    </w:rPr>
                  </w:pPr>
                  <w:r w:rsidRPr="00357FBC">
                    <w:rPr>
                      <w:sz w:val="18"/>
                    </w:rPr>
                    <w:t>2</w:t>
                  </w:r>
                </w:p>
              </w:tc>
              <w:tc>
                <w:tcPr>
                  <w:tcW w:w="667" w:type="dxa"/>
                  <w:vAlign w:val="center"/>
                </w:tcPr>
                <w:p w:rsidR="00E76F98" w:rsidRPr="00357FBC" w:rsidRDefault="00E76F98" w:rsidP="00B02641">
                  <w:pPr>
                    <w:ind w:right="-29"/>
                    <w:jc w:val="center"/>
                    <w:rPr>
                      <w:sz w:val="18"/>
                    </w:rPr>
                  </w:pPr>
                  <w:r w:rsidRPr="00357FBC">
                    <w:rPr>
                      <w:sz w:val="18"/>
                    </w:rPr>
                    <w:t>3,3</w:t>
                  </w:r>
                </w:p>
              </w:tc>
              <w:tc>
                <w:tcPr>
                  <w:tcW w:w="777" w:type="dxa"/>
                  <w:vAlign w:val="center"/>
                </w:tcPr>
                <w:p w:rsidR="00E76F98" w:rsidRPr="00357FBC" w:rsidRDefault="00E76F98" w:rsidP="00B02641">
                  <w:pPr>
                    <w:ind w:right="-29"/>
                    <w:jc w:val="center"/>
                    <w:rPr>
                      <w:sz w:val="18"/>
                    </w:rPr>
                  </w:pPr>
                </w:p>
              </w:tc>
              <w:tc>
                <w:tcPr>
                  <w:tcW w:w="727" w:type="dxa"/>
                  <w:vAlign w:val="center"/>
                </w:tcPr>
                <w:p w:rsidR="00E76F98" w:rsidRPr="00357FBC" w:rsidRDefault="00E76F98" w:rsidP="00B02641">
                  <w:pPr>
                    <w:ind w:right="-29"/>
                    <w:jc w:val="center"/>
                    <w:rPr>
                      <w:sz w:val="18"/>
                    </w:rPr>
                  </w:pPr>
                </w:p>
              </w:tc>
              <w:tc>
                <w:tcPr>
                  <w:tcW w:w="1325" w:type="dxa"/>
                  <w:vAlign w:val="center"/>
                </w:tcPr>
                <w:p w:rsidR="00E76F98" w:rsidRPr="00357FBC" w:rsidRDefault="00E76F98" w:rsidP="00B02641">
                  <w:pPr>
                    <w:ind w:right="-29"/>
                    <w:jc w:val="center"/>
                    <w:rPr>
                      <w:sz w:val="18"/>
                    </w:rPr>
                  </w:pPr>
                  <w:r w:rsidRPr="00357FBC">
                    <w:rPr>
                      <w:sz w:val="18"/>
                    </w:rPr>
                    <w:t>5</w:t>
                  </w:r>
                </w:p>
              </w:tc>
              <w:tc>
                <w:tcPr>
                  <w:tcW w:w="1325" w:type="dxa"/>
                  <w:vAlign w:val="center"/>
                </w:tcPr>
                <w:p w:rsidR="00E76F98" w:rsidRPr="00357FBC" w:rsidRDefault="00E76F98" w:rsidP="00B02641">
                  <w:pPr>
                    <w:ind w:right="-29"/>
                    <w:jc w:val="center"/>
                    <w:rPr>
                      <w:sz w:val="18"/>
                    </w:rPr>
                  </w:pPr>
                  <w:r w:rsidRPr="00357FBC">
                    <w:rPr>
                      <w:sz w:val="18"/>
                    </w:rPr>
                    <w:t>13,37</w:t>
                  </w:r>
                </w:p>
              </w:tc>
            </w:tr>
          </w:tbl>
          <w:p w:rsidR="00E76F98" w:rsidRPr="00357FBC" w:rsidRDefault="00E76F98" w:rsidP="00B02641">
            <w:pPr>
              <w:spacing w:before="60" w:after="60"/>
              <w:ind w:right="-29"/>
              <w:jc w:val="center"/>
              <w:rPr>
                <w:sz w:val="18"/>
              </w:rPr>
            </w:pPr>
          </w:p>
        </w:tc>
      </w:tr>
    </w:tbl>
    <w:p w:rsidR="00E76F98" w:rsidRPr="00357FBC" w:rsidRDefault="00E76F98" w:rsidP="00E76F98">
      <w:pPr>
        <w:sectPr w:rsidR="00E76F98" w:rsidRPr="00357FBC" w:rsidSect="001B6923">
          <w:headerReference w:type="default" r:id="rId18"/>
          <w:footerReference w:type="default" r:id="rId19"/>
          <w:headerReference w:type="first" r:id="rId20"/>
          <w:footerReference w:type="first" r:id="rId21"/>
          <w:pgSz w:w="16840" w:h="11907" w:orient="landscape" w:code="9"/>
          <w:pgMar w:top="1134" w:right="1418" w:bottom="567" w:left="1418" w:header="709" w:footer="709" w:gutter="0"/>
          <w:cols w:space="708"/>
          <w:docGrid w:linePitch="360"/>
        </w:sectPr>
      </w:pPr>
    </w:p>
    <w:p w:rsidR="00E76F98" w:rsidRPr="00357FBC" w:rsidRDefault="00E76F98" w:rsidP="00E76F98">
      <w:pPr>
        <w:pStyle w:val="ManualHeading3"/>
      </w:pPr>
      <w:r w:rsidRPr="00357FBC">
        <w:t>3.2.3.</w:t>
      </w:r>
      <w:r w:rsidRPr="00357FBC">
        <w:tab/>
        <w:t>Εκτιμώμενες επιπτώσεις στις πιστώσεις διοικητικού χαρακτήρα</w:t>
      </w:r>
    </w:p>
    <w:p w:rsidR="00E76F98" w:rsidRPr="00357FBC" w:rsidRDefault="00E76F98" w:rsidP="00E76F98">
      <w:pPr>
        <w:pStyle w:val="ManualHeading4"/>
      </w:pPr>
      <w:r w:rsidRPr="00357FBC">
        <w:t>3.2.3.1.</w:t>
      </w:r>
      <w:r w:rsidRPr="00357FBC">
        <w:tab/>
        <w:t xml:space="preserve">Συνοπτική παρουσίαση </w:t>
      </w:r>
    </w:p>
    <w:p w:rsidR="00E76F98" w:rsidRPr="00357FBC" w:rsidRDefault="00E76F98" w:rsidP="00E76F98">
      <w:pPr>
        <w:pStyle w:val="ListDash1"/>
      </w:pPr>
      <w:r w:rsidRPr="00357FBC">
        <w:sym w:font="Wingdings" w:char="F0A8"/>
      </w:r>
      <w:r w:rsidRPr="00357FBC">
        <w:tab/>
        <w:t xml:space="preserve">Η πρόταση/πρωτοβουλία δεν συνεπάγεται τη χρησιμοποίηση πιστώσεων διοικητικού χαρακτήρα. </w:t>
      </w:r>
    </w:p>
    <w:p w:rsidR="00E76F98" w:rsidRPr="00357FBC" w:rsidRDefault="00E76F98" w:rsidP="00E76F98">
      <w:pPr>
        <w:pStyle w:val="ListDash1"/>
      </w:pPr>
      <w:r w:rsidRPr="00357FBC">
        <w:t>X Η πρόταση/πρωτοβουλία συνεπάγεται τη χρησιμοποίηση πιστώσεων διοικητικού χαρακτήρα, όπως εξηγείται κατωτέρω:</w:t>
      </w:r>
    </w:p>
    <w:p w:rsidR="00E76F98" w:rsidRPr="00357FBC" w:rsidRDefault="00E76F98" w:rsidP="005F4874">
      <w:pPr>
        <w:spacing w:before="240"/>
        <w:rPr>
          <w:sz w:val="20"/>
        </w:rPr>
      </w:pPr>
      <w:r w:rsidRPr="00357FBC">
        <w:rPr>
          <w:sz w:val="20"/>
        </w:rPr>
        <w:t>Σε εκατ. EUR (με 3 δεκαδικά ψηφία)</w:t>
      </w:r>
    </w:p>
    <w:tbl>
      <w:tblPr>
        <w:tblW w:w="7241" w:type="dxa"/>
        <w:tblInd w:w="534" w:type="dxa"/>
        <w:tblLayout w:type="fixed"/>
        <w:tblLook w:val="01E0" w:firstRow="1" w:lastRow="1" w:firstColumn="1" w:lastColumn="1" w:noHBand="0" w:noVBand="0"/>
      </w:tblPr>
      <w:tblGrid>
        <w:gridCol w:w="1980"/>
        <w:gridCol w:w="822"/>
        <w:gridCol w:w="850"/>
        <w:gridCol w:w="851"/>
        <w:gridCol w:w="850"/>
        <w:gridCol w:w="851"/>
        <w:gridCol w:w="1037"/>
      </w:tblGrid>
      <w:tr w:rsidR="00E76F98" w:rsidRPr="00357FBC" w:rsidTr="00B02641">
        <w:trPr>
          <w:trHeight w:val="585"/>
        </w:trPr>
        <w:tc>
          <w:tcPr>
            <w:tcW w:w="1980" w:type="dxa"/>
          </w:tcPr>
          <w:p w:rsidR="00E76F98" w:rsidRPr="00357FBC" w:rsidRDefault="00E76F98" w:rsidP="00B02641">
            <w:pPr>
              <w:spacing w:before="60" w:after="60" w:line="200" w:lineRule="exact"/>
              <w:rPr>
                <w:sz w:val="16"/>
              </w:rPr>
            </w:pPr>
          </w:p>
        </w:tc>
        <w:tc>
          <w:tcPr>
            <w:tcW w:w="822" w:type="dxa"/>
          </w:tcPr>
          <w:p w:rsidR="00E76F98" w:rsidRPr="00357FBC" w:rsidRDefault="00E76F98" w:rsidP="00B02641">
            <w:pPr>
              <w:spacing w:after="0"/>
              <w:jc w:val="center"/>
              <w:rPr>
                <w:sz w:val="16"/>
              </w:rPr>
            </w:pPr>
            <w:r w:rsidRPr="00357FBC">
              <w:rPr>
                <w:sz w:val="16"/>
              </w:rPr>
              <w:t>Έτος</w:t>
            </w:r>
            <w:r w:rsidRPr="00357FBC">
              <w:rPr>
                <w:sz w:val="16"/>
              </w:rPr>
              <w:br/>
            </w:r>
            <w:r w:rsidRPr="00357FBC">
              <w:rPr>
                <w:b/>
                <w:sz w:val="16"/>
              </w:rPr>
              <w:t>2017</w:t>
            </w:r>
          </w:p>
        </w:tc>
        <w:tc>
          <w:tcPr>
            <w:tcW w:w="850" w:type="dxa"/>
          </w:tcPr>
          <w:p w:rsidR="00E76F98" w:rsidRPr="00357FBC" w:rsidRDefault="00E76F98" w:rsidP="00B02641">
            <w:pPr>
              <w:spacing w:after="0" w:line="200" w:lineRule="exact"/>
              <w:jc w:val="center"/>
            </w:pPr>
            <w:r w:rsidRPr="00357FBC">
              <w:rPr>
                <w:sz w:val="16"/>
              </w:rPr>
              <w:t>Έτος</w:t>
            </w:r>
            <w:r w:rsidRPr="00357FBC">
              <w:rPr>
                <w:sz w:val="16"/>
              </w:rPr>
              <w:br/>
            </w:r>
            <w:r w:rsidRPr="00357FBC">
              <w:rPr>
                <w:b/>
                <w:sz w:val="16"/>
              </w:rPr>
              <w:t>2018</w:t>
            </w:r>
            <w:r w:rsidRPr="00357FBC">
              <w:rPr>
                <w:rStyle w:val="FootnoteReference"/>
                <w:b/>
                <w:sz w:val="16"/>
              </w:rPr>
              <w:footnoteReference w:id="24"/>
            </w:r>
          </w:p>
        </w:tc>
        <w:tc>
          <w:tcPr>
            <w:tcW w:w="851" w:type="dxa"/>
          </w:tcPr>
          <w:p w:rsidR="00E76F98" w:rsidRPr="00357FBC" w:rsidRDefault="00E76F98" w:rsidP="00B02641">
            <w:pPr>
              <w:spacing w:after="0" w:line="200" w:lineRule="exact"/>
              <w:jc w:val="center"/>
            </w:pPr>
            <w:r w:rsidRPr="00357FBC">
              <w:rPr>
                <w:sz w:val="16"/>
              </w:rPr>
              <w:t>Έτος</w:t>
            </w:r>
            <w:r w:rsidRPr="00357FBC">
              <w:rPr>
                <w:sz w:val="16"/>
              </w:rPr>
              <w:br/>
            </w:r>
            <w:r w:rsidRPr="00357FBC">
              <w:rPr>
                <w:b/>
                <w:sz w:val="16"/>
              </w:rPr>
              <w:t>2019</w:t>
            </w:r>
          </w:p>
        </w:tc>
        <w:tc>
          <w:tcPr>
            <w:tcW w:w="850" w:type="dxa"/>
          </w:tcPr>
          <w:p w:rsidR="00E76F98" w:rsidRPr="00357FBC" w:rsidRDefault="00E76F98" w:rsidP="00B02641">
            <w:pPr>
              <w:spacing w:after="0" w:line="200" w:lineRule="exact"/>
              <w:jc w:val="center"/>
              <w:rPr>
                <w:sz w:val="16"/>
              </w:rPr>
            </w:pPr>
            <w:r w:rsidRPr="00357FBC">
              <w:rPr>
                <w:sz w:val="16"/>
              </w:rPr>
              <w:t>Έτος</w:t>
            </w:r>
            <w:r w:rsidRPr="00357FBC">
              <w:rPr>
                <w:sz w:val="16"/>
              </w:rPr>
              <w:br/>
            </w:r>
            <w:r w:rsidRPr="00357FBC">
              <w:rPr>
                <w:b/>
                <w:sz w:val="16"/>
              </w:rPr>
              <w:t>2020</w:t>
            </w:r>
          </w:p>
        </w:tc>
        <w:tc>
          <w:tcPr>
            <w:tcW w:w="851" w:type="dxa"/>
          </w:tcPr>
          <w:p w:rsidR="00E76F98" w:rsidRPr="00357FBC" w:rsidRDefault="00E76F98" w:rsidP="00B02641">
            <w:pPr>
              <w:spacing w:after="0" w:line="200" w:lineRule="exact"/>
              <w:jc w:val="center"/>
            </w:pPr>
            <w:r w:rsidRPr="00357FBC">
              <w:rPr>
                <w:sz w:val="16"/>
              </w:rPr>
              <w:t xml:space="preserve">Έτος </w:t>
            </w:r>
            <w:r w:rsidRPr="00357FBC">
              <w:rPr>
                <w:b/>
                <w:sz w:val="16"/>
              </w:rPr>
              <w:t>2021</w:t>
            </w:r>
          </w:p>
        </w:tc>
        <w:tc>
          <w:tcPr>
            <w:tcW w:w="1037" w:type="dxa"/>
          </w:tcPr>
          <w:p w:rsidR="00E76F98" w:rsidRPr="00357FBC" w:rsidRDefault="00E76F98" w:rsidP="00B02641">
            <w:pPr>
              <w:spacing w:after="0" w:line="200" w:lineRule="exact"/>
              <w:jc w:val="center"/>
              <w:rPr>
                <w:b/>
                <w:sz w:val="16"/>
              </w:rPr>
            </w:pPr>
            <w:r w:rsidRPr="00357FBC">
              <w:rPr>
                <w:b/>
                <w:sz w:val="16"/>
              </w:rPr>
              <w:t>ΣΥΝΟΛΟ</w:t>
            </w:r>
          </w:p>
        </w:tc>
      </w:tr>
      <w:tr w:rsidR="00E76F98" w:rsidRPr="00357FBC" w:rsidTr="00B026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rsidR="00E76F98" w:rsidRPr="00357FBC" w:rsidRDefault="00E76F98" w:rsidP="00B02641">
            <w:pPr>
              <w:spacing w:before="60" w:after="60" w:line="200" w:lineRule="exact"/>
              <w:jc w:val="center"/>
            </w:pPr>
            <w:r w:rsidRPr="00357FBC">
              <w:rPr>
                <w:b/>
                <w:sz w:val="16"/>
              </w:rPr>
              <w:t>ΤΟΜΕΑΣ 5</w:t>
            </w:r>
            <w:r w:rsidRPr="00357FBC">
              <w:rPr>
                <w:b/>
                <w:sz w:val="16"/>
              </w:rPr>
              <w:br/>
              <w:t>του πολυετούς δημοσιονομικού πλαισίου</w:t>
            </w:r>
          </w:p>
        </w:tc>
        <w:tc>
          <w:tcPr>
            <w:tcW w:w="822" w:type="dxa"/>
            <w:vAlign w:val="center"/>
          </w:tcPr>
          <w:p w:rsidR="00E76F98" w:rsidRPr="00357FBC" w:rsidRDefault="00E76F98" w:rsidP="00B02641">
            <w:pPr>
              <w:spacing w:before="60" w:after="60" w:line="200" w:lineRule="exact"/>
              <w:jc w:val="right"/>
              <w:rPr>
                <w:sz w:val="16"/>
              </w:rPr>
            </w:pPr>
          </w:p>
        </w:tc>
        <w:tc>
          <w:tcPr>
            <w:tcW w:w="850" w:type="dxa"/>
            <w:vAlign w:val="center"/>
          </w:tcPr>
          <w:p w:rsidR="00E76F98" w:rsidRPr="00357FBC" w:rsidRDefault="00E76F98" w:rsidP="00B02641">
            <w:pPr>
              <w:spacing w:before="60" w:after="60" w:line="200" w:lineRule="exact"/>
              <w:jc w:val="right"/>
              <w:rPr>
                <w:sz w:val="16"/>
              </w:rPr>
            </w:pPr>
          </w:p>
        </w:tc>
        <w:tc>
          <w:tcPr>
            <w:tcW w:w="851" w:type="dxa"/>
            <w:vAlign w:val="center"/>
          </w:tcPr>
          <w:p w:rsidR="00E76F98" w:rsidRPr="00357FBC" w:rsidRDefault="00E76F98" w:rsidP="00B02641">
            <w:pPr>
              <w:spacing w:before="60" w:after="60" w:line="200" w:lineRule="exact"/>
              <w:jc w:val="right"/>
              <w:rPr>
                <w:sz w:val="16"/>
              </w:rPr>
            </w:pPr>
          </w:p>
        </w:tc>
        <w:tc>
          <w:tcPr>
            <w:tcW w:w="850" w:type="dxa"/>
          </w:tcPr>
          <w:p w:rsidR="00E76F98" w:rsidRPr="00357FBC" w:rsidRDefault="00E76F98" w:rsidP="00B02641">
            <w:pPr>
              <w:spacing w:before="60" w:after="60" w:line="200" w:lineRule="exact"/>
              <w:jc w:val="right"/>
              <w:rPr>
                <w:sz w:val="16"/>
              </w:rPr>
            </w:pPr>
          </w:p>
        </w:tc>
        <w:tc>
          <w:tcPr>
            <w:tcW w:w="851" w:type="dxa"/>
            <w:vAlign w:val="center"/>
          </w:tcPr>
          <w:p w:rsidR="00E76F98" w:rsidRPr="00357FBC" w:rsidRDefault="00E76F98" w:rsidP="00B02641">
            <w:pPr>
              <w:spacing w:before="60" w:after="60" w:line="200" w:lineRule="exact"/>
              <w:jc w:val="right"/>
              <w:rPr>
                <w:sz w:val="16"/>
              </w:rPr>
            </w:pPr>
          </w:p>
        </w:tc>
        <w:tc>
          <w:tcPr>
            <w:tcW w:w="1037" w:type="dxa"/>
            <w:vAlign w:val="center"/>
          </w:tcPr>
          <w:p w:rsidR="00E76F98" w:rsidRPr="00357FBC" w:rsidRDefault="00E76F98" w:rsidP="00B02641">
            <w:pPr>
              <w:spacing w:before="60" w:after="60" w:line="200" w:lineRule="exact"/>
              <w:jc w:val="right"/>
              <w:rPr>
                <w:b/>
                <w:sz w:val="16"/>
              </w:rPr>
            </w:pPr>
          </w:p>
        </w:tc>
      </w:tr>
      <w:tr w:rsidR="00E76F98" w:rsidRPr="00357FBC" w:rsidTr="00B026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rsidR="00E76F98" w:rsidRPr="00357FBC" w:rsidRDefault="00E76F98" w:rsidP="00B02641">
            <w:pPr>
              <w:spacing w:before="60" w:after="60" w:line="200" w:lineRule="exact"/>
              <w:ind w:left="72"/>
            </w:pPr>
            <w:r w:rsidRPr="00357FBC">
              <w:rPr>
                <w:sz w:val="16"/>
              </w:rPr>
              <w:t xml:space="preserve">Ανθρώπινοι πόροι </w:t>
            </w:r>
          </w:p>
        </w:tc>
        <w:tc>
          <w:tcPr>
            <w:tcW w:w="822" w:type="dxa"/>
            <w:vAlign w:val="center"/>
          </w:tcPr>
          <w:p w:rsidR="00E76F98" w:rsidRPr="00357FBC" w:rsidRDefault="00E76F98" w:rsidP="00B02641">
            <w:pPr>
              <w:spacing w:before="60" w:after="60" w:line="200" w:lineRule="exact"/>
              <w:jc w:val="center"/>
              <w:rPr>
                <w:sz w:val="20"/>
                <w:szCs w:val="20"/>
              </w:rPr>
            </w:pPr>
            <w:r w:rsidRPr="00357FBC">
              <w:rPr>
                <w:sz w:val="20"/>
              </w:rPr>
              <w:t>0,041</w:t>
            </w:r>
          </w:p>
        </w:tc>
        <w:tc>
          <w:tcPr>
            <w:tcW w:w="850" w:type="dxa"/>
            <w:vAlign w:val="center"/>
          </w:tcPr>
          <w:p w:rsidR="00E76F98" w:rsidRPr="00357FBC" w:rsidRDefault="00E76F98" w:rsidP="00B02641">
            <w:pPr>
              <w:spacing w:before="60" w:after="60" w:line="200" w:lineRule="exact"/>
              <w:jc w:val="center"/>
              <w:rPr>
                <w:sz w:val="20"/>
                <w:szCs w:val="20"/>
              </w:rPr>
            </w:pPr>
            <w:r w:rsidRPr="00357FBC">
              <w:rPr>
                <w:sz w:val="20"/>
              </w:rPr>
              <w:t>0,058</w:t>
            </w:r>
          </w:p>
        </w:tc>
        <w:tc>
          <w:tcPr>
            <w:tcW w:w="851" w:type="dxa"/>
            <w:vAlign w:val="center"/>
          </w:tcPr>
          <w:p w:rsidR="00E76F98" w:rsidRPr="00357FBC" w:rsidRDefault="00E76F98" w:rsidP="00B02641">
            <w:pPr>
              <w:spacing w:before="60" w:after="60" w:line="200" w:lineRule="exact"/>
              <w:jc w:val="center"/>
              <w:rPr>
                <w:sz w:val="20"/>
                <w:szCs w:val="20"/>
              </w:rPr>
            </w:pPr>
            <w:r w:rsidRPr="00357FBC">
              <w:rPr>
                <w:sz w:val="20"/>
              </w:rPr>
              <w:t>0,006</w:t>
            </w:r>
          </w:p>
        </w:tc>
        <w:tc>
          <w:tcPr>
            <w:tcW w:w="850" w:type="dxa"/>
            <w:vAlign w:val="center"/>
          </w:tcPr>
          <w:p w:rsidR="00E76F98" w:rsidRPr="00357FBC" w:rsidRDefault="00E76F98" w:rsidP="00B02641">
            <w:pPr>
              <w:spacing w:before="60" w:after="60" w:line="200" w:lineRule="exact"/>
              <w:jc w:val="center"/>
              <w:rPr>
                <w:sz w:val="20"/>
                <w:szCs w:val="20"/>
              </w:rPr>
            </w:pPr>
            <w:r w:rsidRPr="00357FBC">
              <w:rPr>
                <w:sz w:val="20"/>
              </w:rPr>
              <w:t>0,010</w:t>
            </w:r>
          </w:p>
        </w:tc>
        <w:tc>
          <w:tcPr>
            <w:tcW w:w="851" w:type="dxa"/>
            <w:vAlign w:val="center"/>
          </w:tcPr>
          <w:p w:rsidR="00E76F98" w:rsidRPr="00357FBC" w:rsidRDefault="00E76F98" w:rsidP="00B02641">
            <w:pPr>
              <w:spacing w:before="60" w:after="60" w:line="200" w:lineRule="exact"/>
              <w:jc w:val="center"/>
              <w:rPr>
                <w:sz w:val="20"/>
                <w:szCs w:val="20"/>
              </w:rPr>
            </w:pPr>
            <w:r w:rsidRPr="00357FBC">
              <w:rPr>
                <w:sz w:val="20"/>
              </w:rPr>
              <w:t>0,010</w:t>
            </w:r>
          </w:p>
        </w:tc>
        <w:tc>
          <w:tcPr>
            <w:tcW w:w="1037" w:type="dxa"/>
            <w:tcBorders>
              <w:bottom w:val="single" w:sz="4" w:space="0" w:color="auto"/>
            </w:tcBorders>
            <w:vAlign w:val="center"/>
          </w:tcPr>
          <w:p w:rsidR="00E76F98" w:rsidRPr="00357FBC" w:rsidRDefault="00E76F98" w:rsidP="00B02641">
            <w:pPr>
              <w:spacing w:before="60" w:after="60" w:line="200" w:lineRule="exact"/>
              <w:jc w:val="center"/>
              <w:rPr>
                <w:b/>
                <w:sz w:val="20"/>
                <w:szCs w:val="20"/>
              </w:rPr>
            </w:pPr>
            <w:r w:rsidRPr="00357FBC">
              <w:rPr>
                <w:b/>
                <w:sz w:val="20"/>
              </w:rPr>
              <w:t>0,125</w:t>
            </w:r>
          </w:p>
        </w:tc>
      </w:tr>
      <w:tr w:rsidR="00E76F98" w:rsidRPr="00357FBC" w:rsidTr="00B026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rsidR="00E76F98" w:rsidRPr="00357FBC" w:rsidRDefault="00E76F98" w:rsidP="00B02641">
            <w:pPr>
              <w:spacing w:before="60" w:after="60" w:line="200" w:lineRule="exact"/>
              <w:ind w:left="72"/>
              <w:jc w:val="left"/>
            </w:pPr>
            <w:r w:rsidRPr="00357FBC">
              <w:rPr>
                <w:sz w:val="16"/>
              </w:rPr>
              <w:t xml:space="preserve">Άλλες διοικητικές δαπάνες </w:t>
            </w:r>
          </w:p>
        </w:tc>
        <w:tc>
          <w:tcPr>
            <w:tcW w:w="822" w:type="dxa"/>
            <w:vAlign w:val="center"/>
          </w:tcPr>
          <w:p w:rsidR="00E76F98" w:rsidRPr="00357FBC" w:rsidRDefault="00E76F98" w:rsidP="00B02641">
            <w:pPr>
              <w:spacing w:before="60" w:after="60" w:line="200" w:lineRule="exact"/>
              <w:jc w:val="center"/>
              <w:rPr>
                <w:sz w:val="20"/>
                <w:szCs w:val="20"/>
              </w:rPr>
            </w:pPr>
            <w:r w:rsidRPr="00357FBC">
              <w:rPr>
                <w:sz w:val="20"/>
              </w:rPr>
              <w:t>0,010</w:t>
            </w:r>
          </w:p>
        </w:tc>
        <w:tc>
          <w:tcPr>
            <w:tcW w:w="850" w:type="dxa"/>
            <w:vAlign w:val="center"/>
          </w:tcPr>
          <w:p w:rsidR="00E76F98" w:rsidRPr="00357FBC" w:rsidRDefault="00E76F98" w:rsidP="00B02641">
            <w:pPr>
              <w:spacing w:before="60" w:after="60" w:line="200" w:lineRule="exact"/>
              <w:jc w:val="center"/>
              <w:rPr>
                <w:sz w:val="20"/>
                <w:szCs w:val="20"/>
              </w:rPr>
            </w:pPr>
            <w:r w:rsidRPr="00357FBC">
              <w:rPr>
                <w:sz w:val="20"/>
              </w:rPr>
              <w:t>0,020</w:t>
            </w:r>
          </w:p>
        </w:tc>
        <w:tc>
          <w:tcPr>
            <w:tcW w:w="851" w:type="dxa"/>
            <w:vAlign w:val="center"/>
          </w:tcPr>
          <w:p w:rsidR="00E76F98" w:rsidRPr="00357FBC" w:rsidRDefault="00E76F98" w:rsidP="00B02641">
            <w:pPr>
              <w:spacing w:before="60" w:after="60" w:line="200" w:lineRule="exact"/>
              <w:jc w:val="center"/>
              <w:rPr>
                <w:sz w:val="20"/>
                <w:szCs w:val="20"/>
              </w:rPr>
            </w:pPr>
          </w:p>
        </w:tc>
        <w:tc>
          <w:tcPr>
            <w:tcW w:w="850" w:type="dxa"/>
            <w:vAlign w:val="center"/>
          </w:tcPr>
          <w:p w:rsidR="00E76F98" w:rsidRPr="00357FBC" w:rsidRDefault="00E76F98" w:rsidP="00B02641">
            <w:pPr>
              <w:spacing w:before="60" w:after="60" w:line="200" w:lineRule="exact"/>
              <w:jc w:val="center"/>
              <w:rPr>
                <w:sz w:val="20"/>
                <w:szCs w:val="20"/>
              </w:rPr>
            </w:pPr>
          </w:p>
        </w:tc>
        <w:tc>
          <w:tcPr>
            <w:tcW w:w="851" w:type="dxa"/>
            <w:tcBorders>
              <w:bottom w:val="single" w:sz="4" w:space="0" w:color="auto"/>
            </w:tcBorders>
            <w:vAlign w:val="center"/>
          </w:tcPr>
          <w:p w:rsidR="00E76F98" w:rsidRPr="00357FBC" w:rsidRDefault="00E76F98" w:rsidP="00B02641">
            <w:pPr>
              <w:spacing w:before="60" w:after="60" w:line="200" w:lineRule="exact"/>
              <w:jc w:val="center"/>
              <w:rPr>
                <w:sz w:val="20"/>
                <w:szCs w:val="20"/>
              </w:rPr>
            </w:pPr>
          </w:p>
        </w:tc>
        <w:tc>
          <w:tcPr>
            <w:tcW w:w="1037" w:type="dxa"/>
            <w:tcBorders>
              <w:top w:val="single" w:sz="4" w:space="0" w:color="auto"/>
            </w:tcBorders>
            <w:vAlign w:val="center"/>
          </w:tcPr>
          <w:p w:rsidR="00E76F98" w:rsidRPr="00357FBC" w:rsidRDefault="00E76F98" w:rsidP="00B02641">
            <w:pPr>
              <w:spacing w:before="60" w:after="60" w:line="200" w:lineRule="exact"/>
              <w:jc w:val="center"/>
              <w:rPr>
                <w:b/>
                <w:sz w:val="20"/>
                <w:szCs w:val="20"/>
              </w:rPr>
            </w:pPr>
            <w:r w:rsidRPr="00357FBC">
              <w:rPr>
                <w:b/>
                <w:sz w:val="20"/>
              </w:rPr>
              <w:t>0,030</w:t>
            </w:r>
          </w:p>
        </w:tc>
      </w:tr>
      <w:tr w:rsidR="00E76F98" w:rsidRPr="00357FBC" w:rsidTr="00B026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rsidR="00E76F98" w:rsidRPr="00357FBC" w:rsidRDefault="00E76F98" w:rsidP="00B02641">
            <w:pPr>
              <w:spacing w:before="60" w:after="60" w:line="200" w:lineRule="exact"/>
              <w:jc w:val="center"/>
            </w:pPr>
            <w:r w:rsidRPr="00357FBC">
              <w:rPr>
                <w:b/>
                <w:sz w:val="16"/>
              </w:rPr>
              <w:t>Μερικό σύνολο του ΤΟΜΕΑ 5</w:t>
            </w:r>
            <w:r w:rsidRPr="00357FBC">
              <w:rPr>
                <w:b/>
                <w:sz w:val="16"/>
              </w:rPr>
              <w:br/>
              <w:t xml:space="preserve">του πολυετούς δημοσιονομικού πλαισίου </w:t>
            </w:r>
          </w:p>
        </w:tc>
        <w:tc>
          <w:tcPr>
            <w:tcW w:w="822" w:type="dxa"/>
            <w:vAlign w:val="center"/>
          </w:tcPr>
          <w:p w:rsidR="00E76F98" w:rsidRPr="00357FBC" w:rsidRDefault="00E76F98" w:rsidP="00B02641">
            <w:pPr>
              <w:spacing w:before="60" w:after="60" w:line="200" w:lineRule="exact"/>
              <w:jc w:val="center"/>
              <w:rPr>
                <w:sz w:val="20"/>
                <w:szCs w:val="20"/>
              </w:rPr>
            </w:pPr>
            <w:r w:rsidRPr="00357FBC">
              <w:rPr>
                <w:sz w:val="20"/>
              </w:rPr>
              <w:t>0,051</w:t>
            </w:r>
          </w:p>
        </w:tc>
        <w:tc>
          <w:tcPr>
            <w:tcW w:w="850" w:type="dxa"/>
            <w:vAlign w:val="center"/>
          </w:tcPr>
          <w:p w:rsidR="00E76F98" w:rsidRPr="00357FBC" w:rsidRDefault="00E76F98" w:rsidP="00B02641">
            <w:pPr>
              <w:spacing w:before="60" w:after="60" w:line="200" w:lineRule="exact"/>
              <w:jc w:val="center"/>
              <w:rPr>
                <w:sz w:val="20"/>
                <w:szCs w:val="20"/>
              </w:rPr>
            </w:pPr>
            <w:r w:rsidRPr="00357FBC">
              <w:rPr>
                <w:sz w:val="20"/>
              </w:rPr>
              <w:t>0,078</w:t>
            </w:r>
          </w:p>
        </w:tc>
        <w:tc>
          <w:tcPr>
            <w:tcW w:w="851" w:type="dxa"/>
            <w:vAlign w:val="center"/>
          </w:tcPr>
          <w:p w:rsidR="00E76F98" w:rsidRPr="00357FBC" w:rsidRDefault="00E76F98" w:rsidP="00B02641">
            <w:pPr>
              <w:spacing w:before="60" w:after="60" w:line="200" w:lineRule="exact"/>
              <w:jc w:val="center"/>
              <w:rPr>
                <w:sz w:val="20"/>
                <w:szCs w:val="20"/>
              </w:rPr>
            </w:pPr>
            <w:r w:rsidRPr="00357FBC">
              <w:rPr>
                <w:sz w:val="20"/>
              </w:rPr>
              <w:t>0,006</w:t>
            </w:r>
          </w:p>
        </w:tc>
        <w:tc>
          <w:tcPr>
            <w:tcW w:w="850" w:type="dxa"/>
            <w:vAlign w:val="center"/>
          </w:tcPr>
          <w:p w:rsidR="00E76F98" w:rsidRPr="00357FBC" w:rsidRDefault="00E76F98" w:rsidP="00B02641">
            <w:pPr>
              <w:spacing w:before="60" w:after="60" w:line="200" w:lineRule="exact"/>
              <w:jc w:val="center"/>
              <w:rPr>
                <w:sz w:val="20"/>
                <w:szCs w:val="20"/>
              </w:rPr>
            </w:pPr>
            <w:r w:rsidRPr="00357FBC">
              <w:rPr>
                <w:sz w:val="20"/>
              </w:rPr>
              <w:t>0,010</w:t>
            </w:r>
          </w:p>
        </w:tc>
        <w:tc>
          <w:tcPr>
            <w:tcW w:w="851" w:type="dxa"/>
            <w:vAlign w:val="center"/>
          </w:tcPr>
          <w:p w:rsidR="00E76F98" w:rsidRPr="00357FBC" w:rsidRDefault="00E76F98" w:rsidP="00B02641">
            <w:pPr>
              <w:spacing w:before="60" w:after="60" w:line="200" w:lineRule="exact"/>
              <w:jc w:val="center"/>
              <w:rPr>
                <w:sz w:val="20"/>
                <w:szCs w:val="20"/>
              </w:rPr>
            </w:pPr>
            <w:r w:rsidRPr="00357FBC">
              <w:rPr>
                <w:sz w:val="20"/>
              </w:rPr>
              <w:t>0,010</w:t>
            </w:r>
          </w:p>
        </w:tc>
        <w:tc>
          <w:tcPr>
            <w:tcW w:w="1037" w:type="dxa"/>
            <w:vAlign w:val="center"/>
          </w:tcPr>
          <w:p w:rsidR="00E76F98" w:rsidRPr="00357FBC" w:rsidRDefault="00E76F98" w:rsidP="00B02641">
            <w:pPr>
              <w:spacing w:before="60" w:after="60" w:line="200" w:lineRule="exact"/>
              <w:jc w:val="center"/>
              <w:rPr>
                <w:b/>
                <w:sz w:val="20"/>
                <w:szCs w:val="20"/>
              </w:rPr>
            </w:pPr>
            <w:r w:rsidRPr="00357FBC">
              <w:rPr>
                <w:b/>
                <w:sz w:val="20"/>
              </w:rPr>
              <w:t>0,155</w:t>
            </w:r>
          </w:p>
        </w:tc>
      </w:tr>
      <w:tr w:rsidR="00E76F98" w:rsidRPr="00357FBC" w:rsidTr="00B026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rsidR="00E76F98" w:rsidRPr="00357FBC" w:rsidRDefault="00E76F98" w:rsidP="00B02641">
            <w:pPr>
              <w:spacing w:before="60" w:after="60" w:line="200" w:lineRule="exact"/>
              <w:jc w:val="center"/>
            </w:pPr>
            <w:r w:rsidRPr="00357FBC">
              <w:rPr>
                <w:b/>
                <w:sz w:val="16"/>
              </w:rPr>
              <w:t>Εκτός του ΤΟΜΕΑ 5</w:t>
            </w:r>
            <w:r w:rsidRPr="00357FBC">
              <w:rPr>
                <w:rStyle w:val="FootnoteReference"/>
                <w:b/>
                <w:sz w:val="16"/>
              </w:rPr>
              <w:footnoteReference w:id="25"/>
            </w:r>
            <w:r w:rsidRPr="00357FBC">
              <w:rPr>
                <w:b/>
                <w:sz w:val="16"/>
              </w:rPr>
              <w:t xml:space="preserve"> του πολυετούς δημοσιονομικού πλαισίου </w:t>
            </w:r>
          </w:p>
          <w:p w:rsidR="00E76F98" w:rsidRPr="00357FBC" w:rsidRDefault="00E76F98" w:rsidP="00B02641">
            <w:pPr>
              <w:spacing w:line="200" w:lineRule="exact"/>
              <w:jc w:val="center"/>
              <w:rPr>
                <w:b/>
                <w:sz w:val="16"/>
              </w:rPr>
            </w:pPr>
          </w:p>
        </w:tc>
        <w:tc>
          <w:tcPr>
            <w:tcW w:w="822" w:type="dxa"/>
            <w:vAlign w:val="center"/>
          </w:tcPr>
          <w:p w:rsidR="00E76F98" w:rsidRPr="00357FBC" w:rsidRDefault="00E76F98" w:rsidP="00B02641">
            <w:pPr>
              <w:spacing w:before="60" w:after="60" w:line="200" w:lineRule="exact"/>
              <w:jc w:val="center"/>
              <w:rPr>
                <w:sz w:val="16"/>
              </w:rPr>
            </w:pPr>
          </w:p>
        </w:tc>
        <w:tc>
          <w:tcPr>
            <w:tcW w:w="850" w:type="dxa"/>
            <w:vAlign w:val="center"/>
          </w:tcPr>
          <w:p w:rsidR="00E76F98" w:rsidRPr="00357FBC" w:rsidRDefault="00E76F98" w:rsidP="00B02641">
            <w:pPr>
              <w:spacing w:before="60" w:after="60" w:line="200" w:lineRule="exact"/>
              <w:jc w:val="center"/>
              <w:rPr>
                <w:sz w:val="16"/>
              </w:rPr>
            </w:pPr>
          </w:p>
        </w:tc>
        <w:tc>
          <w:tcPr>
            <w:tcW w:w="851" w:type="dxa"/>
            <w:vAlign w:val="center"/>
          </w:tcPr>
          <w:p w:rsidR="00E76F98" w:rsidRPr="00357FBC" w:rsidRDefault="00E76F98" w:rsidP="00B02641">
            <w:pPr>
              <w:spacing w:before="60" w:after="60" w:line="200" w:lineRule="exact"/>
              <w:jc w:val="center"/>
              <w:rPr>
                <w:sz w:val="16"/>
              </w:rPr>
            </w:pPr>
          </w:p>
        </w:tc>
        <w:tc>
          <w:tcPr>
            <w:tcW w:w="850" w:type="dxa"/>
            <w:vAlign w:val="center"/>
          </w:tcPr>
          <w:p w:rsidR="00E76F98" w:rsidRPr="00357FBC" w:rsidRDefault="00E76F98" w:rsidP="00B02641">
            <w:pPr>
              <w:spacing w:before="60" w:after="60" w:line="200" w:lineRule="exact"/>
              <w:jc w:val="center"/>
              <w:rPr>
                <w:sz w:val="16"/>
              </w:rPr>
            </w:pPr>
          </w:p>
        </w:tc>
        <w:tc>
          <w:tcPr>
            <w:tcW w:w="851" w:type="dxa"/>
            <w:vAlign w:val="center"/>
          </w:tcPr>
          <w:p w:rsidR="00E76F98" w:rsidRPr="00357FBC" w:rsidRDefault="00E76F98" w:rsidP="00B02641">
            <w:pPr>
              <w:spacing w:before="60" w:after="60" w:line="200" w:lineRule="exact"/>
              <w:jc w:val="center"/>
              <w:rPr>
                <w:sz w:val="16"/>
              </w:rPr>
            </w:pPr>
          </w:p>
        </w:tc>
        <w:tc>
          <w:tcPr>
            <w:tcW w:w="1037" w:type="dxa"/>
            <w:vAlign w:val="center"/>
          </w:tcPr>
          <w:p w:rsidR="00E76F98" w:rsidRPr="00357FBC" w:rsidRDefault="00E76F98" w:rsidP="00B02641">
            <w:pPr>
              <w:spacing w:before="60" w:after="60" w:line="200" w:lineRule="exact"/>
              <w:jc w:val="center"/>
              <w:rPr>
                <w:b/>
                <w:sz w:val="16"/>
              </w:rPr>
            </w:pPr>
          </w:p>
        </w:tc>
      </w:tr>
      <w:tr w:rsidR="00E76F98" w:rsidRPr="00357FBC" w:rsidTr="00B026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rsidR="00E76F98" w:rsidRPr="00357FBC" w:rsidRDefault="00E76F98" w:rsidP="00B02641">
            <w:pPr>
              <w:spacing w:before="60" w:after="60" w:line="200" w:lineRule="exact"/>
              <w:ind w:left="72"/>
            </w:pPr>
            <w:r w:rsidRPr="00357FBC">
              <w:rPr>
                <w:sz w:val="16"/>
              </w:rPr>
              <w:t xml:space="preserve">Ανθρώπινοι πόροι </w:t>
            </w:r>
          </w:p>
        </w:tc>
        <w:tc>
          <w:tcPr>
            <w:tcW w:w="822" w:type="dxa"/>
            <w:vAlign w:val="center"/>
          </w:tcPr>
          <w:p w:rsidR="00E76F98" w:rsidRPr="00357FBC" w:rsidRDefault="00E76F98" w:rsidP="00B02641">
            <w:pPr>
              <w:spacing w:before="60" w:after="60" w:line="200" w:lineRule="exact"/>
              <w:jc w:val="center"/>
              <w:rPr>
                <w:sz w:val="16"/>
              </w:rPr>
            </w:pPr>
          </w:p>
        </w:tc>
        <w:tc>
          <w:tcPr>
            <w:tcW w:w="850" w:type="dxa"/>
            <w:vAlign w:val="center"/>
          </w:tcPr>
          <w:p w:rsidR="00E76F98" w:rsidRPr="00357FBC" w:rsidRDefault="00E76F98" w:rsidP="00B02641">
            <w:pPr>
              <w:spacing w:before="60" w:after="60" w:line="200" w:lineRule="exact"/>
              <w:jc w:val="center"/>
              <w:rPr>
                <w:sz w:val="16"/>
              </w:rPr>
            </w:pPr>
          </w:p>
        </w:tc>
        <w:tc>
          <w:tcPr>
            <w:tcW w:w="851" w:type="dxa"/>
            <w:vAlign w:val="center"/>
          </w:tcPr>
          <w:p w:rsidR="00E76F98" w:rsidRPr="00357FBC" w:rsidRDefault="00E76F98" w:rsidP="00B02641">
            <w:pPr>
              <w:spacing w:before="60" w:after="60" w:line="200" w:lineRule="exact"/>
              <w:jc w:val="center"/>
              <w:rPr>
                <w:sz w:val="16"/>
              </w:rPr>
            </w:pPr>
          </w:p>
        </w:tc>
        <w:tc>
          <w:tcPr>
            <w:tcW w:w="850" w:type="dxa"/>
            <w:vAlign w:val="center"/>
          </w:tcPr>
          <w:p w:rsidR="00E76F98" w:rsidRPr="00357FBC" w:rsidRDefault="00E76F98" w:rsidP="00B02641">
            <w:pPr>
              <w:spacing w:before="60" w:after="60" w:line="200" w:lineRule="exact"/>
              <w:jc w:val="center"/>
              <w:rPr>
                <w:sz w:val="16"/>
              </w:rPr>
            </w:pPr>
          </w:p>
        </w:tc>
        <w:tc>
          <w:tcPr>
            <w:tcW w:w="851" w:type="dxa"/>
            <w:vAlign w:val="center"/>
          </w:tcPr>
          <w:p w:rsidR="00E76F98" w:rsidRPr="00357FBC" w:rsidRDefault="00E76F98" w:rsidP="00B02641">
            <w:pPr>
              <w:spacing w:before="60" w:after="60" w:line="200" w:lineRule="exact"/>
              <w:jc w:val="center"/>
              <w:rPr>
                <w:sz w:val="16"/>
              </w:rPr>
            </w:pPr>
          </w:p>
        </w:tc>
        <w:tc>
          <w:tcPr>
            <w:tcW w:w="1037" w:type="dxa"/>
            <w:vAlign w:val="center"/>
          </w:tcPr>
          <w:p w:rsidR="00E76F98" w:rsidRPr="00357FBC" w:rsidRDefault="00E76F98" w:rsidP="00B02641">
            <w:pPr>
              <w:spacing w:before="60" w:after="60" w:line="200" w:lineRule="exact"/>
              <w:jc w:val="center"/>
              <w:rPr>
                <w:b/>
                <w:sz w:val="16"/>
              </w:rPr>
            </w:pPr>
          </w:p>
        </w:tc>
      </w:tr>
      <w:tr w:rsidR="00E76F98" w:rsidRPr="00357FBC" w:rsidTr="00B026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rsidR="00E76F98" w:rsidRPr="00357FBC" w:rsidRDefault="00E76F98" w:rsidP="00B02641">
            <w:pPr>
              <w:spacing w:before="60" w:after="60" w:line="200" w:lineRule="exact"/>
              <w:ind w:left="72"/>
            </w:pPr>
            <w:r w:rsidRPr="00357FBC">
              <w:rPr>
                <w:sz w:val="16"/>
              </w:rPr>
              <w:t xml:space="preserve">Άλλες δαπάνες </w:t>
            </w:r>
            <w:r w:rsidRPr="00357FBC">
              <w:rPr>
                <w:sz w:val="16"/>
              </w:rPr>
              <w:br/>
              <w:t>διοικητικού χαρακτήρα</w:t>
            </w:r>
          </w:p>
        </w:tc>
        <w:tc>
          <w:tcPr>
            <w:tcW w:w="822" w:type="dxa"/>
            <w:vAlign w:val="center"/>
          </w:tcPr>
          <w:p w:rsidR="00E76F98" w:rsidRPr="00357FBC" w:rsidRDefault="00E76F98" w:rsidP="00B02641">
            <w:pPr>
              <w:spacing w:before="60" w:after="60" w:line="200" w:lineRule="exact"/>
              <w:jc w:val="center"/>
              <w:rPr>
                <w:sz w:val="16"/>
              </w:rPr>
            </w:pPr>
          </w:p>
        </w:tc>
        <w:tc>
          <w:tcPr>
            <w:tcW w:w="850" w:type="dxa"/>
            <w:vAlign w:val="center"/>
          </w:tcPr>
          <w:p w:rsidR="00E76F98" w:rsidRPr="00357FBC" w:rsidRDefault="00E76F98" w:rsidP="00B02641">
            <w:pPr>
              <w:spacing w:before="60" w:after="60" w:line="200" w:lineRule="exact"/>
              <w:jc w:val="center"/>
              <w:rPr>
                <w:sz w:val="16"/>
              </w:rPr>
            </w:pPr>
          </w:p>
        </w:tc>
        <w:tc>
          <w:tcPr>
            <w:tcW w:w="851" w:type="dxa"/>
            <w:vAlign w:val="center"/>
          </w:tcPr>
          <w:p w:rsidR="00E76F98" w:rsidRPr="00357FBC" w:rsidRDefault="00E76F98" w:rsidP="00B02641">
            <w:pPr>
              <w:spacing w:before="60" w:after="60" w:line="200" w:lineRule="exact"/>
              <w:jc w:val="center"/>
              <w:rPr>
                <w:sz w:val="16"/>
              </w:rPr>
            </w:pPr>
          </w:p>
        </w:tc>
        <w:tc>
          <w:tcPr>
            <w:tcW w:w="850" w:type="dxa"/>
            <w:vAlign w:val="center"/>
          </w:tcPr>
          <w:p w:rsidR="00E76F98" w:rsidRPr="00357FBC" w:rsidRDefault="00E76F98" w:rsidP="00B02641">
            <w:pPr>
              <w:spacing w:before="60" w:after="60" w:line="200" w:lineRule="exact"/>
              <w:jc w:val="center"/>
              <w:rPr>
                <w:sz w:val="16"/>
              </w:rPr>
            </w:pPr>
          </w:p>
        </w:tc>
        <w:tc>
          <w:tcPr>
            <w:tcW w:w="851" w:type="dxa"/>
            <w:vAlign w:val="center"/>
          </w:tcPr>
          <w:p w:rsidR="00E76F98" w:rsidRPr="00357FBC" w:rsidRDefault="00E76F98" w:rsidP="00B02641">
            <w:pPr>
              <w:spacing w:before="60" w:after="60" w:line="200" w:lineRule="exact"/>
              <w:jc w:val="center"/>
              <w:rPr>
                <w:sz w:val="16"/>
              </w:rPr>
            </w:pPr>
          </w:p>
        </w:tc>
        <w:tc>
          <w:tcPr>
            <w:tcW w:w="1037" w:type="dxa"/>
            <w:tcBorders>
              <w:bottom w:val="single" w:sz="4" w:space="0" w:color="auto"/>
            </w:tcBorders>
            <w:vAlign w:val="center"/>
          </w:tcPr>
          <w:p w:rsidR="00E76F98" w:rsidRPr="00357FBC" w:rsidRDefault="00E76F98" w:rsidP="00B02641">
            <w:pPr>
              <w:spacing w:before="60" w:after="60" w:line="200" w:lineRule="exact"/>
              <w:jc w:val="center"/>
              <w:rPr>
                <w:b/>
                <w:sz w:val="16"/>
              </w:rPr>
            </w:pPr>
          </w:p>
        </w:tc>
      </w:tr>
      <w:tr w:rsidR="00E76F98" w:rsidRPr="00357FBC" w:rsidTr="00B0264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rsidR="00E76F98" w:rsidRPr="00357FBC" w:rsidRDefault="00E76F98" w:rsidP="00B02641">
            <w:pPr>
              <w:spacing w:before="60" w:after="60" w:line="200" w:lineRule="exact"/>
              <w:jc w:val="center"/>
            </w:pPr>
            <w:r w:rsidRPr="00357FBC">
              <w:rPr>
                <w:b/>
                <w:sz w:val="16"/>
              </w:rPr>
              <w:t xml:space="preserve">Μερικό σύνολο </w:t>
            </w:r>
            <w:r w:rsidRPr="00357FBC">
              <w:rPr>
                <w:b/>
                <w:sz w:val="16"/>
              </w:rPr>
              <w:br/>
              <w:t>Εκτός του ΤΟΜΕΑ 5</w:t>
            </w:r>
            <w:r w:rsidRPr="00357FBC">
              <w:rPr>
                <w:b/>
                <w:sz w:val="16"/>
              </w:rPr>
              <w:br/>
              <w:t xml:space="preserve">του πολυετούς δημοσιονομικού πλαισίου </w:t>
            </w:r>
          </w:p>
        </w:tc>
        <w:tc>
          <w:tcPr>
            <w:tcW w:w="822" w:type="dxa"/>
            <w:vAlign w:val="center"/>
          </w:tcPr>
          <w:p w:rsidR="00E76F98" w:rsidRPr="00357FBC" w:rsidRDefault="00E76F98" w:rsidP="00B02641">
            <w:pPr>
              <w:spacing w:before="60" w:after="60" w:line="200" w:lineRule="exact"/>
              <w:jc w:val="center"/>
              <w:rPr>
                <w:sz w:val="16"/>
              </w:rPr>
            </w:pPr>
          </w:p>
        </w:tc>
        <w:tc>
          <w:tcPr>
            <w:tcW w:w="850" w:type="dxa"/>
            <w:vAlign w:val="center"/>
          </w:tcPr>
          <w:p w:rsidR="00E76F98" w:rsidRPr="00357FBC" w:rsidRDefault="00E76F98" w:rsidP="00B02641">
            <w:pPr>
              <w:spacing w:before="60" w:after="60" w:line="200" w:lineRule="exact"/>
              <w:jc w:val="center"/>
              <w:rPr>
                <w:sz w:val="16"/>
              </w:rPr>
            </w:pPr>
          </w:p>
        </w:tc>
        <w:tc>
          <w:tcPr>
            <w:tcW w:w="851" w:type="dxa"/>
            <w:vAlign w:val="center"/>
          </w:tcPr>
          <w:p w:rsidR="00E76F98" w:rsidRPr="00357FBC" w:rsidRDefault="00E76F98" w:rsidP="00B02641">
            <w:pPr>
              <w:spacing w:before="60" w:after="60" w:line="200" w:lineRule="exact"/>
              <w:jc w:val="center"/>
              <w:rPr>
                <w:sz w:val="16"/>
              </w:rPr>
            </w:pPr>
          </w:p>
        </w:tc>
        <w:tc>
          <w:tcPr>
            <w:tcW w:w="850" w:type="dxa"/>
            <w:vAlign w:val="center"/>
          </w:tcPr>
          <w:p w:rsidR="00E76F98" w:rsidRPr="00357FBC" w:rsidRDefault="00E76F98" w:rsidP="00B02641">
            <w:pPr>
              <w:spacing w:before="60" w:after="60" w:line="200" w:lineRule="exact"/>
              <w:jc w:val="center"/>
              <w:rPr>
                <w:sz w:val="16"/>
              </w:rPr>
            </w:pPr>
          </w:p>
        </w:tc>
        <w:tc>
          <w:tcPr>
            <w:tcW w:w="851" w:type="dxa"/>
            <w:vAlign w:val="center"/>
          </w:tcPr>
          <w:p w:rsidR="00E76F98" w:rsidRPr="00357FBC" w:rsidRDefault="00E76F98" w:rsidP="00B02641">
            <w:pPr>
              <w:spacing w:before="60" w:after="60" w:line="200" w:lineRule="exact"/>
              <w:jc w:val="center"/>
              <w:rPr>
                <w:sz w:val="16"/>
              </w:rPr>
            </w:pPr>
          </w:p>
        </w:tc>
        <w:tc>
          <w:tcPr>
            <w:tcW w:w="1037" w:type="dxa"/>
            <w:tcBorders>
              <w:top w:val="single" w:sz="4" w:space="0" w:color="auto"/>
            </w:tcBorders>
            <w:vAlign w:val="center"/>
          </w:tcPr>
          <w:p w:rsidR="00E76F98" w:rsidRPr="00357FBC" w:rsidRDefault="00E76F98" w:rsidP="00B02641">
            <w:pPr>
              <w:spacing w:before="60" w:after="60" w:line="200" w:lineRule="exact"/>
              <w:jc w:val="center"/>
              <w:rPr>
                <w:b/>
                <w:sz w:val="16"/>
              </w:rPr>
            </w:pPr>
          </w:p>
        </w:tc>
      </w:tr>
    </w:tbl>
    <w:p w:rsidR="00E76F98" w:rsidRPr="00357FBC" w:rsidRDefault="00E76F98" w:rsidP="00E76F98">
      <w:pPr>
        <w:spacing w:line="200" w:lineRule="exact"/>
        <w:rPr>
          <w:sz w:val="4"/>
          <w:szCs w:val="4"/>
        </w:rPr>
      </w:pPr>
    </w:p>
    <w:tbl>
      <w:tblPr>
        <w:tblW w:w="7197" w:type="dxa"/>
        <w:tblInd w:w="534" w:type="dxa"/>
        <w:tblLayout w:type="fixed"/>
        <w:tblLook w:val="01E0" w:firstRow="1" w:lastRow="1" w:firstColumn="1" w:lastColumn="1" w:noHBand="0" w:noVBand="0"/>
      </w:tblPr>
      <w:tblGrid>
        <w:gridCol w:w="1980"/>
        <w:gridCol w:w="822"/>
        <w:gridCol w:w="850"/>
        <w:gridCol w:w="851"/>
        <w:gridCol w:w="850"/>
        <w:gridCol w:w="851"/>
        <w:gridCol w:w="993"/>
      </w:tblGrid>
      <w:tr w:rsidR="00E76F98" w:rsidRPr="00357FBC" w:rsidTr="00B02641">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E76F98" w:rsidRPr="00357FBC" w:rsidRDefault="00E76F98" w:rsidP="00B02641">
            <w:pPr>
              <w:spacing w:before="60" w:after="60" w:line="200" w:lineRule="exact"/>
              <w:jc w:val="center"/>
              <w:rPr>
                <w:sz w:val="16"/>
              </w:rPr>
            </w:pPr>
            <w:r w:rsidRPr="00357FBC">
              <w:rPr>
                <w:b/>
                <w:sz w:val="16"/>
              </w:rPr>
              <w:t>ΣΥΝΟΛΟ</w:t>
            </w:r>
          </w:p>
        </w:tc>
        <w:tc>
          <w:tcPr>
            <w:tcW w:w="822" w:type="dxa"/>
            <w:tcBorders>
              <w:top w:val="single" w:sz="12" w:space="0" w:color="auto"/>
              <w:left w:val="single" w:sz="2" w:space="0" w:color="auto"/>
              <w:bottom w:val="single" w:sz="12" w:space="0" w:color="auto"/>
              <w:right w:val="single" w:sz="2" w:space="0" w:color="auto"/>
            </w:tcBorders>
            <w:vAlign w:val="center"/>
          </w:tcPr>
          <w:p w:rsidR="00E76F98" w:rsidRPr="00357FBC" w:rsidRDefault="00E76F98" w:rsidP="00B02641">
            <w:pPr>
              <w:spacing w:before="60" w:after="60" w:line="200" w:lineRule="exact"/>
              <w:jc w:val="center"/>
              <w:rPr>
                <w:sz w:val="20"/>
                <w:szCs w:val="20"/>
              </w:rPr>
            </w:pPr>
            <w:r w:rsidRPr="00357FBC">
              <w:rPr>
                <w:sz w:val="20"/>
              </w:rPr>
              <w:t>0,051</w:t>
            </w:r>
          </w:p>
        </w:tc>
        <w:tc>
          <w:tcPr>
            <w:tcW w:w="850" w:type="dxa"/>
            <w:tcBorders>
              <w:top w:val="single" w:sz="12" w:space="0" w:color="auto"/>
              <w:left w:val="single" w:sz="2" w:space="0" w:color="auto"/>
              <w:bottom w:val="single" w:sz="12" w:space="0" w:color="auto"/>
              <w:right w:val="single" w:sz="2" w:space="0" w:color="auto"/>
            </w:tcBorders>
            <w:vAlign w:val="center"/>
          </w:tcPr>
          <w:p w:rsidR="00E76F98" w:rsidRPr="00357FBC" w:rsidRDefault="00E76F98" w:rsidP="00B02641">
            <w:pPr>
              <w:spacing w:before="60" w:after="60" w:line="200" w:lineRule="exact"/>
              <w:jc w:val="center"/>
              <w:rPr>
                <w:sz w:val="20"/>
                <w:szCs w:val="20"/>
              </w:rPr>
            </w:pPr>
            <w:r w:rsidRPr="00357FBC">
              <w:rPr>
                <w:sz w:val="20"/>
              </w:rPr>
              <w:t>0,078</w:t>
            </w:r>
          </w:p>
        </w:tc>
        <w:tc>
          <w:tcPr>
            <w:tcW w:w="851" w:type="dxa"/>
            <w:tcBorders>
              <w:top w:val="single" w:sz="12" w:space="0" w:color="auto"/>
              <w:left w:val="single" w:sz="2" w:space="0" w:color="auto"/>
              <w:bottom w:val="single" w:sz="12" w:space="0" w:color="auto"/>
              <w:right w:val="single" w:sz="2" w:space="0" w:color="auto"/>
            </w:tcBorders>
            <w:vAlign w:val="center"/>
          </w:tcPr>
          <w:p w:rsidR="00E76F98" w:rsidRPr="00357FBC" w:rsidRDefault="00E76F98" w:rsidP="00B02641">
            <w:pPr>
              <w:spacing w:before="60" w:after="60" w:line="200" w:lineRule="exact"/>
              <w:jc w:val="center"/>
              <w:rPr>
                <w:sz w:val="20"/>
                <w:szCs w:val="20"/>
              </w:rPr>
            </w:pPr>
            <w:r w:rsidRPr="00357FBC">
              <w:rPr>
                <w:sz w:val="20"/>
              </w:rPr>
              <w:t>0,006</w:t>
            </w:r>
          </w:p>
        </w:tc>
        <w:tc>
          <w:tcPr>
            <w:tcW w:w="850" w:type="dxa"/>
            <w:tcBorders>
              <w:top w:val="single" w:sz="12" w:space="0" w:color="auto"/>
              <w:left w:val="single" w:sz="2" w:space="0" w:color="auto"/>
              <w:bottom w:val="single" w:sz="12" w:space="0" w:color="auto"/>
              <w:right w:val="single" w:sz="2" w:space="0" w:color="auto"/>
            </w:tcBorders>
            <w:vAlign w:val="center"/>
          </w:tcPr>
          <w:p w:rsidR="00E76F98" w:rsidRPr="00357FBC" w:rsidRDefault="00E76F98" w:rsidP="00B02641">
            <w:pPr>
              <w:spacing w:before="60" w:after="60" w:line="200" w:lineRule="exact"/>
              <w:jc w:val="center"/>
              <w:rPr>
                <w:sz w:val="20"/>
                <w:szCs w:val="20"/>
              </w:rPr>
            </w:pPr>
            <w:r w:rsidRPr="00357FBC">
              <w:rPr>
                <w:sz w:val="20"/>
              </w:rPr>
              <w:t>0,010</w:t>
            </w:r>
          </w:p>
        </w:tc>
        <w:tc>
          <w:tcPr>
            <w:tcW w:w="851" w:type="dxa"/>
            <w:tcBorders>
              <w:top w:val="single" w:sz="12" w:space="0" w:color="auto"/>
              <w:left w:val="single" w:sz="2" w:space="0" w:color="auto"/>
              <w:bottom w:val="single" w:sz="12" w:space="0" w:color="auto"/>
              <w:right w:val="single" w:sz="2" w:space="0" w:color="auto"/>
            </w:tcBorders>
            <w:vAlign w:val="center"/>
          </w:tcPr>
          <w:p w:rsidR="00E76F98" w:rsidRPr="00357FBC" w:rsidRDefault="00E76F98" w:rsidP="00B02641">
            <w:pPr>
              <w:spacing w:before="60" w:after="60" w:line="200" w:lineRule="exact"/>
              <w:jc w:val="center"/>
              <w:rPr>
                <w:sz w:val="20"/>
                <w:szCs w:val="20"/>
              </w:rPr>
            </w:pPr>
            <w:r w:rsidRPr="00357FBC">
              <w:rPr>
                <w:sz w:val="20"/>
              </w:rPr>
              <w:t>0,010</w:t>
            </w:r>
          </w:p>
        </w:tc>
        <w:tc>
          <w:tcPr>
            <w:tcW w:w="993" w:type="dxa"/>
            <w:tcBorders>
              <w:top w:val="single" w:sz="12" w:space="0" w:color="auto"/>
              <w:left w:val="single" w:sz="2" w:space="0" w:color="auto"/>
              <w:bottom w:val="single" w:sz="12" w:space="0" w:color="auto"/>
              <w:right w:val="single" w:sz="12" w:space="0" w:color="auto"/>
            </w:tcBorders>
            <w:vAlign w:val="center"/>
          </w:tcPr>
          <w:p w:rsidR="00E76F98" w:rsidRPr="00357FBC" w:rsidRDefault="00E76F98" w:rsidP="00B02641">
            <w:pPr>
              <w:spacing w:before="60" w:after="60" w:line="200" w:lineRule="exact"/>
              <w:jc w:val="center"/>
              <w:rPr>
                <w:b/>
                <w:sz w:val="20"/>
                <w:szCs w:val="20"/>
              </w:rPr>
            </w:pPr>
            <w:r w:rsidRPr="00357FBC">
              <w:rPr>
                <w:b/>
                <w:sz w:val="20"/>
              </w:rPr>
              <w:t>0,155</w:t>
            </w:r>
          </w:p>
        </w:tc>
      </w:tr>
    </w:tbl>
    <w:p w:rsidR="00E76F98" w:rsidRPr="001B0A84" w:rsidRDefault="00E76F98" w:rsidP="00E76F98">
      <w:pPr>
        <w:rPr>
          <w:sz w:val="18"/>
        </w:rPr>
      </w:pPr>
      <w:r w:rsidRPr="00357FBC">
        <w:rPr>
          <w:sz w:val="18"/>
        </w:rPr>
        <w:t>Οι ανάγκες σε διοικητικές πιστώσεις θα καλυφθούν από τις πιστώσεις της ΓΔ που έχουν ήδη διατεθεί για τη διαχείριση της δράσης και/ή έχουν ανακατανεμηθεί στο εσωτερικό της ΓΔ και οι οποίες συμπληρωθούν, κατά περίπτωση, με πρόσθετα κονδύλια που ενδέχεται να χορηγηθούν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rsidR="00F738CE" w:rsidRPr="001B0A84" w:rsidRDefault="00F738CE" w:rsidP="00E76F98">
      <w:pPr>
        <w:rPr>
          <w:u w:val="single"/>
        </w:rPr>
        <w:sectPr w:rsidR="00F738CE" w:rsidRPr="001B0A84" w:rsidSect="001B6923">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p>
    <w:p w:rsidR="00E76F98" w:rsidRPr="00357FBC" w:rsidRDefault="00E76F98" w:rsidP="00E76F98">
      <w:pPr>
        <w:pStyle w:val="ManualHeading4"/>
        <w:rPr>
          <w:b/>
        </w:rPr>
      </w:pPr>
      <w:r w:rsidRPr="00357FBC">
        <w:t>3.2.3.2.</w:t>
      </w:r>
      <w:r w:rsidRPr="00357FBC">
        <w:tab/>
        <w:t xml:space="preserve">Εκτιμώμενες ανάγκες σε ανθρώπινους πόρους </w:t>
      </w:r>
    </w:p>
    <w:p w:rsidR="00E76F98" w:rsidRPr="00357FBC" w:rsidRDefault="00E76F98" w:rsidP="00E76F98">
      <w:pPr>
        <w:pStyle w:val="ListDash1"/>
      </w:pPr>
      <w:r w:rsidRPr="00357FBC">
        <w:sym w:font="Wingdings" w:char="F0A8"/>
      </w:r>
      <w:r w:rsidRPr="00357FBC">
        <w:tab/>
        <w:t xml:space="preserve">Η πρόταση/πρωτοβουλία δεν συνεπάγεται τη χρησιμοποίηση ανθρώπινων πόρων. </w:t>
      </w:r>
    </w:p>
    <w:p w:rsidR="00E76F98" w:rsidRPr="00357FBC" w:rsidRDefault="00E76F98" w:rsidP="00E76F98">
      <w:pPr>
        <w:pStyle w:val="ListDash1"/>
      </w:pPr>
      <w:r w:rsidRPr="00357FBC">
        <w:t>X Η πρόταση/πρωτοβουλία συνεπάγεται τη χρησιμοποίηση ανθρώπινων πόρων, όπως εξηγείται κατωτέρω:</w:t>
      </w:r>
    </w:p>
    <w:p w:rsidR="00E76F98" w:rsidRPr="00357FBC" w:rsidRDefault="00E76F98" w:rsidP="005F4874">
      <w:pPr>
        <w:spacing w:after="60"/>
        <w:jc w:val="right"/>
        <w:rPr>
          <w:i/>
          <w:sz w:val="20"/>
        </w:rPr>
      </w:pPr>
      <w:r w:rsidRPr="00357FBC">
        <w:rPr>
          <w:i/>
          <w:sz w:val="20"/>
        </w:rPr>
        <w:t>Εκτίμηση η οποία πρέπει να εκφράζεται σε μονάδες ισοδυνάμων πλήρους απασχόλησης</w:t>
      </w:r>
    </w:p>
    <w:tbl>
      <w:tblPr>
        <w:tblW w:w="4557" w:type="pct"/>
        <w:jc w:val="center"/>
        <w:tblInd w:w="-2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05"/>
        <w:gridCol w:w="1914"/>
        <w:gridCol w:w="989"/>
        <w:gridCol w:w="989"/>
        <w:gridCol w:w="991"/>
        <w:gridCol w:w="502"/>
        <w:gridCol w:w="460"/>
        <w:gridCol w:w="882"/>
        <w:gridCol w:w="853"/>
        <w:gridCol w:w="851"/>
      </w:tblGrid>
      <w:tr w:rsidR="00E76F98" w:rsidRPr="00357FBC" w:rsidTr="00B02641">
        <w:trPr>
          <w:trHeight w:val="207"/>
          <w:jc w:val="center"/>
        </w:trPr>
        <w:tc>
          <w:tcPr>
            <w:tcW w:w="1653" w:type="pct"/>
            <w:gridSpan w:val="2"/>
          </w:tcPr>
          <w:p w:rsidR="00E76F98" w:rsidRPr="00357FBC" w:rsidRDefault="00E76F98" w:rsidP="00B02641">
            <w:pPr>
              <w:pStyle w:val="Text1"/>
              <w:spacing w:before="40" w:after="40"/>
              <w:ind w:left="0"/>
              <w:jc w:val="center"/>
              <w:rPr>
                <w:i/>
                <w:sz w:val="16"/>
              </w:rPr>
            </w:pPr>
          </w:p>
        </w:tc>
        <w:tc>
          <w:tcPr>
            <w:tcW w:w="508" w:type="pct"/>
            <w:vAlign w:val="center"/>
          </w:tcPr>
          <w:p w:rsidR="00E76F98" w:rsidRPr="00357FBC" w:rsidRDefault="00E76F98" w:rsidP="00B02641">
            <w:pPr>
              <w:spacing w:before="20" w:after="20"/>
              <w:jc w:val="center"/>
            </w:pPr>
            <w:r w:rsidRPr="00357FBC">
              <w:rPr>
                <w:sz w:val="16"/>
              </w:rPr>
              <w:t>Έτος</w:t>
            </w:r>
            <w:r w:rsidRPr="00357FBC">
              <w:rPr>
                <w:sz w:val="16"/>
              </w:rPr>
              <w:br/>
            </w:r>
            <w:r w:rsidRPr="00357FBC">
              <w:rPr>
                <w:b/>
                <w:sz w:val="16"/>
              </w:rPr>
              <w:t>2017</w:t>
            </w:r>
          </w:p>
        </w:tc>
        <w:tc>
          <w:tcPr>
            <w:tcW w:w="508" w:type="pct"/>
            <w:vAlign w:val="center"/>
          </w:tcPr>
          <w:p w:rsidR="00E76F98" w:rsidRPr="00357FBC" w:rsidRDefault="00E76F98" w:rsidP="00B02641">
            <w:pPr>
              <w:spacing w:before="20" w:after="20"/>
              <w:jc w:val="center"/>
            </w:pPr>
            <w:r w:rsidRPr="00357FBC">
              <w:rPr>
                <w:sz w:val="16"/>
              </w:rPr>
              <w:t>Έτος</w:t>
            </w:r>
            <w:r w:rsidRPr="00357FBC">
              <w:rPr>
                <w:sz w:val="16"/>
              </w:rPr>
              <w:br/>
            </w:r>
            <w:r w:rsidRPr="00357FBC">
              <w:rPr>
                <w:b/>
                <w:sz w:val="16"/>
              </w:rPr>
              <w:t>2018</w:t>
            </w:r>
          </w:p>
        </w:tc>
        <w:tc>
          <w:tcPr>
            <w:tcW w:w="509" w:type="pct"/>
            <w:vAlign w:val="center"/>
          </w:tcPr>
          <w:p w:rsidR="00E76F98" w:rsidRPr="00357FBC" w:rsidRDefault="00E76F98" w:rsidP="00B02641">
            <w:pPr>
              <w:spacing w:before="20" w:after="20"/>
              <w:jc w:val="center"/>
            </w:pPr>
            <w:r w:rsidRPr="00357FBC">
              <w:rPr>
                <w:sz w:val="16"/>
              </w:rPr>
              <w:t xml:space="preserve">Έτος </w:t>
            </w:r>
            <w:r w:rsidRPr="00357FBC">
              <w:rPr>
                <w:b/>
                <w:sz w:val="16"/>
              </w:rPr>
              <w:t>2019</w:t>
            </w:r>
          </w:p>
        </w:tc>
        <w:tc>
          <w:tcPr>
            <w:tcW w:w="494" w:type="pct"/>
            <w:gridSpan w:val="2"/>
            <w:vAlign w:val="center"/>
          </w:tcPr>
          <w:p w:rsidR="00E76F98" w:rsidRPr="00357FBC" w:rsidRDefault="00E76F98" w:rsidP="00B02641">
            <w:pPr>
              <w:spacing w:before="20" w:after="20"/>
              <w:jc w:val="center"/>
              <w:rPr>
                <w:sz w:val="16"/>
              </w:rPr>
            </w:pPr>
            <w:r w:rsidRPr="00357FBC">
              <w:rPr>
                <w:sz w:val="16"/>
              </w:rPr>
              <w:t xml:space="preserve">Έτος </w:t>
            </w:r>
            <w:r w:rsidRPr="00357FBC">
              <w:rPr>
                <w:b/>
                <w:sz w:val="16"/>
              </w:rPr>
              <w:t>2020</w:t>
            </w:r>
          </w:p>
        </w:tc>
        <w:tc>
          <w:tcPr>
            <w:tcW w:w="453" w:type="pct"/>
            <w:vAlign w:val="center"/>
          </w:tcPr>
          <w:p w:rsidR="00E76F98" w:rsidRPr="00357FBC" w:rsidRDefault="00E76F98" w:rsidP="00B02641">
            <w:pPr>
              <w:jc w:val="center"/>
            </w:pPr>
            <w:r w:rsidRPr="00357FBC">
              <w:rPr>
                <w:sz w:val="16"/>
              </w:rPr>
              <w:t xml:space="preserve">Έτος </w:t>
            </w:r>
            <w:r w:rsidRPr="00357FBC">
              <w:rPr>
                <w:b/>
                <w:sz w:val="16"/>
              </w:rPr>
              <w:t>2021</w:t>
            </w:r>
          </w:p>
        </w:tc>
        <w:tc>
          <w:tcPr>
            <w:tcW w:w="438" w:type="pct"/>
            <w:vAlign w:val="center"/>
          </w:tcPr>
          <w:p w:rsidR="00E76F98" w:rsidRPr="00357FBC" w:rsidRDefault="00E76F98" w:rsidP="00B02641">
            <w:pPr>
              <w:jc w:val="center"/>
            </w:pPr>
          </w:p>
        </w:tc>
        <w:tc>
          <w:tcPr>
            <w:tcW w:w="437" w:type="pct"/>
            <w:vAlign w:val="center"/>
          </w:tcPr>
          <w:p w:rsidR="00E76F98" w:rsidRPr="00357FBC" w:rsidRDefault="00E76F98" w:rsidP="00B02641">
            <w:pPr>
              <w:jc w:val="center"/>
            </w:pPr>
          </w:p>
        </w:tc>
      </w:tr>
      <w:tr w:rsidR="00E76F98" w:rsidRPr="00357FBC" w:rsidTr="00B02641">
        <w:trPr>
          <w:gridAfter w:val="4"/>
          <w:wAfter w:w="1564" w:type="pct"/>
          <w:trHeight w:val="178"/>
          <w:jc w:val="center"/>
        </w:trPr>
        <w:tc>
          <w:tcPr>
            <w:tcW w:w="3436" w:type="pct"/>
            <w:gridSpan w:val="6"/>
            <w:tcBorders>
              <w:right w:val="nil"/>
            </w:tcBorders>
            <w:vAlign w:val="center"/>
          </w:tcPr>
          <w:p w:rsidR="00E76F98" w:rsidRPr="00357FBC" w:rsidRDefault="00E76F98" w:rsidP="00B02641">
            <w:pPr>
              <w:pStyle w:val="Text1"/>
              <w:spacing w:before="60" w:after="60"/>
              <w:ind w:left="0"/>
              <w:jc w:val="left"/>
              <w:rPr>
                <w:b/>
                <w:sz w:val="16"/>
                <w:szCs w:val="16"/>
              </w:rPr>
            </w:pPr>
            <w:r w:rsidRPr="00357FBC">
              <w:rPr>
                <w:b/>
                <w:sz w:val="16"/>
                <w:szCs w:val="16"/>
              </w:rPr>
              <w:sym w:font="Wingdings" w:char="F09F"/>
            </w:r>
            <w:r w:rsidRPr="00357FBC">
              <w:rPr>
                <w:b/>
                <w:sz w:val="16"/>
              </w:rPr>
              <w:t xml:space="preserve"> Θέσεις απασχόλησης του πίνακα προσωπικού (θέσεις μόνιμων και έκτακτων υπαλλήλων)</w:t>
            </w:r>
          </w:p>
        </w:tc>
      </w:tr>
      <w:tr w:rsidR="00E76F98" w:rsidRPr="00357FBC" w:rsidTr="00B02641">
        <w:trPr>
          <w:trHeight w:val="207"/>
          <w:jc w:val="center"/>
        </w:trPr>
        <w:tc>
          <w:tcPr>
            <w:tcW w:w="1653" w:type="pct"/>
            <w:gridSpan w:val="2"/>
            <w:vAlign w:val="center"/>
          </w:tcPr>
          <w:p w:rsidR="00E76F98" w:rsidRPr="00357FBC" w:rsidRDefault="00E76F98" w:rsidP="00B02641">
            <w:pPr>
              <w:pStyle w:val="Text1"/>
              <w:spacing w:beforeLines="20" w:before="48" w:afterLines="20" w:after="48"/>
              <w:ind w:left="134"/>
              <w:jc w:val="left"/>
            </w:pPr>
            <w:r w:rsidRPr="00357FBC">
              <w:rPr>
                <w:sz w:val="16"/>
              </w:rPr>
              <w:t>01 01 01 01 (έδρα και γραφεία αντιπροσωπείας της Επιτροπής)</w:t>
            </w:r>
          </w:p>
        </w:tc>
        <w:tc>
          <w:tcPr>
            <w:tcW w:w="508" w:type="pct"/>
            <w:vAlign w:val="center"/>
          </w:tcPr>
          <w:p w:rsidR="00E76F98" w:rsidRPr="00357FBC" w:rsidRDefault="00E76F98" w:rsidP="00B02641">
            <w:pPr>
              <w:spacing w:before="60" w:after="60" w:line="200" w:lineRule="exact"/>
              <w:jc w:val="center"/>
              <w:rPr>
                <w:sz w:val="20"/>
                <w:szCs w:val="20"/>
              </w:rPr>
            </w:pPr>
            <w:r w:rsidRPr="00357FBC">
              <w:rPr>
                <w:sz w:val="20"/>
              </w:rPr>
              <w:t>0,30</w:t>
            </w:r>
          </w:p>
        </w:tc>
        <w:tc>
          <w:tcPr>
            <w:tcW w:w="508" w:type="pct"/>
            <w:vAlign w:val="center"/>
          </w:tcPr>
          <w:p w:rsidR="00E76F98" w:rsidRPr="00357FBC" w:rsidRDefault="00E76F98" w:rsidP="00B02641">
            <w:pPr>
              <w:spacing w:before="60" w:after="60" w:line="200" w:lineRule="exact"/>
              <w:jc w:val="center"/>
              <w:rPr>
                <w:sz w:val="20"/>
                <w:szCs w:val="20"/>
              </w:rPr>
            </w:pPr>
            <w:r w:rsidRPr="00357FBC">
              <w:rPr>
                <w:sz w:val="20"/>
              </w:rPr>
              <w:t>0,42</w:t>
            </w:r>
          </w:p>
        </w:tc>
        <w:tc>
          <w:tcPr>
            <w:tcW w:w="509" w:type="pct"/>
            <w:vAlign w:val="center"/>
          </w:tcPr>
          <w:p w:rsidR="00E76F98" w:rsidRPr="00357FBC" w:rsidRDefault="00E76F98" w:rsidP="00B02641">
            <w:pPr>
              <w:spacing w:before="60" w:after="60" w:line="200" w:lineRule="exact"/>
              <w:jc w:val="center"/>
              <w:rPr>
                <w:sz w:val="20"/>
                <w:szCs w:val="20"/>
              </w:rPr>
            </w:pPr>
            <w:r w:rsidRPr="00357FBC">
              <w:rPr>
                <w:sz w:val="20"/>
              </w:rPr>
              <w:t>0,04</w:t>
            </w:r>
          </w:p>
        </w:tc>
        <w:tc>
          <w:tcPr>
            <w:tcW w:w="494" w:type="pct"/>
            <w:gridSpan w:val="2"/>
            <w:vAlign w:val="center"/>
          </w:tcPr>
          <w:p w:rsidR="00E76F98" w:rsidRPr="00357FBC" w:rsidRDefault="00E76F98" w:rsidP="00B02641">
            <w:pPr>
              <w:spacing w:before="60" w:after="60" w:line="200" w:lineRule="exact"/>
              <w:jc w:val="center"/>
              <w:rPr>
                <w:sz w:val="20"/>
                <w:szCs w:val="20"/>
              </w:rPr>
            </w:pPr>
            <w:r w:rsidRPr="00357FBC">
              <w:rPr>
                <w:sz w:val="20"/>
              </w:rPr>
              <w:t>0,07</w:t>
            </w:r>
          </w:p>
        </w:tc>
        <w:tc>
          <w:tcPr>
            <w:tcW w:w="453" w:type="pct"/>
            <w:vAlign w:val="center"/>
          </w:tcPr>
          <w:p w:rsidR="00E76F98" w:rsidRPr="00357FBC" w:rsidRDefault="00E76F98" w:rsidP="00B02641">
            <w:pPr>
              <w:spacing w:before="60" w:after="60" w:line="200" w:lineRule="exact"/>
              <w:jc w:val="center"/>
              <w:rPr>
                <w:sz w:val="20"/>
                <w:szCs w:val="20"/>
              </w:rPr>
            </w:pPr>
            <w:r w:rsidRPr="00357FBC">
              <w:rPr>
                <w:sz w:val="20"/>
              </w:rPr>
              <w:t>0,07</w:t>
            </w:r>
          </w:p>
        </w:tc>
        <w:tc>
          <w:tcPr>
            <w:tcW w:w="438" w:type="pct"/>
            <w:vAlign w:val="center"/>
          </w:tcPr>
          <w:p w:rsidR="00E76F98" w:rsidRPr="00357FBC" w:rsidRDefault="00E76F98" w:rsidP="00B02641">
            <w:pPr>
              <w:spacing w:beforeLines="20" w:before="48" w:afterLines="20" w:after="48"/>
              <w:jc w:val="center"/>
              <w:rPr>
                <w:sz w:val="16"/>
              </w:rPr>
            </w:pPr>
          </w:p>
        </w:tc>
        <w:tc>
          <w:tcPr>
            <w:tcW w:w="437" w:type="pct"/>
            <w:vAlign w:val="center"/>
          </w:tcPr>
          <w:p w:rsidR="00E76F98" w:rsidRPr="00357FBC" w:rsidRDefault="00E76F98" w:rsidP="00B02641">
            <w:pPr>
              <w:spacing w:beforeLines="20" w:before="48" w:afterLines="20" w:after="48"/>
              <w:jc w:val="center"/>
              <w:rPr>
                <w:sz w:val="16"/>
              </w:rPr>
            </w:pPr>
          </w:p>
        </w:tc>
      </w:tr>
      <w:tr w:rsidR="00E76F98" w:rsidRPr="00357FBC" w:rsidTr="00B02641">
        <w:trPr>
          <w:trHeight w:val="207"/>
          <w:jc w:val="center"/>
        </w:trPr>
        <w:tc>
          <w:tcPr>
            <w:tcW w:w="1653" w:type="pct"/>
            <w:gridSpan w:val="2"/>
            <w:vAlign w:val="center"/>
          </w:tcPr>
          <w:p w:rsidR="00E76F98" w:rsidRPr="00357FBC" w:rsidRDefault="00E76F98" w:rsidP="00B02641">
            <w:pPr>
              <w:pStyle w:val="Text1"/>
              <w:spacing w:beforeLines="20" w:before="48" w:afterLines="20" w:after="48"/>
              <w:ind w:left="134"/>
              <w:jc w:val="left"/>
            </w:pPr>
            <w:r w:rsidRPr="00357FBC">
              <w:rPr>
                <w:sz w:val="16"/>
              </w:rPr>
              <w:t>XX 01 01 02 (σε αντιπροσωπεία)</w:t>
            </w:r>
          </w:p>
        </w:tc>
        <w:tc>
          <w:tcPr>
            <w:tcW w:w="508" w:type="pct"/>
            <w:vAlign w:val="center"/>
          </w:tcPr>
          <w:p w:rsidR="00E76F98" w:rsidRPr="00357FBC" w:rsidRDefault="00E76F98" w:rsidP="00B02641">
            <w:pPr>
              <w:spacing w:beforeLines="20" w:before="48" w:afterLines="20" w:after="48"/>
              <w:jc w:val="center"/>
              <w:rPr>
                <w:sz w:val="20"/>
                <w:szCs w:val="20"/>
              </w:rPr>
            </w:pPr>
          </w:p>
        </w:tc>
        <w:tc>
          <w:tcPr>
            <w:tcW w:w="508" w:type="pct"/>
            <w:vAlign w:val="center"/>
          </w:tcPr>
          <w:p w:rsidR="00E76F98" w:rsidRPr="00357FBC" w:rsidRDefault="00E76F98" w:rsidP="00B02641">
            <w:pPr>
              <w:spacing w:beforeLines="20" w:before="48" w:afterLines="20" w:after="48"/>
              <w:jc w:val="center"/>
              <w:rPr>
                <w:sz w:val="20"/>
                <w:szCs w:val="20"/>
              </w:rPr>
            </w:pPr>
          </w:p>
        </w:tc>
        <w:tc>
          <w:tcPr>
            <w:tcW w:w="509" w:type="pct"/>
            <w:vAlign w:val="center"/>
          </w:tcPr>
          <w:p w:rsidR="00E76F98" w:rsidRPr="00357FBC" w:rsidRDefault="00E76F98" w:rsidP="00B02641">
            <w:pPr>
              <w:spacing w:beforeLines="20" w:before="48" w:afterLines="20" w:after="48"/>
              <w:jc w:val="center"/>
              <w:rPr>
                <w:sz w:val="20"/>
                <w:szCs w:val="20"/>
              </w:rPr>
            </w:pPr>
          </w:p>
        </w:tc>
        <w:tc>
          <w:tcPr>
            <w:tcW w:w="494" w:type="pct"/>
            <w:gridSpan w:val="2"/>
          </w:tcPr>
          <w:p w:rsidR="00E76F98" w:rsidRPr="00357FBC" w:rsidRDefault="00E76F98" w:rsidP="00B02641">
            <w:pPr>
              <w:spacing w:beforeLines="20" w:before="48" w:afterLines="20" w:after="48"/>
              <w:jc w:val="center"/>
              <w:rPr>
                <w:sz w:val="20"/>
                <w:szCs w:val="20"/>
              </w:rPr>
            </w:pPr>
          </w:p>
        </w:tc>
        <w:tc>
          <w:tcPr>
            <w:tcW w:w="453" w:type="pct"/>
            <w:vAlign w:val="center"/>
          </w:tcPr>
          <w:p w:rsidR="00E76F98" w:rsidRPr="00357FBC" w:rsidRDefault="00E76F98" w:rsidP="00B02641">
            <w:pPr>
              <w:spacing w:beforeLines="20" w:before="48" w:afterLines="20" w:after="48"/>
              <w:jc w:val="center"/>
              <w:rPr>
                <w:sz w:val="16"/>
              </w:rPr>
            </w:pPr>
          </w:p>
        </w:tc>
        <w:tc>
          <w:tcPr>
            <w:tcW w:w="438" w:type="pct"/>
            <w:vAlign w:val="center"/>
          </w:tcPr>
          <w:p w:rsidR="00E76F98" w:rsidRPr="00357FBC" w:rsidRDefault="00E76F98" w:rsidP="00B02641">
            <w:pPr>
              <w:spacing w:beforeLines="20" w:before="48" w:afterLines="20" w:after="48"/>
              <w:jc w:val="center"/>
              <w:rPr>
                <w:sz w:val="16"/>
              </w:rPr>
            </w:pPr>
          </w:p>
        </w:tc>
        <w:tc>
          <w:tcPr>
            <w:tcW w:w="437" w:type="pct"/>
            <w:vAlign w:val="center"/>
          </w:tcPr>
          <w:p w:rsidR="00E76F98" w:rsidRPr="00357FBC" w:rsidRDefault="00E76F98" w:rsidP="00B02641">
            <w:pPr>
              <w:spacing w:beforeLines="20" w:before="48" w:afterLines="20" w:after="48"/>
              <w:jc w:val="center"/>
              <w:rPr>
                <w:sz w:val="16"/>
              </w:rPr>
            </w:pPr>
          </w:p>
        </w:tc>
      </w:tr>
      <w:tr w:rsidR="00E76F98" w:rsidRPr="00357FBC" w:rsidTr="00B02641">
        <w:trPr>
          <w:trHeight w:val="207"/>
          <w:jc w:val="center"/>
        </w:trPr>
        <w:tc>
          <w:tcPr>
            <w:tcW w:w="1653" w:type="pct"/>
            <w:gridSpan w:val="2"/>
            <w:vAlign w:val="center"/>
          </w:tcPr>
          <w:p w:rsidR="00E76F98" w:rsidRPr="00357FBC" w:rsidRDefault="00E76F98" w:rsidP="00B02641">
            <w:pPr>
              <w:pStyle w:val="Text1"/>
              <w:spacing w:beforeLines="20" w:before="48" w:afterLines="20" w:after="48"/>
              <w:ind w:left="134"/>
              <w:jc w:val="left"/>
            </w:pPr>
            <w:r w:rsidRPr="00357FBC">
              <w:rPr>
                <w:sz w:val="16"/>
              </w:rPr>
              <w:t>XX 01 05 01 (έμμεση έρευνα)</w:t>
            </w:r>
          </w:p>
        </w:tc>
        <w:tc>
          <w:tcPr>
            <w:tcW w:w="508" w:type="pct"/>
            <w:vAlign w:val="center"/>
          </w:tcPr>
          <w:p w:rsidR="00E76F98" w:rsidRPr="00357FBC" w:rsidRDefault="00E76F98" w:rsidP="00B02641">
            <w:pPr>
              <w:spacing w:beforeLines="20" w:before="48" w:afterLines="20" w:after="48"/>
              <w:jc w:val="center"/>
              <w:rPr>
                <w:sz w:val="16"/>
              </w:rPr>
            </w:pPr>
          </w:p>
        </w:tc>
        <w:tc>
          <w:tcPr>
            <w:tcW w:w="508" w:type="pct"/>
            <w:vAlign w:val="center"/>
          </w:tcPr>
          <w:p w:rsidR="00E76F98" w:rsidRPr="00357FBC" w:rsidRDefault="00E76F98" w:rsidP="00B02641">
            <w:pPr>
              <w:spacing w:beforeLines="20" w:before="48" w:afterLines="20" w:after="48"/>
              <w:jc w:val="center"/>
              <w:rPr>
                <w:sz w:val="16"/>
              </w:rPr>
            </w:pPr>
          </w:p>
        </w:tc>
        <w:tc>
          <w:tcPr>
            <w:tcW w:w="509" w:type="pct"/>
            <w:vAlign w:val="center"/>
          </w:tcPr>
          <w:p w:rsidR="00E76F98" w:rsidRPr="00357FBC" w:rsidRDefault="00E76F98" w:rsidP="00B02641">
            <w:pPr>
              <w:spacing w:beforeLines="20" w:before="48" w:afterLines="20" w:after="48"/>
              <w:jc w:val="center"/>
              <w:rPr>
                <w:sz w:val="16"/>
              </w:rPr>
            </w:pPr>
          </w:p>
        </w:tc>
        <w:tc>
          <w:tcPr>
            <w:tcW w:w="494" w:type="pct"/>
            <w:gridSpan w:val="2"/>
          </w:tcPr>
          <w:p w:rsidR="00E76F98" w:rsidRPr="00357FBC" w:rsidRDefault="00E76F98" w:rsidP="00B02641">
            <w:pPr>
              <w:spacing w:beforeLines="20" w:before="48" w:afterLines="20" w:after="48"/>
              <w:jc w:val="center"/>
              <w:rPr>
                <w:sz w:val="16"/>
              </w:rPr>
            </w:pPr>
          </w:p>
        </w:tc>
        <w:tc>
          <w:tcPr>
            <w:tcW w:w="453" w:type="pct"/>
            <w:vAlign w:val="center"/>
          </w:tcPr>
          <w:p w:rsidR="00E76F98" w:rsidRPr="00357FBC" w:rsidRDefault="00E76F98" w:rsidP="00B02641">
            <w:pPr>
              <w:spacing w:beforeLines="20" w:before="48" w:afterLines="20" w:after="48"/>
              <w:jc w:val="center"/>
              <w:rPr>
                <w:sz w:val="16"/>
              </w:rPr>
            </w:pPr>
          </w:p>
        </w:tc>
        <w:tc>
          <w:tcPr>
            <w:tcW w:w="438" w:type="pct"/>
            <w:vAlign w:val="center"/>
          </w:tcPr>
          <w:p w:rsidR="00E76F98" w:rsidRPr="00357FBC" w:rsidRDefault="00E76F98" w:rsidP="00B02641">
            <w:pPr>
              <w:spacing w:beforeLines="20" w:before="48" w:afterLines="20" w:after="48"/>
              <w:jc w:val="center"/>
              <w:rPr>
                <w:sz w:val="16"/>
              </w:rPr>
            </w:pPr>
          </w:p>
        </w:tc>
        <w:tc>
          <w:tcPr>
            <w:tcW w:w="437" w:type="pct"/>
            <w:vAlign w:val="center"/>
          </w:tcPr>
          <w:p w:rsidR="00E76F98" w:rsidRPr="00357FBC" w:rsidRDefault="00E76F98" w:rsidP="00B02641">
            <w:pPr>
              <w:spacing w:beforeLines="20" w:before="48" w:afterLines="20" w:after="48"/>
              <w:jc w:val="center"/>
              <w:rPr>
                <w:sz w:val="16"/>
              </w:rPr>
            </w:pPr>
          </w:p>
        </w:tc>
      </w:tr>
      <w:tr w:rsidR="00E76F98" w:rsidRPr="00357FBC" w:rsidTr="00B02641">
        <w:trPr>
          <w:trHeight w:val="207"/>
          <w:jc w:val="center"/>
        </w:trPr>
        <w:tc>
          <w:tcPr>
            <w:tcW w:w="1653" w:type="pct"/>
            <w:gridSpan w:val="2"/>
            <w:vAlign w:val="center"/>
          </w:tcPr>
          <w:p w:rsidR="00E76F98" w:rsidRPr="00357FBC" w:rsidRDefault="00E76F98" w:rsidP="00B02641">
            <w:pPr>
              <w:pStyle w:val="Text1"/>
              <w:spacing w:beforeLines="20" w:before="48" w:afterLines="20" w:after="48"/>
              <w:ind w:left="134"/>
              <w:jc w:val="left"/>
            </w:pPr>
            <w:r w:rsidRPr="00357FBC">
              <w:rPr>
                <w:sz w:val="16"/>
              </w:rPr>
              <w:t>10 01 05 01 (άμεση έρευνα)</w:t>
            </w:r>
          </w:p>
        </w:tc>
        <w:tc>
          <w:tcPr>
            <w:tcW w:w="508" w:type="pct"/>
            <w:vAlign w:val="center"/>
          </w:tcPr>
          <w:p w:rsidR="00E76F98" w:rsidRPr="00357FBC" w:rsidRDefault="00E76F98" w:rsidP="00B02641">
            <w:pPr>
              <w:spacing w:beforeLines="20" w:before="48" w:afterLines="20" w:after="48"/>
              <w:jc w:val="center"/>
              <w:rPr>
                <w:sz w:val="16"/>
              </w:rPr>
            </w:pPr>
          </w:p>
        </w:tc>
        <w:tc>
          <w:tcPr>
            <w:tcW w:w="508" w:type="pct"/>
            <w:vAlign w:val="center"/>
          </w:tcPr>
          <w:p w:rsidR="00E76F98" w:rsidRPr="00357FBC" w:rsidRDefault="00E76F98" w:rsidP="00B02641">
            <w:pPr>
              <w:spacing w:beforeLines="20" w:before="48" w:afterLines="20" w:after="48"/>
              <w:jc w:val="center"/>
              <w:rPr>
                <w:sz w:val="16"/>
              </w:rPr>
            </w:pPr>
          </w:p>
        </w:tc>
        <w:tc>
          <w:tcPr>
            <w:tcW w:w="509" w:type="pct"/>
            <w:vAlign w:val="center"/>
          </w:tcPr>
          <w:p w:rsidR="00E76F98" w:rsidRPr="00357FBC" w:rsidRDefault="00E76F98" w:rsidP="00B02641">
            <w:pPr>
              <w:spacing w:beforeLines="20" w:before="48" w:afterLines="20" w:after="48"/>
              <w:jc w:val="center"/>
              <w:rPr>
                <w:sz w:val="16"/>
              </w:rPr>
            </w:pPr>
          </w:p>
        </w:tc>
        <w:tc>
          <w:tcPr>
            <w:tcW w:w="494" w:type="pct"/>
            <w:gridSpan w:val="2"/>
          </w:tcPr>
          <w:p w:rsidR="00E76F98" w:rsidRPr="00357FBC" w:rsidRDefault="00E76F98" w:rsidP="00B02641">
            <w:pPr>
              <w:spacing w:beforeLines="20" w:before="48" w:afterLines="20" w:after="48"/>
              <w:jc w:val="center"/>
              <w:rPr>
                <w:sz w:val="16"/>
              </w:rPr>
            </w:pPr>
          </w:p>
        </w:tc>
        <w:tc>
          <w:tcPr>
            <w:tcW w:w="453" w:type="pct"/>
            <w:vAlign w:val="center"/>
          </w:tcPr>
          <w:p w:rsidR="00E76F98" w:rsidRPr="00357FBC" w:rsidRDefault="00E76F98" w:rsidP="00B02641">
            <w:pPr>
              <w:spacing w:beforeLines="20" w:before="48" w:afterLines="20" w:after="48"/>
              <w:jc w:val="center"/>
              <w:rPr>
                <w:sz w:val="16"/>
              </w:rPr>
            </w:pPr>
          </w:p>
        </w:tc>
        <w:tc>
          <w:tcPr>
            <w:tcW w:w="438" w:type="pct"/>
            <w:vAlign w:val="center"/>
          </w:tcPr>
          <w:p w:rsidR="00E76F98" w:rsidRPr="00357FBC" w:rsidRDefault="00E76F98" w:rsidP="00B02641">
            <w:pPr>
              <w:spacing w:beforeLines="20" w:before="48" w:afterLines="20" w:after="48"/>
              <w:jc w:val="center"/>
              <w:rPr>
                <w:sz w:val="16"/>
              </w:rPr>
            </w:pPr>
          </w:p>
        </w:tc>
        <w:tc>
          <w:tcPr>
            <w:tcW w:w="437" w:type="pct"/>
            <w:vAlign w:val="center"/>
          </w:tcPr>
          <w:p w:rsidR="00E76F98" w:rsidRPr="00357FBC" w:rsidRDefault="00E76F98" w:rsidP="00B02641">
            <w:pPr>
              <w:spacing w:beforeLines="20" w:before="48" w:afterLines="20" w:after="48"/>
              <w:jc w:val="center"/>
              <w:rPr>
                <w:sz w:val="16"/>
              </w:rPr>
            </w:pPr>
          </w:p>
        </w:tc>
      </w:tr>
      <w:tr w:rsidR="00E76F98" w:rsidRPr="00357FBC" w:rsidTr="00B02641">
        <w:trPr>
          <w:trHeight w:val="178"/>
          <w:jc w:val="center"/>
        </w:trPr>
        <w:tc>
          <w:tcPr>
            <w:tcW w:w="5000" w:type="pct"/>
            <w:gridSpan w:val="10"/>
          </w:tcPr>
          <w:p w:rsidR="00E76F98" w:rsidRPr="00357FBC" w:rsidRDefault="00E76F98" w:rsidP="00B02641">
            <w:pPr>
              <w:pStyle w:val="Text1"/>
              <w:spacing w:before="60" w:after="60"/>
              <w:ind w:left="0"/>
              <w:jc w:val="left"/>
              <w:rPr>
                <w:b/>
                <w:sz w:val="16"/>
              </w:rPr>
            </w:pPr>
            <w:r w:rsidRPr="00357FBC">
              <w:rPr>
                <w:b/>
                <w:sz w:val="16"/>
                <w:szCs w:val="16"/>
              </w:rPr>
              <w:sym w:font="Wingdings" w:char="F09F"/>
            </w:r>
            <w:r w:rsidRPr="00357FBC">
              <w:rPr>
                <w:b/>
                <w:sz w:val="16"/>
              </w:rPr>
              <w:t>Εξωτερικό προσωπικό (σε μονάδα ισοδυνάμου πλήρους απασχόλησης: ΙΠΑ)</w:t>
            </w:r>
            <w:r w:rsidRPr="00357FBC">
              <w:rPr>
                <w:rStyle w:val="FootnoteReference"/>
                <w:b/>
                <w:sz w:val="16"/>
              </w:rPr>
              <w:footnoteReference w:id="26"/>
            </w:r>
          </w:p>
          <w:p w:rsidR="00E76F98" w:rsidRPr="00357FBC" w:rsidRDefault="00E76F98" w:rsidP="00B02641">
            <w:pPr>
              <w:pStyle w:val="Text1"/>
              <w:spacing w:before="0" w:after="0"/>
              <w:ind w:left="0"/>
              <w:jc w:val="left"/>
              <w:rPr>
                <w:sz w:val="16"/>
              </w:rPr>
            </w:pPr>
          </w:p>
        </w:tc>
      </w:tr>
      <w:tr w:rsidR="00E76F98" w:rsidRPr="00357FBC" w:rsidTr="00B02641">
        <w:trPr>
          <w:trHeight w:val="207"/>
          <w:jc w:val="center"/>
        </w:trPr>
        <w:tc>
          <w:tcPr>
            <w:tcW w:w="1653" w:type="pct"/>
            <w:gridSpan w:val="2"/>
            <w:vAlign w:val="center"/>
          </w:tcPr>
          <w:p w:rsidR="00E76F98" w:rsidRPr="00357FBC" w:rsidRDefault="00E76F98" w:rsidP="00B02641">
            <w:pPr>
              <w:pStyle w:val="Text1"/>
              <w:spacing w:beforeLines="20" w:before="48" w:afterLines="20" w:after="48"/>
              <w:ind w:left="136"/>
              <w:jc w:val="left"/>
            </w:pPr>
            <w:r w:rsidRPr="00357FBC">
              <w:rPr>
                <w:sz w:val="16"/>
              </w:rPr>
              <w:t>XX 01 02 01 (CA, INT, SNE από το «συνολικό κονδύλιο»)</w:t>
            </w:r>
          </w:p>
        </w:tc>
        <w:tc>
          <w:tcPr>
            <w:tcW w:w="508" w:type="pct"/>
            <w:vAlign w:val="center"/>
          </w:tcPr>
          <w:p w:rsidR="00E76F98" w:rsidRPr="00357FBC" w:rsidRDefault="00E76F98" w:rsidP="00B02641">
            <w:pPr>
              <w:spacing w:beforeLines="20" w:before="48" w:afterLines="20" w:after="48"/>
              <w:jc w:val="center"/>
              <w:rPr>
                <w:sz w:val="20"/>
                <w:szCs w:val="20"/>
              </w:rPr>
            </w:pPr>
          </w:p>
        </w:tc>
        <w:tc>
          <w:tcPr>
            <w:tcW w:w="508" w:type="pct"/>
            <w:vAlign w:val="center"/>
          </w:tcPr>
          <w:p w:rsidR="00E76F98" w:rsidRPr="00357FBC" w:rsidRDefault="00E76F98" w:rsidP="00B02641">
            <w:pPr>
              <w:spacing w:beforeLines="20" w:before="48" w:afterLines="20" w:after="48"/>
              <w:jc w:val="center"/>
              <w:rPr>
                <w:sz w:val="20"/>
                <w:szCs w:val="20"/>
              </w:rPr>
            </w:pPr>
          </w:p>
        </w:tc>
        <w:tc>
          <w:tcPr>
            <w:tcW w:w="509" w:type="pct"/>
            <w:vAlign w:val="center"/>
          </w:tcPr>
          <w:p w:rsidR="00E76F98" w:rsidRPr="00357FBC" w:rsidRDefault="00E76F98" w:rsidP="00B02641">
            <w:pPr>
              <w:spacing w:beforeLines="20" w:before="48" w:afterLines="20" w:after="48"/>
              <w:jc w:val="center"/>
              <w:rPr>
                <w:sz w:val="20"/>
                <w:szCs w:val="20"/>
              </w:rPr>
            </w:pPr>
          </w:p>
        </w:tc>
        <w:tc>
          <w:tcPr>
            <w:tcW w:w="494" w:type="pct"/>
            <w:gridSpan w:val="2"/>
          </w:tcPr>
          <w:p w:rsidR="00E76F98" w:rsidRPr="00357FBC" w:rsidRDefault="00E76F98" w:rsidP="00B02641">
            <w:pPr>
              <w:spacing w:beforeLines="20" w:before="48" w:afterLines="20" w:after="48"/>
              <w:jc w:val="center"/>
              <w:rPr>
                <w:sz w:val="20"/>
                <w:szCs w:val="20"/>
              </w:rPr>
            </w:pPr>
          </w:p>
        </w:tc>
        <w:tc>
          <w:tcPr>
            <w:tcW w:w="453" w:type="pct"/>
            <w:vAlign w:val="center"/>
          </w:tcPr>
          <w:p w:rsidR="00E76F98" w:rsidRPr="00357FBC" w:rsidRDefault="00E76F98" w:rsidP="00B02641">
            <w:pPr>
              <w:spacing w:beforeLines="20" w:before="48" w:afterLines="20" w:after="48"/>
              <w:jc w:val="center"/>
              <w:rPr>
                <w:sz w:val="16"/>
              </w:rPr>
            </w:pPr>
          </w:p>
        </w:tc>
        <w:tc>
          <w:tcPr>
            <w:tcW w:w="438" w:type="pct"/>
            <w:vAlign w:val="center"/>
          </w:tcPr>
          <w:p w:rsidR="00E76F98" w:rsidRPr="00357FBC" w:rsidRDefault="00E76F98" w:rsidP="00B02641">
            <w:pPr>
              <w:spacing w:beforeLines="20" w:before="48" w:afterLines="20" w:after="48"/>
              <w:jc w:val="center"/>
              <w:rPr>
                <w:sz w:val="16"/>
              </w:rPr>
            </w:pPr>
          </w:p>
        </w:tc>
        <w:tc>
          <w:tcPr>
            <w:tcW w:w="437" w:type="pct"/>
            <w:vAlign w:val="center"/>
          </w:tcPr>
          <w:p w:rsidR="00E76F98" w:rsidRPr="00357FBC" w:rsidRDefault="00E76F98" w:rsidP="00B02641">
            <w:pPr>
              <w:spacing w:beforeLines="20" w:before="48" w:afterLines="20" w:after="48"/>
              <w:jc w:val="center"/>
              <w:rPr>
                <w:sz w:val="16"/>
              </w:rPr>
            </w:pPr>
          </w:p>
        </w:tc>
      </w:tr>
      <w:tr w:rsidR="00E76F98" w:rsidRPr="00357FBC" w:rsidTr="00B02641">
        <w:trPr>
          <w:trHeight w:val="207"/>
          <w:jc w:val="center"/>
        </w:trPr>
        <w:tc>
          <w:tcPr>
            <w:tcW w:w="1653" w:type="pct"/>
            <w:gridSpan w:val="2"/>
            <w:vAlign w:val="center"/>
          </w:tcPr>
          <w:p w:rsidR="00E76F98" w:rsidRPr="00357FBC" w:rsidRDefault="00E76F98" w:rsidP="00B02641">
            <w:pPr>
              <w:pStyle w:val="Text1"/>
              <w:spacing w:beforeLines="20" w:before="48" w:afterLines="20" w:after="48"/>
              <w:ind w:left="136"/>
              <w:jc w:val="left"/>
            </w:pPr>
            <w:r w:rsidRPr="00357FBC">
              <w:rPr>
                <w:sz w:val="16"/>
              </w:rPr>
              <w:t>XX 01 02 02 (CA, INT, JED, LA και SNE στις αντιπροσωπείες)</w:t>
            </w:r>
          </w:p>
        </w:tc>
        <w:tc>
          <w:tcPr>
            <w:tcW w:w="508" w:type="pct"/>
            <w:vAlign w:val="center"/>
          </w:tcPr>
          <w:p w:rsidR="00E76F98" w:rsidRPr="00357FBC" w:rsidRDefault="00E76F98" w:rsidP="00B02641">
            <w:pPr>
              <w:spacing w:beforeLines="20" w:before="48" w:afterLines="20" w:after="48"/>
              <w:jc w:val="center"/>
              <w:rPr>
                <w:sz w:val="16"/>
              </w:rPr>
            </w:pPr>
          </w:p>
        </w:tc>
        <w:tc>
          <w:tcPr>
            <w:tcW w:w="508" w:type="pct"/>
            <w:vAlign w:val="center"/>
          </w:tcPr>
          <w:p w:rsidR="00E76F98" w:rsidRPr="00357FBC" w:rsidRDefault="00E76F98" w:rsidP="00B02641">
            <w:pPr>
              <w:spacing w:beforeLines="20" w:before="48" w:afterLines="20" w:after="48"/>
              <w:jc w:val="center"/>
              <w:rPr>
                <w:sz w:val="16"/>
              </w:rPr>
            </w:pPr>
          </w:p>
        </w:tc>
        <w:tc>
          <w:tcPr>
            <w:tcW w:w="509" w:type="pct"/>
            <w:vAlign w:val="center"/>
          </w:tcPr>
          <w:p w:rsidR="00E76F98" w:rsidRPr="00357FBC" w:rsidRDefault="00E76F98" w:rsidP="00B02641">
            <w:pPr>
              <w:spacing w:beforeLines="20" w:before="48" w:afterLines="20" w:after="48"/>
              <w:jc w:val="center"/>
              <w:rPr>
                <w:sz w:val="16"/>
              </w:rPr>
            </w:pPr>
          </w:p>
        </w:tc>
        <w:tc>
          <w:tcPr>
            <w:tcW w:w="494" w:type="pct"/>
            <w:gridSpan w:val="2"/>
          </w:tcPr>
          <w:p w:rsidR="00E76F98" w:rsidRPr="00357FBC" w:rsidRDefault="00E76F98" w:rsidP="00B02641">
            <w:pPr>
              <w:spacing w:beforeLines="20" w:before="48" w:afterLines="20" w:after="48"/>
              <w:jc w:val="center"/>
              <w:rPr>
                <w:sz w:val="16"/>
              </w:rPr>
            </w:pPr>
          </w:p>
        </w:tc>
        <w:tc>
          <w:tcPr>
            <w:tcW w:w="453" w:type="pct"/>
            <w:vAlign w:val="center"/>
          </w:tcPr>
          <w:p w:rsidR="00E76F98" w:rsidRPr="00357FBC" w:rsidRDefault="00E76F98" w:rsidP="00B02641">
            <w:pPr>
              <w:spacing w:beforeLines="20" w:before="48" w:afterLines="20" w:after="48"/>
              <w:jc w:val="center"/>
              <w:rPr>
                <w:sz w:val="16"/>
              </w:rPr>
            </w:pPr>
          </w:p>
        </w:tc>
        <w:tc>
          <w:tcPr>
            <w:tcW w:w="438" w:type="pct"/>
            <w:vAlign w:val="center"/>
          </w:tcPr>
          <w:p w:rsidR="00E76F98" w:rsidRPr="00357FBC" w:rsidRDefault="00E76F98" w:rsidP="00B02641">
            <w:pPr>
              <w:spacing w:beforeLines="20" w:before="48" w:afterLines="20" w:after="48"/>
              <w:jc w:val="center"/>
              <w:rPr>
                <w:sz w:val="16"/>
              </w:rPr>
            </w:pPr>
          </w:p>
        </w:tc>
        <w:tc>
          <w:tcPr>
            <w:tcW w:w="437" w:type="pct"/>
            <w:vAlign w:val="center"/>
          </w:tcPr>
          <w:p w:rsidR="00E76F98" w:rsidRPr="00357FBC" w:rsidRDefault="00E76F98" w:rsidP="00B02641">
            <w:pPr>
              <w:spacing w:beforeLines="20" w:before="48" w:afterLines="20" w:after="48"/>
              <w:jc w:val="center"/>
              <w:rPr>
                <w:sz w:val="16"/>
              </w:rPr>
            </w:pPr>
          </w:p>
        </w:tc>
      </w:tr>
      <w:tr w:rsidR="00E76F98" w:rsidRPr="00357FBC" w:rsidTr="00B02641">
        <w:trPr>
          <w:trHeight w:val="207"/>
          <w:jc w:val="center"/>
        </w:trPr>
        <w:tc>
          <w:tcPr>
            <w:tcW w:w="670" w:type="pct"/>
            <w:vMerge w:val="restart"/>
            <w:vAlign w:val="center"/>
          </w:tcPr>
          <w:p w:rsidR="00E76F98" w:rsidRPr="00357FBC" w:rsidRDefault="00E76F98" w:rsidP="00B02641">
            <w:pPr>
              <w:pStyle w:val="Text1"/>
              <w:spacing w:beforeLines="20" w:before="48" w:afterLines="20" w:after="48"/>
              <w:ind w:left="136"/>
              <w:jc w:val="left"/>
              <w:rPr>
                <w:b/>
                <w:sz w:val="16"/>
              </w:rPr>
            </w:pPr>
            <w:r w:rsidRPr="00357FBC">
              <w:rPr>
                <w:b/>
                <w:sz w:val="16"/>
              </w:rPr>
              <w:t>XX</w:t>
            </w:r>
            <w:r w:rsidRPr="00357FBC">
              <w:rPr>
                <w:sz w:val="16"/>
              </w:rPr>
              <w:t xml:space="preserve"> 01 04 </w:t>
            </w:r>
            <w:r w:rsidRPr="00357FBC">
              <w:rPr>
                <w:b/>
                <w:sz w:val="16"/>
              </w:rPr>
              <w:t>yy</w:t>
            </w:r>
            <w:r w:rsidRPr="00357FBC">
              <w:rPr>
                <w:rStyle w:val="FootnoteReference"/>
                <w:b/>
                <w:sz w:val="16"/>
              </w:rPr>
              <w:footnoteReference w:id="27"/>
            </w:r>
          </w:p>
          <w:p w:rsidR="00E76F98" w:rsidRPr="00357FBC" w:rsidRDefault="00E76F98" w:rsidP="00B02641">
            <w:pPr>
              <w:pStyle w:val="Text1"/>
              <w:spacing w:beforeLines="20" w:before="48" w:afterLines="20" w:after="48"/>
              <w:ind w:left="136"/>
              <w:jc w:val="left"/>
              <w:rPr>
                <w:b/>
                <w:sz w:val="16"/>
              </w:rPr>
            </w:pPr>
          </w:p>
        </w:tc>
        <w:tc>
          <w:tcPr>
            <w:tcW w:w="983" w:type="pct"/>
            <w:vAlign w:val="center"/>
          </w:tcPr>
          <w:p w:rsidR="00E76F98" w:rsidRPr="00357FBC" w:rsidRDefault="00E76F98" w:rsidP="00B02641">
            <w:pPr>
              <w:pStyle w:val="Text1"/>
              <w:spacing w:beforeLines="20" w:before="48" w:afterLines="20" w:after="48"/>
              <w:ind w:left="136"/>
              <w:jc w:val="left"/>
              <w:rPr>
                <w:b/>
                <w:sz w:val="16"/>
              </w:rPr>
            </w:pPr>
            <w:r w:rsidRPr="00357FBC">
              <w:rPr>
                <w:sz w:val="16"/>
              </w:rPr>
              <w:t>- στην έδρα</w:t>
            </w:r>
          </w:p>
        </w:tc>
        <w:tc>
          <w:tcPr>
            <w:tcW w:w="508" w:type="pct"/>
            <w:vAlign w:val="center"/>
          </w:tcPr>
          <w:p w:rsidR="00E76F98" w:rsidRPr="00357FBC" w:rsidRDefault="00E76F98" w:rsidP="00B02641">
            <w:pPr>
              <w:pStyle w:val="Text1"/>
              <w:spacing w:beforeLines="20" w:before="48" w:afterLines="20" w:after="48"/>
              <w:ind w:left="0"/>
              <w:rPr>
                <w:sz w:val="16"/>
              </w:rPr>
            </w:pPr>
          </w:p>
        </w:tc>
        <w:tc>
          <w:tcPr>
            <w:tcW w:w="508" w:type="pct"/>
            <w:vAlign w:val="center"/>
          </w:tcPr>
          <w:p w:rsidR="00E76F98" w:rsidRPr="00357FBC" w:rsidRDefault="00E76F98" w:rsidP="00B02641">
            <w:pPr>
              <w:spacing w:beforeLines="20" w:before="48" w:afterLines="20" w:after="48"/>
              <w:jc w:val="center"/>
              <w:rPr>
                <w:sz w:val="16"/>
              </w:rPr>
            </w:pPr>
          </w:p>
        </w:tc>
        <w:tc>
          <w:tcPr>
            <w:tcW w:w="509" w:type="pct"/>
            <w:vAlign w:val="center"/>
          </w:tcPr>
          <w:p w:rsidR="00E76F98" w:rsidRPr="00357FBC" w:rsidRDefault="00E76F98" w:rsidP="00B02641">
            <w:pPr>
              <w:spacing w:beforeLines="20" w:before="48" w:afterLines="20" w:after="48"/>
              <w:jc w:val="center"/>
              <w:rPr>
                <w:sz w:val="16"/>
              </w:rPr>
            </w:pPr>
          </w:p>
        </w:tc>
        <w:tc>
          <w:tcPr>
            <w:tcW w:w="494" w:type="pct"/>
            <w:gridSpan w:val="2"/>
          </w:tcPr>
          <w:p w:rsidR="00E76F98" w:rsidRPr="00357FBC" w:rsidRDefault="00E76F98" w:rsidP="00B02641">
            <w:pPr>
              <w:spacing w:beforeLines="20" w:before="48" w:afterLines="20" w:after="48"/>
              <w:jc w:val="center"/>
              <w:rPr>
                <w:sz w:val="16"/>
              </w:rPr>
            </w:pPr>
          </w:p>
        </w:tc>
        <w:tc>
          <w:tcPr>
            <w:tcW w:w="453" w:type="pct"/>
            <w:vAlign w:val="center"/>
          </w:tcPr>
          <w:p w:rsidR="00E76F98" w:rsidRPr="00357FBC" w:rsidRDefault="00E76F98" w:rsidP="00B02641">
            <w:pPr>
              <w:spacing w:beforeLines="20" w:before="48" w:afterLines="20" w:after="48"/>
              <w:jc w:val="center"/>
              <w:rPr>
                <w:sz w:val="16"/>
              </w:rPr>
            </w:pPr>
          </w:p>
        </w:tc>
        <w:tc>
          <w:tcPr>
            <w:tcW w:w="438" w:type="pct"/>
            <w:vAlign w:val="center"/>
          </w:tcPr>
          <w:p w:rsidR="00E76F98" w:rsidRPr="00357FBC" w:rsidRDefault="00E76F98" w:rsidP="00B02641">
            <w:pPr>
              <w:spacing w:beforeLines="20" w:before="48" w:afterLines="20" w:after="48"/>
              <w:jc w:val="center"/>
              <w:rPr>
                <w:sz w:val="16"/>
              </w:rPr>
            </w:pPr>
          </w:p>
        </w:tc>
        <w:tc>
          <w:tcPr>
            <w:tcW w:w="437" w:type="pct"/>
            <w:vAlign w:val="center"/>
          </w:tcPr>
          <w:p w:rsidR="00E76F98" w:rsidRPr="00357FBC" w:rsidRDefault="00E76F98" w:rsidP="00B02641">
            <w:pPr>
              <w:spacing w:beforeLines="20" w:before="48" w:afterLines="20" w:after="48"/>
              <w:jc w:val="center"/>
              <w:rPr>
                <w:sz w:val="16"/>
              </w:rPr>
            </w:pPr>
          </w:p>
        </w:tc>
      </w:tr>
      <w:tr w:rsidR="00E76F98" w:rsidRPr="00357FBC" w:rsidTr="00B02641">
        <w:trPr>
          <w:trHeight w:val="207"/>
          <w:jc w:val="center"/>
        </w:trPr>
        <w:tc>
          <w:tcPr>
            <w:tcW w:w="670" w:type="pct"/>
            <w:vMerge/>
            <w:vAlign w:val="center"/>
          </w:tcPr>
          <w:p w:rsidR="00E76F98" w:rsidRPr="00357FBC" w:rsidRDefault="00E76F98" w:rsidP="00B02641">
            <w:pPr>
              <w:pStyle w:val="Text1"/>
              <w:spacing w:beforeLines="20" w:before="48" w:afterLines="20" w:after="48"/>
              <w:ind w:left="136"/>
              <w:jc w:val="left"/>
              <w:rPr>
                <w:b/>
                <w:sz w:val="16"/>
              </w:rPr>
            </w:pPr>
          </w:p>
        </w:tc>
        <w:tc>
          <w:tcPr>
            <w:tcW w:w="983" w:type="pct"/>
            <w:vAlign w:val="center"/>
          </w:tcPr>
          <w:p w:rsidR="00E76F98" w:rsidRPr="00357FBC" w:rsidRDefault="00E76F98" w:rsidP="00B02641">
            <w:pPr>
              <w:pStyle w:val="Text1"/>
              <w:spacing w:beforeLines="20" w:before="48" w:afterLines="20" w:after="48"/>
              <w:ind w:left="136"/>
              <w:jc w:val="left"/>
            </w:pPr>
            <w:r w:rsidRPr="00357FBC">
              <w:rPr>
                <w:sz w:val="16"/>
              </w:rPr>
              <w:t xml:space="preserve">- σε αντιπροσωπείες </w:t>
            </w:r>
          </w:p>
        </w:tc>
        <w:tc>
          <w:tcPr>
            <w:tcW w:w="508" w:type="pct"/>
            <w:vAlign w:val="center"/>
          </w:tcPr>
          <w:p w:rsidR="00E76F98" w:rsidRPr="00357FBC" w:rsidRDefault="00E76F98" w:rsidP="00B02641">
            <w:pPr>
              <w:pStyle w:val="Text1"/>
              <w:spacing w:beforeLines="20" w:before="48" w:afterLines="20" w:after="48"/>
              <w:ind w:left="0"/>
              <w:rPr>
                <w:sz w:val="16"/>
              </w:rPr>
            </w:pPr>
          </w:p>
        </w:tc>
        <w:tc>
          <w:tcPr>
            <w:tcW w:w="508" w:type="pct"/>
            <w:vAlign w:val="center"/>
          </w:tcPr>
          <w:p w:rsidR="00E76F98" w:rsidRPr="00357FBC" w:rsidRDefault="00E76F98" w:rsidP="00B02641">
            <w:pPr>
              <w:spacing w:beforeLines="20" w:before="48" w:afterLines="20" w:after="48"/>
              <w:jc w:val="center"/>
              <w:rPr>
                <w:sz w:val="16"/>
              </w:rPr>
            </w:pPr>
          </w:p>
        </w:tc>
        <w:tc>
          <w:tcPr>
            <w:tcW w:w="509" w:type="pct"/>
            <w:vAlign w:val="center"/>
          </w:tcPr>
          <w:p w:rsidR="00E76F98" w:rsidRPr="00357FBC" w:rsidRDefault="00E76F98" w:rsidP="00B02641">
            <w:pPr>
              <w:spacing w:beforeLines="20" w:before="48" w:afterLines="20" w:after="48"/>
              <w:jc w:val="center"/>
              <w:rPr>
                <w:sz w:val="16"/>
              </w:rPr>
            </w:pPr>
          </w:p>
        </w:tc>
        <w:tc>
          <w:tcPr>
            <w:tcW w:w="494" w:type="pct"/>
            <w:gridSpan w:val="2"/>
          </w:tcPr>
          <w:p w:rsidR="00E76F98" w:rsidRPr="00357FBC" w:rsidRDefault="00E76F98" w:rsidP="00B02641">
            <w:pPr>
              <w:spacing w:beforeLines="20" w:before="48" w:afterLines="20" w:after="48"/>
              <w:jc w:val="center"/>
              <w:rPr>
                <w:sz w:val="16"/>
              </w:rPr>
            </w:pPr>
          </w:p>
        </w:tc>
        <w:tc>
          <w:tcPr>
            <w:tcW w:w="453" w:type="pct"/>
            <w:vAlign w:val="center"/>
          </w:tcPr>
          <w:p w:rsidR="00E76F98" w:rsidRPr="00357FBC" w:rsidRDefault="00E76F98" w:rsidP="00B02641">
            <w:pPr>
              <w:spacing w:beforeLines="20" w:before="48" w:afterLines="20" w:after="48"/>
              <w:jc w:val="center"/>
              <w:rPr>
                <w:sz w:val="16"/>
              </w:rPr>
            </w:pPr>
          </w:p>
        </w:tc>
        <w:tc>
          <w:tcPr>
            <w:tcW w:w="438" w:type="pct"/>
            <w:vAlign w:val="center"/>
          </w:tcPr>
          <w:p w:rsidR="00E76F98" w:rsidRPr="00357FBC" w:rsidRDefault="00E76F98" w:rsidP="00B02641">
            <w:pPr>
              <w:spacing w:beforeLines="20" w:before="48" w:afterLines="20" w:after="48"/>
              <w:jc w:val="center"/>
              <w:rPr>
                <w:sz w:val="16"/>
              </w:rPr>
            </w:pPr>
          </w:p>
        </w:tc>
        <w:tc>
          <w:tcPr>
            <w:tcW w:w="437" w:type="pct"/>
            <w:vAlign w:val="center"/>
          </w:tcPr>
          <w:p w:rsidR="00E76F98" w:rsidRPr="00357FBC" w:rsidRDefault="00E76F98" w:rsidP="00B02641">
            <w:pPr>
              <w:spacing w:beforeLines="20" w:before="48" w:afterLines="20" w:after="48"/>
              <w:jc w:val="center"/>
              <w:rPr>
                <w:sz w:val="16"/>
              </w:rPr>
            </w:pPr>
          </w:p>
        </w:tc>
      </w:tr>
      <w:tr w:rsidR="00E76F98" w:rsidRPr="00357FBC" w:rsidTr="00B02641">
        <w:trPr>
          <w:trHeight w:val="207"/>
          <w:jc w:val="center"/>
        </w:trPr>
        <w:tc>
          <w:tcPr>
            <w:tcW w:w="1653" w:type="pct"/>
            <w:gridSpan w:val="2"/>
            <w:vAlign w:val="center"/>
          </w:tcPr>
          <w:p w:rsidR="00E76F98" w:rsidRPr="00357FBC" w:rsidRDefault="00E76F98" w:rsidP="00B02641">
            <w:pPr>
              <w:pStyle w:val="Text1"/>
              <w:spacing w:beforeLines="20" w:before="48" w:afterLines="20" w:after="48"/>
              <w:ind w:left="136"/>
              <w:jc w:val="left"/>
            </w:pPr>
            <w:r w:rsidRPr="00357FBC">
              <w:rPr>
                <w:b/>
                <w:sz w:val="16"/>
              </w:rPr>
              <w:t>XX</w:t>
            </w:r>
            <w:r w:rsidRPr="00357FBC">
              <w:rPr>
                <w:sz w:val="16"/>
              </w:rPr>
              <w:t xml:space="preserve"> 01 05 02 (CA, SNE, INT - έμμεση έρευνα)</w:t>
            </w:r>
          </w:p>
          <w:p w:rsidR="00E76F98" w:rsidRPr="00357FBC" w:rsidRDefault="00E76F98" w:rsidP="00B02641">
            <w:pPr>
              <w:pStyle w:val="Text1"/>
              <w:spacing w:beforeLines="20" w:before="48" w:afterLines="20" w:after="48"/>
              <w:ind w:left="136"/>
              <w:jc w:val="left"/>
              <w:rPr>
                <w:sz w:val="16"/>
              </w:rPr>
            </w:pPr>
          </w:p>
        </w:tc>
        <w:tc>
          <w:tcPr>
            <w:tcW w:w="508" w:type="pct"/>
            <w:vAlign w:val="center"/>
          </w:tcPr>
          <w:p w:rsidR="00E76F98" w:rsidRPr="00357FBC" w:rsidRDefault="00E76F98" w:rsidP="00B02641">
            <w:pPr>
              <w:spacing w:beforeLines="20" w:before="48" w:afterLines="20" w:after="48"/>
              <w:jc w:val="center"/>
              <w:rPr>
                <w:sz w:val="16"/>
              </w:rPr>
            </w:pPr>
          </w:p>
        </w:tc>
        <w:tc>
          <w:tcPr>
            <w:tcW w:w="508" w:type="pct"/>
            <w:vAlign w:val="center"/>
          </w:tcPr>
          <w:p w:rsidR="00E76F98" w:rsidRPr="00357FBC" w:rsidRDefault="00E76F98" w:rsidP="00B02641">
            <w:pPr>
              <w:spacing w:beforeLines="20" w:before="48" w:afterLines="20" w:after="48"/>
              <w:jc w:val="center"/>
              <w:rPr>
                <w:sz w:val="16"/>
              </w:rPr>
            </w:pPr>
          </w:p>
        </w:tc>
        <w:tc>
          <w:tcPr>
            <w:tcW w:w="509" w:type="pct"/>
            <w:vAlign w:val="center"/>
          </w:tcPr>
          <w:p w:rsidR="00E76F98" w:rsidRPr="00357FBC" w:rsidRDefault="00E76F98" w:rsidP="00B02641">
            <w:pPr>
              <w:spacing w:beforeLines="20" w:before="48" w:afterLines="20" w:after="48"/>
              <w:jc w:val="center"/>
              <w:rPr>
                <w:sz w:val="16"/>
              </w:rPr>
            </w:pPr>
          </w:p>
        </w:tc>
        <w:tc>
          <w:tcPr>
            <w:tcW w:w="494" w:type="pct"/>
            <w:gridSpan w:val="2"/>
          </w:tcPr>
          <w:p w:rsidR="00E76F98" w:rsidRPr="00357FBC" w:rsidRDefault="00E76F98" w:rsidP="00B02641">
            <w:pPr>
              <w:spacing w:beforeLines="20" w:before="48" w:afterLines="20" w:after="48"/>
              <w:jc w:val="center"/>
              <w:rPr>
                <w:sz w:val="16"/>
              </w:rPr>
            </w:pPr>
          </w:p>
        </w:tc>
        <w:tc>
          <w:tcPr>
            <w:tcW w:w="453" w:type="pct"/>
            <w:vAlign w:val="center"/>
          </w:tcPr>
          <w:p w:rsidR="00E76F98" w:rsidRPr="00357FBC" w:rsidRDefault="00E76F98" w:rsidP="00B02641">
            <w:pPr>
              <w:spacing w:beforeLines="20" w:before="48" w:afterLines="20" w:after="48"/>
              <w:jc w:val="center"/>
              <w:rPr>
                <w:sz w:val="16"/>
              </w:rPr>
            </w:pPr>
          </w:p>
        </w:tc>
        <w:tc>
          <w:tcPr>
            <w:tcW w:w="438" w:type="pct"/>
            <w:vAlign w:val="center"/>
          </w:tcPr>
          <w:p w:rsidR="00E76F98" w:rsidRPr="00357FBC" w:rsidRDefault="00E76F98" w:rsidP="00B02641">
            <w:pPr>
              <w:spacing w:beforeLines="20" w:before="48" w:afterLines="20" w:after="48"/>
              <w:jc w:val="center"/>
              <w:rPr>
                <w:sz w:val="16"/>
              </w:rPr>
            </w:pPr>
          </w:p>
        </w:tc>
        <w:tc>
          <w:tcPr>
            <w:tcW w:w="437" w:type="pct"/>
            <w:vAlign w:val="center"/>
          </w:tcPr>
          <w:p w:rsidR="00E76F98" w:rsidRPr="00357FBC" w:rsidRDefault="00E76F98" w:rsidP="00B02641">
            <w:pPr>
              <w:spacing w:beforeLines="20" w:before="48" w:afterLines="20" w:after="48"/>
              <w:jc w:val="center"/>
              <w:rPr>
                <w:sz w:val="16"/>
              </w:rPr>
            </w:pPr>
          </w:p>
        </w:tc>
      </w:tr>
      <w:tr w:rsidR="00E76F98" w:rsidRPr="00357FBC" w:rsidTr="00B02641">
        <w:trPr>
          <w:trHeight w:val="207"/>
          <w:jc w:val="center"/>
        </w:trPr>
        <w:tc>
          <w:tcPr>
            <w:tcW w:w="1653" w:type="pct"/>
            <w:gridSpan w:val="2"/>
            <w:vAlign w:val="center"/>
          </w:tcPr>
          <w:p w:rsidR="00E76F98" w:rsidRPr="00357FBC" w:rsidRDefault="00E76F98" w:rsidP="00B02641">
            <w:pPr>
              <w:pStyle w:val="Text1"/>
              <w:spacing w:beforeLines="20" w:before="48" w:afterLines="20" w:after="48"/>
              <w:ind w:left="136"/>
              <w:jc w:val="left"/>
            </w:pPr>
            <w:r w:rsidRPr="00357FBC">
              <w:rPr>
                <w:sz w:val="16"/>
              </w:rPr>
              <w:t>10 01 05 02 (CA, SNE, INT - άμεση έρευνα)</w:t>
            </w:r>
          </w:p>
        </w:tc>
        <w:tc>
          <w:tcPr>
            <w:tcW w:w="508" w:type="pct"/>
            <w:vAlign w:val="center"/>
          </w:tcPr>
          <w:p w:rsidR="00E76F98" w:rsidRPr="00357FBC" w:rsidRDefault="00E76F98" w:rsidP="00B02641">
            <w:pPr>
              <w:spacing w:beforeLines="20" w:before="48" w:afterLines="20" w:after="48"/>
              <w:jc w:val="center"/>
              <w:rPr>
                <w:sz w:val="16"/>
              </w:rPr>
            </w:pPr>
          </w:p>
        </w:tc>
        <w:tc>
          <w:tcPr>
            <w:tcW w:w="508" w:type="pct"/>
            <w:vAlign w:val="center"/>
          </w:tcPr>
          <w:p w:rsidR="00E76F98" w:rsidRPr="00357FBC" w:rsidRDefault="00E76F98" w:rsidP="00B02641">
            <w:pPr>
              <w:spacing w:beforeLines="20" w:before="48" w:afterLines="20" w:after="48"/>
              <w:jc w:val="center"/>
              <w:rPr>
                <w:sz w:val="16"/>
              </w:rPr>
            </w:pPr>
          </w:p>
        </w:tc>
        <w:tc>
          <w:tcPr>
            <w:tcW w:w="509" w:type="pct"/>
            <w:vAlign w:val="center"/>
          </w:tcPr>
          <w:p w:rsidR="00E76F98" w:rsidRPr="00357FBC" w:rsidRDefault="00E76F98" w:rsidP="00B02641">
            <w:pPr>
              <w:spacing w:beforeLines="20" w:before="48" w:afterLines="20" w:after="48"/>
              <w:jc w:val="center"/>
              <w:rPr>
                <w:sz w:val="16"/>
              </w:rPr>
            </w:pPr>
          </w:p>
        </w:tc>
        <w:tc>
          <w:tcPr>
            <w:tcW w:w="494" w:type="pct"/>
            <w:gridSpan w:val="2"/>
          </w:tcPr>
          <w:p w:rsidR="00E76F98" w:rsidRPr="00357FBC" w:rsidRDefault="00E76F98" w:rsidP="00B02641">
            <w:pPr>
              <w:spacing w:beforeLines="20" w:before="48" w:afterLines="20" w:after="48"/>
              <w:jc w:val="center"/>
              <w:rPr>
                <w:sz w:val="16"/>
              </w:rPr>
            </w:pPr>
          </w:p>
        </w:tc>
        <w:tc>
          <w:tcPr>
            <w:tcW w:w="453" w:type="pct"/>
            <w:vAlign w:val="center"/>
          </w:tcPr>
          <w:p w:rsidR="00E76F98" w:rsidRPr="00357FBC" w:rsidRDefault="00E76F98" w:rsidP="00B02641">
            <w:pPr>
              <w:spacing w:beforeLines="20" w:before="48" w:afterLines="20" w:after="48"/>
              <w:jc w:val="center"/>
              <w:rPr>
                <w:sz w:val="16"/>
              </w:rPr>
            </w:pPr>
          </w:p>
        </w:tc>
        <w:tc>
          <w:tcPr>
            <w:tcW w:w="438" w:type="pct"/>
            <w:vAlign w:val="center"/>
          </w:tcPr>
          <w:p w:rsidR="00E76F98" w:rsidRPr="00357FBC" w:rsidRDefault="00E76F98" w:rsidP="00B02641">
            <w:pPr>
              <w:spacing w:beforeLines="20" w:before="48" w:afterLines="20" w:after="48"/>
              <w:jc w:val="center"/>
              <w:rPr>
                <w:sz w:val="16"/>
              </w:rPr>
            </w:pPr>
          </w:p>
        </w:tc>
        <w:tc>
          <w:tcPr>
            <w:tcW w:w="437" w:type="pct"/>
            <w:vAlign w:val="center"/>
          </w:tcPr>
          <w:p w:rsidR="00E76F98" w:rsidRPr="00357FBC" w:rsidRDefault="00E76F98" w:rsidP="00B02641">
            <w:pPr>
              <w:spacing w:beforeLines="20" w:before="48" w:afterLines="20" w:after="48"/>
              <w:jc w:val="center"/>
              <w:rPr>
                <w:sz w:val="16"/>
              </w:rPr>
            </w:pPr>
          </w:p>
        </w:tc>
      </w:tr>
      <w:tr w:rsidR="00E76F98" w:rsidRPr="00357FBC" w:rsidTr="00B02641">
        <w:trPr>
          <w:trHeight w:val="207"/>
          <w:jc w:val="center"/>
        </w:trPr>
        <w:tc>
          <w:tcPr>
            <w:tcW w:w="1653" w:type="pct"/>
            <w:gridSpan w:val="2"/>
            <w:tcBorders>
              <w:bottom w:val="double" w:sz="4" w:space="0" w:color="auto"/>
            </w:tcBorders>
            <w:vAlign w:val="center"/>
          </w:tcPr>
          <w:p w:rsidR="00E76F98" w:rsidRPr="00357FBC" w:rsidRDefault="00E76F98" w:rsidP="00B02641">
            <w:pPr>
              <w:pStyle w:val="Text1"/>
              <w:spacing w:beforeLines="20" w:before="48" w:afterLines="20" w:after="48"/>
              <w:ind w:left="134"/>
              <w:jc w:val="left"/>
            </w:pPr>
            <w:r w:rsidRPr="00357FBC">
              <w:rPr>
                <w:sz w:val="16"/>
              </w:rPr>
              <w:t>Άλλες γραμμές του προϋπολογισμού (να προσδιοριστούν)</w:t>
            </w:r>
          </w:p>
        </w:tc>
        <w:tc>
          <w:tcPr>
            <w:tcW w:w="508" w:type="pct"/>
            <w:tcBorders>
              <w:bottom w:val="double" w:sz="4" w:space="0" w:color="auto"/>
            </w:tcBorders>
            <w:vAlign w:val="center"/>
          </w:tcPr>
          <w:p w:rsidR="00E76F98" w:rsidRPr="00357FBC" w:rsidRDefault="00E76F98" w:rsidP="00B02641">
            <w:pPr>
              <w:spacing w:beforeLines="20" w:before="48" w:afterLines="20" w:after="48"/>
              <w:jc w:val="center"/>
              <w:rPr>
                <w:sz w:val="16"/>
              </w:rPr>
            </w:pPr>
          </w:p>
        </w:tc>
        <w:tc>
          <w:tcPr>
            <w:tcW w:w="508" w:type="pct"/>
            <w:tcBorders>
              <w:bottom w:val="double" w:sz="4" w:space="0" w:color="auto"/>
            </w:tcBorders>
            <w:vAlign w:val="center"/>
          </w:tcPr>
          <w:p w:rsidR="00E76F98" w:rsidRPr="00357FBC" w:rsidRDefault="00E76F98" w:rsidP="00B02641">
            <w:pPr>
              <w:spacing w:beforeLines="20" w:before="48" w:afterLines="20" w:after="48"/>
              <w:jc w:val="center"/>
              <w:rPr>
                <w:sz w:val="16"/>
              </w:rPr>
            </w:pPr>
          </w:p>
        </w:tc>
        <w:tc>
          <w:tcPr>
            <w:tcW w:w="509" w:type="pct"/>
            <w:tcBorders>
              <w:bottom w:val="double" w:sz="4" w:space="0" w:color="auto"/>
            </w:tcBorders>
            <w:vAlign w:val="center"/>
          </w:tcPr>
          <w:p w:rsidR="00E76F98" w:rsidRPr="00357FBC" w:rsidRDefault="00E76F98" w:rsidP="00B02641">
            <w:pPr>
              <w:spacing w:beforeLines="20" w:before="48" w:afterLines="20" w:after="48"/>
              <w:jc w:val="center"/>
              <w:rPr>
                <w:sz w:val="16"/>
              </w:rPr>
            </w:pPr>
          </w:p>
        </w:tc>
        <w:tc>
          <w:tcPr>
            <w:tcW w:w="494" w:type="pct"/>
            <w:gridSpan w:val="2"/>
            <w:tcBorders>
              <w:bottom w:val="double" w:sz="4" w:space="0" w:color="auto"/>
            </w:tcBorders>
          </w:tcPr>
          <w:p w:rsidR="00E76F98" w:rsidRPr="00357FBC" w:rsidRDefault="00E76F98" w:rsidP="00B02641">
            <w:pPr>
              <w:spacing w:beforeLines="20" w:before="48" w:afterLines="20" w:after="48"/>
              <w:jc w:val="center"/>
              <w:rPr>
                <w:sz w:val="16"/>
              </w:rPr>
            </w:pPr>
          </w:p>
        </w:tc>
        <w:tc>
          <w:tcPr>
            <w:tcW w:w="453" w:type="pct"/>
            <w:tcBorders>
              <w:bottom w:val="double" w:sz="4" w:space="0" w:color="auto"/>
            </w:tcBorders>
            <w:vAlign w:val="center"/>
          </w:tcPr>
          <w:p w:rsidR="00E76F98" w:rsidRPr="00357FBC" w:rsidRDefault="00E76F98" w:rsidP="00B02641">
            <w:pPr>
              <w:spacing w:beforeLines="20" w:before="48" w:afterLines="20" w:after="48"/>
              <w:jc w:val="center"/>
              <w:rPr>
                <w:sz w:val="16"/>
              </w:rPr>
            </w:pPr>
          </w:p>
        </w:tc>
        <w:tc>
          <w:tcPr>
            <w:tcW w:w="438" w:type="pct"/>
            <w:tcBorders>
              <w:bottom w:val="double" w:sz="4" w:space="0" w:color="auto"/>
            </w:tcBorders>
            <w:vAlign w:val="center"/>
          </w:tcPr>
          <w:p w:rsidR="00E76F98" w:rsidRPr="00357FBC" w:rsidRDefault="00E76F98" w:rsidP="00B02641">
            <w:pPr>
              <w:spacing w:beforeLines="20" w:before="48" w:afterLines="20" w:after="48"/>
              <w:jc w:val="center"/>
              <w:rPr>
                <w:sz w:val="16"/>
              </w:rPr>
            </w:pPr>
          </w:p>
        </w:tc>
        <w:tc>
          <w:tcPr>
            <w:tcW w:w="437" w:type="pct"/>
            <w:tcBorders>
              <w:bottom w:val="double" w:sz="4" w:space="0" w:color="auto"/>
            </w:tcBorders>
            <w:vAlign w:val="center"/>
          </w:tcPr>
          <w:p w:rsidR="00E76F98" w:rsidRPr="00357FBC" w:rsidRDefault="00E76F98" w:rsidP="00B02641">
            <w:pPr>
              <w:spacing w:beforeLines="20" w:before="48" w:afterLines="20" w:after="48"/>
              <w:jc w:val="center"/>
              <w:rPr>
                <w:sz w:val="16"/>
              </w:rPr>
            </w:pPr>
          </w:p>
        </w:tc>
      </w:tr>
      <w:tr w:rsidR="00E76F98" w:rsidRPr="00357FBC" w:rsidTr="00B02641">
        <w:trPr>
          <w:trHeight w:val="207"/>
          <w:jc w:val="center"/>
        </w:trPr>
        <w:tc>
          <w:tcPr>
            <w:tcW w:w="1653" w:type="pct"/>
            <w:gridSpan w:val="2"/>
            <w:tcBorders>
              <w:top w:val="double" w:sz="4" w:space="0" w:color="auto"/>
            </w:tcBorders>
            <w:vAlign w:val="center"/>
          </w:tcPr>
          <w:p w:rsidR="00E76F98" w:rsidRPr="00357FBC" w:rsidRDefault="00E76F98" w:rsidP="00B02641">
            <w:pPr>
              <w:pStyle w:val="Text1"/>
              <w:spacing w:beforeLines="20" w:before="48" w:afterLines="20" w:after="48"/>
              <w:ind w:left="136"/>
              <w:jc w:val="left"/>
            </w:pPr>
            <w:r w:rsidRPr="00357FBC">
              <w:rPr>
                <w:b/>
                <w:sz w:val="16"/>
              </w:rPr>
              <w:t>ΣΥΝΟΛΟ</w:t>
            </w:r>
          </w:p>
        </w:tc>
        <w:tc>
          <w:tcPr>
            <w:tcW w:w="508" w:type="pct"/>
            <w:tcBorders>
              <w:top w:val="double" w:sz="4" w:space="0" w:color="auto"/>
            </w:tcBorders>
            <w:vAlign w:val="center"/>
          </w:tcPr>
          <w:p w:rsidR="00E76F98" w:rsidRPr="00357FBC" w:rsidRDefault="00E76F98" w:rsidP="00B02641">
            <w:pPr>
              <w:spacing w:before="60" w:after="60" w:line="200" w:lineRule="exact"/>
              <w:jc w:val="center"/>
              <w:rPr>
                <w:sz w:val="20"/>
                <w:szCs w:val="20"/>
              </w:rPr>
            </w:pPr>
            <w:r w:rsidRPr="00357FBC">
              <w:rPr>
                <w:sz w:val="20"/>
              </w:rPr>
              <w:t>0,30</w:t>
            </w:r>
          </w:p>
        </w:tc>
        <w:tc>
          <w:tcPr>
            <w:tcW w:w="508" w:type="pct"/>
            <w:tcBorders>
              <w:top w:val="double" w:sz="4" w:space="0" w:color="auto"/>
            </w:tcBorders>
            <w:vAlign w:val="center"/>
          </w:tcPr>
          <w:p w:rsidR="00E76F98" w:rsidRPr="00357FBC" w:rsidRDefault="00E76F98" w:rsidP="00B02641">
            <w:pPr>
              <w:spacing w:before="60" w:after="60" w:line="200" w:lineRule="exact"/>
              <w:jc w:val="center"/>
              <w:rPr>
                <w:sz w:val="20"/>
                <w:szCs w:val="20"/>
              </w:rPr>
            </w:pPr>
            <w:r w:rsidRPr="00357FBC">
              <w:rPr>
                <w:sz w:val="20"/>
              </w:rPr>
              <w:t>0,42</w:t>
            </w:r>
          </w:p>
        </w:tc>
        <w:tc>
          <w:tcPr>
            <w:tcW w:w="509" w:type="pct"/>
            <w:tcBorders>
              <w:top w:val="double" w:sz="4" w:space="0" w:color="auto"/>
            </w:tcBorders>
            <w:vAlign w:val="center"/>
          </w:tcPr>
          <w:p w:rsidR="00E76F98" w:rsidRPr="00357FBC" w:rsidRDefault="00E76F98" w:rsidP="00B02641">
            <w:pPr>
              <w:spacing w:before="60" w:after="60" w:line="200" w:lineRule="exact"/>
              <w:jc w:val="center"/>
              <w:rPr>
                <w:sz w:val="20"/>
                <w:szCs w:val="20"/>
              </w:rPr>
            </w:pPr>
            <w:r w:rsidRPr="00357FBC">
              <w:rPr>
                <w:sz w:val="20"/>
              </w:rPr>
              <w:t>0,04</w:t>
            </w:r>
          </w:p>
        </w:tc>
        <w:tc>
          <w:tcPr>
            <w:tcW w:w="494" w:type="pct"/>
            <w:gridSpan w:val="2"/>
            <w:tcBorders>
              <w:top w:val="double" w:sz="4" w:space="0" w:color="auto"/>
            </w:tcBorders>
            <w:vAlign w:val="center"/>
          </w:tcPr>
          <w:p w:rsidR="00E76F98" w:rsidRPr="00357FBC" w:rsidRDefault="00E76F98" w:rsidP="00B02641">
            <w:pPr>
              <w:spacing w:before="60" w:after="60" w:line="200" w:lineRule="exact"/>
              <w:jc w:val="center"/>
              <w:rPr>
                <w:sz w:val="20"/>
                <w:szCs w:val="20"/>
              </w:rPr>
            </w:pPr>
            <w:r w:rsidRPr="00357FBC">
              <w:rPr>
                <w:sz w:val="20"/>
              </w:rPr>
              <w:t>0,07</w:t>
            </w:r>
          </w:p>
        </w:tc>
        <w:tc>
          <w:tcPr>
            <w:tcW w:w="453" w:type="pct"/>
            <w:tcBorders>
              <w:top w:val="double" w:sz="4" w:space="0" w:color="auto"/>
            </w:tcBorders>
            <w:vAlign w:val="center"/>
          </w:tcPr>
          <w:p w:rsidR="00E76F98" w:rsidRPr="00357FBC" w:rsidRDefault="00E76F98" w:rsidP="00B02641">
            <w:pPr>
              <w:spacing w:before="60" w:after="60" w:line="200" w:lineRule="exact"/>
              <w:jc w:val="center"/>
              <w:rPr>
                <w:sz w:val="20"/>
                <w:szCs w:val="20"/>
              </w:rPr>
            </w:pPr>
            <w:r w:rsidRPr="00357FBC">
              <w:rPr>
                <w:sz w:val="20"/>
              </w:rPr>
              <w:t>0,07</w:t>
            </w:r>
          </w:p>
        </w:tc>
        <w:tc>
          <w:tcPr>
            <w:tcW w:w="438" w:type="pct"/>
            <w:tcBorders>
              <w:top w:val="double" w:sz="4" w:space="0" w:color="auto"/>
            </w:tcBorders>
            <w:vAlign w:val="center"/>
          </w:tcPr>
          <w:p w:rsidR="00E76F98" w:rsidRPr="00357FBC" w:rsidRDefault="00E76F98" w:rsidP="00B02641">
            <w:pPr>
              <w:spacing w:beforeLines="20" w:before="48" w:afterLines="20" w:after="48"/>
              <w:jc w:val="center"/>
              <w:rPr>
                <w:b/>
                <w:sz w:val="16"/>
              </w:rPr>
            </w:pPr>
          </w:p>
        </w:tc>
        <w:tc>
          <w:tcPr>
            <w:tcW w:w="437" w:type="pct"/>
            <w:tcBorders>
              <w:top w:val="double" w:sz="4" w:space="0" w:color="auto"/>
            </w:tcBorders>
            <w:vAlign w:val="center"/>
          </w:tcPr>
          <w:p w:rsidR="00E76F98" w:rsidRPr="00357FBC" w:rsidRDefault="00E76F98" w:rsidP="00B02641">
            <w:pPr>
              <w:spacing w:beforeLines="20" w:before="48" w:afterLines="20" w:after="48"/>
              <w:jc w:val="center"/>
              <w:rPr>
                <w:b/>
                <w:sz w:val="16"/>
              </w:rPr>
            </w:pPr>
          </w:p>
        </w:tc>
      </w:tr>
    </w:tbl>
    <w:p w:rsidR="00E76F98" w:rsidRPr="00357FBC" w:rsidRDefault="00E76F98" w:rsidP="005F4874">
      <w:pPr>
        <w:pStyle w:val="Text1"/>
        <w:spacing w:after="60"/>
        <w:rPr>
          <w:sz w:val="18"/>
        </w:rPr>
      </w:pPr>
      <w:r w:rsidRPr="00357FBC">
        <w:rPr>
          <w:b/>
          <w:sz w:val="18"/>
        </w:rPr>
        <w:t>XX</w:t>
      </w:r>
      <w:r w:rsidRPr="00357FBC">
        <w:rPr>
          <w:sz w:val="18"/>
        </w:rPr>
        <w:t xml:space="preserve"> είναι ο σχετικός τομέας πολιτικής ή ο σχετικός τίτλος του προϋπολογισμού.</w:t>
      </w:r>
    </w:p>
    <w:p w:rsidR="00E76F98" w:rsidRPr="00357FBC" w:rsidRDefault="00E76F98" w:rsidP="005F4874">
      <w:pPr>
        <w:pStyle w:val="Text1"/>
        <w:rPr>
          <w:sz w:val="18"/>
        </w:rPr>
      </w:pPr>
      <w:r w:rsidRPr="00357FBC">
        <w:rPr>
          <w:sz w:val="18"/>
        </w:rPr>
        <w:t>Οι ανάγκες σε ανθρώπινους πόρους θα καλυφθούν από το προσωπικό της ΓΔ που έχει ήδη διατεθεί για τη διαχείριση της δράσης και/ή έχει ανακατανεμηθεί στο εσωτερικό της ΓΔ και το οποίο θα συμπληρωθεί, εάν χρειαστεί, από πρόσθετους πόρους που μπορεί να διατεθούν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rsidR="00E76F98" w:rsidRPr="00357FBC" w:rsidRDefault="00E76F98" w:rsidP="005F4874">
      <w:pPr>
        <w:pStyle w:val="Text1"/>
        <w:rPr>
          <w:sz w:val="18"/>
        </w:rPr>
      </w:pPr>
      <w:r w:rsidRPr="00357FBC">
        <w:rPr>
          <w:sz w:val="18"/>
        </w:rPr>
        <w:t>Το κόστος του απαιτούμενου προσωπικού εκτιμάται με βάση το 30% των ετήσιων δαπανών για υπάλληλο βαθμού AD5-AD12.</w:t>
      </w:r>
    </w:p>
    <w:p w:rsidR="00E76F98" w:rsidRPr="00357FBC" w:rsidRDefault="00E76F98" w:rsidP="005F4874">
      <w:pPr>
        <w:pStyle w:val="Text1"/>
        <w:spacing w:before="240"/>
        <w:rPr>
          <w:sz w:val="20"/>
          <w:szCs w:val="20"/>
        </w:rPr>
      </w:pPr>
      <w:r w:rsidRPr="00357FBC">
        <w:rPr>
          <w:sz w:val="20"/>
        </w:rPr>
        <w:t>Περιγραφή των προς εκτέλεση καθηκόντων:</w:t>
      </w:r>
    </w:p>
    <w:tbl>
      <w:tblPr>
        <w:tblW w:w="9639"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86"/>
        <w:gridCol w:w="5953"/>
      </w:tblGrid>
      <w:tr w:rsidR="00E76F98" w:rsidRPr="00357FBC" w:rsidTr="00B02641">
        <w:tc>
          <w:tcPr>
            <w:tcW w:w="3686" w:type="dxa"/>
          </w:tcPr>
          <w:p w:rsidR="00E76F98" w:rsidRPr="00357FBC" w:rsidRDefault="00E76F98" w:rsidP="00B02641">
            <w:r w:rsidRPr="00357FBC">
              <w:rPr>
                <w:sz w:val="20"/>
              </w:rPr>
              <w:t>Μόνιμοι και έκτακτοι υπάλληλοι</w:t>
            </w:r>
          </w:p>
        </w:tc>
        <w:tc>
          <w:tcPr>
            <w:tcW w:w="5953" w:type="dxa"/>
          </w:tcPr>
          <w:p w:rsidR="00E76F98" w:rsidRPr="00357FBC" w:rsidRDefault="00E76F98" w:rsidP="00B02641">
            <w:pPr>
              <w:rPr>
                <w:sz w:val="20"/>
              </w:rPr>
            </w:pPr>
            <w:r w:rsidRPr="00357FBC">
              <w:rPr>
                <w:sz w:val="20"/>
              </w:rPr>
              <w:t xml:space="preserve">Προϊστάμενοι μονάδας: Επιβλέπουν και διαχειρίζονται την πράξη, διαπραγματεύονται το μνημόνιο συνεννόησης, ηγούνται αποστολών και αξιολογούν την πρόοδο ως προς τη συμμόρφωση με τους σχετικούς όρους. </w:t>
            </w:r>
          </w:p>
          <w:p w:rsidR="00E76F98" w:rsidRPr="00357FBC" w:rsidRDefault="00E76F98" w:rsidP="00B02641">
            <w:pPr>
              <w:rPr>
                <w:sz w:val="20"/>
              </w:rPr>
            </w:pPr>
            <w:r w:rsidRPr="00357FBC">
              <w:rPr>
                <w:sz w:val="20"/>
              </w:rPr>
              <w:t>Υπάλληλοι: Καταρτίζουν το μνημόνιο συνεννόησης, έχουν επαφές με αρχές και διεθνείς χρηματοπιστωτικούς οργανισμούς, καθώς και με εξωτερικούς εμπειρογνώμονες για την επιχειρησιακή αξιολόγηση και την εκ των υστέρων αξιολόγηση, διενεργούν αποστολές επιθεώρησης, καταρτίζουν εκθέσεις των υπηρεσιών της Επιτροπής και προετοιμάζουν διαδικασίες της Επιτροπής σχετικά με τη διαχείριση της συνδρομής.</w:t>
            </w:r>
          </w:p>
        </w:tc>
      </w:tr>
      <w:tr w:rsidR="00E76F98" w:rsidRPr="00357FBC" w:rsidTr="00B02641">
        <w:tc>
          <w:tcPr>
            <w:tcW w:w="3686" w:type="dxa"/>
          </w:tcPr>
          <w:p w:rsidR="00E76F98" w:rsidRPr="00357FBC" w:rsidRDefault="00E76F98" w:rsidP="00B02641">
            <w:pPr>
              <w:spacing w:before="60" w:after="60"/>
            </w:pPr>
            <w:r w:rsidRPr="00357FBC">
              <w:rPr>
                <w:sz w:val="20"/>
              </w:rPr>
              <w:t>Εξωτερικό προσωπικό</w:t>
            </w:r>
          </w:p>
        </w:tc>
        <w:tc>
          <w:tcPr>
            <w:tcW w:w="5953" w:type="dxa"/>
          </w:tcPr>
          <w:p w:rsidR="00E76F98" w:rsidRPr="00357FBC" w:rsidRDefault="00E76F98" w:rsidP="00B02641">
            <w:pPr>
              <w:rPr>
                <w:sz w:val="20"/>
              </w:rPr>
            </w:pPr>
            <w:r w:rsidRPr="00357FBC">
              <w:rPr>
                <w:sz w:val="20"/>
              </w:rPr>
              <w:t>Άνευ αντικειμένου</w:t>
            </w:r>
          </w:p>
        </w:tc>
      </w:tr>
    </w:tbl>
    <w:p w:rsidR="00E76F98" w:rsidRPr="00357FBC" w:rsidRDefault="00E76F98" w:rsidP="00E76F98">
      <w:pPr>
        <w:sectPr w:rsidR="00E76F98" w:rsidRPr="00357FBC" w:rsidSect="001B6923">
          <w:headerReference w:type="default" r:id="rId26"/>
          <w:footerReference w:type="default" r:id="rId27"/>
          <w:headerReference w:type="first" r:id="rId28"/>
          <w:footerReference w:type="first" r:id="rId29"/>
          <w:pgSz w:w="11907" w:h="16840"/>
          <w:pgMar w:top="720" w:right="720" w:bottom="720" w:left="720" w:header="709" w:footer="709" w:gutter="0"/>
          <w:cols w:space="708"/>
          <w:docGrid w:linePitch="360"/>
        </w:sectPr>
      </w:pPr>
    </w:p>
    <w:p w:rsidR="00E76F98" w:rsidRPr="00357FBC" w:rsidRDefault="00E76F98" w:rsidP="00E76F98">
      <w:pPr>
        <w:pStyle w:val="ManualHeading3"/>
      </w:pPr>
      <w:r w:rsidRPr="00357FBC">
        <w:t>3.2.4.</w:t>
      </w:r>
      <w:r w:rsidRPr="00357FBC">
        <w:tab/>
        <w:t xml:space="preserve">Συμβατότητα με το ισχύον πολυετές δημοσιονομικό πλαίσιο </w:t>
      </w:r>
    </w:p>
    <w:p w:rsidR="00E76F98" w:rsidRPr="00357FBC" w:rsidRDefault="00E76F98" w:rsidP="00E76F98">
      <w:pPr>
        <w:pStyle w:val="ListDash1"/>
      </w:pPr>
      <w:r w:rsidRPr="00357FBC">
        <w:t>X Η πρόταση/πρωτοβουλία είναι συμβατή με το ισχύον πολυετές δημοσιονομικό πλαίσιο.</w:t>
      </w:r>
    </w:p>
    <w:p w:rsidR="00E76F98" w:rsidRPr="00357FBC" w:rsidRDefault="00E76F98" w:rsidP="00E76F98">
      <w:pPr>
        <w:pStyle w:val="ManualHeading3"/>
      </w:pPr>
      <w:r w:rsidRPr="00357FBC">
        <w:t>3.2.5.</w:t>
      </w:r>
      <w:r w:rsidRPr="00357FBC">
        <w:tab/>
        <w:t xml:space="preserve">Συμμετοχή τρίτων μερών στη χρηματοδότηση </w:t>
      </w:r>
    </w:p>
    <w:p w:rsidR="00E76F98" w:rsidRPr="00357FBC" w:rsidRDefault="00E76F98" w:rsidP="00E76F98">
      <w:pPr>
        <w:pStyle w:val="ListDash1"/>
      </w:pPr>
      <w:r w:rsidRPr="00357FBC">
        <w:t xml:space="preserve">X Η πρόταση/πρωτοβουλία δεν προβλέπει συγχρηματοδότηση από τρίτα μέρη. </w:t>
      </w:r>
    </w:p>
    <w:p w:rsidR="00E76F98" w:rsidRPr="00357FBC" w:rsidRDefault="00E76F98" w:rsidP="00E76F98">
      <w:pPr>
        <w:pStyle w:val="ManualHeading2"/>
      </w:pPr>
      <w:r w:rsidRPr="00357FBC">
        <w:t>3.3.</w:t>
      </w:r>
      <w:r w:rsidRPr="00357FBC">
        <w:tab/>
        <w:t xml:space="preserve">Εκτιμώμενες επιπτώσεις στα έσοδα </w:t>
      </w:r>
    </w:p>
    <w:p w:rsidR="0014641C" w:rsidRPr="00EA3BD5" w:rsidRDefault="00E76F98" w:rsidP="00E76F98">
      <w:pPr>
        <w:jc w:val="center"/>
      </w:pPr>
      <w:r w:rsidRPr="00357FBC">
        <w:t>X</w:t>
      </w:r>
      <w:r w:rsidRPr="00357FBC">
        <w:tab/>
        <w:t>Η πρόταση /πρωτοβουλία δεν έχει δημοσιονομικές επιπτώσεις στα έσοδα.</w:t>
      </w:r>
    </w:p>
    <w:sectPr w:rsidR="0014641C" w:rsidRPr="00EA3BD5" w:rsidSect="001B6923">
      <w:headerReference w:type="default" r:id="rId30"/>
      <w:footerReference w:type="default" r:id="rId31"/>
      <w:headerReference w:type="first" r:id="rId32"/>
      <w:footerReference w:type="first" r:id="rId33"/>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41" w:rsidRDefault="00B02641" w:rsidP="0014641C">
      <w:pPr>
        <w:spacing w:before="0" w:after="0"/>
      </w:pPr>
      <w:r>
        <w:separator/>
      </w:r>
    </w:p>
  </w:endnote>
  <w:endnote w:type="continuationSeparator" w:id="0">
    <w:p w:rsidR="00B02641" w:rsidRDefault="00B02641" w:rsidP="001464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3" w:rsidRPr="001B6923" w:rsidRDefault="001B6923" w:rsidP="001B692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3" w:rsidRPr="001B6923" w:rsidRDefault="001B6923" w:rsidP="001B6923">
    <w:pPr>
      <w:pStyle w:val="Footer"/>
      <w:rPr>
        <w:rFonts w:ascii="Arial" w:hAnsi="Arial" w:cs="Arial"/>
        <w:b/>
        <w:sz w:val="48"/>
      </w:rPr>
    </w:pPr>
    <w:r w:rsidRPr="001B6923">
      <w:rPr>
        <w:rFonts w:ascii="Arial" w:hAnsi="Arial" w:cs="Arial"/>
        <w:b/>
        <w:sz w:val="48"/>
      </w:rPr>
      <w:t>EL</w:t>
    </w:r>
    <w:r w:rsidRPr="001B6923">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1B6923">
      <w:tab/>
    </w:r>
    <w:r w:rsidRPr="001B6923">
      <w:rPr>
        <w:rFonts w:ascii="Arial" w:hAnsi="Arial" w:cs="Arial"/>
        <w:b/>
        <w:sz w:val="48"/>
      </w:rPr>
      <w:t>EL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3" w:rsidRPr="001B6923" w:rsidRDefault="001B6923" w:rsidP="001B692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3" w:rsidRPr="001B6923" w:rsidRDefault="001B6923" w:rsidP="001B6923">
    <w:pPr>
      <w:pStyle w:val="Footer"/>
      <w:rPr>
        <w:rFonts w:ascii="Arial" w:hAnsi="Arial" w:cs="Arial"/>
        <w:b/>
        <w:sz w:val="48"/>
      </w:rPr>
    </w:pPr>
    <w:r w:rsidRPr="001B6923">
      <w:rPr>
        <w:rFonts w:ascii="Arial" w:hAnsi="Arial" w:cs="Arial"/>
        <w:b/>
        <w:sz w:val="48"/>
      </w:rPr>
      <w:t>EL</w:t>
    </w:r>
    <w:r w:rsidRPr="001B6923">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1B6923">
      <w:tab/>
    </w:r>
    <w:r w:rsidRPr="001B6923">
      <w:rPr>
        <w:rFonts w:ascii="Arial" w:hAnsi="Arial" w:cs="Arial"/>
        <w:b/>
        <w:sz w:val="48"/>
      </w:rPr>
      <w:t>EL</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3" w:rsidRPr="001B6923" w:rsidRDefault="001B6923" w:rsidP="001B6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41" w:rsidRPr="001B6923" w:rsidRDefault="001B6923" w:rsidP="001B6923">
    <w:pPr>
      <w:pStyle w:val="Footer"/>
      <w:rPr>
        <w:rFonts w:ascii="Arial" w:hAnsi="Arial" w:cs="Arial"/>
        <w:b/>
        <w:sz w:val="48"/>
      </w:rPr>
    </w:pPr>
    <w:r w:rsidRPr="001B6923">
      <w:rPr>
        <w:rFonts w:ascii="Arial" w:hAnsi="Arial" w:cs="Arial"/>
        <w:b/>
        <w:sz w:val="48"/>
      </w:rPr>
      <w:t>EL</w:t>
    </w:r>
    <w:r w:rsidRPr="001B6923">
      <w:rPr>
        <w:rFonts w:ascii="Arial" w:hAnsi="Arial" w:cs="Arial"/>
        <w:b/>
        <w:sz w:val="48"/>
      </w:rPr>
      <w:tab/>
    </w:r>
    <w:r w:rsidRPr="001B6923">
      <w:rPr>
        <w:rFonts w:ascii="Arial" w:hAnsi="Arial" w:cs="Arial"/>
        <w:b/>
        <w:sz w:val="48"/>
      </w:rPr>
      <w:tab/>
    </w:r>
    <w:r w:rsidRPr="001B6923">
      <w:tab/>
    </w:r>
    <w:proofErr w:type="spellStart"/>
    <w:r w:rsidRPr="001B6923">
      <w:rPr>
        <w:rFonts w:ascii="Arial" w:hAnsi="Arial" w:cs="Arial"/>
        <w:b/>
        <w:sz w:val="48"/>
      </w:rPr>
      <w:t>EL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3" w:rsidRPr="001B6923" w:rsidRDefault="001B6923" w:rsidP="001B69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3" w:rsidRPr="001B6923" w:rsidRDefault="001B6923" w:rsidP="001B6923">
    <w:pPr>
      <w:pStyle w:val="Footer"/>
      <w:rPr>
        <w:rFonts w:ascii="Arial" w:hAnsi="Arial" w:cs="Arial"/>
        <w:b/>
        <w:sz w:val="48"/>
      </w:rPr>
    </w:pPr>
    <w:r w:rsidRPr="001B6923">
      <w:rPr>
        <w:rFonts w:ascii="Arial" w:hAnsi="Arial" w:cs="Arial"/>
        <w:b/>
        <w:sz w:val="48"/>
      </w:rPr>
      <w:t>EL</w:t>
    </w:r>
    <w:r w:rsidRPr="001B6923">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1B6923">
      <w:tab/>
    </w:r>
    <w:r w:rsidRPr="001B6923">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3" w:rsidRPr="001B6923" w:rsidRDefault="001B6923" w:rsidP="001B692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3" w:rsidRPr="001B6923" w:rsidRDefault="001B6923" w:rsidP="001B6923">
    <w:pPr>
      <w:pStyle w:val="FooterLandscape"/>
      <w:rPr>
        <w:rFonts w:ascii="Arial" w:hAnsi="Arial" w:cs="Arial"/>
        <w:b/>
        <w:sz w:val="48"/>
      </w:rPr>
    </w:pPr>
    <w:r w:rsidRPr="001B6923">
      <w:rPr>
        <w:rFonts w:ascii="Arial" w:hAnsi="Arial" w:cs="Arial"/>
        <w:b/>
        <w:sz w:val="48"/>
      </w:rPr>
      <w:t>EL</w:t>
    </w:r>
    <w:r w:rsidRPr="001B6923">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1B6923">
      <w:tab/>
    </w:r>
    <w:r w:rsidRPr="001B6923">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3" w:rsidRPr="001B6923" w:rsidRDefault="001B6923" w:rsidP="001B6923">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3" w:rsidRPr="001B6923" w:rsidRDefault="001B6923" w:rsidP="001B6923">
    <w:pPr>
      <w:pStyle w:val="Footer"/>
      <w:rPr>
        <w:rFonts w:ascii="Arial" w:hAnsi="Arial" w:cs="Arial"/>
        <w:b/>
        <w:sz w:val="48"/>
      </w:rPr>
    </w:pPr>
    <w:r w:rsidRPr="001B6923">
      <w:rPr>
        <w:rFonts w:ascii="Arial" w:hAnsi="Arial" w:cs="Arial"/>
        <w:b/>
        <w:sz w:val="48"/>
      </w:rPr>
      <w:t>EL</w:t>
    </w:r>
    <w:r w:rsidRPr="001B6923">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1B6923">
      <w:tab/>
    </w:r>
    <w:r w:rsidRPr="001B6923">
      <w:rPr>
        <w:rFonts w:ascii="Arial" w:hAnsi="Arial" w:cs="Arial"/>
        <w:b/>
        <w:sz w:val="48"/>
      </w:rPr>
      <w:t>EL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3" w:rsidRPr="001B6923" w:rsidRDefault="001B6923" w:rsidP="001B6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41" w:rsidRDefault="00B02641" w:rsidP="0014641C">
      <w:pPr>
        <w:spacing w:before="0" w:after="0"/>
      </w:pPr>
      <w:r>
        <w:separator/>
      </w:r>
    </w:p>
  </w:footnote>
  <w:footnote w:type="continuationSeparator" w:id="0">
    <w:p w:rsidR="00B02641" w:rsidRDefault="00B02641" w:rsidP="0014641C">
      <w:pPr>
        <w:spacing w:before="0" w:after="0"/>
      </w:pPr>
      <w:r>
        <w:continuationSeparator/>
      </w:r>
    </w:p>
  </w:footnote>
  <w:footnote w:id="1">
    <w:p w:rsidR="008B4161" w:rsidRPr="008E3070" w:rsidRDefault="008B4161" w:rsidP="008B4161">
      <w:pPr>
        <w:pStyle w:val="FootnoteText"/>
        <w:keepLines/>
        <w:spacing w:after="120"/>
      </w:pPr>
      <w:r>
        <w:rPr>
          <w:rStyle w:val="FootnoteReference"/>
        </w:rPr>
        <w:footnoteRef/>
      </w:r>
      <w:r w:rsidRPr="008E3070">
        <w:tab/>
        <w:t xml:space="preserve">Στο παρόν έγγραφο, όλες οι μετατροπές βασίζονται σε συναλλαγματική ισοτιμία </w:t>
      </w:r>
      <w:r>
        <w:t>EUR</w:t>
      </w:r>
      <w:r w:rsidRPr="008E3070">
        <w:t>/</w:t>
      </w:r>
      <w:r>
        <w:t>USD</w:t>
      </w:r>
      <w:r w:rsidRPr="008E3070">
        <w:t xml:space="preserve"> 1,12.</w:t>
      </w:r>
    </w:p>
  </w:footnote>
  <w:footnote w:id="2">
    <w:p w:rsidR="008B4161" w:rsidRPr="008E3070" w:rsidRDefault="008B4161" w:rsidP="008B4161">
      <w:pPr>
        <w:pStyle w:val="FootnoteText"/>
        <w:keepLines/>
        <w:spacing w:after="120"/>
      </w:pPr>
      <w:r>
        <w:rPr>
          <w:rStyle w:val="FootnoteReference"/>
        </w:rPr>
        <w:footnoteRef/>
      </w:r>
      <w:r w:rsidRPr="008E3070">
        <w:tab/>
        <w:t>Απόφαση αριθ.</w:t>
      </w:r>
      <w:r>
        <w:t> </w:t>
      </w:r>
      <w:r w:rsidRPr="008E3070">
        <w:t>778/2013/ΕΕ του Ευρωπαϊκού Κοινοβουλίου και του Συμβουλίου, της 12ης Αυγούστου 2013, για τη χορήγηση περαιτέρω μακροοικονομικής χρηματοδοτικής συνδρομής στη Γεωργία (ΕΕ</w:t>
      </w:r>
      <w:r>
        <w:t> L </w:t>
      </w:r>
      <w:r w:rsidRPr="008E3070">
        <w:t>218 της 14.8.2013, σ.</w:t>
      </w:r>
      <w:r>
        <w:t> </w:t>
      </w:r>
      <w:r w:rsidRPr="008E3070">
        <w:t>15).</w:t>
      </w:r>
    </w:p>
  </w:footnote>
  <w:footnote w:id="3">
    <w:p w:rsidR="008B4161" w:rsidRPr="008E3070" w:rsidRDefault="008B4161" w:rsidP="008B4161">
      <w:pPr>
        <w:pStyle w:val="FootnoteText"/>
        <w:keepLines/>
        <w:spacing w:after="120"/>
      </w:pPr>
      <w:r>
        <w:rPr>
          <w:rStyle w:val="FootnoteReference"/>
        </w:rPr>
        <w:footnoteRef/>
      </w:r>
      <w:r w:rsidRPr="008E3070">
        <w:tab/>
        <w:t>Ανάλογα με τον ρυθμό της νομοθετικής διαδικασίας και, μετέπειτα, της υλοποίησης της πράξης ΜΧΣ, η εκταμίευση της προτεινόμενης συνδρομής μπορεί να πραγματοποιηθεί το 2018 ή να κατανεμηθεί στα έτη 2018 και 2019.</w:t>
      </w:r>
    </w:p>
  </w:footnote>
  <w:footnote w:id="4">
    <w:p w:rsidR="008B4161" w:rsidRPr="008E3070" w:rsidRDefault="008B4161" w:rsidP="008B4161">
      <w:pPr>
        <w:pStyle w:val="FootnoteText"/>
        <w:keepLines/>
        <w:spacing w:after="120"/>
      </w:pPr>
      <w:r>
        <w:rPr>
          <w:rStyle w:val="FootnoteReference"/>
        </w:rPr>
        <w:footnoteRef/>
      </w:r>
      <w:r w:rsidRPr="008E3070">
        <w:tab/>
        <w:t>Όπως έχει ήδη αναφερθεί, ανάλογα με τον ρυθμό της νομοθετικής διαδικασίας και, μετέπειτα, της υλοποίησης της πράξης ΜΧΣ, η εκταμίευση της προτεινόμενης συνδρομής μπορεί να πραγματοποιηθεί το 2018 ή να κατανεμηθεί στο 2018 και το 2019.</w:t>
      </w:r>
    </w:p>
  </w:footnote>
  <w:footnote w:id="5">
    <w:p w:rsidR="008B4161" w:rsidRPr="008E3070" w:rsidRDefault="008B4161" w:rsidP="008B4161">
      <w:pPr>
        <w:pStyle w:val="FootnoteText"/>
        <w:keepLines/>
        <w:spacing w:after="120"/>
      </w:pPr>
      <w:r>
        <w:rPr>
          <w:rStyle w:val="FootnoteReference"/>
        </w:rPr>
        <w:footnoteRef/>
      </w:r>
      <w:r w:rsidRPr="008E3070">
        <w:tab/>
        <w:t xml:space="preserve">ΕΕ </w:t>
      </w:r>
      <w:r>
        <w:t>C</w:t>
      </w:r>
      <w:r w:rsidRPr="008E3070">
        <w:t xml:space="preserve"> […] της […], σ.[…].</w:t>
      </w:r>
    </w:p>
  </w:footnote>
  <w:footnote w:id="6">
    <w:p w:rsidR="008B4161" w:rsidRPr="008E3070" w:rsidRDefault="008B4161" w:rsidP="008B4161">
      <w:pPr>
        <w:pStyle w:val="FootnoteText"/>
        <w:keepLines/>
        <w:spacing w:after="120"/>
      </w:pPr>
      <w:r>
        <w:rPr>
          <w:rStyle w:val="FootnoteReference"/>
        </w:rPr>
        <w:footnoteRef/>
      </w:r>
      <w:r w:rsidRPr="008E3070">
        <w:tab/>
        <w:t>Θέση του Ευρωπαϊκού Κοινοβουλίου της … και απόφαση του Συμβουλίου της …</w:t>
      </w:r>
    </w:p>
  </w:footnote>
  <w:footnote w:id="7">
    <w:p w:rsidR="008B4161" w:rsidRPr="008E3070" w:rsidRDefault="008B4161" w:rsidP="008B4161">
      <w:pPr>
        <w:pStyle w:val="FootnoteText"/>
        <w:keepLines/>
        <w:spacing w:after="120"/>
      </w:pPr>
      <w:r>
        <w:rPr>
          <w:rStyle w:val="FootnoteReference"/>
        </w:rPr>
        <w:footnoteRef/>
      </w:r>
      <w:r w:rsidRPr="008E3070">
        <w:tab/>
        <w:t>Κανονισμός (ΕΕ) αριθ.</w:t>
      </w:r>
      <w:r>
        <w:t> </w:t>
      </w:r>
      <w:r w:rsidRPr="008E3070">
        <w:t>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 (ΕΕ</w:t>
      </w:r>
      <w:r>
        <w:t> L </w:t>
      </w:r>
      <w:r w:rsidRPr="008E3070">
        <w:t>55 της 28.2.2011, σ.</w:t>
      </w:r>
      <w:r>
        <w:t> </w:t>
      </w:r>
      <w:r w:rsidRPr="008E3070">
        <w:t>13).</w:t>
      </w:r>
    </w:p>
  </w:footnote>
  <w:footnote w:id="8">
    <w:p w:rsidR="008B4161" w:rsidRPr="008E3070" w:rsidRDefault="008B4161" w:rsidP="008B4161">
      <w:pPr>
        <w:pStyle w:val="FootnoteText"/>
        <w:keepLines/>
        <w:spacing w:after="120"/>
      </w:pPr>
      <w:r>
        <w:rPr>
          <w:rStyle w:val="FootnoteReference"/>
        </w:rPr>
        <w:footnoteRef/>
      </w:r>
      <w:r w:rsidRPr="008E3070">
        <w:tab/>
        <w:t xml:space="preserve">Απόφαση 2010/427/ΕΕ του Συμβουλίου, </w:t>
      </w:r>
      <w:r w:rsidRPr="008E3070">
        <w:rPr>
          <w:color w:val="000000"/>
        </w:rPr>
        <w:t>της 26ης Ιουλίου 2010</w:t>
      </w:r>
      <w:r w:rsidRPr="008E3070">
        <w:t>, για τον καθορισμό της οργάνωσης και της λειτουργίας της Ευρωπαϊκής Υπηρεσίας Εξωτερικής Δράσης (ΕΕ</w:t>
      </w:r>
      <w:r>
        <w:t> L </w:t>
      </w:r>
      <w:r w:rsidRPr="008E3070">
        <w:t>201 της 3.8.2010, σ.</w:t>
      </w:r>
      <w:r>
        <w:t> </w:t>
      </w:r>
      <w:r w:rsidRPr="008E3070">
        <w:t>30).</w:t>
      </w:r>
    </w:p>
  </w:footnote>
  <w:footnote w:id="9">
    <w:p w:rsidR="008B4161" w:rsidRPr="008E3070" w:rsidRDefault="008B4161" w:rsidP="008B4161">
      <w:pPr>
        <w:pStyle w:val="FootnoteText"/>
        <w:keepLines/>
        <w:spacing w:after="120"/>
      </w:pPr>
      <w:r>
        <w:rPr>
          <w:rStyle w:val="FootnoteReference"/>
        </w:rPr>
        <w:footnoteRef/>
      </w:r>
      <w:r w:rsidRPr="008E3070">
        <w:tab/>
        <w:t>Κανονισμός (ΕΚ, Ευρατόμ) αριθ.</w:t>
      </w:r>
      <w:r>
        <w:t> </w:t>
      </w:r>
      <w:r w:rsidRPr="008E3070">
        <w:t>480/2009 του Συμβουλίου, της 25ης Μαΐου 2009, για την ίδρυση Ταμείου εγγυήσεων για τις εξωτερικές δράσεις (ΕΕ</w:t>
      </w:r>
      <w:r>
        <w:t> L </w:t>
      </w:r>
      <w:r w:rsidRPr="008E3070">
        <w:t>145 της 10.6.2009, σ.</w:t>
      </w:r>
      <w:r>
        <w:t> </w:t>
      </w:r>
      <w:r w:rsidRPr="008E3070">
        <w:t>10).</w:t>
      </w:r>
    </w:p>
  </w:footnote>
  <w:footnote w:id="10">
    <w:p w:rsidR="008B4161" w:rsidRPr="008E3070" w:rsidRDefault="008B4161" w:rsidP="008B4161">
      <w:pPr>
        <w:pStyle w:val="FootnoteText"/>
        <w:keepLines/>
        <w:spacing w:after="120"/>
      </w:pPr>
      <w:r>
        <w:rPr>
          <w:rStyle w:val="FootnoteReference"/>
        </w:rPr>
        <w:footnoteRef/>
      </w:r>
      <w:r w:rsidRPr="008E3070">
        <w:tab/>
        <w:t>Κανονισμός (ΕΕ, Ευρατόμ) αριθ.</w:t>
      </w:r>
      <w:r>
        <w:t> </w:t>
      </w:r>
      <w:r w:rsidRPr="008E3070">
        <w:t>966/2012 του Ευρωπαϊκού Κοινοβουλίου και του Συμβουλίου, της 25ης Οκτωβρίου 2012, σχετικά με τους δημοσιονομικούς κανόνες που εφαρμόζονται στον γενικό προϋπολογισμό της Ένωσης και την κατάργηση του κανονισμού (ΕΚ, Ευρατόμ) αριθ.</w:t>
      </w:r>
      <w:r>
        <w:t> </w:t>
      </w:r>
      <w:r w:rsidRPr="008E3070">
        <w:t xml:space="preserve">1605/2002 του Συμβουλίου </w:t>
      </w:r>
      <w:r w:rsidRPr="008E3070">
        <w:rPr>
          <w:rStyle w:val="Emphasis"/>
        </w:rPr>
        <w:t>(ΕΕ</w:t>
      </w:r>
      <w:r>
        <w:rPr>
          <w:rStyle w:val="Emphasis"/>
        </w:rPr>
        <w:t> L </w:t>
      </w:r>
      <w:r w:rsidRPr="008E3070">
        <w:rPr>
          <w:rStyle w:val="Emphasis"/>
        </w:rPr>
        <w:t>298 της 26.10.2012, σ.</w:t>
      </w:r>
      <w:r>
        <w:rPr>
          <w:rStyle w:val="Emphasis"/>
        </w:rPr>
        <w:t> </w:t>
      </w:r>
      <w:r w:rsidRPr="008E3070">
        <w:rPr>
          <w:rStyle w:val="Emphasis"/>
        </w:rPr>
        <w:t>1).</w:t>
      </w:r>
    </w:p>
  </w:footnote>
  <w:footnote w:id="11">
    <w:p w:rsidR="008B4161" w:rsidRPr="008E3070" w:rsidRDefault="008B4161" w:rsidP="008B4161">
      <w:pPr>
        <w:pStyle w:val="FootnoteText"/>
        <w:keepLines/>
        <w:spacing w:after="120"/>
      </w:pPr>
      <w:r>
        <w:rPr>
          <w:rStyle w:val="FootnoteReference"/>
        </w:rPr>
        <w:footnoteRef/>
      </w:r>
      <w:r w:rsidRPr="008E3070">
        <w:tab/>
        <w:t>Κατ’</w:t>
      </w:r>
      <w:r>
        <w:t> </w:t>
      </w:r>
      <w:r w:rsidRPr="008E3070">
        <w:t>εξουσιοδότηση κανονισμός (ΕΕ) αριθ. 1268/2012 της Επιτροπής, της 29ης Οκτωβρίου 2012, σχετικά με τους κανόνες εφαρμογής του κανονισμού (ΕΕ, Ευρατόμ) αριθ.</w:t>
      </w:r>
      <w:r>
        <w:t> </w:t>
      </w:r>
      <w:r w:rsidRPr="008E3070">
        <w:t>966/2012 του Ευρωπαϊκού Κοινοβουλίου και του Συμβουλίου για τους δημοσιονομικούς κανόνες που εφαρμόζονται στον γενικό προϋπολογισμό της Ένωσης</w:t>
      </w:r>
      <w:r w:rsidRPr="008E3070">
        <w:rPr>
          <w:color w:val="000000"/>
        </w:rPr>
        <w:t xml:space="preserve"> </w:t>
      </w:r>
      <w:r w:rsidRPr="008E3070">
        <w:t>(ΕΕ</w:t>
      </w:r>
      <w:r>
        <w:t> L </w:t>
      </w:r>
      <w:r w:rsidRPr="008E3070">
        <w:t>362 της 31.12.2012, σ.</w:t>
      </w:r>
      <w:r>
        <w:t> </w:t>
      </w:r>
      <w:r w:rsidRPr="008E3070">
        <w:t>1).</w:t>
      </w:r>
    </w:p>
  </w:footnote>
  <w:footnote w:id="12">
    <w:p w:rsidR="008B4161" w:rsidRPr="008E3070" w:rsidRDefault="008B4161" w:rsidP="008B4161">
      <w:pPr>
        <w:pStyle w:val="FootnoteText"/>
        <w:keepLines/>
        <w:spacing w:after="120"/>
      </w:pPr>
      <w:r>
        <w:rPr>
          <w:rStyle w:val="FootnoteReference"/>
        </w:rPr>
        <w:footnoteRef/>
      </w:r>
      <w:r w:rsidRPr="008E3070">
        <w:tab/>
        <w:t>Κανονισμός (ΕΚ, Ευρατόμ) αριθ.</w:t>
      </w:r>
      <w:r>
        <w:t> </w:t>
      </w:r>
      <w:r w:rsidRPr="008E3070">
        <w:t>2988/95 του Συμβουλίου, της 18ης Δεκεμβρίου 1995, σχετικά με την προστασία των οικονομικών συμφερόντων των Ευρωπαϊκών Κοινοτήτων (ΕΕ</w:t>
      </w:r>
      <w:r>
        <w:t> L </w:t>
      </w:r>
      <w:r w:rsidRPr="008E3070">
        <w:t>312 της 23.12.1995, σ.</w:t>
      </w:r>
      <w:r>
        <w:t> </w:t>
      </w:r>
      <w:r w:rsidRPr="008E3070">
        <w:t>1).</w:t>
      </w:r>
    </w:p>
  </w:footnote>
  <w:footnote w:id="13">
    <w:p w:rsidR="008B4161" w:rsidRPr="008E3070" w:rsidRDefault="008B4161" w:rsidP="008B4161">
      <w:pPr>
        <w:pStyle w:val="FootnoteText"/>
        <w:keepLines/>
        <w:spacing w:after="120"/>
      </w:pPr>
      <w:r>
        <w:rPr>
          <w:rStyle w:val="FootnoteReference"/>
        </w:rPr>
        <w:footnoteRef/>
      </w:r>
      <w:r w:rsidRPr="008E3070">
        <w:tab/>
        <w:t>Κανονισμός (Ευρατόμ, ΕΚ) αριθ.</w:t>
      </w:r>
      <w:r>
        <w:t> </w:t>
      </w:r>
      <w:r w:rsidRPr="008E3070">
        <w:t>2185/96 του Συμβουλίου, της 11ης Νοεμβρίου 1996, σχετικά με τους ελέγχους και εξακριβώσεις που διεξάγει επιτοπίως η Επιτροπή με σκοπό την προστασία των οικονομικών συμφερόντων των Ευρωπαϊκών Κοινοτήτων από απάτες και λοιπές παρατυπίες (ΕΕ</w:t>
      </w:r>
      <w:r>
        <w:t> L </w:t>
      </w:r>
      <w:r w:rsidRPr="008E3070">
        <w:t>292 της 15.11.1996, σ.</w:t>
      </w:r>
      <w:r>
        <w:t> </w:t>
      </w:r>
      <w:r w:rsidRPr="008E3070">
        <w:t>2).</w:t>
      </w:r>
    </w:p>
  </w:footnote>
  <w:footnote w:id="14">
    <w:p w:rsidR="008B4161" w:rsidRPr="008E3070" w:rsidRDefault="008B4161" w:rsidP="008B4161">
      <w:pPr>
        <w:pStyle w:val="FootnoteText"/>
        <w:keepLines/>
        <w:spacing w:after="120"/>
      </w:pPr>
      <w:r>
        <w:rPr>
          <w:rStyle w:val="FootnoteReference"/>
        </w:rPr>
        <w:footnoteRef/>
      </w:r>
      <w:r w:rsidRPr="008E3070">
        <w:tab/>
      </w:r>
      <w:r w:rsidRPr="008E3070">
        <w:rPr>
          <w:color w:val="000000"/>
        </w:rPr>
        <w:t>Κανονισμός (ΕΕ, Ευρατόμ) αριθ.</w:t>
      </w:r>
      <w:r>
        <w:rPr>
          <w:color w:val="000000"/>
        </w:rPr>
        <w:t> </w:t>
      </w:r>
      <w:r w:rsidRPr="008E3070">
        <w:rPr>
          <w:color w:val="000000"/>
        </w:rPr>
        <w:t>883/2013 του Ευρωπαϊκού Κοινοβουλίου και του Συμβουλίου</w:t>
      </w:r>
      <w:r w:rsidRPr="008E3070">
        <w:t>, της 11ης Σεπτεμβρίου 2013, σχετικά με τις έρευνες που πραγματοποιούνται από την Ευρωπαϊκή Υπηρεσία Καταπολέμησης της Απάτης (</w:t>
      </w:r>
      <w:r>
        <w:t>OLAF</w:t>
      </w:r>
      <w:r w:rsidRPr="008E3070">
        <w:t>) και την κατάργηση του κανονισμού (ΕΚ) αριθ.</w:t>
      </w:r>
      <w:r>
        <w:t> </w:t>
      </w:r>
      <w:r w:rsidRPr="008E3070">
        <w:t>1073/1999 του Ευρωπαϊκού Κοινοβουλίου και του Συμβουλίου και του κανονισμού (Ευρατόμ) αριθ.</w:t>
      </w:r>
      <w:r>
        <w:t> </w:t>
      </w:r>
      <w:r w:rsidRPr="008E3070">
        <w:t>1074/1999 του Συμβουλίου (ΕΕ</w:t>
      </w:r>
      <w:r>
        <w:t> L </w:t>
      </w:r>
      <w:r w:rsidRPr="008E3070">
        <w:t>248 της18.9.2013, σ.</w:t>
      </w:r>
      <w:r>
        <w:t> </w:t>
      </w:r>
      <w:r w:rsidRPr="008E3070">
        <w:t>1).</w:t>
      </w:r>
    </w:p>
  </w:footnote>
  <w:footnote w:id="15">
    <w:p w:rsidR="00B02641" w:rsidRPr="008E3070" w:rsidRDefault="00B02641" w:rsidP="005F4874">
      <w:pPr>
        <w:pStyle w:val="FootnoteText"/>
        <w:keepLines/>
        <w:spacing w:after="120"/>
      </w:pPr>
      <w:r>
        <w:rPr>
          <w:rStyle w:val="FootnoteReference"/>
        </w:rPr>
        <w:footnoteRef/>
      </w:r>
      <w:r w:rsidRPr="008E3070">
        <w:tab/>
        <w:t>ΔΒΔ: Διαχείριση βάσει δραστηριοτήτων — ΠΒΔ: Προϋπολογισμός βάσει δραστηριοτήτων.</w:t>
      </w:r>
    </w:p>
  </w:footnote>
  <w:footnote w:id="16">
    <w:p w:rsidR="00B02641" w:rsidRPr="008E3070" w:rsidRDefault="00B02641" w:rsidP="005F4874">
      <w:pPr>
        <w:pStyle w:val="FootnoteText"/>
        <w:keepLines/>
        <w:spacing w:after="120"/>
      </w:pPr>
      <w:r>
        <w:rPr>
          <w:rStyle w:val="FootnoteReference"/>
        </w:rPr>
        <w:footnoteRef/>
      </w:r>
      <w:r w:rsidRPr="008E3070">
        <w:tab/>
        <w:t xml:space="preserve">Οι λεπτομέρειες σχετικά με τους τρόπους διαχείρισης, καθώς και οι παραπομπές στον δημοσιονομικό κανονισμό είναι διαθέσιμες στον δικτυακό τόπο </w:t>
      </w:r>
      <w:proofErr w:type="spellStart"/>
      <w:r>
        <w:t>Europa</w:t>
      </w:r>
      <w:proofErr w:type="spellEnd"/>
      <w:r w:rsidRPr="008E3070">
        <w:t xml:space="preserve">: </w:t>
      </w:r>
      <w:hyperlink r:id="rId1">
        <w:r>
          <w:rPr>
            <w:rStyle w:val="Hyperlink"/>
          </w:rPr>
          <w:t>http</w:t>
        </w:r>
        <w:r w:rsidRPr="008E3070">
          <w:rPr>
            <w:rStyle w:val="Hyperlink"/>
          </w:rPr>
          <w:t>://</w:t>
        </w:r>
        <w:r>
          <w:rPr>
            <w:rStyle w:val="Hyperlink"/>
          </w:rPr>
          <w:t>ec</w:t>
        </w:r>
        <w:r w:rsidRPr="008E3070">
          <w:rPr>
            <w:rStyle w:val="Hyperlink"/>
          </w:rPr>
          <w:t>.</w:t>
        </w:r>
        <w:r>
          <w:rPr>
            <w:rStyle w:val="Hyperlink"/>
          </w:rPr>
          <w:t>europa</w:t>
        </w:r>
        <w:r w:rsidRPr="008E3070">
          <w:rPr>
            <w:rStyle w:val="Hyperlink"/>
          </w:rPr>
          <w:t>.</w:t>
        </w:r>
        <w:r>
          <w:rPr>
            <w:rStyle w:val="Hyperlink"/>
          </w:rPr>
          <w:t>eu</w:t>
        </w:r>
        <w:r w:rsidRPr="008E3070">
          <w:rPr>
            <w:rStyle w:val="Hyperlink"/>
          </w:rPr>
          <w:t>/</w:t>
        </w:r>
        <w:r>
          <w:rPr>
            <w:rStyle w:val="Hyperlink"/>
          </w:rPr>
          <w:t>budget</w:t>
        </w:r>
        <w:r w:rsidRPr="008E3070">
          <w:rPr>
            <w:rStyle w:val="Hyperlink"/>
          </w:rPr>
          <w:t>/</w:t>
        </w:r>
        <w:r>
          <w:rPr>
            <w:rStyle w:val="Hyperlink"/>
          </w:rPr>
          <w:t>explained</w:t>
        </w:r>
        <w:r w:rsidRPr="008E3070">
          <w:rPr>
            <w:rStyle w:val="Hyperlink"/>
          </w:rPr>
          <w:t>/</w:t>
        </w:r>
        <w:r>
          <w:rPr>
            <w:rStyle w:val="Hyperlink"/>
          </w:rPr>
          <w:t>management</w:t>
        </w:r>
        <w:r w:rsidRPr="008E3070">
          <w:rPr>
            <w:rStyle w:val="Hyperlink"/>
          </w:rPr>
          <w:t>/</w:t>
        </w:r>
        <w:r>
          <w:rPr>
            <w:rStyle w:val="Hyperlink"/>
          </w:rPr>
          <w:t>managt</w:t>
        </w:r>
        <w:r w:rsidRPr="008E3070">
          <w:rPr>
            <w:rStyle w:val="Hyperlink"/>
          </w:rPr>
          <w:t>_</w:t>
        </w:r>
        <w:r>
          <w:rPr>
            <w:rStyle w:val="Hyperlink"/>
          </w:rPr>
          <w:t>who</w:t>
        </w:r>
        <w:r w:rsidRPr="008E3070">
          <w:rPr>
            <w:rStyle w:val="Hyperlink"/>
          </w:rPr>
          <w:t>/</w:t>
        </w:r>
        <w:r>
          <w:rPr>
            <w:rStyle w:val="Hyperlink"/>
          </w:rPr>
          <w:t>who</w:t>
        </w:r>
        <w:r w:rsidRPr="008E3070">
          <w:rPr>
            <w:rStyle w:val="Hyperlink"/>
          </w:rPr>
          <w:t>_</w:t>
        </w:r>
        <w:r>
          <w:rPr>
            <w:rStyle w:val="Hyperlink"/>
          </w:rPr>
          <w:t>en</w:t>
        </w:r>
        <w:r w:rsidRPr="008E3070">
          <w:rPr>
            <w:rStyle w:val="Hyperlink"/>
          </w:rPr>
          <w:t>.</w:t>
        </w:r>
        <w:r>
          <w:rPr>
            <w:rStyle w:val="Hyperlink"/>
          </w:rPr>
          <w:t>cfm</w:t>
        </w:r>
      </w:hyperlink>
    </w:p>
  </w:footnote>
  <w:footnote w:id="17">
    <w:p w:rsidR="00B02641" w:rsidRPr="008E3070" w:rsidRDefault="00B02641" w:rsidP="005F4874">
      <w:pPr>
        <w:pStyle w:val="FootnoteText"/>
        <w:keepLines/>
        <w:spacing w:after="120"/>
      </w:pPr>
      <w:r>
        <w:rPr>
          <w:rStyle w:val="FootnoteReference"/>
        </w:rPr>
        <w:footnoteRef/>
      </w:r>
      <w:r w:rsidRPr="008E3070">
        <w:tab/>
        <w:t>ΔΠ= Διαχωριζόμενες πιστώσεις / ΜΔΠ= Μη διαχωριζόμενες πιστώσεις</w:t>
      </w:r>
    </w:p>
  </w:footnote>
  <w:footnote w:id="18">
    <w:p w:rsidR="00B02641" w:rsidRPr="008E3070" w:rsidRDefault="00B02641" w:rsidP="005F4874">
      <w:pPr>
        <w:pStyle w:val="FootnoteText"/>
        <w:keepLines/>
        <w:spacing w:after="120"/>
      </w:pPr>
      <w:r>
        <w:rPr>
          <w:rStyle w:val="FootnoteReference"/>
        </w:rPr>
        <w:footnoteRef/>
      </w:r>
      <w:r w:rsidRPr="008E3070">
        <w:tab/>
        <w:t xml:space="preserve">ΕΖΕΣ: Ευρωπαϊκή Ζώνη Ελεύθερων Συναλλαγών. </w:t>
      </w:r>
    </w:p>
  </w:footnote>
  <w:footnote w:id="19">
    <w:p w:rsidR="00B02641" w:rsidRPr="008E3070" w:rsidRDefault="00B02641" w:rsidP="005F4874">
      <w:pPr>
        <w:pStyle w:val="FootnoteText"/>
        <w:keepLines/>
        <w:spacing w:after="120"/>
      </w:pPr>
      <w:r>
        <w:rPr>
          <w:rStyle w:val="FootnoteReference"/>
        </w:rPr>
        <w:footnoteRef/>
      </w:r>
      <w:r w:rsidRPr="008E3070">
        <w:tab/>
        <w:t>Υποψήφιες χώρες και, εφόσον ισχύει, δυνάμει υποψήφιες για ένταξη χώρες των Δυτικών Βαλκανίων.</w:t>
      </w:r>
    </w:p>
  </w:footnote>
  <w:footnote w:id="20">
    <w:p w:rsidR="00B02641" w:rsidRPr="008E3070" w:rsidRDefault="00B02641" w:rsidP="005F4874">
      <w:pPr>
        <w:pStyle w:val="FootnoteText"/>
        <w:keepLines/>
        <w:spacing w:after="120"/>
      </w:pPr>
      <w:r>
        <w:rPr>
          <w:rStyle w:val="FootnoteReference"/>
        </w:rPr>
        <w:footnoteRef/>
      </w:r>
      <w:r w:rsidRPr="008E3070">
        <w:tab/>
        <w:t xml:space="preserve">Κανονισμός (ΕΚ, ΕΥΡΑΤΟΜ) αριθ. 480/2009 του Συμβουλίου, της 25ης Μαΐου 2009, για την ίδρυση Ταμείου εγγυήσεων για τις εξωτερικές δράσεις, ΕΕ </w:t>
      </w:r>
      <w:r>
        <w:t>L </w:t>
      </w:r>
      <w:r w:rsidRPr="008E3070">
        <w:t>145 της 10.6.2009, σ. 10.</w:t>
      </w:r>
    </w:p>
  </w:footnote>
  <w:footnote w:id="21">
    <w:p w:rsidR="00B02641" w:rsidRPr="008E3070" w:rsidRDefault="00B02641" w:rsidP="005F4874">
      <w:pPr>
        <w:pStyle w:val="FootnoteText"/>
        <w:keepLines/>
        <w:spacing w:after="120"/>
      </w:pPr>
      <w:r>
        <w:rPr>
          <w:rStyle w:val="FootnoteReference"/>
        </w:rPr>
        <w:footnoteRef/>
      </w:r>
      <w:r w:rsidRPr="008E3070">
        <w:tab/>
        <w:t>Έτος έναρξης εφαρμογής της πρότασης/πρωτοβουλίας.</w:t>
      </w:r>
    </w:p>
  </w:footnote>
  <w:footnote w:id="22">
    <w:p w:rsidR="00B02641" w:rsidRPr="008E3070" w:rsidRDefault="00B02641" w:rsidP="005F4874">
      <w:pPr>
        <w:pStyle w:val="FootnoteText"/>
        <w:keepLines/>
        <w:spacing w:after="120"/>
      </w:pPr>
      <w:r>
        <w:rPr>
          <w:rStyle w:val="FootnoteReference"/>
        </w:rPr>
        <w:footnoteRef/>
      </w:r>
      <w:r w:rsidRPr="008E3070">
        <w:tab/>
        <w:t xml:space="preserve">Αποτελέσματα θα είναι τα προϊόντα και οι υπηρεσίες που θα παρασχεθούν (παράδειγμα: αριθμός ανταλλαγών σπουδαστών που θα χρηματοδοτηθούν, αριθμός χλμ οδών που θα κατασκευαστούν κ.λπ.) </w:t>
      </w:r>
    </w:p>
  </w:footnote>
  <w:footnote w:id="23">
    <w:p w:rsidR="00B02641" w:rsidRPr="008E3070" w:rsidRDefault="00B02641" w:rsidP="005F4874">
      <w:pPr>
        <w:pStyle w:val="FootnoteText"/>
        <w:keepLines/>
        <w:spacing w:after="120"/>
      </w:pPr>
      <w:r>
        <w:rPr>
          <w:rStyle w:val="FootnoteReference"/>
        </w:rPr>
        <w:footnoteRef/>
      </w:r>
      <w:r w:rsidRPr="008E3070">
        <w:tab/>
        <w:t xml:space="preserve">Όπως περιγράφεται στο σημείο 1.4.2. «Ειδικός/-οί στόχος/-οι…». </w:t>
      </w:r>
    </w:p>
  </w:footnote>
  <w:footnote w:id="24">
    <w:p w:rsidR="00B02641" w:rsidRPr="008E3070" w:rsidRDefault="00B02641" w:rsidP="005F4874">
      <w:pPr>
        <w:pStyle w:val="FootnoteText"/>
        <w:keepLines/>
        <w:spacing w:after="120"/>
      </w:pPr>
      <w:r>
        <w:rPr>
          <w:rStyle w:val="FootnoteReference"/>
        </w:rPr>
        <w:footnoteRef/>
      </w:r>
      <w:r w:rsidRPr="008E3070">
        <w:tab/>
        <w:t>Έτος έναρξης εφαρμογής της πρότασης/πρωτοβουλίας.</w:t>
      </w:r>
    </w:p>
  </w:footnote>
  <w:footnote w:id="25">
    <w:p w:rsidR="00B02641" w:rsidRPr="008E3070" w:rsidRDefault="00B02641" w:rsidP="005F4874">
      <w:pPr>
        <w:pStyle w:val="FootnoteText"/>
        <w:keepLines/>
        <w:spacing w:after="120"/>
      </w:pPr>
      <w:r>
        <w:rPr>
          <w:rStyle w:val="FootnoteReference"/>
        </w:rPr>
        <w:footnoteRef/>
      </w:r>
      <w:r w:rsidRPr="008E3070">
        <w:tab/>
        <w:t>Τεχνική και/ή διοικητική βοήθεια και δαπάνες στήριξης της εφαρμογής προγραμμάτων και/ή δράσεων της ΕΕ (πρώην γραμμές «</w:t>
      </w:r>
      <w:r>
        <w:t>BA</w:t>
      </w:r>
      <w:r w:rsidRPr="008E3070">
        <w:t>»), έμμεση έρευνα, άμεση έρευνα.</w:t>
      </w:r>
    </w:p>
  </w:footnote>
  <w:footnote w:id="26">
    <w:p w:rsidR="00B02641" w:rsidRPr="008E3070" w:rsidRDefault="00B02641" w:rsidP="005F4874">
      <w:pPr>
        <w:pStyle w:val="FootnoteText"/>
        <w:keepLines/>
        <w:spacing w:after="120"/>
      </w:pPr>
      <w:r>
        <w:rPr>
          <w:rStyle w:val="FootnoteReference"/>
        </w:rPr>
        <w:footnoteRef/>
      </w:r>
      <w:r w:rsidRPr="008E3070">
        <w:tab/>
      </w:r>
      <w:r>
        <w:t>CA</w:t>
      </w:r>
      <w:r w:rsidRPr="008E3070">
        <w:t xml:space="preserve"> = Συμβασιούχος υπάλληλος· </w:t>
      </w:r>
      <w:r>
        <w:t>LA</w:t>
      </w:r>
      <w:r w:rsidRPr="008E3070">
        <w:t xml:space="preserve"> = Τοπικός υπάλληλος· </w:t>
      </w:r>
      <w:r>
        <w:t>SNE</w:t>
      </w:r>
      <w:r w:rsidRPr="008E3070">
        <w:t xml:space="preserve"> = Αποσπασμένος εθνικός εμπειρογνώμονας· </w:t>
      </w:r>
      <w:r>
        <w:t>INT</w:t>
      </w:r>
      <w:r w:rsidRPr="008E3070">
        <w:t xml:space="preserve"> = Προσωρινό προσωπικό οργανισμού· </w:t>
      </w:r>
      <w:r>
        <w:t>JED</w:t>
      </w:r>
      <w:r w:rsidRPr="008E3070">
        <w:t xml:space="preserve"> = Νεαρός εμπειρογνώμονας σε αντιπροσωπεία. </w:t>
      </w:r>
    </w:p>
  </w:footnote>
  <w:footnote w:id="27">
    <w:p w:rsidR="00B02641" w:rsidRPr="008E3070" w:rsidRDefault="00B02641" w:rsidP="005F4874">
      <w:pPr>
        <w:pStyle w:val="FootnoteText"/>
        <w:keepLines/>
        <w:spacing w:after="120"/>
      </w:pPr>
      <w:r>
        <w:rPr>
          <w:rStyle w:val="FootnoteReference"/>
        </w:rPr>
        <w:footnoteRef/>
      </w:r>
      <w:r w:rsidRPr="008E3070">
        <w:tab/>
        <w:t>Επιμέρους ανώτατο όριο εξωτερικού προσωπικού που καλύπτεται από επιχειρησιακές πιστώσεις (πρώην γραμμές «</w:t>
      </w:r>
      <w:r>
        <w:t>BA</w:t>
      </w:r>
      <w:r w:rsidRPr="008E307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3" w:rsidRPr="001B6923" w:rsidRDefault="001B6923" w:rsidP="001B692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3" w:rsidRPr="001B6923" w:rsidRDefault="001B6923" w:rsidP="001B692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3" w:rsidRPr="001B6923" w:rsidRDefault="001B6923" w:rsidP="001B69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3" w:rsidRPr="001B6923" w:rsidRDefault="001B6923" w:rsidP="001B69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3" w:rsidRPr="001B6923" w:rsidRDefault="001B6923" w:rsidP="001B69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3" w:rsidRPr="001B6923" w:rsidRDefault="001B6923" w:rsidP="001B6923">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3" w:rsidRPr="001B6923" w:rsidRDefault="001B6923" w:rsidP="001B6923">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3" w:rsidRPr="001B6923" w:rsidRDefault="001B6923" w:rsidP="001B692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3" w:rsidRPr="001B6923" w:rsidRDefault="001B6923" w:rsidP="001B692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3" w:rsidRPr="001B6923" w:rsidRDefault="001B6923" w:rsidP="001B692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23" w:rsidRPr="001B6923" w:rsidRDefault="001B6923" w:rsidP="001B6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80EF1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00CF9F2"/>
    <w:lvl w:ilvl="0">
      <w:start w:val="1"/>
      <w:numFmt w:val="decimal"/>
      <w:pStyle w:val="ListNumber3"/>
      <w:lvlText w:val="%1."/>
      <w:lvlJc w:val="left"/>
      <w:pPr>
        <w:tabs>
          <w:tab w:val="num" w:pos="926"/>
        </w:tabs>
        <w:ind w:left="926" w:hanging="360"/>
      </w:pPr>
    </w:lvl>
  </w:abstractNum>
  <w:abstractNum w:abstractNumId="2">
    <w:nsid w:val="FFFFFF7F"/>
    <w:multiLevelType w:val="singleLevel"/>
    <w:tmpl w:val="59882BE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668A5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FE66CA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24"/>
    <w:lvlOverride w:ilvl="0">
      <w:startOverride w:val="1"/>
    </w:lvlOverride>
  </w:num>
  <w:num w:numId="8">
    <w:abstractNumId w:val="3"/>
  </w:num>
  <w:num w:numId="9">
    <w:abstractNumId w:val="4"/>
  </w:num>
  <w:num w:numId="10">
    <w:abstractNumId w:val="2"/>
  </w:num>
  <w:num w:numId="11">
    <w:abstractNumId w:val="1"/>
  </w:num>
  <w:num w:numId="12">
    <w:abstractNumId w:val="0"/>
  </w:num>
  <w:num w:numId="13">
    <w:abstractNumId w:val="18"/>
  </w:num>
  <w:num w:numId="14">
    <w:abstractNumId w:val="10"/>
  </w:num>
  <w:num w:numId="15">
    <w:abstractNumId w:val="21"/>
  </w:num>
  <w:num w:numId="16">
    <w:abstractNumId w:val="9"/>
  </w:num>
  <w:num w:numId="17">
    <w:abstractNumId w:val="11"/>
  </w:num>
  <w:num w:numId="18">
    <w:abstractNumId w:val="7"/>
  </w:num>
  <w:num w:numId="19">
    <w:abstractNumId w:val="20"/>
  </w:num>
  <w:num w:numId="20">
    <w:abstractNumId w:val="6"/>
  </w:num>
  <w:num w:numId="21">
    <w:abstractNumId w:val="12"/>
  </w:num>
  <w:num w:numId="22">
    <w:abstractNumId w:val="16"/>
  </w:num>
  <w:num w:numId="23">
    <w:abstractNumId w:val="17"/>
  </w:num>
  <w:num w:numId="24">
    <w:abstractNumId w:val="8"/>
  </w:num>
  <w:num w:numId="25">
    <w:abstractNumId w:val="15"/>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5 17:25:3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0"/>
    <w:docVar w:name="LW_CORRIGENDUM" w:val="CORRIGENDUM_x000b_This document corrects document COM(2017) 559 final of 29.09.2017._x000b_Concerns all language versions._x000b_Addition of three words in Article 4(1) on page 12 and deletion of one word and correction of another word in Article 4(3) on page 12._x000b_The text shall read as follows:"/>
    <w:docVar w:name="LW_COVERPAGE_EXISTS" w:val="True"/>
    <w:docVar w:name="LW_COVERPAGE_GUID" w:val="AEFE0E6C-7877-4B07-A499-19B484D28BF9"/>
    <w:docVar w:name="LW_COVERPAGE_TYPE" w:val="1"/>
    <w:docVar w:name="LW_CROSSREFERENCE" w:val="{SWD(2017) 321}"/>
    <w:docVar w:name="LW_DocType" w:val="COM"/>
    <w:docVar w:name="LW_EMISSION" w:val="4.1.2018"/>
    <w:docVar w:name="LW_EMISSION_ISODATE" w:val="2018-01-04"/>
    <w:docVar w:name="LW_EMISSION_LOCATION" w:val="BRX"/>
    <w:docVar w:name="LW_EMISSION_PREFIX" w:val="\u914?\u961?\u965?\u958?\u941?\u955?\u955?\u949?\u962?,"/>
    <w:docVar w:name="LW_EMISSION_SUFFIX" w:val=" "/>
    <w:docVar w:name="LW_ID_DOCMODEL" w:val="SJ-025"/>
    <w:docVar w:name="LW_ID_DOCSIGNATURE" w:val="SJ-025"/>
    <w:docVar w:name="LW_ID_DOCSTRUCTURE" w:val="COM/PL/ORG"/>
    <w:docVar w:name="LW_ID_DOCTYPE" w:val="SJ-025"/>
    <w:docVar w:name="LW_ID_STATUT" w:val="SJ-025"/>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242"/>
    <w:docVar w:name="LW_REF.II.NEW.CP_YEAR" w:val="2017"/>
    <w:docVar w:name="LW_REF.INST.NEW" w:val="COM"/>
    <w:docVar w:name="LW_REF.INST.NEW_ADOPTED" w:val="final/2"/>
    <w:docVar w:name="LW_REF.INST.NEW_TEXT" w:val="(2017) 5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u928?\u961?\u972?\u964?\u945?\u963?\u951?"/>
    <w:docVar w:name="LW_SUPERTITRE" w:val="&lt;UNUSED&gt;"/>
    <w:docVar w:name="LW_TITRE.OBJ.CP" w:val="\u947?\u953?\u945? \u964?\u951? \u967?\u959?\u961?\u942?\u947?\u951?\u963?\u951? \u960?\u949?\u961?\u945?\u953?\u964?\u941?\u961?\u969? \u956?\u945?\u954?\u961?\u959?\u959?\u953?\u954?\u959?\u957?\u959?\u956?\u953?\u954?\u942?\u962? \u967?\u961?\u951?\u956?\u945?\u964?\u959?\u948?\u959?\u964?\u953?\u954?\u942?\u962? \u963?\u965?\u957?\u948?\u961?\u959?\u956?\u942?\u962? \u963?\u964?\u951? \u915?\u949?\u969?\u961?\u947?\u943?\u945?"/>
    <w:docVar w:name="LW_TYPE.DOC.CP" w:val="\u913?\u928?\u927?\u934?\u913?\u931?\u919? \u932?\u927?\u933? \u917?\u933?\u929?\u937?\u928?\u913?\u938?\u922?\u927?\u933? \u922?\u927?\u921?\u925?\u927?\u914?\u927?\u933?\u923?\u921?\u927?\u933? \u922?\u913?\u921? \u932?\u927?\u933? \u931?\u933?\u924?\u914?\u927?\u933?\u923?\u921?\u927?\u933?"/>
  </w:docVars>
  <w:rsids>
    <w:rsidRoot w:val="0014641C"/>
    <w:rsid w:val="00013B69"/>
    <w:rsid w:val="000152CC"/>
    <w:rsid w:val="00024CE9"/>
    <w:rsid w:val="00035AAA"/>
    <w:rsid w:val="00036B27"/>
    <w:rsid w:val="00050848"/>
    <w:rsid w:val="00064C39"/>
    <w:rsid w:val="00075681"/>
    <w:rsid w:val="000D223B"/>
    <w:rsid w:val="000D3B73"/>
    <w:rsid w:val="000F797F"/>
    <w:rsid w:val="001257BF"/>
    <w:rsid w:val="00131873"/>
    <w:rsid w:val="0014641C"/>
    <w:rsid w:val="00154D43"/>
    <w:rsid w:val="00156849"/>
    <w:rsid w:val="0016549C"/>
    <w:rsid w:val="00171635"/>
    <w:rsid w:val="001811BE"/>
    <w:rsid w:val="001B0A84"/>
    <w:rsid w:val="001B6923"/>
    <w:rsid w:val="00215D94"/>
    <w:rsid w:val="00224DB2"/>
    <w:rsid w:val="0022547C"/>
    <w:rsid w:val="002B25A8"/>
    <w:rsid w:val="002C0A3D"/>
    <w:rsid w:val="002E4E94"/>
    <w:rsid w:val="0031266F"/>
    <w:rsid w:val="0031307A"/>
    <w:rsid w:val="00327632"/>
    <w:rsid w:val="0034445E"/>
    <w:rsid w:val="00357FBC"/>
    <w:rsid w:val="0037767F"/>
    <w:rsid w:val="003B1F1F"/>
    <w:rsid w:val="003C19C2"/>
    <w:rsid w:val="003C33DE"/>
    <w:rsid w:val="003E61FA"/>
    <w:rsid w:val="003F0BDC"/>
    <w:rsid w:val="003F5B8F"/>
    <w:rsid w:val="00445B95"/>
    <w:rsid w:val="00461502"/>
    <w:rsid w:val="004B3E7F"/>
    <w:rsid w:val="004B6BB0"/>
    <w:rsid w:val="004C7F78"/>
    <w:rsid w:val="00513C02"/>
    <w:rsid w:val="0052001D"/>
    <w:rsid w:val="00545873"/>
    <w:rsid w:val="00565A93"/>
    <w:rsid w:val="00565DDB"/>
    <w:rsid w:val="005B73DC"/>
    <w:rsid w:val="005B7A28"/>
    <w:rsid w:val="005C0D2D"/>
    <w:rsid w:val="005C184E"/>
    <w:rsid w:val="005C6CB5"/>
    <w:rsid w:val="005D3399"/>
    <w:rsid w:val="005F4874"/>
    <w:rsid w:val="00630FF8"/>
    <w:rsid w:val="00645AE4"/>
    <w:rsid w:val="00673264"/>
    <w:rsid w:val="00687DEB"/>
    <w:rsid w:val="006D70C2"/>
    <w:rsid w:val="00714B70"/>
    <w:rsid w:val="00715D61"/>
    <w:rsid w:val="00757590"/>
    <w:rsid w:val="00786E2D"/>
    <w:rsid w:val="007C0451"/>
    <w:rsid w:val="007C0C23"/>
    <w:rsid w:val="007D53B6"/>
    <w:rsid w:val="007E0E8B"/>
    <w:rsid w:val="00880453"/>
    <w:rsid w:val="008A0E6B"/>
    <w:rsid w:val="008A1E64"/>
    <w:rsid w:val="008B4161"/>
    <w:rsid w:val="008E3070"/>
    <w:rsid w:val="009439D7"/>
    <w:rsid w:val="00991864"/>
    <w:rsid w:val="009C772B"/>
    <w:rsid w:val="009D7105"/>
    <w:rsid w:val="009E35CF"/>
    <w:rsid w:val="00A16977"/>
    <w:rsid w:val="00AD3397"/>
    <w:rsid w:val="00B02641"/>
    <w:rsid w:val="00B04DCA"/>
    <w:rsid w:val="00B236E3"/>
    <w:rsid w:val="00B36865"/>
    <w:rsid w:val="00B44CFD"/>
    <w:rsid w:val="00B51FAB"/>
    <w:rsid w:val="00B82E4E"/>
    <w:rsid w:val="00BA428B"/>
    <w:rsid w:val="00BF1D42"/>
    <w:rsid w:val="00C120E1"/>
    <w:rsid w:val="00C40E09"/>
    <w:rsid w:val="00C4798F"/>
    <w:rsid w:val="00C6163F"/>
    <w:rsid w:val="00CB53A8"/>
    <w:rsid w:val="00CF33DD"/>
    <w:rsid w:val="00D063E6"/>
    <w:rsid w:val="00D46FEF"/>
    <w:rsid w:val="00D62C5A"/>
    <w:rsid w:val="00DA1321"/>
    <w:rsid w:val="00DA73D3"/>
    <w:rsid w:val="00DD1615"/>
    <w:rsid w:val="00DF09FC"/>
    <w:rsid w:val="00E0220B"/>
    <w:rsid w:val="00E1454F"/>
    <w:rsid w:val="00E707DC"/>
    <w:rsid w:val="00E76F98"/>
    <w:rsid w:val="00EA3BD5"/>
    <w:rsid w:val="00EE0AD7"/>
    <w:rsid w:val="00EE5D60"/>
    <w:rsid w:val="00F23E12"/>
    <w:rsid w:val="00F2620F"/>
    <w:rsid w:val="00F537D0"/>
    <w:rsid w:val="00F67128"/>
    <w:rsid w:val="00F738CE"/>
    <w:rsid w:val="00F850FC"/>
    <w:rsid w:val="00F87183"/>
    <w:rsid w:val="00FD0912"/>
    <w:rsid w:val="00FD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rsid w:val="0014641C"/>
    <w:pPr>
      <w:numPr>
        <w:numId w:val="4"/>
      </w:numPr>
    </w:pPr>
    <w:rPr>
      <w:rFonts w:eastAsia="Times New Roman"/>
    </w:rPr>
  </w:style>
  <w:style w:type="paragraph" w:customStyle="1" w:styleId="ListBullet1">
    <w:name w:val="List Bullet 1"/>
    <w:basedOn w:val="Normal"/>
    <w:rsid w:val="0014641C"/>
    <w:pPr>
      <w:numPr>
        <w:numId w:val="1"/>
      </w:numPr>
    </w:pPr>
    <w:rPr>
      <w:rFonts w:eastAsia="Times New Roman"/>
    </w:rPr>
  </w:style>
  <w:style w:type="paragraph" w:customStyle="1" w:styleId="ListDash1">
    <w:name w:val="List Dash 1"/>
    <w:basedOn w:val="Normal"/>
    <w:rsid w:val="0014641C"/>
    <w:pPr>
      <w:numPr>
        <w:numId w:val="2"/>
      </w:numPr>
    </w:pPr>
    <w:rPr>
      <w:rFonts w:eastAsia="Times New Roman"/>
    </w:rPr>
  </w:style>
  <w:style w:type="paragraph" w:customStyle="1" w:styleId="ListDash2">
    <w:name w:val="List Dash 2"/>
    <w:basedOn w:val="Normal"/>
    <w:rsid w:val="0014641C"/>
    <w:pPr>
      <w:numPr>
        <w:numId w:val="3"/>
      </w:numPr>
    </w:pPr>
    <w:rPr>
      <w:rFonts w:eastAsia="Times New Roman"/>
    </w:rPr>
  </w:style>
  <w:style w:type="paragraph" w:customStyle="1" w:styleId="ListNumberLevel2">
    <w:name w:val="List Number (Level 2)"/>
    <w:basedOn w:val="Normal"/>
    <w:rsid w:val="0014641C"/>
    <w:pPr>
      <w:numPr>
        <w:ilvl w:val="1"/>
        <w:numId w:val="4"/>
      </w:numPr>
    </w:pPr>
    <w:rPr>
      <w:rFonts w:eastAsia="Times New Roman"/>
    </w:rPr>
  </w:style>
  <w:style w:type="paragraph" w:customStyle="1" w:styleId="ListNumberLevel3">
    <w:name w:val="List Number (Level 3)"/>
    <w:basedOn w:val="Normal"/>
    <w:rsid w:val="0014641C"/>
    <w:pPr>
      <w:numPr>
        <w:ilvl w:val="2"/>
        <w:numId w:val="4"/>
      </w:numPr>
    </w:pPr>
    <w:rPr>
      <w:rFonts w:eastAsia="Times New Roman"/>
    </w:rPr>
  </w:style>
  <w:style w:type="paragraph" w:customStyle="1" w:styleId="ListNumberLevel4">
    <w:name w:val="List Number (Level 4)"/>
    <w:basedOn w:val="Normal"/>
    <w:rsid w:val="0014641C"/>
    <w:pPr>
      <w:numPr>
        <w:ilvl w:val="3"/>
        <w:numId w:val="4"/>
      </w:numPr>
    </w:pPr>
    <w:rPr>
      <w:rFonts w:eastAsia="Times New Roman"/>
    </w:rPr>
  </w:style>
  <w:style w:type="character" w:styleId="Hyperlink">
    <w:name w:val="Hyperlink"/>
    <w:uiPriority w:val="99"/>
    <w:rsid w:val="0014641C"/>
    <w:rPr>
      <w:color w:val="0000FF"/>
      <w:u w:val="single"/>
    </w:rPr>
  </w:style>
  <w:style w:type="paragraph" w:styleId="ListBullet">
    <w:name w:val="List Bullet"/>
    <w:basedOn w:val="Normal"/>
    <w:rsid w:val="0014641C"/>
    <w:pPr>
      <w:numPr>
        <w:numId w:val="5"/>
      </w:numPr>
    </w:pPr>
    <w:rPr>
      <w:rFonts w:eastAsia="Times New Roman"/>
    </w:rPr>
  </w:style>
  <w:style w:type="paragraph" w:styleId="ListBullet2">
    <w:name w:val="List Bullet 2"/>
    <w:basedOn w:val="Normal"/>
    <w:rsid w:val="0014641C"/>
    <w:pPr>
      <w:numPr>
        <w:numId w:val="6"/>
      </w:numPr>
    </w:pPr>
    <w:rPr>
      <w:rFonts w:eastAsia="Times New Roman"/>
    </w:rPr>
  </w:style>
  <w:style w:type="character" w:styleId="Emphasis">
    <w:name w:val="Emphasis"/>
    <w:uiPriority w:val="20"/>
    <w:qFormat/>
    <w:rsid w:val="00075681"/>
    <w:rPr>
      <w:i/>
    </w:rPr>
  </w:style>
  <w:style w:type="paragraph" w:styleId="ListBullet4">
    <w:name w:val="List Bullet 4"/>
    <w:basedOn w:val="Normal"/>
    <w:uiPriority w:val="99"/>
    <w:semiHidden/>
    <w:unhideWhenUsed/>
    <w:rsid w:val="00075681"/>
    <w:pPr>
      <w:numPr>
        <w:numId w:val="8"/>
      </w:numPr>
      <w:contextualSpacing/>
    </w:pPr>
  </w:style>
  <w:style w:type="paragraph" w:styleId="Caption">
    <w:name w:val="caption"/>
    <w:basedOn w:val="Normal"/>
    <w:next w:val="Normal"/>
    <w:uiPriority w:val="35"/>
    <w:semiHidden/>
    <w:unhideWhenUsed/>
    <w:qFormat/>
    <w:rsid w:val="00CB53A8"/>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CB53A8"/>
    <w:pPr>
      <w:spacing w:after="0"/>
    </w:pPr>
  </w:style>
  <w:style w:type="paragraph" w:styleId="ListBullet3">
    <w:name w:val="List Bullet 3"/>
    <w:basedOn w:val="Normal"/>
    <w:uiPriority w:val="99"/>
    <w:semiHidden/>
    <w:unhideWhenUsed/>
    <w:rsid w:val="00CB53A8"/>
    <w:pPr>
      <w:numPr>
        <w:numId w:val="9"/>
      </w:numPr>
      <w:contextualSpacing/>
    </w:pPr>
  </w:style>
  <w:style w:type="paragraph" w:styleId="ListNumber2">
    <w:name w:val="List Number 2"/>
    <w:basedOn w:val="Normal"/>
    <w:uiPriority w:val="99"/>
    <w:semiHidden/>
    <w:unhideWhenUsed/>
    <w:rsid w:val="00CB53A8"/>
    <w:pPr>
      <w:numPr>
        <w:numId w:val="10"/>
      </w:numPr>
      <w:contextualSpacing/>
    </w:pPr>
  </w:style>
  <w:style w:type="paragraph" w:styleId="ListNumber3">
    <w:name w:val="List Number 3"/>
    <w:basedOn w:val="Normal"/>
    <w:uiPriority w:val="99"/>
    <w:semiHidden/>
    <w:unhideWhenUsed/>
    <w:rsid w:val="00CB53A8"/>
    <w:pPr>
      <w:numPr>
        <w:numId w:val="11"/>
      </w:numPr>
      <w:contextualSpacing/>
    </w:pPr>
  </w:style>
  <w:style w:type="paragraph" w:styleId="ListNumber4">
    <w:name w:val="List Number 4"/>
    <w:basedOn w:val="Normal"/>
    <w:uiPriority w:val="99"/>
    <w:semiHidden/>
    <w:unhideWhenUsed/>
    <w:rsid w:val="00CB53A8"/>
    <w:pPr>
      <w:numPr>
        <w:numId w:val="12"/>
      </w:numPr>
      <w:contextualSpacing/>
    </w:pPr>
  </w:style>
  <w:style w:type="character" w:styleId="CommentReference">
    <w:name w:val="annotation reference"/>
    <w:basedOn w:val="DefaultParagraphFont"/>
    <w:uiPriority w:val="99"/>
    <w:semiHidden/>
    <w:unhideWhenUsed/>
    <w:rsid w:val="006D70C2"/>
    <w:rPr>
      <w:sz w:val="16"/>
      <w:szCs w:val="16"/>
    </w:rPr>
  </w:style>
  <w:style w:type="paragraph" w:styleId="CommentText">
    <w:name w:val="annotation text"/>
    <w:basedOn w:val="Normal"/>
    <w:link w:val="CommentTextChar"/>
    <w:uiPriority w:val="99"/>
    <w:semiHidden/>
    <w:unhideWhenUsed/>
    <w:rsid w:val="006D70C2"/>
    <w:rPr>
      <w:sz w:val="20"/>
      <w:szCs w:val="20"/>
    </w:rPr>
  </w:style>
  <w:style w:type="character" w:customStyle="1" w:styleId="CommentTextChar">
    <w:name w:val="Comment Text Char"/>
    <w:basedOn w:val="DefaultParagraphFont"/>
    <w:link w:val="CommentText"/>
    <w:uiPriority w:val="99"/>
    <w:semiHidden/>
    <w:rsid w:val="006D70C2"/>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6D70C2"/>
    <w:rPr>
      <w:b/>
      <w:bCs/>
    </w:rPr>
  </w:style>
  <w:style w:type="character" w:customStyle="1" w:styleId="CommentSubjectChar">
    <w:name w:val="Comment Subject Char"/>
    <w:basedOn w:val="CommentTextChar"/>
    <w:link w:val="CommentSubject"/>
    <w:uiPriority w:val="99"/>
    <w:semiHidden/>
    <w:rsid w:val="006D70C2"/>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rsid w:val="006D70C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0C2"/>
    <w:rPr>
      <w:rFonts w:ascii="Tahoma" w:hAnsi="Tahoma" w:cs="Tahoma"/>
      <w:sz w:val="16"/>
      <w:szCs w:val="16"/>
      <w:lang w:val="el-GR"/>
    </w:rPr>
  </w:style>
  <w:style w:type="table" w:styleId="TableGrid">
    <w:name w:val="Table Grid"/>
    <w:basedOn w:val="TableNormal"/>
    <w:uiPriority w:val="59"/>
    <w:rsid w:val="00E7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paragraph" w:styleId="Header">
    <w:name w:val="header"/>
    <w:basedOn w:val="Normal"/>
    <w:link w:val="HeaderChar"/>
    <w:uiPriority w:val="99"/>
    <w:unhideWhenUsed/>
    <w:rsid w:val="001B692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1B6923"/>
    <w:rPr>
      <w:rFonts w:ascii="Times New Roman" w:hAnsi="Times New Roman" w:cs="Times New Roman"/>
      <w:sz w:val="24"/>
      <w:lang w:eastAsia="en-US" w:bidi="ar-SA"/>
    </w:rPr>
  </w:style>
  <w:style w:type="paragraph" w:styleId="Footer">
    <w:name w:val="footer"/>
    <w:basedOn w:val="Normal"/>
    <w:link w:val="FooterChar"/>
    <w:uiPriority w:val="99"/>
    <w:unhideWhenUsed/>
    <w:rsid w:val="001B6923"/>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1B6923"/>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1B6923"/>
    <w:pPr>
      <w:tabs>
        <w:tab w:val="center" w:pos="7285"/>
        <w:tab w:val="right" w:pos="14003"/>
      </w:tabs>
      <w:spacing w:before="0"/>
    </w:pPr>
    <w:rPr>
      <w:lang w:eastAsia="en-US" w:bidi="ar-SA"/>
    </w:rPr>
  </w:style>
  <w:style w:type="paragraph" w:customStyle="1" w:styleId="FooterLandscape">
    <w:name w:val="FooterLandscape"/>
    <w:basedOn w:val="Normal"/>
    <w:rsid w:val="001B6923"/>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1B6923"/>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1B6923"/>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3"/>
      </w:numPr>
    </w:pPr>
  </w:style>
  <w:style w:type="paragraph" w:customStyle="1" w:styleId="Tiret1">
    <w:name w:val="Tiret 1"/>
    <w:basedOn w:val="Point1"/>
    <w:rsid w:val="00877878"/>
    <w:pPr>
      <w:numPr>
        <w:numId w:val="14"/>
      </w:numPr>
    </w:pPr>
  </w:style>
  <w:style w:type="paragraph" w:customStyle="1" w:styleId="Tiret2">
    <w:name w:val="Tiret 2"/>
    <w:basedOn w:val="Point2"/>
    <w:rsid w:val="00877878"/>
    <w:pPr>
      <w:numPr>
        <w:numId w:val="15"/>
      </w:numPr>
    </w:pPr>
  </w:style>
  <w:style w:type="paragraph" w:customStyle="1" w:styleId="Tiret3">
    <w:name w:val="Tiret 3"/>
    <w:basedOn w:val="Point3"/>
    <w:rsid w:val="00877878"/>
    <w:pPr>
      <w:numPr>
        <w:numId w:val="16"/>
      </w:numPr>
    </w:pPr>
  </w:style>
  <w:style w:type="paragraph" w:customStyle="1" w:styleId="Tiret4">
    <w:name w:val="Tiret 4"/>
    <w:basedOn w:val="Point4"/>
    <w:rsid w:val="00877878"/>
    <w:pPr>
      <w:numPr>
        <w:numId w:val="17"/>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18"/>
      </w:numPr>
    </w:pPr>
  </w:style>
  <w:style w:type="paragraph" w:customStyle="1" w:styleId="NumPar2">
    <w:name w:val="NumPar 2"/>
    <w:basedOn w:val="Normal"/>
    <w:next w:val="Text1"/>
    <w:rsid w:val="00877878"/>
    <w:pPr>
      <w:numPr>
        <w:ilvl w:val="1"/>
        <w:numId w:val="18"/>
      </w:numPr>
    </w:pPr>
  </w:style>
  <w:style w:type="paragraph" w:customStyle="1" w:styleId="NumPar3">
    <w:name w:val="NumPar 3"/>
    <w:basedOn w:val="Normal"/>
    <w:next w:val="Text1"/>
    <w:rsid w:val="00877878"/>
    <w:pPr>
      <w:numPr>
        <w:ilvl w:val="2"/>
        <w:numId w:val="18"/>
      </w:numPr>
    </w:pPr>
  </w:style>
  <w:style w:type="paragraph" w:customStyle="1" w:styleId="NumPar4">
    <w:name w:val="NumPar 4"/>
    <w:basedOn w:val="Normal"/>
    <w:next w:val="Text1"/>
    <w:rsid w:val="00877878"/>
    <w:pPr>
      <w:numPr>
        <w:ilvl w:val="3"/>
        <w:numId w:val="18"/>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20"/>
      </w:numPr>
    </w:pPr>
  </w:style>
  <w:style w:type="paragraph" w:customStyle="1" w:styleId="Point1number">
    <w:name w:val="Point 1 (number)"/>
    <w:basedOn w:val="Normal"/>
    <w:rsid w:val="00877878"/>
    <w:pPr>
      <w:numPr>
        <w:ilvl w:val="2"/>
        <w:numId w:val="20"/>
      </w:numPr>
    </w:pPr>
  </w:style>
  <w:style w:type="paragraph" w:customStyle="1" w:styleId="Point2number">
    <w:name w:val="Point 2 (number)"/>
    <w:basedOn w:val="Normal"/>
    <w:rsid w:val="00877878"/>
    <w:pPr>
      <w:numPr>
        <w:ilvl w:val="4"/>
        <w:numId w:val="20"/>
      </w:numPr>
    </w:pPr>
  </w:style>
  <w:style w:type="paragraph" w:customStyle="1" w:styleId="Point3number">
    <w:name w:val="Point 3 (number)"/>
    <w:basedOn w:val="Normal"/>
    <w:rsid w:val="00877878"/>
    <w:pPr>
      <w:numPr>
        <w:ilvl w:val="6"/>
        <w:numId w:val="20"/>
      </w:numPr>
    </w:pPr>
  </w:style>
  <w:style w:type="paragraph" w:customStyle="1" w:styleId="Point0letter">
    <w:name w:val="Point 0 (letter)"/>
    <w:basedOn w:val="Normal"/>
    <w:rsid w:val="00877878"/>
    <w:pPr>
      <w:numPr>
        <w:ilvl w:val="1"/>
        <w:numId w:val="20"/>
      </w:numPr>
    </w:pPr>
  </w:style>
  <w:style w:type="paragraph" w:customStyle="1" w:styleId="Point1letter">
    <w:name w:val="Point 1 (letter)"/>
    <w:basedOn w:val="Normal"/>
    <w:rsid w:val="00877878"/>
    <w:pPr>
      <w:numPr>
        <w:ilvl w:val="3"/>
        <w:numId w:val="20"/>
      </w:numPr>
    </w:pPr>
  </w:style>
  <w:style w:type="paragraph" w:customStyle="1" w:styleId="Point2letter">
    <w:name w:val="Point 2 (letter)"/>
    <w:basedOn w:val="Normal"/>
    <w:rsid w:val="00877878"/>
    <w:pPr>
      <w:numPr>
        <w:ilvl w:val="5"/>
        <w:numId w:val="20"/>
      </w:numPr>
    </w:pPr>
  </w:style>
  <w:style w:type="paragraph" w:customStyle="1" w:styleId="Point3letter">
    <w:name w:val="Point 3 (letter)"/>
    <w:basedOn w:val="Normal"/>
    <w:rsid w:val="00877878"/>
    <w:pPr>
      <w:numPr>
        <w:ilvl w:val="7"/>
        <w:numId w:val="20"/>
      </w:numPr>
    </w:pPr>
  </w:style>
  <w:style w:type="paragraph" w:customStyle="1" w:styleId="Point4letter">
    <w:name w:val="Point 4 (letter)"/>
    <w:basedOn w:val="Normal"/>
    <w:rsid w:val="00877878"/>
    <w:pPr>
      <w:numPr>
        <w:ilvl w:val="8"/>
        <w:numId w:val="20"/>
      </w:numPr>
    </w:pPr>
  </w:style>
  <w:style w:type="paragraph" w:customStyle="1" w:styleId="Bullet0">
    <w:name w:val="Bullet 0"/>
    <w:basedOn w:val="Normal"/>
    <w:rsid w:val="00877878"/>
    <w:pPr>
      <w:numPr>
        <w:numId w:val="21"/>
      </w:numPr>
    </w:pPr>
  </w:style>
  <w:style w:type="paragraph" w:customStyle="1" w:styleId="Bullet1">
    <w:name w:val="Bullet 1"/>
    <w:basedOn w:val="Normal"/>
    <w:rsid w:val="00877878"/>
    <w:pPr>
      <w:numPr>
        <w:numId w:val="22"/>
      </w:numPr>
    </w:pPr>
  </w:style>
  <w:style w:type="paragraph" w:customStyle="1" w:styleId="Bullet2">
    <w:name w:val="Bullet 2"/>
    <w:basedOn w:val="Normal"/>
    <w:rsid w:val="00877878"/>
    <w:pPr>
      <w:numPr>
        <w:numId w:val="23"/>
      </w:numPr>
    </w:pPr>
  </w:style>
  <w:style w:type="paragraph" w:customStyle="1" w:styleId="Bullet3">
    <w:name w:val="Bullet 3"/>
    <w:basedOn w:val="Normal"/>
    <w:rsid w:val="00877878"/>
    <w:pPr>
      <w:numPr>
        <w:numId w:val="24"/>
      </w:numPr>
    </w:pPr>
  </w:style>
  <w:style w:type="paragraph" w:customStyle="1" w:styleId="Bullet4">
    <w:name w:val="Bullet 4"/>
    <w:basedOn w:val="Normal"/>
    <w:rsid w:val="00877878"/>
    <w:pPr>
      <w:numPr>
        <w:numId w:val="25"/>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26"/>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rsid w:val="0014641C"/>
    <w:pPr>
      <w:numPr>
        <w:numId w:val="4"/>
      </w:numPr>
    </w:pPr>
    <w:rPr>
      <w:rFonts w:eastAsia="Times New Roman"/>
    </w:rPr>
  </w:style>
  <w:style w:type="paragraph" w:customStyle="1" w:styleId="ListBullet1">
    <w:name w:val="List Bullet 1"/>
    <w:basedOn w:val="Normal"/>
    <w:rsid w:val="0014641C"/>
    <w:pPr>
      <w:numPr>
        <w:numId w:val="1"/>
      </w:numPr>
    </w:pPr>
    <w:rPr>
      <w:rFonts w:eastAsia="Times New Roman"/>
    </w:rPr>
  </w:style>
  <w:style w:type="paragraph" w:customStyle="1" w:styleId="ListDash1">
    <w:name w:val="List Dash 1"/>
    <w:basedOn w:val="Normal"/>
    <w:rsid w:val="0014641C"/>
    <w:pPr>
      <w:numPr>
        <w:numId w:val="2"/>
      </w:numPr>
    </w:pPr>
    <w:rPr>
      <w:rFonts w:eastAsia="Times New Roman"/>
    </w:rPr>
  </w:style>
  <w:style w:type="paragraph" w:customStyle="1" w:styleId="ListDash2">
    <w:name w:val="List Dash 2"/>
    <w:basedOn w:val="Normal"/>
    <w:rsid w:val="0014641C"/>
    <w:pPr>
      <w:numPr>
        <w:numId w:val="3"/>
      </w:numPr>
    </w:pPr>
    <w:rPr>
      <w:rFonts w:eastAsia="Times New Roman"/>
    </w:rPr>
  </w:style>
  <w:style w:type="paragraph" w:customStyle="1" w:styleId="ListNumberLevel2">
    <w:name w:val="List Number (Level 2)"/>
    <w:basedOn w:val="Normal"/>
    <w:rsid w:val="0014641C"/>
    <w:pPr>
      <w:numPr>
        <w:ilvl w:val="1"/>
        <w:numId w:val="4"/>
      </w:numPr>
    </w:pPr>
    <w:rPr>
      <w:rFonts w:eastAsia="Times New Roman"/>
    </w:rPr>
  </w:style>
  <w:style w:type="paragraph" w:customStyle="1" w:styleId="ListNumberLevel3">
    <w:name w:val="List Number (Level 3)"/>
    <w:basedOn w:val="Normal"/>
    <w:rsid w:val="0014641C"/>
    <w:pPr>
      <w:numPr>
        <w:ilvl w:val="2"/>
        <w:numId w:val="4"/>
      </w:numPr>
    </w:pPr>
    <w:rPr>
      <w:rFonts w:eastAsia="Times New Roman"/>
    </w:rPr>
  </w:style>
  <w:style w:type="paragraph" w:customStyle="1" w:styleId="ListNumberLevel4">
    <w:name w:val="List Number (Level 4)"/>
    <w:basedOn w:val="Normal"/>
    <w:rsid w:val="0014641C"/>
    <w:pPr>
      <w:numPr>
        <w:ilvl w:val="3"/>
        <w:numId w:val="4"/>
      </w:numPr>
    </w:pPr>
    <w:rPr>
      <w:rFonts w:eastAsia="Times New Roman"/>
    </w:rPr>
  </w:style>
  <w:style w:type="character" w:styleId="Hyperlink">
    <w:name w:val="Hyperlink"/>
    <w:uiPriority w:val="99"/>
    <w:rsid w:val="0014641C"/>
    <w:rPr>
      <w:color w:val="0000FF"/>
      <w:u w:val="single"/>
    </w:rPr>
  </w:style>
  <w:style w:type="paragraph" w:styleId="ListBullet">
    <w:name w:val="List Bullet"/>
    <w:basedOn w:val="Normal"/>
    <w:rsid w:val="0014641C"/>
    <w:pPr>
      <w:numPr>
        <w:numId w:val="5"/>
      </w:numPr>
    </w:pPr>
    <w:rPr>
      <w:rFonts w:eastAsia="Times New Roman"/>
    </w:rPr>
  </w:style>
  <w:style w:type="paragraph" w:styleId="ListBullet2">
    <w:name w:val="List Bullet 2"/>
    <w:basedOn w:val="Normal"/>
    <w:rsid w:val="0014641C"/>
    <w:pPr>
      <w:numPr>
        <w:numId w:val="6"/>
      </w:numPr>
    </w:pPr>
    <w:rPr>
      <w:rFonts w:eastAsia="Times New Roman"/>
    </w:rPr>
  </w:style>
  <w:style w:type="character" w:styleId="Emphasis">
    <w:name w:val="Emphasis"/>
    <w:uiPriority w:val="20"/>
    <w:qFormat/>
    <w:rsid w:val="00075681"/>
    <w:rPr>
      <w:i/>
    </w:rPr>
  </w:style>
  <w:style w:type="paragraph" w:styleId="ListBullet4">
    <w:name w:val="List Bullet 4"/>
    <w:basedOn w:val="Normal"/>
    <w:uiPriority w:val="99"/>
    <w:semiHidden/>
    <w:unhideWhenUsed/>
    <w:rsid w:val="00075681"/>
    <w:pPr>
      <w:numPr>
        <w:numId w:val="8"/>
      </w:numPr>
      <w:contextualSpacing/>
    </w:pPr>
  </w:style>
  <w:style w:type="paragraph" w:styleId="Caption">
    <w:name w:val="caption"/>
    <w:basedOn w:val="Normal"/>
    <w:next w:val="Normal"/>
    <w:uiPriority w:val="35"/>
    <w:semiHidden/>
    <w:unhideWhenUsed/>
    <w:qFormat/>
    <w:rsid w:val="00CB53A8"/>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CB53A8"/>
    <w:pPr>
      <w:spacing w:after="0"/>
    </w:pPr>
  </w:style>
  <w:style w:type="paragraph" w:styleId="ListBullet3">
    <w:name w:val="List Bullet 3"/>
    <w:basedOn w:val="Normal"/>
    <w:uiPriority w:val="99"/>
    <w:semiHidden/>
    <w:unhideWhenUsed/>
    <w:rsid w:val="00CB53A8"/>
    <w:pPr>
      <w:numPr>
        <w:numId w:val="9"/>
      </w:numPr>
      <w:contextualSpacing/>
    </w:pPr>
  </w:style>
  <w:style w:type="paragraph" w:styleId="ListNumber2">
    <w:name w:val="List Number 2"/>
    <w:basedOn w:val="Normal"/>
    <w:uiPriority w:val="99"/>
    <w:semiHidden/>
    <w:unhideWhenUsed/>
    <w:rsid w:val="00CB53A8"/>
    <w:pPr>
      <w:numPr>
        <w:numId w:val="10"/>
      </w:numPr>
      <w:contextualSpacing/>
    </w:pPr>
  </w:style>
  <w:style w:type="paragraph" w:styleId="ListNumber3">
    <w:name w:val="List Number 3"/>
    <w:basedOn w:val="Normal"/>
    <w:uiPriority w:val="99"/>
    <w:semiHidden/>
    <w:unhideWhenUsed/>
    <w:rsid w:val="00CB53A8"/>
    <w:pPr>
      <w:numPr>
        <w:numId w:val="11"/>
      </w:numPr>
      <w:contextualSpacing/>
    </w:pPr>
  </w:style>
  <w:style w:type="paragraph" w:styleId="ListNumber4">
    <w:name w:val="List Number 4"/>
    <w:basedOn w:val="Normal"/>
    <w:uiPriority w:val="99"/>
    <w:semiHidden/>
    <w:unhideWhenUsed/>
    <w:rsid w:val="00CB53A8"/>
    <w:pPr>
      <w:numPr>
        <w:numId w:val="12"/>
      </w:numPr>
      <w:contextualSpacing/>
    </w:pPr>
  </w:style>
  <w:style w:type="character" w:styleId="CommentReference">
    <w:name w:val="annotation reference"/>
    <w:basedOn w:val="DefaultParagraphFont"/>
    <w:uiPriority w:val="99"/>
    <w:semiHidden/>
    <w:unhideWhenUsed/>
    <w:rsid w:val="006D70C2"/>
    <w:rPr>
      <w:sz w:val="16"/>
      <w:szCs w:val="16"/>
    </w:rPr>
  </w:style>
  <w:style w:type="paragraph" w:styleId="CommentText">
    <w:name w:val="annotation text"/>
    <w:basedOn w:val="Normal"/>
    <w:link w:val="CommentTextChar"/>
    <w:uiPriority w:val="99"/>
    <w:semiHidden/>
    <w:unhideWhenUsed/>
    <w:rsid w:val="006D70C2"/>
    <w:rPr>
      <w:sz w:val="20"/>
      <w:szCs w:val="20"/>
    </w:rPr>
  </w:style>
  <w:style w:type="character" w:customStyle="1" w:styleId="CommentTextChar">
    <w:name w:val="Comment Text Char"/>
    <w:basedOn w:val="DefaultParagraphFont"/>
    <w:link w:val="CommentText"/>
    <w:uiPriority w:val="99"/>
    <w:semiHidden/>
    <w:rsid w:val="006D70C2"/>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6D70C2"/>
    <w:rPr>
      <w:b/>
      <w:bCs/>
    </w:rPr>
  </w:style>
  <w:style w:type="character" w:customStyle="1" w:styleId="CommentSubjectChar">
    <w:name w:val="Comment Subject Char"/>
    <w:basedOn w:val="CommentTextChar"/>
    <w:link w:val="CommentSubject"/>
    <w:uiPriority w:val="99"/>
    <w:semiHidden/>
    <w:rsid w:val="006D70C2"/>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rsid w:val="006D70C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0C2"/>
    <w:rPr>
      <w:rFonts w:ascii="Tahoma" w:hAnsi="Tahoma" w:cs="Tahoma"/>
      <w:sz w:val="16"/>
      <w:szCs w:val="16"/>
      <w:lang w:val="el-GR"/>
    </w:rPr>
  </w:style>
  <w:style w:type="table" w:styleId="TableGrid">
    <w:name w:val="Table Grid"/>
    <w:basedOn w:val="TableNormal"/>
    <w:uiPriority w:val="59"/>
    <w:rsid w:val="00E7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paragraph" w:styleId="Header">
    <w:name w:val="header"/>
    <w:basedOn w:val="Normal"/>
    <w:link w:val="HeaderChar"/>
    <w:uiPriority w:val="99"/>
    <w:unhideWhenUsed/>
    <w:rsid w:val="001B692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1B6923"/>
    <w:rPr>
      <w:rFonts w:ascii="Times New Roman" w:hAnsi="Times New Roman" w:cs="Times New Roman"/>
      <w:sz w:val="24"/>
      <w:lang w:eastAsia="en-US" w:bidi="ar-SA"/>
    </w:rPr>
  </w:style>
  <w:style w:type="paragraph" w:styleId="Footer">
    <w:name w:val="footer"/>
    <w:basedOn w:val="Normal"/>
    <w:link w:val="FooterChar"/>
    <w:uiPriority w:val="99"/>
    <w:unhideWhenUsed/>
    <w:rsid w:val="001B6923"/>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1B6923"/>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1B6923"/>
    <w:pPr>
      <w:tabs>
        <w:tab w:val="center" w:pos="7285"/>
        <w:tab w:val="right" w:pos="14003"/>
      </w:tabs>
      <w:spacing w:before="0"/>
    </w:pPr>
    <w:rPr>
      <w:lang w:eastAsia="en-US" w:bidi="ar-SA"/>
    </w:rPr>
  </w:style>
  <w:style w:type="paragraph" w:customStyle="1" w:styleId="FooterLandscape">
    <w:name w:val="FooterLandscape"/>
    <w:basedOn w:val="Normal"/>
    <w:rsid w:val="001B6923"/>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1B6923"/>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1B6923"/>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3"/>
      </w:numPr>
    </w:pPr>
  </w:style>
  <w:style w:type="paragraph" w:customStyle="1" w:styleId="Tiret1">
    <w:name w:val="Tiret 1"/>
    <w:basedOn w:val="Point1"/>
    <w:rsid w:val="00877878"/>
    <w:pPr>
      <w:numPr>
        <w:numId w:val="14"/>
      </w:numPr>
    </w:pPr>
  </w:style>
  <w:style w:type="paragraph" w:customStyle="1" w:styleId="Tiret2">
    <w:name w:val="Tiret 2"/>
    <w:basedOn w:val="Point2"/>
    <w:rsid w:val="00877878"/>
    <w:pPr>
      <w:numPr>
        <w:numId w:val="15"/>
      </w:numPr>
    </w:pPr>
  </w:style>
  <w:style w:type="paragraph" w:customStyle="1" w:styleId="Tiret3">
    <w:name w:val="Tiret 3"/>
    <w:basedOn w:val="Point3"/>
    <w:rsid w:val="00877878"/>
    <w:pPr>
      <w:numPr>
        <w:numId w:val="16"/>
      </w:numPr>
    </w:pPr>
  </w:style>
  <w:style w:type="paragraph" w:customStyle="1" w:styleId="Tiret4">
    <w:name w:val="Tiret 4"/>
    <w:basedOn w:val="Point4"/>
    <w:rsid w:val="00877878"/>
    <w:pPr>
      <w:numPr>
        <w:numId w:val="17"/>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18"/>
      </w:numPr>
    </w:pPr>
  </w:style>
  <w:style w:type="paragraph" w:customStyle="1" w:styleId="NumPar2">
    <w:name w:val="NumPar 2"/>
    <w:basedOn w:val="Normal"/>
    <w:next w:val="Text1"/>
    <w:rsid w:val="00877878"/>
    <w:pPr>
      <w:numPr>
        <w:ilvl w:val="1"/>
        <w:numId w:val="18"/>
      </w:numPr>
    </w:pPr>
  </w:style>
  <w:style w:type="paragraph" w:customStyle="1" w:styleId="NumPar3">
    <w:name w:val="NumPar 3"/>
    <w:basedOn w:val="Normal"/>
    <w:next w:val="Text1"/>
    <w:rsid w:val="00877878"/>
    <w:pPr>
      <w:numPr>
        <w:ilvl w:val="2"/>
        <w:numId w:val="18"/>
      </w:numPr>
    </w:pPr>
  </w:style>
  <w:style w:type="paragraph" w:customStyle="1" w:styleId="NumPar4">
    <w:name w:val="NumPar 4"/>
    <w:basedOn w:val="Normal"/>
    <w:next w:val="Text1"/>
    <w:rsid w:val="00877878"/>
    <w:pPr>
      <w:numPr>
        <w:ilvl w:val="3"/>
        <w:numId w:val="18"/>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20"/>
      </w:numPr>
    </w:pPr>
  </w:style>
  <w:style w:type="paragraph" w:customStyle="1" w:styleId="Point1number">
    <w:name w:val="Point 1 (number)"/>
    <w:basedOn w:val="Normal"/>
    <w:rsid w:val="00877878"/>
    <w:pPr>
      <w:numPr>
        <w:ilvl w:val="2"/>
        <w:numId w:val="20"/>
      </w:numPr>
    </w:pPr>
  </w:style>
  <w:style w:type="paragraph" w:customStyle="1" w:styleId="Point2number">
    <w:name w:val="Point 2 (number)"/>
    <w:basedOn w:val="Normal"/>
    <w:rsid w:val="00877878"/>
    <w:pPr>
      <w:numPr>
        <w:ilvl w:val="4"/>
        <w:numId w:val="20"/>
      </w:numPr>
    </w:pPr>
  </w:style>
  <w:style w:type="paragraph" w:customStyle="1" w:styleId="Point3number">
    <w:name w:val="Point 3 (number)"/>
    <w:basedOn w:val="Normal"/>
    <w:rsid w:val="00877878"/>
    <w:pPr>
      <w:numPr>
        <w:ilvl w:val="6"/>
        <w:numId w:val="20"/>
      </w:numPr>
    </w:pPr>
  </w:style>
  <w:style w:type="paragraph" w:customStyle="1" w:styleId="Point0letter">
    <w:name w:val="Point 0 (letter)"/>
    <w:basedOn w:val="Normal"/>
    <w:rsid w:val="00877878"/>
    <w:pPr>
      <w:numPr>
        <w:ilvl w:val="1"/>
        <w:numId w:val="20"/>
      </w:numPr>
    </w:pPr>
  </w:style>
  <w:style w:type="paragraph" w:customStyle="1" w:styleId="Point1letter">
    <w:name w:val="Point 1 (letter)"/>
    <w:basedOn w:val="Normal"/>
    <w:rsid w:val="00877878"/>
    <w:pPr>
      <w:numPr>
        <w:ilvl w:val="3"/>
        <w:numId w:val="20"/>
      </w:numPr>
    </w:pPr>
  </w:style>
  <w:style w:type="paragraph" w:customStyle="1" w:styleId="Point2letter">
    <w:name w:val="Point 2 (letter)"/>
    <w:basedOn w:val="Normal"/>
    <w:rsid w:val="00877878"/>
    <w:pPr>
      <w:numPr>
        <w:ilvl w:val="5"/>
        <w:numId w:val="20"/>
      </w:numPr>
    </w:pPr>
  </w:style>
  <w:style w:type="paragraph" w:customStyle="1" w:styleId="Point3letter">
    <w:name w:val="Point 3 (letter)"/>
    <w:basedOn w:val="Normal"/>
    <w:rsid w:val="00877878"/>
    <w:pPr>
      <w:numPr>
        <w:ilvl w:val="7"/>
        <w:numId w:val="20"/>
      </w:numPr>
    </w:pPr>
  </w:style>
  <w:style w:type="paragraph" w:customStyle="1" w:styleId="Point4letter">
    <w:name w:val="Point 4 (letter)"/>
    <w:basedOn w:val="Normal"/>
    <w:rsid w:val="00877878"/>
    <w:pPr>
      <w:numPr>
        <w:ilvl w:val="8"/>
        <w:numId w:val="20"/>
      </w:numPr>
    </w:pPr>
  </w:style>
  <w:style w:type="paragraph" w:customStyle="1" w:styleId="Bullet0">
    <w:name w:val="Bullet 0"/>
    <w:basedOn w:val="Normal"/>
    <w:rsid w:val="00877878"/>
    <w:pPr>
      <w:numPr>
        <w:numId w:val="21"/>
      </w:numPr>
    </w:pPr>
  </w:style>
  <w:style w:type="paragraph" w:customStyle="1" w:styleId="Bullet1">
    <w:name w:val="Bullet 1"/>
    <w:basedOn w:val="Normal"/>
    <w:rsid w:val="00877878"/>
    <w:pPr>
      <w:numPr>
        <w:numId w:val="22"/>
      </w:numPr>
    </w:pPr>
  </w:style>
  <w:style w:type="paragraph" w:customStyle="1" w:styleId="Bullet2">
    <w:name w:val="Bullet 2"/>
    <w:basedOn w:val="Normal"/>
    <w:rsid w:val="00877878"/>
    <w:pPr>
      <w:numPr>
        <w:numId w:val="23"/>
      </w:numPr>
    </w:pPr>
  </w:style>
  <w:style w:type="paragraph" w:customStyle="1" w:styleId="Bullet3">
    <w:name w:val="Bullet 3"/>
    <w:basedOn w:val="Normal"/>
    <w:rsid w:val="00877878"/>
    <w:pPr>
      <w:numPr>
        <w:numId w:val="24"/>
      </w:numPr>
    </w:pPr>
  </w:style>
  <w:style w:type="paragraph" w:customStyle="1" w:styleId="Bullet4">
    <w:name w:val="Bullet 4"/>
    <w:basedOn w:val="Normal"/>
    <w:rsid w:val="00877878"/>
    <w:pPr>
      <w:numPr>
        <w:numId w:val="25"/>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26"/>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explained/management/managt_who/who_e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439A5-7A92-469B-9358-99645881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34</Pages>
  <Words>10773</Words>
  <Characters>64964</Characters>
  <Application>Microsoft Office Word</Application>
  <DocSecurity>0</DocSecurity>
  <Lines>1709</Lines>
  <Paragraphs>652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ANTONACCIO Raimondo (SG)</cp:lastModifiedBy>
  <cp:revision>5</cp:revision>
  <dcterms:created xsi:type="dcterms:W3CDTF">2017-12-05T16:25:00Z</dcterms:created>
  <dcterms:modified xsi:type="dcterms:W3CDTF">2018-01-04T14:20:00Z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SJ-025</vt:lpwstr>
  </property>
  <property fmtid="{D5CDD505-2E9C-101B-9397-08002B2CF9AE}" pid="9" name="Level of sensitivity">
    <vt:lpwstr>Standard treatment</vt:lpwstr>
  </property>
  <property fmtid="{D5CDD505-2E9C-101B-9397-08002B2CF9AE}" pid="10" name="DQCStatus">
    <vt:lpwstr>Yellow (DQC version 03)</vt:lpwstr>
  </property>
</Properties>
</file>