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609" w:rsidRDefault="008E1F07">
      <w:pPr>
        <w:pStyle w:val="Pagedecouverture"/>
        <w:rPr>
          <w:noProof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4620030B-76BD-4100-9D69-1B64571A6A74" style="width:450.7pt;height:422.65pt">
            <v:imagedata r:id="rId9" o:title=""/>
          </v:shape>
        </w:pict>
      </w:r>
      <w:bookmarkEnd w:id="0"/>
    </w:p>
    <w:p w:rsidR="00BB3609" w:rsidRDefault="00BB3609">
      <w:pPr>
        <w:rPr>
          <w:noProof/>
        </w:rPr>
        <w:sectPr w:rsidR="00BB360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BB3609" w:rsidRDefault="008E1F07">
      <w:pPr>
        <w:pStyle w:val="Exposdesmotifstitre"/>
        <w:rPr>
          <w:noProof/>
        </w:rPr>
      </w:pPr>
      <w:r>
        <w:rPr>
          <w:noProof/>
        </w:rPr>
        <w:lastRenderedPageBreak/>
        <w:t>INDOKOLÁS</w:t>
      </w:r>
    </w:p>
    <w:p w:rsidR="00BB3609" w:rsidRDefault="008E1F07">
      <w:pPr>
        <w:pStyle w:val="ManualHeading1"/>
        <w:rPr>
          <w:noProof/>
        </w:rPr>
      </w:pPr>
      <w:r>
        <w:t>1.</w:t>
      </w:r>
      <w:r>
        <w:tab/>
      </w:r>
      <w:r>
        <w:rPr>
          <w:noProof/>
        </w:rPr>
        <w:t>A JAVASLAT HÁTTERE</w:t>
      </w:r>
    </w:p>
    <w:p w:rsidR="00BB3609" w:rsidRDefault="008E1F07">
      <w:pPr>
        <w:pStyle w:val="Bullet0"/>
        <w:numPr>
          <w:ilvl w:val="0"/>
          <w:numId w:val="11"/>
        </w:numPr>
        <w:rPr>
          <w:b/>
          <w:noProof/>
        </w:rPr>
      </w:pPr>
      <w:r>
        <w:rPr>
          <w:b/>
          <w:noProof/>
        </w:rPr>
        <w:t>A javaslat indokai és céljai</w:t>
      </w:r>
    </w:p>
    <w:p w:rsidR="00BB3609" w:rsidRDefault="008E1F07">
      <w:pPr>
        <w:pStyle w:val="Text1"/>
        <w:ind w:left="0"/>
        <w:rPr>
          <w:noProof/>
        </w:rPr>
      </w:pPr>
      <w:r>
        <w:rPr>
          <w:noProof/>
        </w:rPr>
        <w:t xml:space="preserve">A hajókból kibocsátott hulladékok egyre nagyobb veszélyt jelentenek a tengeri </w:t>
      </w:r>
      <w:r>
        <w:rPr>
          <w:noProof/>
        </w:rPr>
        <w:t>környezetre, miközben költséges környezeti és gazdasági következményekkel járnak. Az utóbbi időben a tengeri hulladék problémája előtérbe került, mivel egyre több tudományos kutatás világít rá a tengeri ökoszisztémára gyakorolt súlyos következményekre és a</w:t>
      </w:r>
      <w:r>
        <w:rPr>
          <w:noProof/>
        </w:rPr>
        <w:t>z emberi egészségre gyakorolt káros hatásokra. Bár a tengeri hulladék legnagyobb része szárazföldi forrásokból származik, a hajózás szintén fontos szerepet játszik a háztartási és üzemeltetési hulladékok tengerbe ürítésében. Emellett bizonyos tengeri terül</w:t>
      </w:r>
      <w:r>
        <w:rPr>
          <w:noProof/>
        </w:rPr>
        <w:t>eteken, mint például a Balti-tengeren, komoly problémát jelent a hajókból, különösen a nagy méretű személyszállító hajókból kibocsátott szennyvíz eutrofizációs hatása, valamint az olajos hulladékok kibocsátásának tengeri élővilágra és élőhelyekre gyakorolt</w:t>
      </w:r>
      <w:r>
        <w:rPr>
          <w:noProof/>
        </w:rPr>
        <w:t xml:space="preserve"> hatásai.</w:t>
      </w:r>
    </w:p>
    <w:p w:rsidR="00BB3609" w:rsidRDefault="008E1F07">
      <w:pPr>
        <w:pStyle w:val="Text1"/>
        <w:ind w:left="0"/>
        <w:rPr>
          <w:noProof/>
        </w:rPr>
      </w:pPr>
      <w:r>
        <w:rPr>
          <w:noProof/>
        </w:rPr>
        <w:t>A tengerbe történő illegális kibocsátások okait egyrészt magukon a hajókon (különösen a nem megfelelő fedélzeti hulladékgazdálkodási gyakorlatok), másrészt a parton (a hajókról származó hulladék fogadására alkalmas kikötői létesítmények hiánya) k</w:t>
      </w:r>
      <w:r>
        <w:rPr>
          <w:noProof/>
        </w:rPr>
        <w:t>ell keresni.</w:t>
      </w:r>
    </w:p>
    <w:p w:rsidR="00BB3609" w:rsidRDefault="008E1F07">
      <w:pPr>
        <w:pStyle w:val="Text1"/>
        <w:ind w:left="0"/>
        <w:rPr>
          <w:noProof/>
        </w:rPr>
      </w:pPr>
      <w:r>
        <w:rPr>
          <w:noProof/>
        </w:rPr>
        <w:t>A 2000/59/EK irányelv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a kikötői fogadólétesítmények (PRF) rendelkezésre bocsátásának és a hulladékok e létesítményekbe való leadásának biztosítását célzó rendelkezésekkel szabályozza a parton tapasztalható problémákat. Az irányelv alkalmazza </w:t>
      </w:r>
      <w:r>
        <w:rPr>
          <w:noProof/>
        </w:rPr>
        <w:t>a vonatkozó, például a MARPOL-egyezményben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található nemzetközi normákat. Ugyanakkor az irányelv a kikötői műveletekre összpontosít, míg a MARPOL-egyezmény elsősorban a tengeri műveleteket szabályozza. Ennek köszönhetően az irányelv összhangban van a MARP</w:t>
      </w:r>
      <w:r>
        <w:rPr>
          <w:noProof/>
        </w:rPr>
        <w:t>OL-egyezménnyel, illetve ki is egészíti azt, a part és a tenger közötti kapcsolódási pontokra vonatkozó jogi, gyakorlati és pénzügyi felelősségek szabályozásával. Bár a MARPOL-egyezmény meghatározza a hajókról származó különböző anyagok okozta szennyezés p</w:t>
      </w:r>
      <w:r>
        <w:rPr>
          <w:noProof/>
        </w:rPr>
        <w:t>roblémájának kezelését célzó átfogó keretet, nem biztosít hatékony végrehajtási mechanizmust. Következésképpen a MARPOL-egyezmény fő koncepcióinak és kötelezettségeinek uniós jogba való belefoglalása lehetőséget teremt ezek hatékony betartatására az EU jog</w:t>
      </w:r>
      <w:r>
        <w:rPr>
          <w:noProof/>
        </w:rPr>
        <w:t>rendszerén keresztül.</w:t>
      </w:r>
    </w:p>
    <w:p w:rsidR="00BB3609" w:rsidRDefault="008E1F07">
      <w:pPr>
        <w:pStyle w:val="Text1"/>
        <w:ind w:left="0"/>
        <w:rPr>
          <w:noProof/>
        </w:rPr>
      </w:pPr>
      <w:r>
        <w:rPr>
          <w:noProof/>
        </w:rPr>
        <w:t>A hatálybalépését követően mintegy 17 évvel szükségessé vált az irányelv alapos felülvizsgálata. A jelenlegi helyzet jelentősen eltér az eredeti irányelv 2000-es elfogadásának pillanatában fennálló helyzettől. Azóta a MARPOL-egyezmény</w:t>
      </w:r>
      <w:r>
        <w:rPr>
          <w:noProof/>
        </w:rPr>
        <w:t xml:space="preserve"> utólagos módosítások útján megerősítésre került, míg a jelenlegi irányelv hatálya és fogalommeghatározásai már nincsenek összhangban a nemzetközi kerettel. Következésképpen a tagállamok egyre inkább a MARPOL-egyezményben meghatározott keretre támaszkodnak</w:t>
      </w:r>
      <w:r>
        <w:rPr>
          <w:noProof/>
        </w:rPr>
        <w:t>, ami problematikussá teszi az irányelv végrehajtását és betartatását. Emellett a tagállamok eltérően értelmezik az irányelv fő koncepcióit, ami félreértéseket szül a hajók, kikötők és az üzemeltetők körében.</w:t>
      </w:r>
    </w:p>
    <w:p w:rsidR="00BB3609" w:rsidRDefault="008E1F07">
      <w:pPr>
        <w:pStyle w:val="Text1"/>
        <w:ind w:left="0"/>
        <w:rPr>
          <w:noProof/>
        </w:rPr>
      </w:pPr>
      <w:r>
        <w:rPr>
          <w:noProof/>
        </w:rPr>
        <w:t>A felülvizsgálat célja a tengeri környezet foko</w:t>
      </w:r>
      <w:r>
        <w:rPr>
          <w:noProof/>
        </w:rPr>
        <w:t xml:space="preserve">zottabb védelme, a tengerbe történő hulladékkibocsátás csökkentésével, valamint a kikötői tengeri műveletek hatékonyságának növelése, az adminisztratív terhek csökkentésével és a keretszabályok aktualizálásával. Mivel </w:t>
      </w:r>
      <w:r>
        <w:rPr>
          <w:noProof/>
        </w:rPr>
        <w:lastRenderedPageBreak/>
        <w:t>a javaslat a Célravezető szabályozás p</w:t>
      </w:r>
      <w:r>
        <w:rPr>
          <w:noProof/>
        </w:rPr>
        <w:t>rogram (REFIT) keretébe tartozik, célja, hogy összhangban legyen a REFIT egyszerűsítésre és egyértelműsítésre vonatkozó alapelveivel.</w:t>
      </w:r>
    </w:p>
    <w:p w:rsidR="00BB3609" w:rsidRDefault="008E1F07">
      <w:pPr>
        <w:pStyle w:val="Text1"/>
        <w:ind w:left="0"/>
        <w:rPr>
          <w:noProof/>
        </w:rPr>
      </w:pPr>
      <w:r>
        <w:rPr>
          <w:noProof/>
        </w:rPr>
        <w:t>Az egyértelműség érdekében a javaslat hatályon kívül helyezi a jelenlegi irányelvet, és egyetlen új irányelvvel helyettesí</w:t>
      </w:r>
      <w:r>
        <w:rPr>
          <w:noProof/>
        </w:rPr>
        <w:t>ti azt. Emellett a kikötő szerint illetékes állam általi ellenőrzésről szóló 2009/16/EK irányelvet</w:t>
      </w:r>
      <w:r>
        <w:rPr>
          <w:rStyle w:val="FootnoteReference"/>
          <w:noProof/>
        </w:rPr>
        <w:footnoteReference w:id="3"/>
      </w:r>
      <w:r>
        <w:rPr>
          <w:noProof/>
        </w:rPr>
        <w:t>, illetve a 2010/65/EU irányelvet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 érintő kiegészítő módosításokat tartalmaz.</w:t>
      </w:r>
    </w:p>
    <w:p w:rsidR="00BB3609" w:rsidRDefault="008E1F07">
      <w:pPr>
        <w:pStyle w:val="Bullet0"/>
        <w:rPr>
          <w:b/>
          <w:noProof/>
          <w:color w:val="000000"/>
          <w:u w:color="000000"/>
          <w:bdr w:val="nil"/>
        </w:rPr>
      </w:pPr>
      <w:r>
        <w:rPr>
          <w:b/>
          <w:noProof/>
        </w:rPr>
        <w:t>Összhang a szabályozási terület jelenlegi rendelkezéseivel</w:t>
      </w:r>
    </w:p>
    <w:p w:rsidR="00BB3609" w:rsidRDefault="008E1F07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A tengerek </w:t>
      </w:r>
      <w:r>
        <w:rPr>
          <w:noProof/>
        </w:rPr>
        <w:t>szennyezésének csökkentése a tengeri szállítással kapcsolatos uniós fellépés egyik fontos területe. Ezt az Európai Unió tengeri szállítási politikájának vonatkozásában a 2018-ig terjedő időszakra vonatkozó bizottsági közlemény</w:t>
      </w:r>
      <w:r>
        <w:rPr>
          <w:rStyle w:val="FootnoteReference"/>
          <w:noProof/>
        </w:rPr>
        <w:footnoteReference w:id="5"/>
      </w:r>
      <w:r>
        <w:rPr>
          <w:noProof/>
        </w:rPr>
        <w:t xml:space="preserve"> is megerősítette, amely a hu</w:t>
      </w:r>
      <w:r>
        <w:rPr>
          <w:noProof/>
        </w:rPr>
        <w:t>lladékmentes tengeri forgalmat szorgalmaz. Ez a célkitűzés a nemzetközi egyezményeknek és szabványoknak való megfelelés útján érhető el. A releváns nemzetközi keretnek számító MARPOL-egyezmény számos módosításon esett át, például a hajókból történő kibocsá</w:t>
      </w:r>
      <w:r>
        <w:rPr>
          <w:noProof/>
        </w:rPr>
        <w:t>tásokra vonatkozó új vagy szigorúbb normákkal egészült ki. Ezeknek az irányelvben is megfelelőképpen tükröződniük kell.</w:t>
      </w:r>
    </w:p>
    <w:p w:rsidR="00BB3609" w:rsidRDefault="008E1F07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A kikötői szolgáltatásokról szóló rendelet</w:t>
      </w:r>
      <w:r>
        <w:rPr>
          <w:rStyle w:val="FootnoteReference"/>
          <w:noProof/>
        </w:rPr>
        <w:footnoteReference w:id="6"/>
      </w:r>
      <w:r>
        <w:rPr>
          <w:noProof/>
        </w:rPr>
        <w:t xml:space="preserve"> meghatározása szerint a hulladék fogadására alkalmas kikötői létesítmények biztosítása olyan</w:t>
      </w:r>
      <w:r>
        <w:rPr>
          <w:noProof/>
        </w:rPr>
        <w:t xml:space="preserve"> szolgáltatásnak minősül, amelyet a kikötők nyújtanak a használóik számára. A javasolt irányelv figyelembe veszi az említett rendelet vonatkozó alapelveit és rendelkezéseit, azonban az abban foglalt követelményeken túlmenően a költségszerkezetekre és azok </w:t>
      </w:r>
      <w:r>
        <w:rPr>
          <w:noProof/>
        </w:rPr>
        <w:t>átláthatóságára vonatkozó rendelkezéseket tartalmaz. Mindez a javasolt irányelv általános célkitűzésének elérését, konkrétan a hulladékok tengerekbe ürítésének csökkentését szolgálja. Emellett a kikötői szolgáltatásokról szóló rendelet csak a TEN</w:t>
      </w:r>
      <w:r>
        <w:rPr>
          <w:noProof/>
        </w:rPr>
        <w:noBreakHyphen/>
        <w:t>T kikötők</w:t>
      </w:r>
      <w:r>
        <w:rPr>
          <w:noProof/>
        </w:rPr>
        <w:t xml:space="preserve">re vonatkozik, míg a javasolt irányelv </w:t>
      </w:r>
      <w:r>
        <w:rPr>
          <w:i/>
          <w:noProof/>
        </w:rPr>
        <w:t>minden</w:t>
      </w:r>
      <w:r>
        <w:rPr>
          <w:noProof/>
        </w:rPr>
        <w:t xml:space="preserve"> kikötőre kiterjed, beleértve az olyan kisebb létesítményeket is, mint a halászkikötők és a jachtkikötők.</w:t>
      </w:r>
    </w:p>
    <w:p w:rsidR="00BB3609" w:rsidRDefault="008E1F07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A 2010/65/EK irányelv az „nemzeti egyablakos” rendszeren keresztül elektronikus formában továbbítani szük</w:t>
      </w:r>
      <w:r>
        <w:rPr>
          <w:noProof/>
        </w:rPr>
        <w:t>séges információk közé sorolja az előzetes hulladékbejelentést is. Ennek érdekében egy elektronikus hulladékbejelentő üzenetet fejlesztettek ki. A megfelelés, a nyomon követés és a végrehajtás megkönnyítése érdekében az üzenetben közölt információ megosztá</w:t>
      </w:r>
      <w:r>
        <w:rPr>
          <w:noProof/>
        </w:rPr>
        <w:t>sra kerül az uniós tengeri információcsere-rendszerben (SafeSeaNet), és továbbításra kerül a kikötő szerint illetékes állam általi ellenőrzés 2009/16/EK irányelv szerint létrehozott adatbázisának adatszolgáltatási moduljába.</w:t>
      </w:r>
    </w:p>
    <w:p w:rsidR="00BB3609" w:rsidRDefault="008E1F07">
      <w:pPr>
        <w:pStyle w:val="Bullet0"/>
        <w:rPr>
          <w:b/>
          <w:noProof/>
        </w:rPr>
      </w:pPr>
      <w:r>
        <w:rPr>
          <w:b/>
          <w:noProof/>
        </w:rPr>
        <w:t xml:space="preserve">Összhang az Unió egyéb </w:t>
      </w:r>
      <w:r>
        <w:rPr>
          <w:b/>
          <w:noProof/>
        </w:rPr>
        <w:t>szakpolitikáival</w:t>
      </w:r>
    </w:p>
    <w:p w:rsidR="00BB3609" w:rsidRDefault="008E1F07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A hatályban lévő irányelv és a jelen javaslat teljes mértékben összhangban van az uniós környezetvédelmi jog elveivel, konkrétan: (i) az elővigyázatosság elvével; (ii) a „szennyező fizet” elvével; és (iii) azzal az elvvel, hogy lehetőség s</w:t>
      </w:r>
      <w:r>
        <w:rPr>
          <w:noProof/>
        </w:rPr>
        <w:t xml:space="preserve">zerint megelőző intézkedéseket kell </w:t>
      </w:r>
      <w:r>
        <w:rPr>
          <w:noProof/>
        </w:rPr>
        <w:lastRenderedPageBreak/>
        <w:t>tenni a forrásnál. Emellett hozzájárul a tengervédelmi stratégiáról szóló keretirányelv</w:t>
      </w:r>
      <w:r>
        <w:rPr>
          <w:rStyle w:val="FootnoteReference"/>
          <w:noProof/>
        </w:rPr>
        <w:footnoteReference w:id="7"/>
      </w:r>
      <w:r>
        <w:rPr>
          <w:noProof/>
        </w:rPr>
        <w:t xml:space="preserve"> törekvéseihez, amely a tengeri környezet védelmét célozza, és felhívást intéz arra vonatkozóan, hogy 2020-ra el kell érni az Unió t</w:t>
      </w:r>
      <w:r>
        <w:rPr>
          <w:noProof/>
        </w:rPr>
        <w:t>engeri területeinek jó környezeti állapotát. A javasolt irányelv emellett hatályba lépteti a hulladék keretirányelvet</w:t>
      </w:r>
      <w:r>
        <w:rPr>
          <w:rStyle w:val="FootnoteReference"/>
          <w:noProof/>
        </w:rPr>
        <w:footnoteReference w:id="8"/>
      </w:r>
      <w:r>
        <w:rPr>
          <w:noProof/>
        </w:rPr>
        <w:t xml:space="preserve"> azzal, hogy a szennyező fizet elvvel és az uniós hulladékhierarchiával összhangban jobb hulladékgazdálkodási gyakorlatokat irányoz elő a </w:t>
      </w:r>
      <w:r>
        <w:rPr>
          <w:noProof/>
        </w:rPr>
        <w:t>kikötőkben. Végezetül a javasolt irányelv összhangban van a kéntartalomra vonatkozó irányelvvel</w:t>
      </w:r>
      <w:r>
        <w:rPr>
          <w:rStyle w:val="FootnoteReference"/>
          <w:noProof/>
        </w:rPr>
        <w:footnoteReference w:id="9"/>
      </w:r>
      <w:r>
        <w:rPr>
          <w:noProof/>
        </w:rPr>
        <w:t>, amely a tengeri hajózásban használt tüzelő- és üzemanyagok kéntartalmának csökkentésével hozzájárul a tengeri szállítás fenntarthatóságához. Ugyanakkor a ként</w:t>
      </w:r>
      <w:r>
        <w:rPr>
          <w:noProof/>
        </w:rPr>
        <w:t>artalomra vonatkozó irányelv által előírt rendszer alkalmazása nem eredményezheti azt, hogy a légköri kibocsátásokat olyan gyakorlatok váltsák fel, amelyek során a kibocsátáscsökkentési technológiákból, például a füstgáztisztító rendszerekből származó mell</w:t>
      </w:r>
      <w:r>
        <w:rPr>
          <w:noProof/>
        </w:rPr>
        <w:t>éktermékek hulladékként a tengerbe vagy egyéb víztestekbe, például kikötőkbe vagy torkolatokba kerülnek kibocsátásra.</w:t>
      </w:r>
    </w:p>
    <w:p w:rsidR="00BB3609" w:rsidRDefault="008E1F07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A javasolt irányelvnek alapvető szerepe lesz továbbá a Bizottság körforgásos gazdaságra vonatkozó stratégiájában</w:t>
      </w:r>
      <w:r>
        <w:rPr>
          <w:rStyle w:val="FootnoteReference"/>
          <w:noProof/>
        </w:rPr>
        <w:footnoteReference w:id="10"/>
      </w:r>
      <w:r>
        <w:rPr>
          <w:noProof/>
        </w:rPr>
        <w:t xml:space="preserve"> meghatározott azon célki</w:t>
      </w:r>
      <w:r>
        <w:rPr>
          <w:noProof/>
        </w:rPr>
        <w:t>tűzés elérésében, hogy a partokon található tengeri hulladék és a tengerben található elveszített halászeszközök mennyisége 2020-ig 30 %-kal csökkenjen. A körforgásos gazdaságra vonatkozó stratégia elismeri továbbá, hogy a kikötői fogadólétesítményekről sz</w:t>
      </w:r>
      <w:r>
        <w:rPr>
          <w:noProof/>
        </w:rPr>
        <w:t>óló régi irányelv felülvizsgálata közvetlenül és jelentősen hozzájárulhat a hajókon keletkező tengeri hulladék csökkentéséhez. A Bizottság műanyagokra vonatkozó stratégiája</w:t>
      </w:r>
      <w:r>
        <w:rPr>
          <w:rStyle w:val="FootnoteReference"/>
          <w:noProof/>
        </w:rPr>
        <w:footnoteReference w:id="11"/>
      </w:r>
      <w:r>
        <w:rPr>
          <w:noProof/>
        </w:rPr>
        <w:t xml:space="preserve"> megvizsgálja az elveszített vagy elhagyott halászeszközök csökkentését lehetővé te</w:t>
      </w:r>
      <w:r>
        <w:rPr>
          <w:noProof/>
        </w:rPr>
        <w:t>vő további intézkedéseket, mint a gyakran hulladékként végző halászeszközökre vonatkozó kiterjesztett gyártói felelősséget és betétdíjas rendszereket, illetve az ilyen rendszerekkel kapcsolatos információk megosztásának fokozását.</w:t>
      </w:r>
    </w:p>
    <w:p w:rsidR="00BB3609" w:rsidRDefault="008E1F07">
      <w:pPr>
        <w:pStyle w:val="ManualHeading1"/>
        <w:rPr>
          <w:noProof/>
        </w:rPr>
      </w:pPr>
      <w:r>
        <w:t>2.</w:t>
      </w:r>
      <w:r>
        <w:tab/>
      </w:r>
      <w:r>
        <w:rPr>
          <w:noProof/>
        </w:rPr>
        <w:t>JOGALAP, SZUBSZIDIARIT</w:t>
      </w:r>
      <w:r>
        <w:rPr>
          <w:noProof/>
        </w:rPr>
        <w:t>ÁS ÉS ARÁNYOSSÁG</w:t>
      </w:r>
    </w:p>
    <w:p w:rsidR="00BB3609" w:rsidRDefault="008E1F07">
      <w:pPr>
        <w:pStyle w:val="Bullet0"/>
        <w:rPr>
          <w:b/>
          <w:noProof/>
          <w:u w:color="000000"/>
          <w:bdr w:val="nil"/>
        </w:rPr>
      </w:pPr>
      <w:r>
        <w:rPr>
          <w:b/>
          <w:noProof/>
          <w:u w:color="000000"/>
          <w:bdr w:val="nil"/>
        </w:rPr>
        <w:t>Jogalap</w:t>
      </w:r>
    </w:p>
    <w:p w:rsidR="00BB3609" w:rsidRDefault="008E1F07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Tekintettel arra, hogy a javaslat a jelenlegi irányelv helyébe lép, a jogalap továbbra is az EUMSZ 100. cikkének (2) bekezdése (az EKSZ korábbi 80. cikkének (2) bekezdése), amely kiterjed többek között a tengeri szállításra vonatko</w:t>
      </w:r>
      <w:r>
        <w:rPr>
          <w:noProof/>
        </w:rPr>
        <w:t>zó közös szabályok elfogadására. Bár az irányelv célja a tengeri környezet megóvása a hulladékok tengerbe ürítésétől, általános politikai célkitűzése, hogy megkönnyítse a tengeri szállítást, és hozzájáruljon a belső szállítási piac létrehozásához.</w:t>
      </w:r>
    </w:p>
    <w:p w:rsidR="00BB3609" w:rsidRDefault="008E1F07">
      <w:pPr>
        <w:pStyle w:val="Bullet0"/>
        <w:rPr>
          <w:b/>
          <w:noProof/>
          <w:u w:color="000000"/>
          <w:bdr w:val="nil"/>
        </w:rPr>
      </w:pPr>
      <w:r>
        <w:rPr>
          <w:b/>
          <w:noProof/>
          <w:u w:color="000000"/>
          <w:bdr w:val="nil"/>
        </w:rPr>
        <w:t>Szubszid</w:t>
      </w:r>
      <w:r>
        <w:rPr>
          <w:b/>
          <w:noProof/>
          <w:u w:color="000000"/>
          <w:bdr w:val="nil"/>
        </w:rPr>
        <w:t>iaritás (nem kizárólagos hatáskör esetén)</w:t>
      </w:r>
    </w:p>
    <w:p w:rsidR="00BB3609" w:rsidRDefault="008E1F07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A hajózás egy nemzetközi ágazat, amelynek műveletei a nemzetközi vizeken és a világ különböző pontjain található kikötőkben zajlanak. Következésképpen az ágazatnak nemzetközi szabályokra van szüksége, a hajókról sz</w:t>
      </w:r>
      <w:r>
        <w:rPr>
          <w:noProof/>
        </w:rPr>
        <w:t>ármazó szennyezés tekintetében pedig a MARPOL-egyezmény már tartalmazza a megfelelő rendelkezéseket. Ugyanakkor a nemzetközi rendszer fő problémáját nem a szabványok hiánya, hanem azok nem megfelelő végrehajtása és betartatása jelenti. Az EU tengerpolitiká</w:t>
      </w:r>
      <w:r>
        <w:rPr>
          <w:noProof/>
        </w:rPr>
        <w:t>jának egyik alapvető pillére a nemzetközileg elfogadott szabályok összehangolt végrehajtása, és szükség esetén ezek kiegészítése egyedi uniós követelményekkel. Ezt az irányelv jogalapja, konkrétan az EUMSZ 100. cikkének (2) bekezdése is tükrözi, amely kite</w:t>
      </w:r>
      <w:r>
        <w:rPr>
          <w:noProof/>
        </w:rPr>
        <w:t>rjed többek között a tengeri szállításra vonatkozó közös szabályok elfogadására. Mivel az irányelv átülteti a MARPOL-egyezményt az uniós jogba, az egyezménnyel azonos célokat követ, mint a tengeri környezet hajókról származó szennyezésekkel szembeni védelm</w:t>
      </w:r>
      <w:r>
        <w:rPr>
          <w:noProof/>
        </w:rPr>
        <w:t>e. A tengerszennyezés kérdése jellemzően az EU minden vizét érinti, következésképpen a problémák hatékony kezeléséhez közös uniós megközelítésre van szükség, és nem oldhatók meg a tagállamok egyéni intézkedéseivel.</w:t>
      </w:r>
    </w:p>
    <w:p w:rsidR="00BB3609" w:rsidRDefault="008E1F07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A hajókról származó hulladékok leadására </w:t>
      </w:r>
      <w:r>
        <w:rPr>
          <w:noProof/>
        </w:rPr>
        <w:t>használt kikötőkben alkalmazott különböző eltérő politikák elkerülése, illetve a kikötők és a kikötőket használók egyenlő versenyfeltételeinek biztosítása érdekében további uniós szintű harmonizáció szükséges. A különböző uniós szintű kötelezettségek leegy</w:t>
      </w:r>
      <w:r>
        <w:rPr>
          <w:noProof/>
        </w:rPr>
        <w:t>szerűsített, következésképpen pedig összehangoltabb végrehajtása javítani fogja a hajózási ágazat versenyképességét és gazdasági hatékonyságát, miközben biztosítja az alapvető feltételek meglétét a kikötőkben. Ennek eredményeképp elkerülhetők az olyan káro</w:t>
      </w:r>
      <w:r>
        <w:rPr>
          <w:noProof/>
        </w:rPr>
        <w:t xml:space="preserve">s hatások, mint a „kikötői fogadólétesítmények kereskedelme”, amelynek keretében a hajók mindaddig a fedélzetükön tartják a hulladékot, amíg le nem adhatják abban a kikötőben, ahol ez gazdasági szempontból a legelőnyösebb. Emellett a menetrend szerinti és </w:t>
      </w:r>
      <w:r>
        <w:rPr>
          <w:noProof/>
        </w:rPr>
        <w:t>rendszeres forgalmat bonyolító hajókra vonatkozó mentességi rendszerek további összehangolása a hajókon és kikötőkben tapasztalható hatékonyságbeli hiányosságokra is megoldást nyújt.</w:t>
      </w:r>
    </w:p>
    <w:p w:rsidR="00BB3609" w:rsidRDefault="008E1F07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Ugyanakkor a közös szabályok és elvek helyi/kikötői szinten történő végre</w:t>
      </w:r>
      <w:r>
        <w:rPr>
          <w:noProof/>
        </w:rPr>
        <w:t>hajtásának tekintetében a tagállamoknak megmarad a mérlegelési mozgásterük. Az új irányelv meghagyja számukra a lehetőséget, hogy saját belátásuk szerint döntsenek a költségtérítési rendszerek kialakítását és működését, a díjak mértékét és a területükön ta</w:t>
      </w:r>
      <w:r>
        <w:rPr>
          <w:noProof/>
        </w:rPr>
        <w:t>lálható kikötőkre vonatkozó hulladékgazdálkodási tervek kidolgozását illetően. A tagállami hatóságok vannak leginkább abban a helyzetben, hogy a kikötők méretének és földrajzi elhelyezkedésének, illetve az ezekbe beérkező hajók igényinek figyelembevételéve</w:t>
      </w:r>
      <w:r>
        <w:rPr>
          <w:noProof/>
        </w:rPr>
        <w:t>l meghatározzák a hulladékgazdálkodási tervek részletességét és kiterjedését.</w:t>
      </w:r>
    </w:p>
    <w:p w:rsidR="00BB3609" w:rsidRDefault="008E1F07">
      <w:pPr>
        <w:pStyle w:val="Bullet0"/>
        <w:rPr>
          <w:b/>
          <w:noProof/>
          <w:u w:color="000000"/>
          <w:bdr w:val="nil"/>
        </w:rPr>
      </w:pPr>
      <w:r>
        <w:rPr>
          <w:b/>
          <w:noProof/>
          <w:u w:color="000000"/>
          <w:bdr w:val="nil"/>
        </w:rPr>
        <w:t>Arányosság</w:t>
      </w:r>
    </w:p>
    <w:p w:rsidR="00BB3609" w:rsidRDefault="008E1F07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A javaslatnak két célja van: (i) a tengeri környezet védelmének fokozása a hajókról származó hulladékok kibocsátásával szemben, miközben (ii) biztosítja a tengeri szál</w:t>
      </w:r>
      <w:r>
        <w:rPr>
          <w:noProof/>
        </w:rPr>
        <w:t xml:space="preserve">lítással kapcsolatos műveletek hatékonyságát a kikötőkben. A hatásvizsgálat rámutatott, hogy a hulladékok tengerbe ürítésének gyakorlata nem szűnt meg, ez pedig, és különösen a szemét ártalmatlanítása súlyos következményekkel jár a tengeri ökoszisztémára. </w:t>
      </w:r>
      <w:r>
        <w:rPr>
          <w:noProof/>
        </w:rPr>
        <w:t>Ugyanakkor a jelenlegi rendszer szükségtelen adminisztratív terheket ró a kikötőkre és a kikötőket használókra, amelynek oka elsősorban az irányelv és a nemzetközi keret (azaz a MARPOL-egyezmény) által előírt kötelezettségek következetlensége. A hatásvizsg</w:t>
      </w:r>
      <w:r>
        <w:rPr>
          <w:noProof/>
        </w:rPr>
        <w:t>álat rámutatott a problémák kezelését illetően előnyben részesített lehetőség arányosságára, ami összhangban van a Szabályozói Ellenőrzési Testület által a hatásvizsgálatról szóló jelentéssel kapcsolatban megfogalmazott észrevételekkel.</w:t>
      </w:r>
    </w:p>
    <w:p w:rsidR="00BB3609" w:rsidRDefault="008E1F07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A javaslat ezeket a</w:t>
      </w:r>
      <w:r>
        <w:rPr>
          <w:noProof/>
        </w:rPr>
        <w:t xml:space="preserve"> problémákat úgy kívánja megoldani, hogy további összhangot teremt a MARPOL-egyezménnyel, különösen ami a hatályt, a fogalommeghatározásokat és az űrlapokat illeti. A javasolt irányelv emellett nagyobb összhangra törekszik az egyéb uniós jogi aktusokkal, e</w:t>
      </w:r>
      <w:r>
        <w:rPr>
          <w:noProof/>
        </w:rPr>
        <w:t>nnek érdekében pedig az ellenőrzéseket teljes mértékben beépíti a kikötő szerint illetékes állam általi ellenőrzésekbe, illetve megteremti az összhangot a megfigyelési és jelentési kötelezettségekről szóló 2002/59/EK irányelvvel. Az új megközelítés jelentő</w:t>
      </w:r>
      <w:r>
        <w:rPr>
          <w:noProof/>
        </w:rPr>
        <w:t>s mértékben az információk elektronikus jelentésére és cseréjére támaszkodik, amelynek alapját a meglévő elektronikus rendszerek, illetve azon elv képezi, miszerint az információk továbbítására csak egyszer kell sort keríteni. Ez megkönnyíti a nyomon követ</w:t>
      </w:r>
      <w:r>
        <w:rPr>
          <w:noProof/>
        </w:rPr>
        <w:t>ést és a betartatást, miközben a minimálisra csökkenti a kapcsolódó adminisztratív terheket.</w:t>
      </w:r>
    </w:p>
    <w:p w:rsidR="00BB3609" w:rsidRDefault="008E1F07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A tengeri hulladék konkrét problémája további intézkedéseket indokol, amelyek a hajókról kibocsátott hulladékok mennyiségének további csökkenését eredményezik. Ez </w:t>
      </w:r>
      <w:r>
        <w:rPr>
          <w:noProof/>
        </w:rPr>
        <w:t>az ösztönző és végrehajtási intézkedések kombinációjával érhető el. Tekintettel arra, hogy a halászati és szabadidős ágazatok szintén jelentős mértékben hozzájárulnak a tengeri hulladék problémájához, ezek szisztematikusabb módon bekerülnek a rendszerbe, k</w:t>
      </w:r>
      <w:r>
        <w:rPr>
          <w:noProof/>
        </w:rPr>
        <w:t>ülönösen ami a hulladékok parton való leadására vonatkozó ösztönzőket illeti. Ugyanakkor, mivel a bejelentési és ellenőrzési kötelezettségek aránytalan terheket rónának a kisebb hajókra és kikötőkre, a hosszúságra és a bruttó tonnatartalomra alapuló differ</w:t>
      </w:r>
      <w:r>
        <w:rPr>
          <w:noProof/>
        </w:rPr>
        <w:t>enciált megközelítés kerül alkalmazásra. Ez a megközelítés az alábbiakat jelentené:</w:t>
      </w:r>
    </w:p>
    <w:p w:rsidR="00BB3609" w:rsidRDefault="008E1F07">
      <w:pPr>
        <w:pStyle w:val="Tiret0"/>
        <w:numPr>
          <w:ilvl w:val="0"/>
          <w:numId w:val="17"/>
        </w:numPr>
        <w:rPr>
          <w:noProof/>
        </w:rPr>
      </w:pPr>
      <w:r>
        <w:rPr>
          <w:noProof/>
        </w:rPr>
        <w:t>Az előzetes hulladékbejelentésben és a hulladékátvételi elismervényben található információk jelentése a 2002/59/EK irányelvvel összhangban csak a 45 métert meghaladó hajók</w:t>
      </w:r>
      <w:r>
        <w:rPr>
          <w:noProof/>
        </w:rPr>
        <w:t xml:space="preserve"> esetében lesz kötelező. </w:t>
      </w:r>
    </w:p>
    <w:p w:rsidR="00BB3609" w:rsidRDefault="008E1F07">
      <w:pPr>
        <w:pStyle w:val="Tiret0"/>
        <w:rPr>
          <w:noProof/>
        </w:rPr>
      </w:pPr>
      <w:r>
        <w:rPr>
          <w:noProof/>
        </w:rPr>
        <w:t>A halászhajókra és a kedvtelési célú vízi járművekre vonatkozó 20 %-os ellenőrzési célérték csak a 100 bruttó tonnatartalmat meghaladó hajókra lesz érvényes, amely összhangban van azokkal az IMO követelménnyel, amelyek előírják, h</w:t>
      </w:r>
      <w:r>
        <w:rPr>
          <w:noProof/>
        </w:rPr>
        <w:t xml:space="preserve">ogy a fedélzeten egy hulladékgazdálkodási tervet kell tartani. </w:t>
      </w:r>
    </w:p>
    <w:p w:rsidR="00BB3609" w:rsidRDefault="008E1F07">
      <w:pPr>
        <w:pStyle w:val="Tiret0"/>
        <w:rPr>
          <w:noProof/>
        </w:rPr>
      </w:pPr>
      <w:r>
        <w:rPr>
          <w:noProof/>
        </w:rPr>
        <w:t>A kereskedelmi hajók ellenőrzésére a kikötő szerint illetékes állam általi ellenőrzés keretében fog sor kerülni egy kockázatalapú megközelítés szerint, amelynek nyomán a rendszernek hatékonyab</w:t>
      </w:r>
      <w:r>
        <w:rPr>
          <w:noProof/>
        </w:rPr>
        <w:t>bá és eredményesebbé kell válnia.</w:t>
      </w:r>
    </w:p>
    <w:p w:rsidR="00BB3609" w:rsidRDefault="008E1F07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Bár az irányelv a vonatkozó nemzetközi normákra alapuló közös uniós megközelítés biztosítása céljából a kikötői fogadólétesítményekkel kapcsolatos rendszer fő elveinek további összehangolására törekszik, a tagállamok számá</w:t>
      </w:r>
      <w:r>
        <w:rPr>
          <w:noProof/>
        </w:rPr>
        <w:t>ra mérlegelési mozgásteret hagy arra vonatkozóan, hogy a helyi szempontok, illetve a kikötő adminisztratív felépítésének és tulajdonosi szerkezetének alapján saját maguk döntsenek a kikötők szintjén alkalmazandó működési intézkedésekről. A hulladék fogadás</w:t>
      </w:r>
      <w:r>
        <w:rPr>
          <w:noProof/>
        </w:rPr>
        <w:t>ára alkalmas létesítmények megfelelése a kikötő mérete, földrajzi elhelyezkedése és beérkező forgalma alapján kerül megállapításra, ennek alapján pedig meghatározásra kerül a kikötő hulladékgazdálkodási tervének részletessége és hatálya. Ezeknek a tervekne</w:t>
      </w:r>
      <w:r>
        <w:rPr>
          <w:noProof/>
        </w:rPr>
        <w:t>k a kidolgozása földrajzi összefüggésben is történhet, hogy ne sérüljenek a regionális szinten egymás közelében lévő kikötők és a regionális forgalom érdekei.</w:t>
      </w:r>
    </w:p>
    <w:p w:rsidR="00BB3609" w:rsidRDefault="008E1F07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Bár a tagállamoknak biztosítaniuk kell, hogy a költségtérítési rendszerek alkalmazzák az </w:t>
      </w:r>
      <w:r>
        <w:rPr>
          <w:noProof/>
        </w:rPr>
        <w:t>irányelvben lefektetett elveket, különösen ami a közvetett díjakat és az átláthatóság mértékét illeti, a kikötőbe érkező forgalom típusának szem előtt tartásával saját belátásuk szerint alakíthatják ki a díjszabási rendszereket és állapíthatják meg a díjak</w:t>
      </w:r>
      <w:r>
        <w:rPr>
          <w:noProof/>
        </w:rPr>
        <w:t xml:space="preserve"> pontos mértékét. Ez a jogkör korlátozottabb lesz a szemét tekintetében — ami a tengeri hulladék legjelentősebb összetevője —, amelyek esetében a költségeket teljes mértékben közvetett díjak útján kell behajtani. Tekintettel arra, hogy a műanyagok és a haj</w:t>
      </w:r>
      <w:r>
        <w:rPr>
          <w:noProof/>
        </w:rPr>
        <w:t>ókról származó szemét egyéb összetevői különösen káros hatást fejtenek ki a tengeri környezetre, egy maximális pénzügyi ösztönző megléte szükséges ahhoz, hogy a szemét minden egyes kikötés alkalmával leadásra kerüljön, ahelyett, hogy a tengerbe ürítenék.</w:t>
      </w:r>
    </w:p>
    <w:p w:rsidR="00BB3609" w:rsidRDefault="008E1F07">
      <w:pPr>
        <w:pStyle w:val="Bullet0"/>
        <w:rPr>
          <w:b/>
          <w:noProof/>
          <w:u w:color="000000"/>
          <w:bdr w:val="nil"/>
        </w:rPr>
      </w:pPr>
      <w:r>
        <w:rPr>
          <w:b/>
          <w:noProof/>
          <w:u w:color="000000"/>
          <w:bdr w:val="nil"/>
        </w:rPr>
        <w:t>A</w:t>
      </w:r>
      <w:r>
        <w:rPr>
          <w:b/>
          <w:noProof/>
          <w:u w:color="000000"/>
          <w:bdr w:val="nil"/>
        </w:rPr>
        <w:t xml:space="preserve"> jogi aktus típusának megválasztása</w:t>
      </w:r>
    </w:p>
    <w:p w:rsidR="00BB3609" w:rsidRDefault="008E1F07">
      <w:pPr>
        <w:pStyle w:val="Text1"/>
        <w:ind w:left="0"/>
        <w:rPr>
          <w:noProof/>
        </w:rPr>
      </w:pPr>
      <w:r>
        <w:rPr>
          <w:noProof/>
        </w:rPr>
        <w:t>Az egyértelmű és következetes jogszabályszövegezés érdekében a legmegfelelőbb jogi megoldásnak az egyetlen új irányelvre tett javaslat számít. A jelenlegi irányelv módosításaira tett javaslatok lehetősége elvetésre kerül</w:t>
      </w:r>
      <w:r>
        <w:rPr>
          <w:noProof/>
        </w:rPr>
        <w:t>t, mert nagyszámú változtatást feltételezne. Az új rendelet lehetősége szintén elvetésre került, mert az nem biztosított volna elegendő rugalmasságot a tagállamok számára arra vonatkozóan, hogy saját maguk döntsenek a politikák legmegfelelőbb végrehajtásár</w:t>
      </w:r>
      <w:r>
        <w:rPr>
          <w:noProof/>
        </w:rPr>
        <w:t>ól a kikötőikben, amelyek méretük, elhelyezkedésük, tulajdonosi szerkezetük és adminisztratív felépítésük tekintetében rendkívül eltérőek.</w:t>
      </w:r>
    </w:p>
    <w:p w:rsidR="00BB3609" w:rsidRDefault="008E1F07">
      <w:pPr>
        <w:pStyle w:val="ManualHeading1"/>
        <w:rPr>
          <w:noProof/>
        </w:rPr>
      </w:pPr>
      <w:r>
        <w:t>3.</w:t>
      </w:r>
      <w:r>
        <w:tab/>
      </w:r>
      <w:r>
        <w:rPr>
          <w:noProof/>
        </w:rPr>
        <w:t>AZ UTÓLAGOS ÉRTÉKELÉSEK, AZ ÉRDEKELT FELEKKEL FOLYTATOTT KONZULTÁCIÓK ÉS A HATÁSVIZSGÁLATOK EREDMÉNYEI</w:t>
      </w:r>
    </w:p>
    <w:p w:rsidR="00BB3609" w:rsidRDefault="008E1F07">
      <w:pPr>
        <w:pStyle w:val="Bullet0"/>
        <w:rPr>
          <w:b/>
          <w:noProof/>
          <w:u w:color="000000"/>
          <w:bdr w:val="nil"/>
        </w:rPr>
      </w:pPr>
      <w:r>
        <w:rPr>
          <w:b/>
          <w:noProof/>
          <w:u w:color="000000"/>
          <w:bdr w:val="nil"/>
        </w:rPr>
        <w:t xml:space="preserve">A jelenleg </w:t>
      </w:r>
      <w:r>
        <w:rPr>
          <w:b/>
          <w:noProof/>
          <w:u w:color="000000"/>
          <w:bdr w:val="nil"/>
        </w:rPr>
        <w:t>hatályban lévő jogszabályok utólagos értékelése/célravezetőségi vizsgálata</w:t>
      </w:r>
    </w:p>
    <w:p w:rsidR="00BB3609" w:rsidRDefault="008E1F07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Az utólagos értékelésből kitűnik, hogy az irányelv hatékonynak bizonyult a tengerbe ürített hulladékok mennyiségének csökkentésére irányuló célkitűzés elérésében, és egyértelmű hozz</w:t>
      </w:r>
      <w:r>
        <w:rPr>
          <w:noProof/>
        </w:rPr>
        <w:t>áadott értéket teremt az EU számára. Ugyanakkor, miközben a parton leadott hulladék mennyisége nőtt, a különböző hulladékkategóriák szerinti egyenetlen tendencia figyelhető meg. Emellett továbbra is jelentős mennyiségű hulladékot ürítenek a tengerekbe. Enn</w:t>
      </w:r>
      <w:r>
        <w:rPr>
          <w:noProof/>
        </w:rPr>
        <w:t>ek oka elsősorban a jelenlegi irányelvben meghatározott fő kötelezettségek (mint a megfelelő kikötői fogadólétesítmények biztosítása, a költségtérítési rendszerek kialakítása és működése, valamint a kötelező leadási kötelezettség betartatása) eltérő értelm</w:t>
      </w:r>
      <w:r>
        <w:rPr>
          <w:noProof/>
        </w:rPr>
        <w:t>ezése és végrehajtása.</w:t>
      </w:r>
    </w:p>
    <w:p w:rsidR="00BB3609" w:rsidRDefault="008E1F07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A kikötői fogadólétesítmények megfelelésének fogalma a régi irányelvben nincs egyértelműen meghatározva, ami félreértéseket szül a kikötőket használók és az üzemeltetők körében. Ezen túlmenően, a kikötőket használókkal folytatott kon</w:t>
      </w:r>
      <w:r>
        <w:rPr>
          <w:noProof/>
        </w:rPr>
        <w:t>zultációk elmaradása, valamint az EU „szárazföldi” jogszabályaival való összhang hiánya olyan helyzetekhez vezetett, amelyekben a megfelelő létesítmények nem minden esetben állnak rendelkezésre a kikötőkben. Például a konzultáció során az érdekelt felek ar</w:t>
      </w:r>
      <w:r>
        <w:rPr>
          <w:noProof/>
        </w:rPr>
        <w:t>ra panaszkodtak, hogy a kikötőkben nem gyűjtik külön azokat a hulladékokat, amelyeket a nemzetközi szabványokkal összhangban a fedélzeten előzőleg már elkülönítettek egymástól. Emellett a MARPOL-egyezmény kibocsátási normáinak fényében félreértések merülte</w:t>
      </w:r>
      <w:r>
        <w:rPr>
          <w:noProof/>
        </w:rPr>
        <w:t xml:space="preserve">k fel a kötelező leadási kötelezettség hatályát illetően, beleértve annak az elegendő fedélzeti tárolókapacitásnak a meghatározását, amely lehetővé teszi egy hajó számára, hogy a hulladék leadása nélkül hagyja el a kikötőt. </w:t>
      </w:r>
    </w:p>
    <w:p w:rsidR="00BB3609" w:rsidRDefault="008E1F07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A kikötői fogadólétesítményeket</w:t>
      </w:r>
      <w:r>
        <w:rPr>
          <w:noProof/>
        </w:rPr>
        <w:t xml:space="preserve"> érintő ellenőrzések jogi és adminisztratív keretei szintén nem egyértelműek, és ugyanez érvényes az ellenőrzések alapjára és rendszerességére. Végezetül, a menetrend szerint közlekedő hajókra vonatkozó mentességek alkalmazására eltérő alapokon és különböz</w:t>
      </w:r>
      <w:r>
        <w:rPr>
          <w:noProof/>
        </w:rPr>
        <w:t>ő feltételek mellett került sor, amelynek nyomán szükségtelen adminisztratív terhek keletkeztek. Ezen problémák következtében a rendszer kevésbé bizonyult hatékonynak a fő célkitűzés elérésének tekintetében: azaz a hulladékok tengere ürítésének csökkentésé</w:t>
      </w:r>
      <w:r>
        <w:rPr>
          <w:noProof/>
        </w:rPr>
        <w:t>ben.</w:t>
      </w:r>
    </w:p>
    <w:p w:rsidR="00BB3609" w:rsidRDefault="008E1F07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Az utólagos értékelés által azonosított egyéb problémák: </w:t>
      </w:r>
    </w:p>
    <w:p w:rsidR="00BB3609" w:rsidRDefault="008E1F07">
      <w:pPr>
        <w:pStyle w:val="Bullet0"/>
        <w:numPr>
          <w:ilvl w:val="0"/>
          <w:numId w:val="14"/>
        </w:numPr>
        <w:rPr>
          <w:noProof/>
        </w:rPr>
      </w:pPr>
      <w:r>
        <w:rPr>
          <w:noProof/>
        </w:rPr>
        <w:t>Az irányelv nincs teljesen összhangban a vonatkozó uniós politikákkal, mint például a hulladékokkal kapcsolatos uniós jogszabállyal és annak alapvető elveivel, ezért ezek nem kerültek teljes mé</w:t>
      </w:r>
      <w:r>
        <w:rPr>
          <w:noProof/>
        </w:rPr>
        <w:t xml:space="preserve">rtékben végrehajtásra a kikötőkben. </w:t>
      </w:r>
    </w:p>
    <w:p w:rsidR="00BB3609" w:rsidRDefault="008E1F07">
      <w:pPr>
        <w:pStyle w:val="Bullet0"/>
        <w:numPr>
          <w:ilvl w:val="0"/>
          <w:numId w:val="14"/>
        </w:numPr>
        <w:rPr>
          <w:noProof/>
        </w:rPr>
      </w:pPr>
      <w:r>
        <w:rPr>
          <w:noProof/>
        </w:rPr>
        <w:t xml:space="preserve">A nemzetközi jogi keretben (MARPOL-egyezmény) beálló jelentős változások nincsenek belefoglalva az irányelvbe. </w:t>
      </w:r>
    </w:p>
    <w:p w:rsidR="00BB3609" w:rsidRDefault="008E1F07">
      <w:pPr>
        <w:pStyle w:val="Bullet0"/>
        <w:numPr>
          <w:ilvl w:val="0"/>
          <w:numId w:val="14"/>
        </w:numPr>
        <w:rPr>
          <w:noProof/>
        </w:rPr>
      </w:pPr>
      <w:r>
        <w:rPr>
          <w:noProof/>
        </w:rPr>
        <w:t xml:space="preserve">A kikötőkben leadott hulladékokra vonatkozó adatok rendszeres rögzítésének hiánya, valamint a tagállamok </w:t>
      </w:r>
      <w:r>
        <w:rPr>
          <w:noProof/>
        </w:rPr>
        <w:t>közötti elégtelen információcsere akadályozta az irányelv hatékony nyomon követését és végrehajtását, és az uniós kikötők hulladékáramjára vonatkozó erősen hiányos adatokat eredményezett.</w:t>
      </w:r>
    </w:p>
    <w:p w:rsidR="00BB3609" w:rsidRDefault="008E1F07">
      <w:pPr>
        <w:pStyle w:val="Bullet0"/>
        <w:rPr>
          <w:b/>
          <w:noProof/>
          <w:u w:color="000000"/>
          <w:bdr w:val="nil"/>
        </w:rPr>
      </w:pPr>
      <w:r>
        <w:rPr>
          <w:b/>
          <w:noProof/>
          <w:u w:color="000000"/>
          <w:bdr w:val="nil"/>
        </w:rPr>
        <w:t>Az érdekelt felekkel folytatott konzultációk</w:t>
      </w:r>
    </w:p>
    <w:p w:rsidR="00BB3609" w:rsidRDefault="008E1F07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A felülvizsgálati eljár</w:t>
      </w:r>
      <w:r>
        <w:rPr>
          <w:noProof/>
        </w:rPr>
        <w:t>ás támogatása érdekében az Európai Fenntartható Hajózási Fórum keretében felállított, kikötői fogadólétesítményekkel foglalkozó alcsoport keretében rendszeres konzultáció folyt az érdekelt csoportok széles körével. A fő érdekelt csoportokat, például a tagá</w:t>
      </w:r>
      <w:r>
        <w:rPr>
          <w:noProof/>
        </w:rPr>
        <w:t>llamok nemzeti hatóságait, kikötőket, hajótulajdonosokat, a kikötői fogadólétesítmények üzemeltetőit és környezetvédelmi nem kormányzati szervezeteket egybegyűjtő alcsoport a hajókról származó hulladékok fogadására alkalmas kikötői fogadólétesítményekkel k</w:t>
      </w:r>
      <w:r>
        <w:rPr>
          <w:noProof/>
        </w:rPr>
        <w:t xml:space="preserve">apcsolatos magas szintű szakértelmet képvisel. Az alcsoport több találkozót tartott, amelyek során megvizsgálta és megbeszélte a felülvizsgálattal kapcsolatban javasolt intézkedéseket és lehetőségeket, a javaslat kidolgozása során pedig az alcsoport által </w:t>
      </w:r>
      <w:r>
        <w:rPr>
          <w:noProof/>
        </w:rPr>
        <w:t>tett javaslatokat alaposan áttekintették és figyelembe vették. Az alcsoport által folytatott megbeszélések eredményeinek összefoglalója a bizottsági szolgálati munkadokumentum</w:t>
      </w:r>
      <w:r>
        <w:rPr>
          <w:rStyle w:val="FootnoteReference"/>
          <w:noProof/>
        </w:rPr>
        <w:footnoteReference w:id="12"/>
      </w:r>
      <w:r>
        <w:rPr>
          <w:noProof/>
        </w:rPr>
        <w:t xml:space="preserve"> mellékleteiben található. </w:t>
      </w:r>
    </w:p>
    <w:p w:rsidR="00BB3609" w:rsidRDefault="008E1F07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Az érdekelt felek általánosságban támogatják a felül</w:t>
      </w:r>
      <w:r>
        <w:rPr>
          <w:noProof/>
        </w:rPr>
        <w:t>vizsgálatot, amelynek célja, hogy nagyobb összhangot teremtsen a MARPOL-egyezménnyel, különösen a kötelező leadási kötelezettség hatályát illetően, valamint konkrét intézkedéseket tartalmaz a tengeri hulladék által jelentett probléma kezelésére. Az alcsopo</w:t>
      </w:r>
      <w:r>
        <w:rPr>
          <w:noProof/>
        </w:rPr>
        <w:t>rt több ízben hangsúlyozta, hogy szükség van az uniós hulladékgazdálkodási elvek megfelelő végrehajtására a kikötői fogadólétesítmények rendszerének keretében, valamint a mentességi rendszer és a költségtérítési rendszerek további harmonizációja szükséges,</w:t>
      </w:r>
      <w:r>
        <w:rPr>
          <w:noProof/>
        </w:rPr>
        <w:t xml:space="preserve"> az uniós kikötők által „univerzálisan alkalmazandó” megközelítés előírása nélkül. Emellett az alcsoport megbeszéléseket folytatott a nyomon követés és betartatás javításának módozatait illetően, valamint arra vonatkozóan, hogy az elektronikus jelentés és </w:t>
      </w:r>
      <w:r>
        <w:rPr>
          <w:noProof/>
        </w:rPr>
        <w:t>adatcsere miként könnyíthetné meg az eljárást.</w:t>
      </w:r>
    </w:p>
    <w:p w:rsidR="00BB3609" w:rsidRDefault="008E1F07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  <w:u w:color="000000"/>
          <w:bdr w:val="nil"/>
        </w:rPr>
      </w:pPr>
      <w:r>
        <w:rPr>
          <w:noProof/>
        </w:rPr>
        <w:t>A hatásvizsgálati eljárás részeként egy nyílt nyilvános konzultációra került sor, amelynek keretében az érdekelt felek széles körétől érkeztek válaszok. Ezt egy célzott, kikötőkre irányuló konzultáció követte.</w:t>
      </w:r>
      <w:r>
        <w:rPr>
          <w:noProof/>
        </w:rPr>
        <w:t xml:space="preserve"> Ezek a konzultációk rámutattak, hogy az ösztönzők és a betartatás hiánya az egyik legjelentősebb előmozdítója annak az átfogó problémának, amit a hulladékok tengerbe ürítése jelent. Emellett a konzultáció mindkét szakasza rávilágított, hogy a fogalommegha</w:t>
      </w:r>
      <w:r>
        <w:rPr>
          <w:noProof/>
        </w:rPr>
        <w:t>tározások és űrlapok következetlensége, illetve az eltérő mentességi rendszerek szükségtelen adminisztratív terheknek teremtenek alapot.</w:t>
      </w:r>
    </w:p>
    <w:p w:rsidR="00BB3609" w:rsidRDefault="008E1F07">
      <w:pPr>
        <w:pStyle w:val="Bullet0"/>
        <w:rPr>
          <w:b/>
          <w:noProof/>
          <w:u w:color="000000"/>
          <w:bdr w:val="nil"/>
        </w:rPr>
      </w:pPr>
      <w:r>
        <w:rPr>
          <w:b/>
          <w:noProof/>
          <w:u w:color="000000"/>
          <w:bdr w:val="nil"/>
        </w:rPr>
        <w:t>Szakértői vélemények beszerzése és felhasználása</w:t>
      </w:r>
    </w:p>
    <w:p w:rsidR="00BB3609" w:rsidRDefault="008E1F07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Ez a javaslat az értékelési és hatásvizsgálati eljárás során gyűjtött </w:t>
      </w:r>
      <w:r>
        <w:rPr>
          <w:noProof/>
        </w:rPr>
        <w:t>és elemzett információkra alapul, amelyekkel kapcsolatban külső tanulmányok elvégzésére került sor. Emellett az Európai Tengerészeti Biztonsági Ügynökség (EMSA) technikai segítségnyújtást és konkrét adatokat biztosított.</w:t>
      </w:r>
    </w:p>
    <w:p w:rsidR="00BB3609" w:rsidRDefault="008E1F07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A 2015-ös utólagos értékelő tanulmá</w:t>
      </w:r>
      <w:r>
        <w:rPr>
          <w:noProof/>
        </w:rPr>
        <w:t>ny 40 nagy méretű kereskedelmi kikötő adatait elemezte, amelyek alapján a 2004 és 2013 közötti időszakra vonatkozóan összeállították a hulladékok leadásának idősorát. Az adatok egy része olyan korábbi tanulmányokból származik, amelyeket az EMSA az irányelv</w:t>
      </w:r>
      <w:r>
        <w:rPr>
          <w:noProof/>
        </w:rPr>
        <w:t xml:space="preserve"> végrehajtásával kapcsolatban végzett, és amelyet az érdekelt felek körében végzett felméréssel egészítettek ki.</w:t>
      </w:r>
    </w:p>
    <w:p w:rsidR="00BB3609" w:rsidRDefault="008E1F07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Az irányelv felülvizsgálatával kapcsolatban végzett </w:t>
      </w:r>
      <w:r>
        <w:rPr>
          <w:b/>
          <w:noProof/>
        </w:rPr>
        <w:t>hatásvizsgálat</w:t>
      </w:r>
      <w:r>
        <w:rPr>
          <w:noProof/>
        </w:rPr>
        <w:t xml:space="preserve"> 2016-os támogató tanulmányának célja az volt, hogy az előző tanulmányokban (</w:t>
      </w:r>
      <w:r>
        <w:rPr>
          <w:noProof/>
        </w:rPr>
        <w:t>Ramboll 2012 és Panteia 2015) azonosított kikötők tekintetében a 2013 és 2015 közötti időszakra vonatkozó adatokkal egészítse ki a leadott hulladékmennyiségre vonatkozó információkat. Erre az időszakra vonatkozóan az értékelésben előzőleg szereplő 40 kiköt</w:t>
      </w:r>
      <w:r>
        <w:rPr>
          <w:noProof/>
        </w:rPr>
        <w:t>ő közül 29-től érkeztek a leadott hulladékokra vonatkozó aktualizált adatok. Emellett a hatásvizsgálat támogató tanulmánya a hulladékkülönbség kiszámítása érdekében az úgynevezett MARWAS modellt alkalmazta, amely a következőt méri: azon hulladékmennyiségek</w:t>
      </w:r>
      <w:r>
        <w:rPr>
          <w:noProof/>
        </w:rPr>
        <w:t xml:space="preserve"> különbsége, amelyek (i) az adott kikötők forgalmának alapján a meghatározott időszakban várhatóan leadásra kerülnek azokban a kikötőkben, amelyek tekintetében rendelkezésre állnak a leadási adatok; és amelyek (ii) ebben az időszakban abszolút mennyiségben</w:t>
      </w:r>
      <w:r>
        <w:rPr>
          <w:noProof/>
        </w:rPr>
        <w:t xml:space="preserve"> ténylegesen leadásra kerültek ezekben a kikötőkben. A vizsgált 29 kikötőre vonatkozóan az EMSA biztosította a hajók mozgásával kapcsolatos adatokat, ezek pedig behelyettesítésre kerültek a modellbe. A támogató tanulmány elvégezte továbbá a különböző regio</w:t>
      </w:r>
      <w:r>
        <w:rPr>
          <w:noProof/>
        </w:rPr>
        <w:t>nális tengeri területek környezeti sebezhetőségének értékelését a hajókról származó különböző hulladékkategóriák szerint. A módszertan részletes magyarázatát a jelen javaslathoz mellékelt bizottsági szolgálati munkadokumentum vonatkozó melléklete tartalmaz</w:t>
      </w:r>
      <w:r>
        <w:rPr>
          <w:noProof/>
        </w:rPr>
        <w:t>za</w:t>
      </w:r>
      <w:r>
        <w:rPr>
          <w:rStyle w:val="FootnoteReference"/>
          <w:noProof/>
        </w:rPr>
        <w:footnoteReference w:id="13"/>
      </w:r>
      <w:r>
        <w:rPr>
          <w:noProof/>
        </w:rPr>
        <w:t>.</w:t>
      </w:r>
    </w:p>
    <w:p w:rsidR="00BB3609" w:rsidRDefault="008E1F07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Az eljárás során az előzőekben megjelölt, kikötői fogadólétesítményekkel foglalkozó alcsoport folyamatos támogatást nyújtott. </w:t>
      </w:r>
    </w:p>
    <w:p w:rsidR="00BB3609" w:rsidRDefault="008E1F07">
      <w:pPr>
        <w:pStyle w:val="Bullet0"/>
        <w:rPr>
          <w:b/>
          <w:noProof/>
          <w:u w:color="000000"/>
          <w:bdr w:val="nil"/>
        </w:rPr>
      </w:pPr>
      <w:r>
        <w:rPr>
          <w:b/>
          <w:noProof/>
          <w:u w:color="000000"/>
          <w:bdr w:val="nil"/>
        </w:rPr>
        <w:t>Hatásvizsgálat</w:t>
      </w:r>
    </w:p>
    <w:p w:rsidR="00BB3609" w:rsidRDefault="008E1F07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A hatásvizsgálat az irányelv felülvizsgálatának különböző szakpolitikai lehetőségeit vizsgálta meg az alábbi </w:t>
      </w:r>
      <w:r>
        <w:rPr>
          <w:noProof/>
        </w:rPr>
        <w:t>vezérelvek szerint:</w:t>
      </w:r>
    </w:p>
    <w:p w:rsidR="00BB3609" w:rsidRDefault="008E1F07">
      <w:pPr>
        <w:pStyle w:val="Point1number"/>
        <w:numPr>
          <w:ilvl w:val="2"/>
          <w:numId w:val="12"/>
        </w:numPr>
        <w:rPr>
          <w:noProof/>
        </w:rPr>
      </w:pPr>
      <w:r>
        <w:rPr>
          <w:noProof/>
        </w:rPr>
        <w:t>A felülvizsgálat hatálya, a jogszabályi változások mértéke és a puha jogi útmutatások kidolgozása;</w:t>
      </w:r>
    </w:p>
    <w:p w:rsidR="00BB3609" w:rsidRDefault="008E1F07">
      <w:pPr>
        <w:pStyle w:val="Point1number"/>
        <w:rPr>
          <w:noProof/>
        </w:rPr>
      </w:pPr>
      <w:r>
        <w:rPr>
          <w:noProof/>
        </w:rPr>
        <w:t>A hulladékok kötelező leadására vonatkozó kötelezettség hatálya. A MARPOL-egyezmény kibocsátási normáihoz való igazodás vagy a teljesen h</w:t>
      </w:r>
      <w:r>
        <w:rPr>
          <w:noProof/>
        </w:rPr>
        <w:t>ulladékmentes rendszer megcélozása a hulladékok teljes mennyiségének leadásával a kikötőkben. Ez egyéb szempontokra is hatással van, mint a költségtérítési rendszerek alkalmazása és a betartatás;</w:t>
      </w:r>
    </w:p>
    <w:p w:rsidR="00BB3609" w:rsidRDefault="008E1F07">
      <w:pPr>
        <w:pStyle w:val="Point1number"/>
        <w:rPr>
          <w:noProof/>
        </w:rPr>
      </w:pPr>
      <w:r>
        <w:rPr>
          <w:noProof/>
        </w:rPr>
        <w:t>A hajókról származó tengeri hulladék (főképp hajókról szárma</w:t>
      </w:r>
      <w:r>
        <w:rPr>
          <w:noProof/>
        </w:rPr>
        <w:t>zó szemét) jelentette konkrét probléma kezelésére való alkalmasság;</w:t>
      </w:r>
    </w:p>
    <w:p w:rsidR="00BB3609" w:rsidRDefault="008E1F07">
      <w:pPr>
        <w:pStyle w:val="Point1number"/>
        <w:rPr>
          <w:noProof/>
        </w:rPr>
      </w:pPr>
      <w:r>
        <w:rPr>
          <w:noProof/>
        </w:rPr>
        <w:t>Az adminisztratív terhek csökkentésére és a rendszer leegyszerűsítésére való alkalmasság a javaslat REFIT célkitűzéseivel összhangban.</w:t>
      </w:r>
    </w:p>
    <w:p w:rsidR="00BB3609" w:rsidRDefault="008E1F07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Az alábbiakban bemutatott politikai célkitűzések ezek</w:t>
      </w:r>
      <w:r>
        <w:rPr>
          <w:noProof/>
        </w:rPr>
        <w:t>et az elveket tükrözik.</w:t>
      </w:r>
    </w:p>
    <w:p w:rsidR="00BB3609" w:rsidRDefault="008E1F07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1. LEHETŐSÉG: alapforgatókönyv. E lehetőség szerint nincs tervbe véve jogszabályi változtatás az irányelv vonatkozásában. Ehelyett puha jogi útmutatások kerülnek kidolgozásra, valamint sor kerül a jelenlegi irányelv 12. cikkének (3)</w:t>
      </w:r>
      <w:r>
        <w:rPr>
          <w:noProof/>
        </w:rPr>
        <w:t xml:space="preserve"> bekezdése alapján létrehozott, és a SafeSeaNet és THETIS (kikötő szerint illetékes állam általi ellenőrzések adatbázisa) rendszerekben történő elektronikus jelentésre alapuló elektronikus bejelentési és ellenőrzési rendszer kiterjesztésére.</w:t>
      </w:r>
    </w:p>
    <w:p w:rsidR="00BB3609" w:rsidRDefault="008E1F07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2. LEHETŐSÉG: </w:t>
      </w:r>
      <w:r>
        <w:rPr>
          <w:noProof/>
        </w:rPr>
        <w:t xml:space="preserve">minimális felülvizsgálat. Ez a lehetőség az alapforgatókönyvre alapozva célzott kezdeményezéseket és kismértékű jogi kiigazításokat irányoz elő a MARPOL-egyezmény és a vonatkozó uniós jogszabályok tekintetében. Elsősorban arra törekszik, hogy az egyezmény </w:t>
      </w:r>
      <w:r>
        <w:rPr>
          <w:noProof/>
        </w:rPr>
        <w:t>VI. melléklete alá tartozó hulladékok belefoglalásával összhangba hozza az irányelv hatályát a MARPOL-egyezménnyel, illetve aktualizálja az uniós környezetvédelmi jogszabályokra való hivatkozásokat.</w:t>
      </w:r>
    </w:p>
    <w:p w:rsidR="00BB3609" w:rsidRDefault="008E1F07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3. LEHETŐSÉG: az összhang megteremtése a MARPOL-egyezménn</w:t>
      </w:r>
      <w:r>
        <w:rPr>
          <w:noProof/>
        </w:rPr>
        <w:t xml:space="preserve">yel. E lehetőség célja a MARPOL-egyezményhez való további közelítés, különösen a kötelező leadás hatályának meghatározása a MARPOL-egyezmény kibocsátási normáival összhangban, ami megoldást nyújtana a hulladékok illegális tengerbe ürítésének problémájára. </w:t>
      </w:r>
      <w:r>
        <w:rPr>
          <w:noProof/>
        </w:rPr>
        <w:t>Ez a lehetőség tartalmazza továbbá a kikötői fogadólétesítményeket érintő ellenőrzések bevonását a kikötő szerint illetékes állam általi ellenőrzésbe, valamint magában foglalja a létesítmények megfelelésének javítását célzó intézkedések, illetve a hajók sz</w:t>
      </w:r>
      <w:r>
        <w:rPr>
          <w:noProof/>
        </w:rPr>
        <w:t>ámára a létesítményekbe való leadás kapcsán kidolgozott gazdasági ösztönzők teljes körét.</w:t>
      </w:r>
    </w:p>
    <w:p w:rsidR="00BB3609" w:rsidRDefault="008E1F07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4. LEHETŐSÉG: a kikötői fogadólétesítmények MARPOL-egyezménynél szigorúbb uniós rendszere. E lehetőség célja az irányelv szerinti jelenlegi rendszer megerősítése oly </w:t>
      </w:r>
      <w:r>
        <w:rPr>
          <w:noProof/>
        </w:rPr>
        <w:t>módon, hogy az túlmutasson a MARPOL-egyezmény előírásain. A kötelező leadás a hajókról származó összes hulladékra kiterjedne, beleértve azokat is, amelyek a MARPOL-egyezmény értelmében a tengerbe üríthetők. Ez a lehetőség tartalmazza továbbá a létesítménye</w:t>
      </w:r>
      <w:r>
        <w:rPr>
          <w:noProof/>
        </w:rPr>
        <w:t>k megfelelésének javítását célzó, illetve a leadás megfelelő ösztönzőivel kapcsolatos intézkedések teljes körét.</w:t>
      </w:r>
    </w:p>
    <w:p w:rsidR="00BB3609" w:rsidRDefault="008E1F07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3B és 4B LEHETŐSÉGEK: Tengeri hulladékkal kapcsolatos alternatívák a fenti 3. és 4. lehetőségek szerint. Ezek az alternatívák konkrétan a hajók</w:t>
      </w:r>
      <w:r>
        <w:rPr>
          <w:noProof/>
        </w:rPr>
        <w:t>ról származó tengeri hulladék (főképp a szemét tengerbe ürítése) jelentette probléma kezelését szolgálják. Ösztönző és végrehajtási intézkedéseket egyaránt tartalmaznak, csakúgy mint egy javaslatot, amelynek célja, hogy a halászhajók és a kedvtelési célú v</w:t>
      </w:r>
      <w:r>
        <w:rPr>
          <w:noProof/>
        </w:rPr>
        <w:t>ízi járművek teljes mértékben az irányelv hatálya alá kerüljenek, jóllehet a bruttó tonnatartalomra alapuló differenciált végrehajtási megközelítéssel.</w:t>
      </w:r>
    </w:p>
    <w:p w:rsidR="00BB3609" w:rsidRDefault="008E1F07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A hatásvizsgálat megállapította, hogy az előnyben részesített lehetőség a 3B szakpolitikai alternatíva, </w:t>
      </w:r>
      <w:r>
        <w:rPr>
          <w:noProof/>
        </w:rPr>
        <w:t>mivel ez összeegyezteti a hulladékok, különösen a szemét (tengeri hulladék) tengerbe ürítésének csökkentésére irányuló célkitűzést azzal a törekvéssel, hogy a MARPOL-egyezménnyel való további összhang megteremtésével csökkenjenek az adminisztratív terhek.</w:t>
      </w:r>
    </w:p>
    <w:p w:rsidR="00BB3609" w:rsidRDefault="008E1F07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Az előnyben részesített szakpolitikai alternatíva várhatóan: </w:t>
      </w:r>
    </w:p>
    <w:p w:rsidR="00BB3609" w:rsidRDefault="008E1F07">
      <w:pPr>
        <w:pStyle w:val="Bullet0"/>
        <w:rPr>
          <w:noProof/>
        </w:rPr>
      </w:pPr>
      <w:r>
        <w:rPr>
          <w:noProof/>
        </w:rPr>
        <w:t>kedvező környezeti hatásokkal jár, mivel az olajos hulladékok, a szennyvizek, a szemét és a tisztításból származó hulladékok illegális tengerbe ürítésének jelentős csökkenését kell eredményeznie</w:t>
      </w:r>
      <w:r>
        <w:rPr>
          <w:noProof/>
        </w:rPr>
        <w:t xml:space="preserve">; </w:t>
      </w:r>
    </w:p>
    <w:p w:rsidR="00BB3609" w:rsidRDefault="008E1F07">
      <w:pPr>
        <w:pStyle w:val="Bullet0"/>
        <w:rPr>
          <w:noProof/>
        </w:rPr>
      </w:pPr>
      <w:r>
        <w:rPr>
          <w:noProof/>
        </w:rPr>
        <w:t>a tengeri hulladék, többek között a halászati és szabadidős ágazatokból származó hulladék csökkentésére, illetve a kikötők hulladékgazdálkodási gyakorlatainak javítására összpontosító konkrét intézkedések útján jelentős mértékben hozzájárul a körforgáso</w:t>
      </w:r>
      <w:r>
        <w:rPr>
          <w:noProof/>
        </w:rPr>
        <w:t xml:space="preserve">s gazdasághoz; </w:t>
      </w:r>
    </w:p>
    <w:p w:rsidR="00BB3609" w:rsidRDefault="008E1F07">
      <w:pPr>
        <w:pStyle w:val="Bullet0"/>
        <w:rPr>
          <w:noProof/>
        </w:rPr>
      </w:pPr>
      <w:r>
        <w:rPr>
          <w:noProof/>
        </w:rPr>
        <w:t xml:space="preserve">a végrehajtási költségek csökkenését és az adminisztratív költségek jelentős csökkenését eredményezi; </w:t>
      </w:r>
    </w:p>
    <w:p w:rsidR="00BB3609" w:rsidRDefault="008E1F07">
      <w:pPr>
        <w:pStyle w:val="Bullet0"/>
        <w:rPr>
          <w:noProof/>
        </w:rPr>
      </w:pPr>
      <w:r>
        <w:rPr>
          <w:noProof/>
        </w:rPr>
        <w:t xml:space="preserve">további munkahelyeket teremt, elsősorban a hulladékgazdálkodás és part menti területek idegenforgalmi ágazataiban; </w:t>
      </w:r>
    </w:p>
    <w:p w:rsidR="00BB3609" w:rsidRDefault="008E1F07">
      <w:pPr>
        <w:pStyle w:val="Bullet0"/>
        <w:rPr>
          <w:noProof/>
        </w:rPr>
      </w:pPr>
      <w:r>
        <w:rPr>
          <w:noProof/>
        </w:rPr>
        <w:t>a parton és a fedélze</w:t>
      </w:r>
      <w:r>
        <w:rPr>
          <w:noProof/>
        </w:rPr>
        <w:t>ten egyaránt növeli a tengeri hulladék problémájával kapcsolatos környezettudatosságot.</w:t>
      </w:r>
    </w:p>
    <w:p w:rsidR="00BB3609" w:rsidRDefault="008E1F07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Az előnyben részesített lehetőség várhatóan </w:t>
      </w:r>
      <w:r>
        <w:rPr>
          <w:b/>
          <w:noProof/>
        </w:rPr>
        <w:t>megfelelési és üzemeltetési többletköltségekkel jár</w:t>
      </w:r>
      <w:r>
        <w:rPr>
          <w:noProof/>
        </w:rPr>
        <w:t xml:space="preserve">, különösen a kikötői hulladékgyűjtéshez szükséges beruházásokkal, a </w:t>
      </w:r>
      <w:r>
        <w:rPr>
          <w:noProof/>
        </w:rPr>
        <w:t xml:space="preserve">költségtérítési rendszerek összhangba hozásával, valamint az új hulladékáramok fogadásához és kezeléséhez szükséges új kapacitások kialakításával kapcsolatban. Ugyanakkor a várakozások szerint ezek a költségek korlátozottak lesznek. Ezeknek a költségeknek </w:t>
      </w:r>
      <w:r>
        <w:rPr>
          <w:noProof/>
        </w:rPr>
        <w:t>a várható mértékét a javaslathoz mellékelt bizottsági szolgálati munkadokumentumban található hatásvizsgálat tartalmazza</w:t>
      </w:r>
      <w:r>
        <w:rPr>
          <w:rStyle w:val="FootnoteReference"/>
          <w:noProof/>
        </w:rPr>
        <w:footnoteReference w:id="14"/>
      </w:r>
      <w:r>
        <w:rPr>
          <w:noProof/>
        </w:rPr>
        <w:t xml:space="preserve">. Ugyanakkor a megfeleléssel kapcsolatos teljes költség pontos felmérése a hiányos adatok következtében nem lehetséges. </w:t>
      </w:r>
    </w:p>
    <w:p w:rsidR="00BB3609" w:rsidRDefault="008E1F07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A hatásvizsgál</w:t>
      </w:r>
      <w:r>
        <w:rPr>
          <w:noProof/>
        </w:rPr>
        <w:t>at jóváhagyás céljából 2017 májusában került benyújtásra a Szabályozói Ellenőrzési Testülethez. A Testület kedvező véleményt adott, azonban fenntartásokat fogalmazott meg</w:t>
      </w:r>
      <w:r>
        <w:rPr>
          <w:rStyle w:val="FootnoteReference"/>
          <w:noProof/>
        </w:rPr>
        <w:footnoteReference w:id="15"/>
      </w:r>
      <w:r>
        <w:rPr>
          <w:noProof/>
        </w:rPr>
        <w:t xml:space="preserve">. Véleményezésében a Testület aggályokat fogalmazott meg az irányelv által képviselt </w:t>
      </w:r>
      <w:r>
        <w:rPr>
          <w:noProof/>
        </w:rPr>
        <w:t>hozzáadott értéket illetően a MARPOL-egyezménnyel összehasonlításban, és további magyarázatot kért a két rendszer közötti kapcsolatot illetően, valamint arra vonatkozóan, hogy a javasolt lehetőségek miként vannak összhangban az egyezménnyel, illetve hogyan</w:t>
      </w:r>
      <w:r>
        <w:rPr>
          <w:noProof/>
        </w:rPr>
        <w:t xml:space="preserve"> mutatnak túl annak követelményein. Ebben az összefüggésben a Testület további kérdéseket fogalmazott meg az előnyben részesített lehetőség arányosságát illetően, különösen mivel az a kisebb hajókra vonatkozóan konkrétabb követelményeket tartalmaz, valamin</w:t>
      </w:r>
      <w:r>
        <w:rPr>
          <w:noProof/>
        </w:rPr>
        <w:t>t további bizonytalanságok vannak a lehetőséghez kapcsolódó pontos megfelelési és beruházási költségeket illetően. Ezeknek az észrevételeknek a megválaszolására a következő módokon került sor:</w:t>
      </w:r>
    </w:p>
    <w:p w:rsidR="00BB3609" w:rsidRDefault="008E1F07">
      <w:pPr>
        <w:pStyle w:val="Tiret0"/>
        <w:numPr>
          <w:ilvl w:val="0"/>
          <w:numId w:val="15"/>
        </w:numPr>
        <w:rPr>
          <w:noProof/>
        </w:rPr>
      </w:pPr>
      <w:r>
        <w:rPr>
          <w:noProof/>
        </w:rPr>
        <w:t xml:space="preserve">További magyarázatok lettek biztosítva arra vonatkozóan, hogy </w:t>
      </w:r>
      <w:r>
        <w:rPr>
          <w:noProof/>
        </w:rPr>
        <w:t>egy kikötő alapú megközelítés útján az irányelv miként kívánja átültetni a MARPOL-egyezményben meghatározott vonatkozó kötelezettségeket, valamint azzal kapcsolatban, hogy célja nem csupán ezeknek a követelményeknek az uniós jogrendszeren keresztüli előírá</w:t>
      </w:r>
      <w:r>
        <w:rPr>
          <w:noProof/>
        </w:rPr>
        <w:t>sa, hanem ezek tagállamokban való végrehajtása hozzáadott értéket is képvisel, különösen olyan kiegészítő elemek útján, mint a hulladékgazdálkodási tervek, a kikötői költségtérítési rendszerek, valamint a menetrend szerint közlekedő hajókra vonatkozó mente</w:t>
      </w:r>
      <w:r>
        <w:rPr>
          <w:noProof/>
        </w:rPr>
        <w:t>sségi rendszer. A két eszközt összehasonlító táblázat is belefoglalásra került, csakúgy mint azoknak a leglényegesebb módosításoknak az áttekintése, amelyeken a MARPOL-egyezmény az elmúlt 15 évben átesett.</w:t>
      </w:r>
    </w:p>
    <w:p w:rsidR="00BB3609" w:rsidRDefault="008E1F07">
      <w:pPr>
        <w:pStyle w:val="Tiret0"/>
        <w:rPr>
          <w:noProof/>
        </w:rPr>
      </w:pPr>
      <w:r>
        <w:rPr>
          <w:noProof/>
        </w:rPr>
        <w:t>A különböző szakpolitikai alternatívákat a MARPOL-</w:t>
      </w:r>
      <w:r>
        <w:rPr>
          <w:noProof/>
        </w:rPr>
        <w:t>egyezménnyel összehasonlító táblázat került belefoglalásra. El lett magyarázva továbbá, hogy a MARPOL-egyezményhez való igazodáson alapuló előnyben részesített lehetőség nem jelent teljes igazodást, mivel ez olyan alapvető kötelezettségek megszűnését eredm</w:t>
      </w:r>
      <w:r>
        <w:rPr>
          <w:noProof/>
        </w:rPr>
        <w:t>ényezné, amelyeket az irányelv utólagos (REFIT) értékelése rendkívül lényegesnek és hasznosnak ítélt meg. További magyarázatok révén bemutatásra került az egyes lehetőségek arányossága, valamint kiegészítő információk lettek biztosítva arra vonatkozóan, ho</w:t>
      </w:r>
      <w:r>
        <w:rPr>
          <w:noProof/>
        </w:rPr>
        <w:t xml:space="preserve">gy az előnyben részesített lehetőségek miként definiálják újra a kisebb hajók, például a halászhajók és a kedvtelési célú vízi járművek pozícióját, a bruttó tonnatartalomra és a teljes hosszúságra alapuló differenciált végrehajtási megközelítés révén. </w:t>
      </w:r>
    </w:p>
    <w:p w:rsidR="00BB3609" w:rsidRDefault="008E1F07">
      <w:pPr>
        <w:pStyle w:val="Tiret0"/>
        <w:rPr>
          <w:noProof/>
        </w:rPr>
      </w:pPr>
      <w:r>
        <w:rPr>
          <w:noProof/>
        </w:rPr>
        <w:t>Vég</w:t>
      </w:r>
      <w:r>
        <w:rPr>
          <w:noProof/>
        </w:rPr>
        <w:t>ezetül további erőfeszítések lettek téve annak érdekében, hogy a kikötők az előnyben részesített lehetőségben szereplő alapvető kötelezettségekkel kapcsolatban számszerűsített adatokat biztosítsanak. Ugyanakkor, mivel kereskedelmi szempontból érzékeny adat</w:t>
      </w:r>
      <w:r>
        <w:rPr>
          <w:noProof/>
        </w:rPr>
        <w:t xml:space="preserve">okról van szó, csak korlátozott visszajelzés érkezett, és a megfelelési és beruházási költségek leírása nagyrészt kvalitatív jellegű maradt. </w:t>
      </w:r>
    </w:p>
    <w:p w:rsidR="00BB3609" w:rsidRDefault="00BB3609">
      <w:pPr>
        <w:rPr>
          <w:noProof/>
        </w:rPr>
      </w:pPr>
    </w:p>
    <w:p w:rsidR="00BB3609" w:rsidRDefault="008E1F07">
      <w:pPr>
        <w:pStyle w:val="Bullet0"/>
        <w:rPr>
          <w:b/>
          <w:noProof/>
        </w:rPr>
      </w:pPr>
      <w:r>
        <w:rPr>
          <w:b/>
          <w:noProof/>
        </w:rPr>
        <w:t>Területi hatásvizsgálat</w:t>
      </w:r>
    </w:p>
    <w:p w:rsidR="00BB3609" w:rsidRDefault="008E1F07">
      <w:pPr>
        <w:rPr>
          <w:noProof/>
        </w:rPr>
      </w:pPr>
      <w:r>
        <w:rPr>
          <w:noProof/>
        </w:rPr>
        <w:t>A különböző uniós tengeri medencék és a kikötők helyi sajátosságainak okán a javasolt fel</w:t>
      </w:r>
      <w:r>
        <w:rPr>
          <w:noProof/>
        </w:rPr>
        <w:t>ülvizsgálatot jelentős területi dimenzió jellemzi. Ebből az okból kifolyólag területi hatásvizsgálat elvégzésére került sor. A vizsgálat azokra a konkrét kihívásokra összpontosított, amelyekkel a kis méretű szigeteken és a félreeső helyeken található kiköt</w:t>
      </w:r>
      <w:r>
        <w:rPr>
          <w:noProof/>
        </w:rPr>
        <w:t>ők szembesülhetnek a kikötői fogadólétesítményekkel kapcsolatos rendszer végrehajtása során, azonban az is megállapítást nyert, hogy az új irányelv előnyökkel járhat e régiók számára, különösen ami az idegenforgalom fejlődését, a munkahelyeket és az irányí</w:t>
      </w:r>
      <w:r>
        <w:rPr>
          <w:noProof/>
        </w:rPr>
        <w:t>tást illeti. Ugyanakkor, a regionális különbségek ellenére a területi hatásvizsgálat rámutatott arra, hogy határozott igény mutatkozik az irányelv alapvető szempontjainak összehangolására. A területi hatásvizsgálat eredményeinek összegzését a javaslathoz m</w:t>
      </w:r>
      <w:r>
        <w:rPr>
          <w:noProof/>
        </w:rPr>
        <w:t>ellékelt bizottsági szolgálati munkadokumentumhoz csatolt összefoglaló jelentés tartalmazza.</w:t>
      </w:r>
    </w:p>
    <w:p w:rsidR="00BB3609" w:rsidRDefault="008E1F07">
      <w:pPr>
        <w:pStyle w:val="Bullet0"/>
        <w:rPr>
          <w:b/>
          <w:noProof/>
          <w:u w:color="000000"/>
          <w:bdr w:val="nil"/>
        </w:rPr>
      </w:pPr>
      <w:r>
        <w:rPr>
          <w:b/>
          <w:noProof/>
          <w:u w:color="000000"/>
          <w:bdr w:val="nil"/>
        </w:rPr>
        <w:t>Célravezető szabályozás és egyszerűsítés</w:t>
      </w:r>
    </w:p>
    <w:p w:rsidR="00BB3609" w:rsidRDefault="008E1F07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Tekintettel arra, hogy a javaslat egy REFIT kezdeményezés, célja a szabályozási keret leegyszerűsítése és az adminisztratí</w:t>
      </w:r>
      <w:r>
        <w:rPr>
          <w:noProof/>
        </w:rPr>
        <w:t>v terhek csökkentése.</w:t>
      </w:r>
    </w:p>
    <w:p w:rsidR="00BB3609" w:rsidRDefault="008E1F07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A fogalommeghatározások MARPOL-egyezménnyel való jobb összehangolása által az IMO által a hulladékok bejelentéséhez és a hulladékok átvételéhez kidolgozott szabványos űrlapok szintén teljes mértékben beépíthetők az irányelvbe. Ezzel a</w:t>
      </w:r>
      <w:r>
        <w:rPr>
          <w:noProof/>
        </w:rPr>
        <w:t xml:space="preserve"> lehető legnagyobb mértékben elkerülhető az egymással párhuzamos űrlapok és rendszerek megléte. Emellett a nyomon követés és a végrehajtás megkönnyítése érdekében javaslat született a kikötői fogadólétesítményeket érintő ellenőrzések belefoglalására a kikö</w:t>
      </w:r>
      <w:r>
        <w:rPr>
          <w:noProof/>
        </w:rPr>
        <w:t>tő szerint illetékes állam általi ellenőrzésbe, valamint a jelenlegi irányelv 12. cikkének (3) bekezdése alapján létrehozott, és a SafeSeaNet és THETIS rendszerekben történő elektronikus jelentésre alapuló tájékoztatási és ellenőrzési rendszer alkalmazásár</w:t>
      </w:r>
      <w:r>
        <w:rPr>
          <w:noProof/>
        </w:rPr>
        <w:t>a. A hatékonyabb ellenőrzéseknek köszönhetően ezen intézkedések nyomán az adminisztratív terhek várhatóan 7,1 millió euróval csökkennek. Emellett a javasolt felülvizsgálat várhatóan új üzleti lehetőségeket nyit meg a többségében kis- és középvállalkozásokn</w:t>
      </w:r>
      <w:r>
        <w:rPr>
          <w:noProof/>
        </w:rPr>
        <w:t>ak számító kikötői hulladékgazdálkodók, valamint a szabadidős és idegenforgalmi ágazatokban tevékenykedő szereplők előtt, mivel a kikötőkbe több hulladék érkezik be, ez pedig tisztább tengeri környezetet eredményez, ami kedvező hatást fejt ki a helyi és re</w:t>
      </w:r>
      <w:r>
        <w:rPr>
          <w:noProof/>
        </w:rPr>
        <w:t xml:space="preserve">gionális idegenforgalomra. </w:t>
      </w:r>
    </w:p>
    <w:p w:rsidR="00BB3609" w:rsidRDefault="008E1F07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Az új irányelvre tett javaslat jelentős mérlegelési mozgásteret hagy a tagállamoknak az alábbiak vonatkozásában: (i) a kikötői fogadólétesítmények megszervezése a hulladékgazdálkodási tervek szerint; és (ii) a megfelelő díjszabá</w:t>
      </w:r>
      <w:r>
        <w:rPr>
          <w:noProof/>
        </w:rPr>
        <w:t>si rendszer kialakítása, a kikötők méretének és földrajzi elhelyezkedésének, valamint a kikötőkbe beérkező forgalom típusában szem előtt tartásával.</w:t>
      </w:r>
    </w:p>
    <w:p w:rsidR="00BB3609" w:rsidRDefault="008E1F07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Az irányelv nyomon követésének és végrehajtásának megkönnyítése érdekében a javasolt felülvizsgálat előirán</w:t>
      </w:r>
      <w:r>
        <w:rPr>
          <w:noProof/>
        </w:rPr>
        <w:t>yozza a jelenlegi irányelv szerint létrehozott tájékoztatási, ellenőrzési és végrehajtási rendszer továbbfejlesztését és szélesebb körű használatát. A rendszer a 2002/59/EK irányelv által létrehozott uniós tengeri információcsere-rendszerre és a 2009/16/EK</w:t>
      </w:r>
      <w:r>
        <w:rPr>
          <w:noProof/>
        </w:rPr>
        <w:t xml:space="preserve"> irányelv szerint kialakított ellenőrzési adatbázisra fog alapulni. Az adatok jelentésére a 2010/65/EU irányelvvel összhangban elektronikus úton fog sor kerülni a „nemzeti egyablakos” rendszeren keresztül, nyomonkövetési és végrehajtási célokból pedig ezek</w:t>
      </w:r>
      <w:r>
        <w:rPr>
          <w:noProof/>
        </w:rPr>
        <w:t xml:space="preserve"> az adatok megosztásra kerülnek a tagállamok között. A javaslat emellett tovább szabványosítja a hulladékok átvételéhez, a hulladékok bejelentéséhez és a menetrend szerint közlekedő hajókra vonatkozó mentességekhez használt elektronikus bejelentési űrlapok</w:t>
      </w:r>
      <w:r>
        <w:rPr>
          <w:noProof/>
        </w:rPr>
        <w:t>at.</w:t>
      </w:r>
    </w:p>
    <w:p w:rsidR="00BB3609" w:rsidRDefault="008E1F07">
      <w:pPr>
        <w:pStyle w:val="Bullet0"/>
        <w:rPr>
          <w:b/>
          <w:noProof/>
          <w:u w:color="000000"/>
          <w:bdr w:val="nil"/>
        </w:rPr>
      </w:pPr>
      <w:r>
        <w:rPr>
          <w:b/>
          <w:noProof/>
          <w:u w:color="000000"/>
          <w:bdr w:val="nil"/>
        </w:rPr>
        <w:t>Alapjogok</w:t>
      </w:r>
    </w:p>
    <w:p w:rsidR="00BB3609" w:rsidRDefault="008E1F07">
      <w:pPr>
        <w:pStyle w:val="Text1"/>
        <w:ind w:left="0"/>
        <w:rPr>
          <w:noProof/>
        </w:rPr>
      </w:pPr>
      <w:r>
        <w:rPr>
          <w:noProof/>
        </w:rPr>
        <w:t>A javaslat nem érinti az alapjogok védelmét.</w:t>
      </w:r>
    </w:p>
    <w:p w:rsidR="00BB3609" w:rsidRDefault="008E1F07">
      <w:pPr>
        <w:pStyle w:val="ManualHeading1"/>
        <w:rPr>
          <w:noProof/>
        </w:rPr>
      </w:pPr>
      <w:r>
        <w:t>4.</w:t>
      </w:r>
      <w:r>
        <w:tab/>
      </w:r>
      <w:r>
        <w:rPr>
          <w:noProof/>
        </w:rPr>
        <w:t>KÖLTSÉGVETÉSI VONZATOK</w:t>
      </w:r>
    </w:p>
    <w:p w:rsidR="00BB3609" w:rsidRDefault="008E1F07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A javaslat nincs hatással az uniós költségvetésre.</w:t>
      </w:r>
    </w:p>
    <w:p w:rsidR="00BB3609" w:rsidRDefault="008E1F07">
      <w:pPr>
        <w:pStyle w:val="ManualHeading1"/>
        <w:rPr>
          <w:noProof/>
        </w:rPr>
      </w:pPr>
      <w:r>
        <w:t>5.</w:t>
      </w:r>
      <w:r>
        <w:tab/>
      </w:r>
      <w:r>
        <w:rPr>
          <w:noProof/>
        </w:rPr>
        <w:t>EGYÉB ELEMEK</w:t>
      </w:r>
    </w:p>
    <w:p w:rsidR="00BB3609" w:rsidRDefault="008E1F07">
      <w:pPr>
        <w:pStyle w:val="Bullet0"/>
        <w:rPr>
          <w:b/>
          <w:noProof/>
          <w:u w:color="000000"/>
          <w:bdr w:val="nil"/>
        </w:rPr>
      </w:pPr>
      <w:r>
        <w:rPr>
          <w:b/>
          <w:noProof/>
          <w:u w:color="000000"/>
          <w:bdr w:val="nil"/>
        </w:rPr>
        <w:t>Végrehajtási tervek, valamint a nyomon követés, az értékelés és a jelentéstétel szabályai</w:t>
      </w:r>
    </w:p>
    <w:p w:rsidR="00BB3609" w:rsidRDefault="008E1F07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A javaslatot e</w:t>
      </w:r>
      <w:r>
        <w:rPr>
          <w:noProof/>
        </w:rPr>
        <w:t>gy olyan végrehajtási terv kíséri, amely felsorolja az intézkedések végrehajtásához szükséges intézkedéseket, és meghatározza a végrehajtás főbb műszaki, jogi és időbeli nehézségeit.</w:t>
      </w:r>
    </w:p>
    <w:p w:rsidR="00BB3609" w:rsidRDefault="008E1F07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A megfelelő nyomonkövetési és jelentéstételi szabályok azonosításra kerül</w:t>
      </w:r>
      <w:r>
        <w:rPr>
          <w:noProof/>
        </w:rPr>
        <w:t xml:space="preserve">tek. Az EMSA fontos szerepet játszik az eljárásban, mivel az ügynökség felel a tengeri forgalomhoz kapcsolódó elektronikus adatrendszerek kialakításáért és üzemeltetéséért. </w:t>
      </w:r>
    </w:p>
    <w:p w:rsidR="00BB3609" w:rsidRDefault="008E1F07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A hatályban lévő irányelv már felhívást intéz egy közös tájékoztatási és ellenőrzé</w:t>
      </w:r>
      <w:r>
        <w:rPr>
          <w:noProof/>
        </w:rPr>
        <w:t>si rendszer felállítására, amely: (i) azonosítaná a hulladékuk leadását elmulasztó hajókat; és (ii) meghatározná, hogy az irányelv célkitűzései elérésre kerültek-e. Az elmúlt években a meglévő adatbázisok alapján kifejlesztették ezt a rendszert: a SafeSeaN</w:t>
      </w:r>
      <w:r>
        <w:rPr>
          <w:noProof/>
        </w:rPr>
        <w:t>et biztosította az előzetes hulladékbejelentésben szereplő információk továbbítására és cseréjére alkalmas mechanizmust, valamint az ellenőrzési adatbázisban (THETIS) kifejlesztésre került egy külön uniós modul, amely lehetővé teszi a kikötői fogadólétesít</w:t>
      </w:r>
      <w:r>
        <w:rPr>
          <w:noProof/>
        </w:rPr>
        <w:t>ményeket érintő ellenőrzések eredményeinek jelentését. Emellett a kötelező leadási kötelezettség nyomon követésének és végrehajtásának lehetővé tétele érdekében lépéseket tettek, hogy a SafeSeaNet rendszerben tárolt információk rendszeresen átvitelre kerül</w:t>
      </w:r>
      <w:r>
        <w:rPr>
          <w:noProof/>
        </w:rPr>
        <w:t xml:space="preserve">jenek a THETIS-EU rendszerbe. A javasolt irányelv a rendszerek további javulását eredményezné, amelyek ezt követően tartalmaznák a fogadólétesítmények uniós kikötőkben való rendelkezésre állására vonatkozó alapvető információkat is. Ezek az információk az </w:t>
      </w:r>
      <w:r>
        <w:rPr>
          <w:noProof/>
        </w:rPr>
        <w:t>IMO globális integrált hajózási információs rendszerébe (GISIS) is továbbításra kerülnek, annak biztosítása érdekében, hogy az irányelv szerinti jelentéstétellel a tagállamok nemzetközi jelentéstételi kötelezettségeiknek is eleget tesznek.</w:t>
      </w:r>
    </w:p>
    <w:p w:rsidR="00BB3609" w:rsidRDefault="008E1F07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Emellett az EMSA</w:t>
      </w:r>
      <w:r>
        <w:rPr>
          <w:noProof/>
        </w:rPr>
        <w:t xml:space="preserve"> segíteni fog a javasolt irányelv végrehajtásának nyomon követésében. Tekintettel arra, hogy az előirányzott EMSA végrehajtási látogatások teljes ciklusa 5 évre van beütemezve</w:t>
      </w:r>
      <w:r>
        <w:rPr>
          <w:rStyle w:val="FootnoteReference"/>
          <w:noProof/>
        </w:rPr>
        <w:footnoteReference w:id="16"/>
      </w:r>
      <w:r>
        <w:rPr>
          <w:noProof/>
        </w:rPr>
        <w:t>, az irányelv értékelési ciklusa hétéves időszakokban van meghatározva.</w:t>
      </w:r>
    </w:p>
    <w:p w:rsidR="00BB3609" w:rsidRDefault="008E1F07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Végezetü</w:t>
      </w:r>
      <w:r>
        <w:rPr>
          <w:noProof/>
        </w:rPr>
        <w:t>l a tagállamok és egyéb releváns ágazatok képviselőiből álló szakértői csoport felállítása is elő van irányozva. A csoport az irányelv végrehajtásával kapcsolatos információkat és tapasztalatokat oszt meg, és a szükséges iránymutatásokkal látja el a Bizott</w:t>
      </w:r>
      <w:r>
        <w:rPr>
          <w:noProof/>
        </w:rPr>
        <w:t>ságot.</w:t>
      </w:r>
    </w:p>
    <w:p w:rsidR="00BB3609" w:rsidRDefault="008E1F07">
      <w:pPr>
        <w:pStyle w:val="Bullet0"/>
        <w:rPr>
          <w:b/>
          <w:noProof/>
          <w:u w:color="000000"/>
          <w:bdr w:val="nil"/>
        </w:rPr>
      </w:pPr>
      <w:r>
        <w:rPr>
          <w:b/>
          <w:noProof/>
          <w:u w:color="000000"/>
          <w:bdr w:val="nil"/>
        </w:rPr>
        <w:t>Magyarázó dokumentumok (irányelvek esetén)</w:t>
      </w:r>
    </w:p>
    <w:p w:rsidR="00BB3609" w:rsidRDefault="008E1F07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Mivel a javaslat célja a meglévő rendszer leegyszerűsítése és egyértelműsítése, nincs szükség magyarázó dokumentumokra. </w:t>
      </w:r>
    </w:p>
    <w:p w:rsidR="00BB3609" w:rsidRDefault="008E1F07">
      <w:pPr>
        <w:pStyle w:val="ManualHeading1"/>
        <w:rPr>
          <w:rFonts w:eastAsia="Arial Unicode MS"/>
          <w:noProof/>
          <w:u w:color="000000"/>
          <w:bdr w:val="nil"/>
        </w:rPr>
      </w:pPr>
      <w:r>
        <w:t>6.</w:t>
      </w:r>
      <w:r>
        <w:tab/>
      </w:r>
      <w:r>
        <w:rPr>
          <w:noProof/>
        </w:rPr>
        <w:t>A javaslat egyes rendelkezéseinek részletes magyarázata</w:t>
      </w:r>
    </w:p>
    <w:p w:rsidR="00BB3609" w:rsidRDefault="008E1F07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A javasolt irányelv a </w:t>
      </w:r>
      <w:r>
        <w:rPr>
          <w:noProof/>
        </w:rPr>
        <w:t>lehető legnagyobb mértékben hozzáigazítja az uniós rendszert a MARPOL-egyezményhez, különösen ami a hatályt, a fogalommeghatározásokat és az űrlapokat illeti. Ugyanakkor a teljes mértékű igazodás nem lehetséges, mivel az irányelv a kikötői műveletekre, míg</w:t>
      </w:r>
      <w:r>
        <w:rPr>
          <w:noProof/>
        </w:rPr>
        <w:t xml:space="preserve"> a MARPOL-egyezmény a tengeren végzett műveletekre összpontosít. Bár az irányelv azokra a kötelezettségekre alapul, amelyeket a tagállamok már vállaltak a MARPOL-egyezményben, az egyes szereplők jogi, működési és pénzügyi felelősségeinek részletes meghatár</w:t>
      </w:r>
      <w:r>
        <w:rPr>
          <w:noProof/>
        </w:rPr>
        <w:t>ozásával túlmutat ezeken. Emellett a javasolt irányelv az elődeihez hasonlóan tágabb hatályú, mivel a tengeren közlekedő összes hajóra és az e hajók által meglátogatott összes uniós kikötőre kiterjed.</w:t>
      </w:r>
    </w:p>
    <w:p w:rsidR="00BB3609" w:rsidRDefault="008E1F07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Az irányelv és a MARPOL-egyezmény között a következő fő</w:t>
      </w:r>
      <w:r>
        <w:rPr>
          <w:noProof/>
        </w:rPr>
        <w:t xml:space="preserve"> területeken lesznek továbbra is eltérések:</w:t>
      </w:r>
    </w:p>
    <w:p w:rsidR="00BB3609" w:rsidRDefault="008E1F07">
      <w:pPr>
        <w:pStyle w:val="Bullet0"/>
        <w:rPr>
          <w:noProof/>
        </w:rPr>
      </w:pPr>
      <w:r>
        <w:rPr>
          <w:noProof/>
        </w:rPr>
        <w:t xml:space="preserve">a hulladékgazdálkodási tervek elfogadása; </w:t>
      </w:r>
    </w:p>
    <w:p w:rsidR="00BB3609" w:rsidRDefault="008E1F07">
      <w:pPr>
        <w:pStyle w:val="Bullet0"/>
        <w:rPr>
          <w:noProof/>
        </w:rPr>
      </w:pPr>
      <w:r>
        <w:rPr>
          <w:noProof/>
        </w:rPr>
        <w:t xml:space="preserve">a költségtérítési rendszerek kialakítása és működése; </w:t>
      </w:r>
    </w:p>
    <w:p w:rsidR="00BB3609" w:rsidRDefault="008E1F07">
      <w:pPr>
        <w:pStyle w:val="Bullet0"/>
        <w:rPr>
          <w:noProof/>
        </w:rPr>
      </w:pPr>
      <w:r>
        <w:rPr>
          <w:noProof/>
        </w:rPr>
        <w:t xml:space="preserve">az előzetes hulladékbejelentésen és a hulladékátvételi elismervényen található információk kötelező továbbítása; </w:t>
      </w:r>
    </w:p>
    <w:p w:rsidR="00BB3609" w:rsidRDefault="008E1F07">
      <w:pPr>
        <w:pStyle w:val="Bullet0"/>
        <w:rPr>
          <w:noProof/>
        </w:rPr>
      </w:pPr>
      <w:r>
        <w:rPr>
          <w:noProof/>
        </w:rPr>
        <w:t xml:space="preserve">az ellenőrzési rendszer; </w:t>
      </w:r>
    </w:p>
    <w:p w:rsidR="00BB3609" w:rsidRDefault="008E1F07">
      <w:pPr>
        <w:pStyle w:val="Bullet0"/>
        <w:rPr>
          <w:noProof/>
        </w:rPr>
      </w:pPr>
      <w:r>
        <w:rPr>
          <w:noProof/>
        </w:rPr>
        <w:t xml:space="preserve">a menetrend szerint közlekedő hajókra vonatkozó mentességi rendszer. </w:t>
      </w:r>
    </w:p>
    <w:p w:rsidR="00BB3609" w:rsidRDefault="008E1F07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Az uniós rendszerben megfigyelhető számos ilyen eltérés a MARPOL-egyezmény által előirányzott rendszer jobb végrehajtását és betartatását szolgálja.</w:t>
      </w:r>
    </w:p>
    <w:p w:rsidR="00BB3609" w:rsidRDefault="008E1F07">
      <w:pPr>
        <w:rPr>
          <w:noProof/>
        </w:rPr>
      </w:pPr>
      <w:r>
        <w:rPr>
          <w:noProof/>
        </w:rPr>
        <w:t>Az irányelv</w:t>
      </w:r>
      <w:r>
        <w:rPr>
          <w:noProof/>
        </w:rPr>
        <w:t xml:space="preserve"> által bevezetett legfontosabb változások az alábbiakban kerülnek bemutatásra.</w:t>
      </w:r>
    </w:p>
    <w:p w:rsidR="00BB3609" w:rsidRDefault="008E1F07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b/>
          <w:noProof/>
        </w:rPr>
      </w:pPr>
      <w:r>
        <w:rPr>
          <w:b/>
          <w:noProof/>
        </w:rPr>
        <w:t>Cím, hatály és fogalommeghatározások</w:t>
      </w:r>
    </w:p>
    <w:p w:rsidR="00BB3609" w:rsidRDefault="008E1F07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A cím megváltozik, hogy kifejezetten a hajókról származó hulladék leadására vonatkozzon, mivel így jobban fogja tükrözni az irányelv elsődle</w:t>
      </w:r>
      <w:r>
        <w:rPr>
          <w:noProof/>
        </w:rPr>
        <w:t>ges célkitűzését.</w:t>
      </w:r>
    </w:p>
    <w:p w:rsidR="00BB3609" w:rsidRDefault="008E1F07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b/>
          <w:noProof/>
        </w:rPr>
        <w:t>A 2. cikk</w:t>
      </w:r>
      <w:r>
        <w:rPr>
          <w:noProof/>
        </w:rPr>
        <w:t xml:space="preserve"> a „hajókon keletkező hulladék” fogalommeghatározást az általánosabb „hajókról származó hulladék” fogalommeghatározással helyettesíti, amelynek meghatározása a MARPOL-egyezmény vonatkozó mellékletei alapján történik. Ez tartalmaz</w:t>
      </w:r>
      <w:r>
        <w:rPr>
          <w:noProof/>
        </w:rPr>
        <w:t>ni fogja a „rakománymaradványok” kategóriát is, csakúgy mint a MARPOL-egyezmény VI. melléklete alá tartozó hulladékokat, mint a füstgáztisztító rendszerekből származó maradékok, amelyek magukban foglalják az ilyen rendszerekből származó iszapot és vizet. A</w:t>
      </w:r>
      <w:r>
        <w:rPr>
          <w:noProof/>
        </w:rPr>
        <w:t xml:space="preserve"> hajókon keletkező hulladék és a rakománymaradványok közötti megkülönböztetés eltörlése, valamint a MARPOL-egyezményben található fogalommeghatározásoknak való teljes megfelelés biztosítása lehetővé teszi a szabványos IMO űrlapokhoz és bizonyítványokhoz va</w:t>
      </w:r>
      <w:r>
        <w:rPr>
          <w:noProof/>
        </w:rPr>
        <w:t>ló további igazodást. A passzív módon kihalászott hulladékok, azaz a halászati műveletek során a hálóba kerülő hulladékok belefoglalásra kerültek a hajókról származó hulladékok meghatározásába, annak biztosítása érdekében, hogy a halászati ágazatból szárma</w:t>
      </w:r>
      <w:r>
        <w:rPr>
          <w:noProof/>
        </w:rPr>
        <w:t>zó ilyen hulladékok leadásra kerülnek a kikötői fogadólétesítményekbe, mivel ezek a tengeri hulladék összefüggésében szintén relevánsnak számítanak. A vonatkozó uniós jogszabályok egyértelmű és aktualizált hivatkozásokkal egészülnek ki.</w:t>
      </w:r>
    </w:p>
    <w:p w:rsidR="00BB3609" w:rsidRDefault="008E1F07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b/>
          <w:noProof/>
        </w:rPr>
      </w:pPr>
      <w:r>
        <w:rPr>
          <w:b/>
          <w:noProof/>
        </w:rPr>
        <w:t>A kikötői fogadólét</w:t>
      </w:r>
      <w:r>
        <w:rPr>
          <w:b/>
          <w:noProof/>
        </w:rPr>
        <w:t>esítmények megfelelése:</w:t>
      </w:r>
    </w:p>
    <w:p w:rsidR="00BB3609" w:rsidRDefault="008E1F07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A „megfelelő kikötői fogadólétesítmény” fogalma egyértelműbben meghatározásra kerül az IMO iránymutatásával összhangban. A hulladék keretirányelvből átvett, a hulladékok külön gyűjtésére vonatkozó követelmény kifejezetten belefoglal</w:t>
      </w:r>
      <w:r>
        <w:rPr>
          <w:noProof/>
        </w:rPr>
        <w:t xml:space="preserve">ásra került a </w:t>
      </w:r>
      <w:r>
        <w:rPr>
          <w:b/>
          <w:noProof/>
        </w:rPr>
        <w:t>4. cikkbe</w:t>
      </w:r>
      <w:r>
        <w:rPr>
          <w:noProof/>
        </w:rPr>
        <w:t>, hogy ezentúl a kikötőkre is érvényes legyen. Ez különösen lényeges azokban az esetekben, amikor a nemzetközi normákkal és szabványokkal összhangban a hulladékokat előzőleg már elkülönítik egymástól a fedélzeten.</w:t>
      </w:r>
    </w:p>
    <w:p w:rsidR="00BB3609" w:rsidRDefault="008E1F07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A kikötői fogadólét</w:t>
      </w:r>
      <w:r>
        <w:rPr>
          <w:noProof/>
        </w:rPr>
        <w:t xml:space="preserve">esítmények megfelelésének elérése szempontjából alapvető fontosságú hulladékgazdálkodási terveket illetően a konzultációra vonatkozó követelmények nagyobb hangsúlyt kapnak az </w:t>
      </w:r>
      <w:r>
        <w:rPr>
          <w:b/>
          <w:noProof/>
        </w:rPr>
        <w:t>5. cikkben</w:t>
      </w:r>
      <w:r>
        <w:rPr>
          <w:noProof/>
        </w:rPr>
        <w:t xml:space="preserve"> és az </w:t>
      </w:r>
      <w:r>
        <w:rPr>
          <w:b/>
          <w:noProof/>
        </w:rPr>
        <w:t>1. mellékletben</w:t>
      </w:r>
      <w:r>
        <w:rPr>
          <w:noProof/>
        </w:rPr>
        <w:t>. Emellett pontosítva lett, hogy mi számít „megfe</w:t>
      </w:r>
      <w:r>
        <w:rPr>
          <w:noProof/>
        </w:rPr>
        <w:t>lelő tervnek”, az ilyen tervek „jelentős módosításának”, valamint a kidolgozásuknál alkalmazott „regionális keretnek”.</w:t>
      </w:r>
    </w:p>
    <w:p w:rsidR="00BB3609" w:rsidRDefault="008E1F07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b/>
          <w:noProof/>
        </w:rPr>
      </w:pPr>
      <w:r>
        <w:rPr>
          <w:b/>
          <w:noProof/>
        </w:rPr>
        <w:t>Leadási ösztönzők:</w:t>
      </w:r>
    </w:p>
    <w:p w:rsidR="00BB3609" w:rsidRDefault="008E1F07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A különböző hulladéktípusok kikötői fogadólétesítményekben való leadását célzó megfelelő ösztönzők biztosítása érdekéb</w:t>
      </w:r>
      <w:r>
        <w:rPr>
          <w:noProof/>
        </w:rPr>
        <w:t xml:space="preserve">en a </w:t>
      </w:r>
      <w:r>
        <w:rPr>
          <w:b/>
          <w:noProof/>
        </w:rPr>
        <w:t>8. cikk</w:t>
      </w:r>
      <w:r>
        <w:rPr>
          <w:noProof/>
        </w:rPr>
        <w:t xml:space="preserve"> meghatározza azokat az alapvető elveket, amelyeket az irányelv szerint kialakított minden díjszabási rendszernek tartalmaznia és alkalmaznia kell. Ide tartoznak a felszámított díj és a kikötői fogadólétesítmény költsége közötti kapcsolat, a kö</w:t>
      </w:r>
      <w:r>
        <w:rPr>
          <w:noProof/>
        </w:rPr>
        <w:t xml:space="preserve">zvetlen díjak által fedezendő „jelentős hozzájárulás” kiszámítása, valamint a fő átláthatósági követelmények. Az irányelvhez egy új </w:t>
      </w:r>
      <w:r>
        <w:rPr>
          <w:b/>
          <w:noProof/>
        </w:rPr>
        <w:t>4. melléklet</w:t>
      </w:r>
      <w:r>
        <w:rPr>
          <w:noProof/>
        </w:rPr>
        <w:t xml:space="preserve"> tartozik, amely tartalmazza a kikötői fogadólétesítményekkel kapcsolatos rendszer különböző költségtípusainak á</w:t>
      </w:r>
      <w:r>
        <w:rPr>
          <w:noProof/>
        </w:rPr>
        <w:t>ttekintését, különbséget téve a közvetlen és közvetett költségek között.</w:t>
      </w:r>
    </w:p>
    <w:p w:rsidR="00BB3609" w:rsidRDefault="008E1F07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Bár a 8. cikk nem írja elő egy adott rendszer alkalmazását minden uniós kikötőben, a javasolt költségtérítési rendszer szigorúbb azoknak az elveknek a tekintetében, amelyeket </w:t>
      </w:r>
      <w:r>
        <w:rPr>
          <w:noProof/>
        </w:rPr>
        <w:t>alkalmazni kell a szemét, beleértve a passzív módon kihalászott hulladék után felszámított közvetett díjak meghatározásakor. Mivel a szemét tengerbe ürítése jelentős mértékben hozzájárul a tengeri hulladék átfogóbb problémájához, egy „különleges díjak nélk</w:t>
      </w:r>
      <w:r>
        <w:rPr>
          <w:noProof/>
        </w:rPr>
        <w:t>üli” rendszer javasolt, amelyben a közvetett díjak megfizetése feljogosítja a hajókat arra, hogy leadják a fedélzetükön található összes szemetet, anélkül hogy (a mennyiségek alapján) bármilyen kiegészítő közvetlen díjat kellene fizetniük. Mivel a halászha</w:t>
      </w:r>
      <w:r>
        <w:rPr>
          <w:noProof/>
        </w:rPr>
        <w:t>jók és a kedvtelési célú vízi járművek szintén bekerülnek a közvetett díjak rendszerébe, ennek meg kell oldania az élettartamuk végét elérő halászhálók és a passzív módon kihalászott hulladékok problémáját is.</w:t>
      </w:r>
    </w:p>
    <w:p w:rsidR="00BB3609" w:rsidRDefault="008E1F07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A 8. cikk megerősíti a „zöld hajó” koncepciót,</w:t>
      </w:r>
      <w:r>
        <w:rPr>
          <w:noProof/>
        </w:rPr>
        <w:t xml:space="preserve"> amelyet egyes kikötők már kidolgoztak és alkalmaznak a nemzetközi szabványokkal és tanúsítási rendszerekkel összhangban. E koncepció szerint azoknak a hajóknak, amelyek a fedélzeten bizonyíthatóan fenntartható hulladékgazdálkodást folytatnak, kisebb hulla</w:t>
      </w:r>
      <w:r>
        <w:rPr>
          <w:noProof/>
        </w:rPr>
        <w:t>dékdíjat kell fizetniük, ennek kritériumait azonban a Bizottságnak még meg kell határoznia egy felhatalmazáson alapuló jogi aktusban.</w:t>
      </w:r>
    </w:p>
    <w:p w:rsidR="00BB3609" w:rsidRDefault="008E1F07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b/>
          <w:noProof/>
        </w:rPr>
      </w:pPr>
      <w:r>
        <w:rPr>
          <w:b/>
          <w:noProof/>
        </w:rPr>
        <w:t>A kötelező leadásra vonatkozó kötelezettség végrehajtása:</w:t>
      </w:r>
    </w:p>
    <w:p w:rsidR="00BB3609" w:rsidRDefault="008E1F07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Az előzetes hulladékbejelentésre szolgáló és a </w:t>
      </w:r>
      <w:r>
        <w:rPr>
          <w:b/>
          <w:noProof/>
        </w:rPr>
        <w:t>6. cikkben</w:t>
      </w:r>
      <w:r>
        <w:rPr>
          <w:noProof/>
        </w:rPr>
        <w:t xml:space="preserve"> említe</w:t>
      </w:r>
      <w:r>
        <w:rPr>
          <w:noProof/>
        </w:rPr>
        <w:t>tt űrlap teljes mértékben összhangba került az IMO MEPC/834 körlevelével, és az irányelv új 2. mellékletében található. A leadási kötelezettség hatálya minden hulladék esetében a MARPOL-egyezménnyel összhangban került meghatározásra, így a kikötői fogadólé</w:t>
      </w:r>
      <w:r>
        <w:rPr>
          <w:noProof/>
        </w:rPr>
        <w:t>tesítményekről szóló irányelv a MARPOL-egyezmény leadási rendszerét tükrözi: azokban az esetekben, amikor a MARPOL-egyezmény tiltja a hulladék tengerbe ürítését, akkor a kikötői fogadólétesítményekről szóló irányelv előírja ennek a hulladéknak a parton tal</w:t>
      </w:r>
      <w:r>
        <w:rPr>
          <w:noProof/>
        </w:rPr>
        <w:t xml:space="preserve">álható kikötői fogadólétesítménybe való leadását, beleértve a rakománymaradványokat is. Ezzel a megközelítéssel nincs szükség a rakománymaradványok leadására vonatkozó külön előírásra, ahogy arra a régi irányelv esetében szükséges volt. Emellett a </w:t>
      </w:r>
      <w:r>
        <w:rPr>
          <w:b/>
          <w:noProof/>
        </w:rPr>
        <w:t>7. cikk</w:t>
      </w:r>
      <w:r>
        <w:rPr>
          <w:noProof/>
        </w:rPr>
        <w:t xml:space="preserve"> </w:t>
      </w:r>
      <w:r>
        <w:rPr>
          <w:noProof/>
        </w:rPr>
        <w:t>előírja, hogy a hulladék leadásakor a hajó számára hulladékátvételi elismervényt kell kiállítani, amely tartalmazza azokat az információkat, amelyeket a hajónak a távozása előtt elektronikusan jelentenie kell a tájékoztatási, nyomonkövetési és végrehajtási</w:t>
      </w:r>
      <w:r>
        <w:rPr>
          <w:noProof/>
        </w:rPr>
        <w:t xml:space="preserve"> rendszerben, azaz a SafeSeaNet rendszerben.</w:t>
      </w:r>
    </w:p>
    <w:p w:rsidR="00BB3609" w:rsidRDefault="008E1F07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b/>
          <w:noProof/>
        </w:rPr>
        <w:t>A 7. cikk</w:t>
      </w:r>
      <w:r>
        <w:rPr>
          <w:noProof/>
        </w:rPr>
        <w:t xml:space="preserve"> az elegendő tárolókapacitáson alapuló mentesség alkalmazását azokra az esetekre korlátozza, amikor a kikötés céljából igénybe veendő következő kikötő az Unió területén található, és semmilyen bizonytal</w:t>
      </w:r>
      <w:r>
        <w:rPr>
          <w:noProof/>
        </w:rPr>
        <w:t xml:space="preserve">anság nem áll fenn a megfelelő kikötői fogadólétesítmény rendelkezésre állását illetően. Ezt az értékelést a SafeSeaNet rendszerbe beépített tájékoztatási, nyomonkövetési és végrehajtási rendszerben az uniós kikötőkben rendelkezésre álló megfelelő kikötői </w:t>
      </w:r>
      <w:r>
        <w:rPr>
          <w:noProof/>
        </w:rPr>
        <w:t>fogadólétesítményekkel kapcsolatban rendelkezésre bocsátott információk alapján kell végezni. Ezen túlmenően a jelen javaslat a fedélzeti tárolókapacitás kiszámítására vonatkozó sajátos módszer Bizottság általi elfogadását irányozza elő egy végrehajtási jo</w:t>
      </w:r>
      <w:r>
        <w:rPr>
          <w:noProof/>
        </w:rPr>
        <w:t>gi aktus útján.</w:t>
      </w:r>
    </w:p>
    <w:p w:rsidR="00BB3609" w:rsidRDefault="008E1F07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Az ellenőrzési rendszerrel kapcsolatban a </w:t>
      </w:r>
      <w:r>
        <w:rPr>
          <w:b/>
          <w:noProof/>
        </w:rPr>
        <w:t xml:space="preserve">10. cikk </w:t>
      </w:r>
      <w:r>
        <w:rPr>
          <w:noProof/>
        </w:rPr>
        <w:t>elrendeli, hogy a kikötői fogadólétesítményekkel kapcsolatos ellenőrzéseket teljes mértékben integrálni kell a 2009/16/EK irányelv szerint létrehozott, kikötő szerint illetékes állam általi</w:t>
      </w:r>
      <w:r>
        <w:rPr>
          <w:noProof/>
        </w:rPr>
        <w:t xml:space="preserve"> ellenőrzési rendszerbe, és ezek során kockázatalapú megközelítést kell alkalmazni, ha a hajó az említett irányelv hatálya alá esik. Annak biztosítása érdekében, hogy a kikötő szerint illetékes állam általi ellenőrzés a kikötői fogadólétesítményekkel kapcs</w:t>
      </w:r>
      <w:r>
        <w:rPr>
          <w:noProof/>
        </w:rPr>
        <w:t xml:space="preserve">olatos követelményekre is kiterjed, a 2009/16/EK irányelv bizonyos módosításai szükségesek, amelyeket a </w:t>
      </w:r>
      <w:r>
        <w:rPr>
          <w:b/>
          <w:noProof/>
        </w:rPr>
        <w:t>21. cikk</w:t>
      </w:r>
      <w:r>
        <w:rPr>
          <w:noProof/>
        </w:rPr>
        <w:t xml:space="preserve"> tartalmaz. Ugyanakkor egy külön ellenőrzési rendszer került kidolgozásra a 100 bruttó tonnatartalmat meghaladó halászhajókat, a kedvtelési célú</w:t>
      </w:r>
      <w:r>
        <w:rPr>
          <w:noProof/>
        </w:rPr>
        <w:t xml:space="preserve"> vízi járműveket és a belföldi hajókat illetően, mivel ezekre a hajókra a kikötő szerint illetékes állam általi ellenőrzésről szóló irányelv nem terjed ki. Az ilyen hajókon végzett ellenőrzések eredményeit a tájékoztatási, nyomonkövetési és végrehajtási re</w:t>
      </w:r>
      <w:r>
        <w:rPr>
          <w:noProof/>
        </w:rPr>
        <w:t>ndszerbe, ezen belül is a THETIS rendszeren belül kialakított külön uniós modulba kell rögzíteni.</w:t>
      </w:r>
    </w:p>
    <w:p w:rsidR="00BB3609" w:rsidRDefault="008E1F07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b/>
          <w:noProof/>
        </w:rPr>
      </w:pPr>
      <w:r>
        <w:rPr>
          <w:b/>
          <w:noProof/>
        </w:rPr>
        <w:t>A menetrend szerint és rendszeresen közlekedő hajókra vonatkozó mentességi rendszer:</w:t>
      </w:r>
    </w:p>
    <w:p w:rsidR="00BB3609" w:rsidRDefault="008E1F07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A javaslat </w:t>
      </w:r>
      <w:r>
        <w:rPr>
          <w:b/>
          <w:noProof/>
        </w:rPr>
        <w:t>9. cikke</w:t>
      </w:r>
      <w:r>
        <w:rPr>
          <w:noProof/>
        </w:rPr>
        <w:t xml:space="preserve"> biztosítja a mentességi kritériumok fokozottabb harmo</w:t>
      </w:r>
      <w:r>
        <w:rPr>
          <w:noProof/>
        </w:rPr>
        <w:t>nizációját, különösen annak meghatározásával, hogy mi tekinthető „menetrend szerint közlekedő” és „a kikötőket gyakran és rendszeresen felkereső hajónak”, illetve „kielégítő mértékű bizonyítéknak” a leadás és a díj megfizetésének szempontjából. Egy szabván</w:t>
      </w:r>
      <w:r>
        <w:rPr>
          <w:noProof/>
        </w:rPr>
        <w:t>yos mentességi bizonyítvány kerül bevezetésre, amelyet a SafeSeaNet rendszerben végzett elektronikus jelentés útján továbbítani kell a tájékoztatási, nyomonkövetési és végrehajtási rendszerbe, hogy a tagállamok meg tudják osztani egymással a bizonyítványon</w:t>
      </w:r>
      <w:r>
        <w:rPr>
          <w:noProof/>
        </w:rPr>
        <w:t xml:space="preserve"> szereplő információkat.</w:t>
      </w:r>
    </w:p>
    <w:p w:rsidR="00BB3609" w:rsidRDefault="008E1F07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b/>
          <w:noProof/>
        </w:rPr>
      </w:pPr>
      <w:r>
        <w:rPr>
          <w:b/>
          <w:noProof/>
        </w:rPr>
        <w:t>Halászhajók és kedvtelési célú vízi járművek:</w:t>
      </w:r>
    </w:p>
    <w:p w:rsidR="00BB3609" w:rsidRDefault="008E1F07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A halászhajók és a kis méretű kedvtelési célú vízi járművek pozíciója újra lett definiálva az irányelvben, tekintettel arra, hogy milyen fontosságot képviselnek a tengeri hulladék probl</w:t>
      </w:r>
      <w:r>
        <w:rPr>
          <w:noProof/>
        </w:rPr>
        <w:t>émájához való hozzájárulásban. Tekintettel arra, hogy a jelenlegi irányelv értelmében a halászhajók és a kis méretű kedvtelési célú vízi járművek egyaránt mentesültek bizonyos alapvető kötelezettségek alól, ezek a mentességek újra lettek definiálva, hogy a</w:t>
      </w:r>
      <w:r>
        <w:rPr>
          <w:noProof/>
        </w:rPr>
        <w:t xml:space="preserve"> rendszer arányosságának biztosítása érdekében a nagyobb hajók a hosszúságuk és a bruttó tonnatartalmuk alapján e követelmények hatálya alá essenek.</w:t>
      </w:r>
    </w:p>
    <w:p w:rsidR="00BB3609" w:rsidRDefault="008E1F07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Tekintettel a költségtérítési rendszerekre, a halászhajóknak és a kedvtelési célú vízi járműveknek közvetet</w:t>
      </w:r>
      <w:r>
        <w:rPr>
          <w:noProof/>
        </w:rPr>
        <w:t>t díjat kell fizetniük. Az egyéb hajókhoz hasonlóan a halászhajók és a kedvtelési célú vízi járművek után egy kikötő/horgonyzóhely számára díjat kell fizetni, függetlenül attól, hogy a hulladékok leadására sor kerül-e vagy sem. Ugyanakkor ez jogot biztosít</w:t>
      </w:r>
      <w:r>
        <w:rPr>
          <w:noProof/>
        </w:rPr>
        <w:t xml:space="preserve"> e hajók számára, hogy minden szemetüket, beleértve az elhagyott halászeszközöket és a passzív módon kihalászott hulladékokat leadják, anélkül hogy ezért bármilyen kiegészítő díjat kellene fizetniük. Az egyéb hulladéktípusok tekintetében a minimum 30 %-os </w:t>
      </w:r>
      <w:r>
        <w:rPr>
          <w:noProof/>
        </w:rPr>
        <w:t>közvetett díj alkalmazásának általános kötelezettsége a halászati és szabadidős ágazat általi hulladékleadásra is alkalmazásra kerül.</w:t>
      </w:r>
    </w:p>
    <w:p w:rsidR="00BB3609" w:rsidRDefault="008E1F07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A hulladékbejelentésen és a hulladékátvételi elismervényen szereplő információk továbbítása csak a 45 métert meghaladó hal</w:t>
      </w:r>
      <w:r>
        <w:rPr>
          <w:noProof/>
        </w:rPr>
        <w:t>ászhajók és kedvtelési célú vízi járművek esetében lesz kötelező. Az érkezés és távozás előtti elektronikus jelentés megkövetelése az ennél rövidebb hajóktól aránytalan lenne, mivel ezek a hajók általában nincsenek felszerelve az elektronikus jelentésre al</w:t>
      </w:r>
      <w:r>
        <w:rPr>
          <w:noProof/>
        </w:rPr>
        <w:t>kalmas eszközökkel, és az őket fogadó kikötők sem képesek arra, hogy a kikötő minden egyes igénybevételekor feldolgozzák ezeket az elektronikus bejelentéseket. Erre a javaslatot kísérő hatásvizsgálat is rámutatott</w:t>
      </w:r>
      <w:r>
        <w:rPr>
          <w:rStyle w:val="FootnoteReference"/>
          <w:noProof/>
        </w:rPr>
        <w:footnoteReference w:id="17"/>
      </w:r>
      <w:r>
        <w:rPr>
          <w:noProof/>
        </w:rPr>
        <w:t xml:space="preserve">. </w:t>
      </w:r>
    </w:p>
    <w:p w:rsidR="00BB3609" w:rsidRDefault="008E1F07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A végrehajtásra tekintettel az irányelv</w:t>
      </w:r>
      <w:r>
        <w:rPr>
          <w:noProof/>
        </w:rPr>
        <w:t xml:space="preserve"> elrendeli, hogy az ellenőrzéseket az adott tagállam kikötőit évente igénybe vevő és 100 bruttó tonnatartalmat meghaladó halászhajók és kedvtelési célú vízi járművek legalább 20 %-án el kell végezni. Ez a határérték megegyezik a MARPOL-egyezmény azon követ</w:t>
      </w:r>
      <w:r>
        <w:rPr>
          <w:noProof/>
        </w:rPr>
        <w:t>elményével, hogy a 100 bruttó tonnatartalmat meghaladó hajók fedélzetén egy hulladék-nyilvántartást kell tartani.</w:t>
      </w:r>
    </w:p>
    <w:p w:rsidR="00BB3609" w:rsidRDefault="00BB3609">
      <w:pPr>
        <w:spacing w:before="0" w:after="0"/>
        <w:jc w:val="left"/>
        <w:rPr>
          <w:noProof/>
        </w:rPr>
        <w:sectPr w:rsidR="00BB3609" w:rsidSect="008E1F07"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pgNumType w:start="1"/>
          <w:cols w:space="708"/>
          <w:docGrid w:linePitch="360"/>
        </w:sectPr>
      </w:pPr>
    </w:p>
    <w:p w:rsidR="00BB3609" w:rsidRDefault="008E1F07">
      <w:pPr>
        <w:pStyle w:val="Rfrenceinterinstitutionnelle"/>
        <w:rPr>
          <w:noProof/>
        </w:rPr>
      </w:pPr>
      <w:r>
        <w:rPr>
          <w:noProof/>
        </w:rPr>
        <w:t>2018/0012 (COD)</w:t>
      </w:r>
    </w:p>
    <w:p w:rsidR="00BB3609" w:rsidRDefault="008E1F07">
      <w:pPr>
        <w:pStyle w:val="Statut"/>
        <w:rPr>
          <w:noProof/>
        </w:rPr>
      </w:pPr>
      <w:r>
        <w:rPr>
          <w:noProof/>
        </w:rPr>
        <w:t>Javaslat</w:t>
      </w:r>
    </w:p>
    <w:p w:rsidR="00BB3609" w:rsidRDefault="008E1F07">
      <w:pPr>
        <w:pStyle w:val="Typedudocument"/>
        <w:rPr>
          <w:noProof/>
        </w:rPr>
      </w:pPr>
      <w:r>
        <w:rPr>
          <w:noProof/>
        </w:rPr>
        <w:t>AZ EURÓPAI PARLAMENT ÉS A TANÁCS IRÁNYELVE</w:t>
      </w:r>
    </w:p>
    <w:p w:rsidR="00BB3609" w:rsidRDefault="008E1F07">
      <w:pPr>
        <w:pStyle w:val="Titreobjet"/>
        <w:rPr>
          <w:noProof/>
        </w:rPr>
      </w:pPr>
      <w:r>
        <w:rPr>
          <w:noProof/>
        </w:rPr>
        <w:t xml:space="preserve">a hajókról </w:t>
      </w:r>
      <w:r>
        <w:rPr>
          <w:noProof/>
        </w:rPr>
        <w:t>származó hulladékok leadására alkalmas kikötői fogadólétesítményekről, a 2000/59/EK irányelv hatályon kívül helyezéséről, valamint a 2009/16/EK irányelv és a 2010/65/EU irányelv módosításáról</w:t>
      </w:r>
    </w:p>
    <w:p w:rsidR="00BB3609" w:rsidRDefault="008E1F07">
      <w:pPr>
        <w:pStyle w:val="IntrtEEE"/>
        <w:rPr>
          <w:noProof/>
        </w:rPr>
      </w:pPr>
      <w:r>
        <w:rPr>
          <w:noProof/>
        </w:rPr>
        <w:t>(EGT-vonatkozású szöveg)</w:t>
      </w:r>
    </w:p>
    <w:p w:rsidR="00BB3609" w:rsidRDefault="008E1F07">
      <w:pPr>
        <w:pStyle w:val="Institutionquiagit"/>
        <w:rPr>
          <w:noProof/>
        </w:rPr>
      </w:pPr>
      <w:r>
        <w:rPr>
          <w:noProof/>
        </w:rPr>
        <w:t>AZ EURÓPAI PARLAMENT ÉS AZ EURÓPAI UNIÓ</w:t>
      </w:r>
      <w:r>
        <w:rPr>
          <w:noProof/>
        </w:rPr>
        <w:t xml:space="preserve"> TANÁCSA,</w:t>
      </w:r>
    </w:p>
    <w:p w:rsidR="00BB3609" w:rsidRDefault="008E1F07">
      <w:pPr>
        <w:rPr>
          <w:noProof/>
        </w:rPr>
      </w:pPr>
      <w:r>
        <w:rPr>
          <w:noProof/>
        </w:rPr>
        <w:t>tekintettel az Európai Unió működéséről szóló szerződésre és különösen annak 100. cikke (2) bekezdésére,</w:t>
      </w:r>
    </w:p>
    <w:p w:rsidR="00BB3609" w:rsidRDefault="008E1F07">
      <w:pPr>
        <w:rPr>
          <w:noProof/>
        </w:rPr>
      </w:pPr>
      <w:r>
        <w:rPr>
          <w:noProof/>
        </w:rPr>
        <w:t>tekintettel az Európai Bizottság javaslatára, mivel:</w:t>
      </w:r>
    </w:p>
    <w:p w:rsidR="00BB3609" w:rsidRDefault="008E1F07">
      <w:pPr>
        <w:rPr>
          <w:noProof/>
        </w:rPr>
      </w:pPr>
      <w:r>
        <w:rPr>
          <w:noProof/>
        </w:rPr>
        <w:t>a jogalkotási aktus tervezete nemzeti parlamenteknek való megküldését követően,</w:t>
      </w:r>
    </w:p>
    <w:p w:rsidR="00BB3609" w:rsidRDefault="008E1F07">
      <w:pPr>
        <w:rPr>
          <w:noProof/>
        </w:rPr>
      </w:pPr>
      <w:r>
        <w:rPr>
          <w:noProof/>
        </w:rPr>
        <w:t>tekintet</w:t>
      </w:r>
      <w:r>
        <w:rPr>
          <w:noProof/>
        </w:rPr>
        <w:t>tel az Európai Gazdasági és Szociális Bizottság véleményére</w:t>
      </w:r>
      <w:r>
        <w:rPr>
          <w:rStyle w:val="FootnoteReference"/>
          <w:noProof/>
        </w:rPr>
        <w:footnoteReference w:id="18"/>
      </w:r>
      <w:r>
        <w:rPr>
          <w:noProof/>
        </w:rPr>
        <w:t>,</w:t>
      </w:r>
    </w:p>
    <w:p w:rsidR="00BB3609" w:rsidRDefault="008E1F07">
      <w:pPr>
        <w:rPr>
          <w:noProof/>
        </w:rPr>
      </w:pPr>
      <w:r>
        <w:rPr>
          <w:noProof/>
        </w:rPr>
        <w:t>tekintettel a Régiók Bizottságának véleményére</w:t>
      </w:r>
      <w:r>
        <w:rPr>
          <w:rStyle w:val="FootnoteReference"/>
          <w:noProof/>
        </w:rPr>
        <w:footnoteReference w:id="19"/>
      </w:r>
      <w:r>
        <w:rPr>
          <w:noProof/>
        </w:rPr>
        <w:t>,</w:t>
      </w:r>
    </w:p>
    <w:p w:rsidR="00BB3609" w:rsidRDefault="008E1F07">
      <w:pPr>
        <w:rPr>
          <w:noProof/>
        </w:rPr>
      </w:pPr>
      <w:r>
        <w:rPr>
          <w:noProof/>
        </w:rPr>
        <w:t>rendes jogalkotási eljárás keretében,</w:t>
      </w:r>
    </w:p>
    <w:p w:rsidR="00BB3609" w:rsidRDefault="008E1F07">
      <w:pPr>
        <w:rPr>
          <w:noProof/>
        </w:rPr>
      </w:pPr>
      <w:r>
        <w:rPr>
          <w:noProof/>
        </w:rPr>
        <w:t>mivel:</w:t>
      </w:r>
    </w:p>
    <w:p w:rsidR="00BB3609" w:rsidRDefault="008E1F07"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Az Unió tengerpolitikájának célja a biztonság és a környezetvédelem magas szintjének megvalósítá</w:t>
      </w:r>
      <w:r>
        <w:rPr>
          <w:noProof/>
        </w:rPr>
        <w:t>sa. Ez a nemzetközi egyezmények, kódexek és határozatok betartásával érhető el, miközben fenntartásra kerülnek az Egyesült Nemzetek Szervezete tengerjogi egyezményének a hajózás szabadságáról szóló rendelkezései.</w:t>
      </w:r>
    </w:p>
    <w:p w:rsidR="00BB3609" w:rsidRDefault="008E1F07"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A hajókról történő szennyezés megelőzés</w:t>
      </w:r>
      <w:r>
        <w:rPr>
          <w:noProof/>
        </w:rPr>
        <w:t>éről szóló nemzetközi egyezmény („MARPOL-egyezmény”) a hajókról történő kibocsátás általános tilalmát rendeli el, valamint szabályozza azokat a feltételeket, amelyek teljesülésének esetén bizonyos típusú hulladékok a tengeri környezetbe üríthetők. A MARPOL</w:t>
      </w:r>
      <w:r>
        <w:rPr>
          <w:noProof/>
        </w:rPr>
        <w:t>-egyezmény megköveteli a tagállamoktól a megfelelő kikötői fogadólétesítmények rendelkezésre bocsátását a kikötőkben.</w:t>
      </w:r>
    </w:p>
    <w:p w:rsidR="00BB3609" w:rsidRDefault="008E1F07"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Az Unió egy kikötő alapú megközelítés alkalmazásával az Európai Parlament és a Tanács 2000/59/EK irányelvén</w:t>
      </w:r>
      <w:r>
        <w:rPr>
          <w:rStyle w:val="FootnoteReference"/>
          <w:noProof/>
        </w:rPr>
        <w:footnoteReference w:id="20"/>
      </w:r>
      <w:r>
        <w:rPr>
          <w:noProof/>
        </w:rPr>
        <w:t xml:space="preserve"> keresztül valósította meg</w:t>
      </w:r>
      <w:r>
        <w:rPr>
          <w:noProof/>
        </w:rPr>
        <w:t xml:space="preserve"> a MARPOL-egyezmény végrehajtását. A 2000/59/EK irányelv célja a zavartalan tengeri forgalom által képviselt érdekek összeegyeztetése a tengeri környezet védelmével.</w:t>
      </w:r>
    </w:p>
    <w:p w:rsidR="00BB3609" w:rsidRDefault="008E1F07"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Az elmúlt két évtizedben a MARPOL-egyezmény és annak mellékletei jelentős módosításoko</w:t>
      </w:r>
      <w:r>
        <w:rPr>
          <w:noProof/>
        </w:rPr>
        <w:t>n estek át, amelyek szigorúbb normákat és tiltásokat fogalmaztak meg a hajókról származó hulladékok tengerbe ürítésére vonatkozóan.</w:t>
      </w:r>
    </w:p>
    <w:p w:rsidR="00BB3609" w:rsidRDefault="008E1F07"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A MARPOL-egyezmény VI. melléklete új hulladékkategóriákra (különösen a füstgáztisztító rendszerekből származó maradékok,</w:t>
      </w:r>
      <w:r>
        <w:rPr>
          <w:noProof/>
        </w:rPr>
        <w:t xml:space="preserve"> amelyek magukban foglalják az iszapot és vizet) vonatkozó ürítési normákat vezetett be. Ezeknek a hulladékkategóriáknak az irányelv hatálya alá kell kerülniük.</w:t>
      </w:r>
    </w:p>
    <w:p w:rsidR="00BB3609" w:rsidRDefault="008E1F07"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2014. április 15-én a Nemzetközi Tengerészeti Szervezet („IMO”) elfogadta a kikötői fogadól</w:t>
      </w:r>
      <w:r>
        <w:rPr>
          <w:noProof/>
        </w:rPr>
        <w:t>étesítmények üzemeltetői és használói számára szóló konszolidált útmutatásokat (MEPC.1/834 sz. körlevél), amely meghatározza a hulladékbejelentések, a hulladékátvételi elismervények, illetve a kikötői fogadólétesítmények megfelelési hiányosságairól szóló b</w:t>
      </w:r>
      <w:r>
        <w:rPr>
          <w:noProof/>
        </w:rPr>
        <w:t>ejelentések szabványos űrlapjait.</w:t>
      </w:r>
    </w:p>
    <w:p w:rsidR="00BB3609" w:rsidRDefault="008E1F07">
      <w:pPr>
        <w:pStyle w:val="ManualConsidrant"/>
        <w:rPr>
          <w:noProof/>
        </w:rPr>
      </w:pPr>
      <w:r>
        <w:t>(7)</w:t>
      </w:r>
      <w:r>
        <w:tab/>
      </w:r>
      <w:r>
        <w:rPr>
          <w:noProof/>
        </w:rPr>
        <w:t>A szabályozásokban bekövetkezett változások ellenére továbbra is tapasztalható a hulladékok tengerbe ürítésének gyakorlata. Ez különböző tényezők kombinációjának tudható be, konkrétan a kikötőkben nem mindig állnak ren</w:t>
      </w:r>
      <w:r>
        <w:rPr>
          <w:noProof/>
        </w:rPr>
        <w:t>delkezésre megfelelő kikötői fogadólétesítmények, a végrehajtás gyakran elégtelen, valamint hiányoznak a hulladékok parton való leadásának megfelelő ösztönzői.</w:t>
      </w:r>
    </w:p>
    <w:p w:rsidR="00BB3609" w:rsidRDefault="008E1F07">
      <w:pPr>
        <w:pStyle w:val="ManualConsidrant"/>
        <w:rPr>
          <w:noProof/>
        </w:rPr>
      </w:pPr>
      <w:r>
        <w:t>(8)</w:t>
      </w:r>
      <w:r>
        <w:tab/>
      </w:r>
      <w:r>
        <w:rPr>
          <w:noProof/>
        </w:rPr>
        <w:t>A 2000/59/EK irányelv a hatálybalépése óta hozzájárult ahhoz, hogy növekedjen a kikötői foga</w:t>
      </w:r>
      <w:r>
        <w:rPr>
          <w:noProof/>
        </w:rPr>
        <w:t>dólétesítményekbe leadott hulladékok mennyisége, ily módon pedig alapvető szerepet töltött be a tengerbe ürített hulladék mennyiségének csökkentésében, ahogy arra az irányelv REFIT-értékelése rámutatott.</w:t>
      </w:r>
    </w:p>
    <w:p w:rsidR="00BB3609" w:rsidRDefault="008E1F07">
      <w:pPr>
        <w:pStyle w:val="ManualConsidrant"/>
        <w:rPr>
          <w:noProof/>
        </w:rPr>
      </w:pPr>
      <w:r>
        <w:t>(9)</w:t>
      </w:r>
      <w:r>
        <w:tab/>
      </w:r>
      <w:r>
        <w:rPr>
          <w:noProof/>
        </w:rPr>
        <w:t xml:space="preserve">A REFIT-értékelés azonban arra is rávilágított, </w:t>
      </w:r>
      <w:r>
        <w:rPr>
          <w:noProof/>
        </w:rPr>
        <w:t>hogy a MARPOL keret és a 2000/59/EK irányelv között fennálló következetlenségek miatt ez utóbbi nem volt teljes mértékben hatékony. Emellett a tagállamok eltérően értelmezték az irányelvben szereplő fő koncepciókat, mint a létesítmények megfelelését, a hul</w:t>
      </w:r>
      <w:r>
        <w:rPr>
          <w:noProof/>
        </w:rPr>
        <w:t>ladékok előzetes bejelentését és a hulladékok kikötői fogadólétesítményekbe való kötelező leadását, illetve a menetrend szerint közlekedő hajókra vonatkozó mentességeket. Az értékelés ezeknek a koncepcióknak a fokozottabb harmonizációjára, illetve a MARPOL</w:t>
      </w:r>
      <w:r>
        <w:rPr>
          <w:noProof/>
        </w:rPr>
        <w:t>-egyezménnyel való további összhangra intézett felhívást, a kikötőket és a kikötőket használókat érő szükségtelen adminisztratív terhek elkerülése érdekében.</w:t>
      </w:r>
    </w:p>
    <w:p w:rsidR="00BB3609" w:rsidRDefault="008E1F07">
      <w:pPr>
        <w:pStyle w:val="ManualConsidrant"/>
        <w:rPr>
          <w:noProof/>
        </w:rPr>
      </w:pPr>
      <w:r>
        <w:t>(10)</w:t>
      </w:r>
      <w:r>
        <w:tab/>
      </w:r>
      <w:r>
        <w:rPr>
          <w:noProof/>
        </w:rPr>
        <w:t>Az irányelv alapvető fontosságot tölt be továbbá abban a tekintetben, hogy a fő környezetvéde</w:t>
      </w:r>
      <w:r>
        <w:rPr>
          <w:noProof/>
        </w:rPr>
        <w:t>lmi jogszabályok és elvek alkalmazásra kerüljenek a kikötők és a hajókról származó hulladékok kezelésének összefüggésében. Ebben a tekintetben különösen az Európai Parlament és a Tanács 2008/98/EK irányelve</w:t>
      </w:r>
      <w:r>
        <w:rPr>
          <w:rStyle w:val="FootnoteReference"/>
          <w:noProof/>
        </w:rPr>
        <w:footnoteReference w:id="21"/>
      </w:r>
      <w:r>
        <w:rPr>
          <w:noProof/>
        </w:rPr>
        <w:t>, illetve az Európai Parlament és a Tanács 2008/5</w:t>
      </w:r>
      <w:r>
        <w:rPr>
          <w:noProof/>
        </w:rPr>
        <w:t>6/EK irányelve</w:t>
      </w:r>
      <w:r>
        <w:rPr>
          <w:rStyle w:val="FootnoteReference"/>
          <w:noProof/>
        </w:rPr>
        <w:footnoteReference w:id="22"/>
      </w:r>
      <w:r>
        <w:rPr>
          <w:noProof/>
        </w:rPr>
        <w:t xml:space="preserve"> számít lényeges eszköznek. </w:t>
      </w:r>
    </w:p>
    <w:p w:rsidR="00BB3609" w:rsidRDefault="008E1F07">
      <w:pPr>
        <w:pStyle w:val="ManualConsidrant"/>
        <w:rPr>
          <w:noProof/>
        </w:rPr>
      </w:pPr>
      <w:r>
        <w:t>(11)</w:t>
      </w:r>
      <w:r>
        <w:tab/>
      </w:r>
      <w:r>
        <w:rPr>
          <w:noProof/>
        </w:rPr>
        <w:t>A 2008/98/EK irányelv meghatározza a fő hulladékgazdálkodási elveket, beleértve a „szennyező fizet” elvét és a hulladékhierarchiát, amely a hulladékhasznosítás- és ártalmatlanítás egyéb formáival szemben a h</w:t>
      </w:r>
      <w:r>
        <w:rPr>
          <w:noProof/>
        </w:rPr>
        <w:t xml:space="preserve">ulladékok újrafelhasználására és újrafeldolgozására hív fel, valamint előírja a hulladékok külön gyűjtését lehető tevő rendszerek létrehozását. Ezek a kötelezettségek a hajókról származó hulladékok kezelésére is érvényesek. </w:t>
      </w:r>
    </w:p>
    <w:p w:rsidR="00BB3609" w:rsidRDefault="008E1F07">
      <w:pPr>
        <w:pStyle w:val="ManualConsidrant"/>
        <w:rPr>
          <w:noProof/>
        </w:rPr>
      </w:pPr>
      <w:r>
        <w:t>(12)</w:t>
      </w:r>
      <w:r>
        <w:tab/>
      </w:r>
      <w:r>
        <w:rPr>
          <w:noProof/>
        </w:rPr>
        <w:t>Szükség van a hajókról szá</w:t>
      </w:r>
      <w:r>
        <w:rPr>
          <w:noProof/>
        </w:rPr>
        <w:t>rmazó hulladékok (beleértve az elhagyott halászeszközöket) külön gyűjtésére annak érdekében, hogy a hulladékgazdálkodási lánc alsóbb szakaszaiban lehetővé váljon ezek további hasznosítása. A hajók fedélzetein a szemetet gyakran a nemzetközi normáknak és sz</w:t>
      </w:r>
      <w:r>
        <w:rPr>
          <w:noProof/>
        </w:rPr>
        <w:t>abványoknak megfelelően külön gyűjtik, az uniós jogszabályoknak pedig biztosítaniuk kell, hogy a hulladékok fedélzeti elkülönítésére tett erőfeszítéseket nem ássa alá az, hogy a parton nincs megoldva a külön gyűjtés.</w:t>
      </w:r>
    </w:p>
    <w:p w:rsidR="00BB3609" w:rsidRDefault="008E1F07">
      <w:pPr>
        <w:pStyle w:val="ManualConsidrant"/>
        <w:rPr>
          <w:noProof/>
        </w:rPr>
      </w:pPr>
      <w:r>
        <w:t>(13)</w:t>
      </w:r>
      <w:r>
        <w:tab/>
      </w:r>
      <w:r>
        <w:rPr>
          <w:noProof/>
        </w:rPr>
        <w:t xml:space="preserve">Bár a tengeri hulladék legnagyobb </w:t>
      </w:r>
      <w:r>
        <w:rPr>
          <w:noProof/>
        </w:rPr>
        <w:t>része szárazföldi tevékenységekből származik, a hajózási ágazat, beleértve a halászati és szabadidős ágazatot is, szintén jelentős mértékben hozzájárul a szennyezéshez azzal, hogy a szemetet, beleértve a műanyagokat és az elhagyott halászeszközöket közvetl</w:t>
      </w:r>
      <w:r>
        <w:rPr>
          <w:noProof/>
        </w:rPr>
        <w:t>enül a tengerbe ürítik.</w:t>
      </w:r>
    </w:p>
    <w:p w:rsidR="00BB3609" w:rsidRDefault="008E1F07">
      <w:pPr>
        <w:pStyle w:val="ManualConsidrant"/>
        <w:rPr>
          <w:noProof/>
        </w:rPr>
      </w:pPr>
      <w:r>
        <w:t>(14)</w:t>
      </w:r>
      <w:r>
        <w:tab/>
      </w:r>
      <w:r>
        <w:rPr>
          <w:noProof/>
        </w:rPr>
        <w:t>A Bizottság körforgásos gazdaságra vonatkozó stratégiája</w:t>
      </w:r>
      <w:r>
        <w:rPr>
          <w:rStyle w:val="FootnoteReference"/>
          <w:noProof/>
        </w:rPr>
        <w:footnoteReference w:id="23"/>
      </w:r>
      <w:r>
        <w:rPr>
          <w:noProof/>
        </w:rPr>
        <w:t xml:space="preserve"> a tengeri hulladék mennyiségének 30 %-os csökkentését tűzte ki 2020-ig, és elismerte a 2000/59/EK irányelv e tekintetben betöltött különleges szerepét azzal, hogy biztos</w:t>
      </w:r>
      <w:r>
        <w:rPr>
          <w:noProof/>
        </w:rPr>
        <w:t>ítja a szemét fogadására alkalmas megfelelő létesítmények rendelkezésre állását, valamint elrendeli a megfelelő szintű ösztönzők meglétét és a hulladékok parti létesítményekbe való leadásának végrehajtását.</w:t>
      </w:r>
    </w:p>
    <w:p w:rsidR="00BB3609" w:rsidRDefault="008E1F07">
      <w:pPr>
        <w:pStyle w:val="ManualConsidrant"/>
        <w:rPr>
          <w:noProof/>
        </w:rPr>
      </w:pPr>
      <w:r>
        <w:t>(15)</w:t>
      </w:r>
      <w:r>
        <w:tab/>
      </w:r>
      <w:r>
        <w:rPr>
          <w:noProof/>
        </w:rPr>
        <w:t>Egy kikötői fogadólétesítmény akkor tekinthe</w:t>
      </w:r>
      <w:r>
        <w:rPr>
          <w:noProof/>
        </w:rPr>
        <w:t xml:space="preserve">tő megfelelőnek, ha képes a kikötőt általában használó hajók igényeinek kielégítésére, anélkül hogy indokolatlanul feltartóztatná azokat. A megfelelés szempontjából egyaránt lényeges, hogy a használók igényeinek fényében milyen feltételek mellet működik a </w:t>
      </w:r>
      <w:r>
        <w:rPr>
          <w:noProof/>
        </w:rPr>
        <w:t>létesítmény, illetve hogy a létesítmények környezetgazdálkodása a hulladékokkal kapcsolatos uniós jogszabályoknak megfelelően történik-e.</w:t>
      </w:r>
    </w:p>
    <w:p w:rsidR="00BB3609" w:rsidRDefault="008E1F07">
      <w:pPr>
        <w:pStyle w:val="ManualConsidrant"/>
        <w:rPr>
          <w:noProof/>
        </w:rPr>
      </w:pPr>
      <w:r>
        <w:t>(16)</w:t>
      </w:r>
      <w:r>
        <w:tab/>
      </w:r>
      <w:r>
        <w:rPr>
          <w:noProof/>
        </w:rPr>
        <w:t>Az Európai Parlament és a Tanács 1069/2009/EK rendelete</w:t>
      </w:r>
      <w:r>
        <w:rPr>
          <w:rStyle w:val="FootnoteReference"/>
          <w:noProof/>
        </w:rPr>
        <w:footnoteReference w:id="24"/>
      </w:r>
      <w:r>
        <w:rPr>
          <w:noProof/>
        </w:rPr>
        <w:t xml:space="preserve"> a nemzetközi étkezési hulladékok elégetését vagy engedél</w:t>
      </w:r>
      <w:r>
        <w:rPr>
          <w:noProof/>
        </w:rPr>
        <w:t>yezett hulladéklerakóban való elföldeléssel történő ártalmatlanítását írja elő, beleértve az Unió kikötőit igénybe vevő hajókról származó azon hulladékokat is, amelyek a fedélzeten esetlegesen állati melléktermékekkel kerültek kapcsolatba. Annak érdekében,</w:t>
      </w:r>
      <w:r>
        <w:rPr>
          <w:noProof/>
        </w:rPr>
        <w:t xml:space="preserve"> hogy ez a követelmény ne korlátozza a hajókról származó hulladékok további újrafelhasználását és újrafeldolgozását, erőfeszítéseket kell tenni a fedélzeti hulladék jobb elkülönítése érdekében, hogy a hulladék, mint a csomagolási hulladék esetleges szennye</w:t>
      </w:r>
      <w:r>
        <w:rPr>
          <w:noProof/>
        </w:rPr>
        <w:t>ződése elkerülhető legyen.</w:t>
      </w:r>
    </w:p>
    <w:p w:rsidR="00BB3609" w:rsidRDefault="008E1F07">
      <w:pPr>
        <w:pStyle w:val="ManualConsidrant"/>
        <w:rPr>
          <w:noProof/>
        </w:rPr>
      </w:pPr>
      <w:r>
        <w:t>(17)</w:t>
      </w:r>
      <w:r>
        <w:tab/>
      </w:r>
      <w:r>
        <w:rPr>
          <w:noProof/>
        </w:rPr>
        <w:t xml:space="preserve">A kikötői fogadólétesítmények megfelelésének biztosítása érdekében az összes érintett kikötőhasználóval egyetértésben szükség van a hulladékgazdálkodási terv kidolgozására és átértékelésére. Gyakorlati és szervezési okokból </w:t>
      </w:r>
      <w:r>
        <w:rPr>
          <w:noProof/>
        </w:rPr>
        <w:t>az egyazon régióban található szomszédos kikötők közös tervet dolgozhatnak ki, amely a terv által érintett kikötőkben rendelkezésre álló összes fogadólétesítményre kiterjed, miközben közös adminisztratív keretet biztosít.</w:t>
      </w:r>
    </w:p>
    <w:p w:rsidR="00BB3609" w:rsidRDefault="008E1F07">
      <w:pPr>
        <w:pStyle w:val="ManualConsidrant"/>
        <w:rPr>
          <w:noProof/>
        </w:rPr>
      </w:pPr>
      <w:r>
        <w:t>(18)</w:t>
      </w:r>
      <w:r>
        <w:tab/>
      </w:r>
      <w:r>
        <w:rPr>
          <w:noProof/>
        </w:rPr>
        <w:t>A tengeri hulladék problémájá</w:t>
      </w:r>
      <w:r>
        <w:rPr>
          <w:noProof/>
        </w:rPr>
        <w:t>nak hatékony kezelése érdekében alapvető fontosságú a hulladékok, különösen a szemét kikötői fogadólétesítményekbe való leadását célzó megfelelő szintű ösztönzők megléte. Ez egy költségtérítési rendszerrel érhető el, amely egy olyan közvetett díj alkalmazá</w:t>
      </w:r>
      <w:r>
        <w:rPr>
          <w:noProof/>
        </w:rPr>
        <w:t>sát írja elő, amelyet attól függetlenül be kell fizetni, hogy sor kerül-e leadásra, és amely jogot biztosít a hulladék leadására bármilyen további közvetlen díj megfizetése nélkül. Tekintettel a tengeri hulladék problémájához való hozzájárulásukra, a halás</w:t>
      </w:r>
      <w:r>
        <w:rPr>
          <w:noProof/>
        </w:rPr>
        <w:t>zati és a szabadidős ágazatokat szintén be kell vonni a rendszerbe.</w:t>
      </w:r>
    </w:p>
    <w:p w:rsidR="00BB3609" w:rsidRDefault="008E1F07">
      <w:pPr>
        <w:pStyle w:val="ManualConsidrant"/>
        <w:rPr>
          <w:noProof/>
        </w:rPr>
      </w:pPr>
      <w:r>
        <w:t>(19)</w:t>
      </w:r>
      <w:r>
        <w:tab/>
      </w:r>
      <w:r>
        <w:rPr>
          <w:noProof/>
        </w:rPr>
        <w:t>A „zöld hajó” koncepciójának továbbfejlesztése szükséges a hulladékgazdálkodás vonatkozásában, hogy lehetővé váljon egy hatékony jutalmazási rendszer végrehajtása a fedélzeti hulladék</w:t>
      </w:r>
      <w:r>
        <w:rPr>
          <w:noProof/>
        </w:rPr>
        <w:t>ukat csökkentő hajók számára.</w:t>
      </w:r>
    </w:p>
    <w:p w:rsidR="00BB3609" w:rsidRDefault="008E1F07">
      <w:pPr>
        <w:pStyle w:val="ManualConsidrant"/>
        <w:rPr>
          <w:noProof/>
        </w:rPr>
      </w:pPr>
      <w:r>
        <w:t>(20)</w:t>
      </w:r>
      <w:r>
        <w:tab/>
      </w:r>
      <w:r>
        <w:rPr>
          <w:noProof/>
        </w:rPr>
        <w:t xml:space="preserve">A rakomány terminálba való kirakodását követően a gyakran gazdasági értékkel bíró rakománymaradványok a rakomány tulajdonosának birtokában maradnak. Ebből az okból a költségtérítési rendszerek és a közvetett díjak </w:t>
      </w:r>
      <w:r>
        <w:rPr>
          <w:noProof/>
        </w:rPr>
        <w:t>alkalmazása nem terjed ki a rakománymaradványokra; a rakománymaradványok leadásának költségeit a fogadólétesítmény használója fizeti, az érintett felek közötti szerződéses megállapodás vagy egy másik helyi megállapodás kikötései szerint.</w:t>
      </w:r>
    </w:p>
    <w:p w:rsidR="00BB3609" w:rsidRDefault="008E1F07">
      <w:pPr>
        <w:pStyle w:val="ManualConsidrant"/>
        <w:rPr>
          <w:noProof/>
        </w:rPr>
      </w:pPr>
      <w:r>
        <w:t>(21)</w:t>
      </w:r>
      <w:r>
        <w:tab/>
      </w:r>
      <w:r>
        <w:rPr>
          <w:noProof/>
        </w:rPr>
        <w:t>Az Európai Pa</w:t>
      </w:r>
      <w:r>
        <w:rPr>
          <w:noProof/>
        </w:rPr>
        <w:t>rlament és a Tanács (EU) 2017/352 rendelete</w:t>
      </w:r>
      <w:r>
        <w:rPr>
          <w:rStyle w:val="FootnoteReference"/>
          <w:noProof/>
        </w:rPr>
        <w:footnoteReference w:id="25"/>
      </w:r>
      <w:r>
        <w:rPr>
          <w:noProof/>
        </w:rPr>
        <w:t xml:space="preserve"> a kikötői fogadólétesítmények biztosítását a rendelet hatálya alá tartozó szolgáltatásnak tekinti. Meghatározza a kikötői szolgáltatások használata esetén alkalmazott díjszabási struktúrák átláthatóságára, a kik</w:t>
      </w:r>
      <w:r>
        <w:rPr>
          <w:noProof/>
        </w:rPr>
        <w:t>ötőket használók konzultációjára és a panaszeljárások kezelésére vonatkozó szabályokat. Az irányelv túlmutat az (EU) 2017/352 rendeletben meghatározott keretrendszeren, mivel részletesebb követelményeket fogalmaz meg a hajókról származó hulladékok fogadásá</w:t>
      </w:r>
      <w:r>
        <w:rPr>
          <w:noProof/>
        </w:rPr>
        <w:t>ra alkalmas kikötői fogadólétesítményekkel kapcsolatos költségtérítési rendszerek működését és kialakítását, valamint a költségszerkezet átláthatóságát illetően.</w:t>
      </w:r>
    </w:p>
    <w:p w:rsidR="00BB3609" w:rsidRDefault="008E1F07">
      <w:pPr>
        <w:pStyle w:val="ManualConsidrant"/>
        <w:rPr>
          <w:noProof/>
        </w:rPr>
      </w:pPr>
      <w:r>
        <w:t>(22)</w:t>
      </w:r>
      <w:r>
        <w:tab/>
      </w:r>
      <w:r>
        <w:rPr>
          <w:noProof/>
        </w:rPr>
        <w:t>A leadás ösztönzése mellett kiemelkedően fontos a leadási kötelezettség hatékony betartat</w:t>
      </w:r>
      <w:r>
        <w:rPr>
          <w:noProof/>
        </w:rPr>
        <w:t>ása, amelynek a 2009/16/EK irányelvvel</w:t>
      </w:r>
      <w:r>
        <w:rPr>
          <w:rStyle w:val="FootnoteReference"/>
          <w:noProof/>
        </w:rPr>
        <w:footnoteReference w:id="26"/>
      </w:r>
      <w:r>
        <w:rPr>
          <w:noProof/>
        </w:rPr>
        <w:t xml:space="preserve"> összhangban kockázatalapú megközelítést kell alkalmaznia, és ez már nincs összhangban a 2000/59/EK irányelv azon rendelkezésével, hogy a hatálya alá eső hajók 25 %-át kell ellenőrizni.</w:t>
      </w:r>
    </w:p>
    <w:p w:rsidR="00BB3609" w:rsidRDefault="008E1F07">
      <w:pPr>
        <w:pStyle w:val="ManualConsidrant"/>
        <w:rPr>
          <w:noProof/>
        </w:rPr>
      </w:pPr>
      <w:r>
        <w:t>(23)</w:t>
      </w:r>
      <w:r>
        <w:tab/>
      </w:r>
      <w:r>
        <w:rPr>
          <w:noProof/>
        </w:rPr>
        <w:t>A kötelező leadási kötelez</w:t>
      </w:r>
      <w:r>
        <w:rPr>
          <w:noProof/>
        </w:rPr>
        <w:t>ettség hatékony betartatásának egyik fő akadályát az képezte, hogy a tagállamok eltérő módon értelmezték és hajtották végre az elegendő fedélzeti tárolókapacitás szerinti mentességet.</w:t>
      </w:r>
      <w:r>
        <w:rPr>
          <w:b/>
          <w:noProof/>
          <w:color w:val="FF0000"/>
        </w:rPr>
        <w:t xml:space="preserve"> </w:t>
      </w:r>
      <w:r>
        <w:rPr>
          <w:noProof/>
        </w:rPr>
        <w:t>Annak elkerülése érdekében, hogy ennek a mentességnek az alkalmazása alá</w:t>
      </w:r>
      <w:r>
        <w:rPr>
          <w:noProof/>
        </w:rPr>
        <w:t>ássa az irányelv elsődleges célkitűzését, további rendelkezések szükségesek, különösen ami a kikötés céljából igénybe veendő következő kikötőt illeti, az elegendő tárolókapacitás meghatározását pedig közös módszertan és kritériumok alapján összehangolt mód</w:t>
      </w:r>
      <w:r>
        <w:rPr>
          <w:noProof/>
        </w:rPr>
        <w:t>on kell meghatározni az Unió kikötőiben.</w:t>
      </w:r>
    </w:p>
    <w:p w:rsidR="00BB3609" w:rsidRDefault="008E1F07">
      <w:pPr>
        <w:pStyle w:val="ManualConsidrant"/>
        <w:rPr>
          <w:noProof/>
        </w:rPr>
      </w:pPr>
      <w:r>
        <w:t>(24)</w:t>
      </w:r>
      <w:r>
        <w:tab/>
      </w:r>
      <w:r>
        <w:rPr>
          <w:noProof/>
        </w:rPr>
        <w:t>A nyomon követés és a végrehajtás megkönnyítése érdekében az információk elektronikus továbbítására és cseréjére alapuló rendszerre van szükség. Ennek érdekében szükség van a 2000/59/EK irányelv szerint létreho</w:t>
      </w:r>
      <w:r>
        <w:rPr>
          <w:noProof/>
        </w:rPr>
        <w:t>zott tájékoztatási és ellenőrzési rendszer továbbfejlesztésére és üzemeltetésének folytatására a meglévő elektronikus adatrendszerek, különösen az uniós tengeri információcsere-rendszer (SafeSeaNet) és az ellenőrzési adatbázis (THETIS) alapján. A rendszern</w:t>
      </w:r>
      <w:r>
        <w:rPr>
          <w:noProof/>
        </w:rPr>
        <w:t>ek tartalmaznia kell továbbá a különböző kikötőkben rendelkezésre álló kikötői fogadólétesítményekre vonatkozó információkat.</w:t>
      </w:r>
    </w:p>
    <w:p w:rsidR="00BB3609" w:rsidRDefault="008E1F07">
      <w:pPr>
        <w:pStyle w:val="ManualConsidrant"/>
        <w:rPr>
          <w:noProof/>
        </w:rPr>
      </w:pPr>
      <w:r>
        <w:t>(25)</w:t>
      </w:r>
      <w:r>
        <w:tab/>
      </w:r>
      <w:r>
        <w:rPr>
          <w:noProof/>
        </w:rPr>
        <w:t>A MARPOL-egyezmény előírja a szerződő felek számára a kikötői fogadólétesítményekre vonatkozó információk naprakészen tartásá</w:t>
      </w:r>
      <w:r>
        <w:rPr>
          <w:noProof/>
        </w:rPr>
        <w:t>t, illetve ezek továbbítását a Nemzetközi Tengerészeti Szervezetnek (IMO). Ennek érdekében az IMO a globális integrált hajózási információs rendszerében („GISIS”) létrehozta a kikötői fogadólétesítmények adatbázisát. Azzal, hogy ezeket az információkat bej</w:t>
      </w:r>
      <w:r>
        <w:rPr>
          <w:noProof/>
        </w:rPr>
        <w:t xml:space="preserve">elentik az irányelv által létrehozott tájékoztatási, ellenőrzési és végrehajtási rendszerben, majd ezek az információk a rendszeren keresztül továbbításra kerülnek a GISIS rendszerbe, a tagállamok többé nem kell külön továbbítsák ezeket az információkat a </w:t>
      </w:r>
      <w:r>
        <w:rPr>
          <w:noProof/>
        </w:rPr>
        <w:t>Nemzetközi Tengerészeti Szervezetnek.</w:t>
      </w:r>
    </w:p>
    <w:p w:rsidR="00BB3609" w:rsidRDefault="008E1F07">
      <w:pPr>
        <w:pStyle w:val="ManualConsidrant"/>
        <w:rPr>
          <w:noProof/>
        </w:rPr>
      </w:pPr>
      <w:r>
        <w:t>(26)</w:t>
      </w:r>
      <w:r>
        <w:tab/>
      </w:r>
      <w:r>
        <w:rPr>
          <w:noProof/>
        </w:rPr>
        <w:t>Szükség van a kikötőket gyakran és rendszeresen felkereső, menetrend szerint közlekedő hajókra vonatkozó mentességi rendszer további összehangolására, különösen ami az alkalmazott kifejezéseket és a mentességek ir</w:t>
      </w:r>
      <w:r>
        <w:rPr>
          <w:noProof/>
        </w:rPr>
        <w:t>ányadó feltételeit illeti. A REFIT-értékelés és a hatásvizsgálat rávilágított, hogy a mentességek feltételeinek és alkalmazásának vonatkozásában az összehangolás hiánya szükségtelen adminisztratív terhekkel járt a hajók és a kikötők számára.</w:t>
      </w:r>
    </w:p>
    <w:p w:rsidR="00BB3609" w:rsidRDefault="008E1F07">
      <w:pPr>
        <w:pStyle w:val="ManualConsidrant"/>
        <w:rPr>
          <w:noProof/>
        </w:rPr>
      </w:pPr>
      <w:r>
        <w:t>(27)</w:t>
      </w:r>
      <w:r>
        <w:tab/>
      </w:r>
      <w:r>
        <w:rPr>
          <w:noProof/>
        </w:rPr>
        <w:t>A kikötői</w:t>
      </w:r>
      <w:r>
        <w:rPr>
          <w:noProof/>
        </w:rPr>
        <w:t xml:space="preserve"> fogadólétesítményekkel kapcsolatban az Európai Fenntartható Hajózási Fórum keretében felállított, és a hajók okozta szennyezés, illetve a hajókról származó hulladékok kezelését illetően jártas szakértők széles körét egyesítő alcsoport értékes útmutatásokk</w:t>
      </w:r>
      <w:r>
        <w:rPr>
          <w:noProof/>
        </w:rPr>
        <w:t>al és szakértelemmel szolgált a Bizottság számára. Kívánatos lenne ennek a csoportnak egy külön szakértői csoportként való megőrzése, az irányelv végrehajtásával kapcsolatos tapasztalatok megosztása érdekében.</w:t>
      </w:r>
    </w:p>
    <w:p w:rsidR="00BB3609" w:rsidRDefault="008E1F07">
      <w:pPr>
        <w:pStyle w:val="ManualConsidrant"/>
        <w:rPr>
          <w:noProof/>
        </w:rPr>
      </w:pPr>
      <w:r>
        <w:t>(28)</w:t>
      </w:r>
      <w:r>
        <w:tab/>
      </w:r>
      <w:r>
        <w:rPr>
          <w:noProof/>
        </w:rPr>
        <w:t>A 2000/59/EK irányelv végrehajtására vona</w:t>
      </w:r>
      <w:r>
        <w:rPr>
          <w:noProof/>
        </w:rPr>
        <w:t>tkozóan a Bizottságra ruházott hatáskört az Európai Unió működéséről szóló szerződéssel (EUMSZ) összhangban aktualizálni kell.</w:t>
      </w:r>
    </w:p>
    <w:p w:rsidR="00BB3609" w:rsidRDefault="008E1F07">
      <w:pPr>
        <w:pStyle w:val="ManualConsidrant"/>
        <w:rPr>
          <w:noProof/>
        </w:rPr>
      </w:pPr>
      <w:r>
        <w:t>(29)</w:t>
      </w:r>
      <w:r>
        <w:tab/>
      </w:r>
      <w:r>
        <w:rPr>
          <w:noProof/>
        </w:rPr>
        <w:t>Az elegendő tárolókapacitáson alapuló mentesség alkalmazására vonatkozó módszertan meghatározása, illetve a megjelölt iránye</w:t>
      </w:r>
      <w:r>
        <w:rPr>
          <w:noProof/>
        </w:rPr>
        <w:t>lv által létrehozott tájékoztatási, ellenőrzési és végrehajtási rendszer továbbfejlesztése érdekében végrehajtási hatáskört kell ruházni a Bizottságra. A végrehajtási jogi aktusokat a 182/2011/EU európai parlamenti és tanácsi rendeletnek megfelelően kell e</w:t>
      </w:r>
      <w:r>
        <w:rPr>
          <w:noProof/>
        </w:rPr>
        <w:t>lfogadni.</w:t>
      </w:r>
    </w:p>
    <w:p w:rsidR="00BB3609" w:rsidRDefault="008E1F07">
      <w:pPr>
        <w:pStyle w:val="ManualConsidrant"/>
        <w:rPr>
          <w:noProof/>
        </w:rPr>
      </w:pPr>
      <w:r>
        <w:t>(30)</w:t>
      </w:r>
      <w:r>
        <w:tab/>
      </w:r>
      <w:r>
        <w:rPr>
          <w:noProof/>
        </w:rPr>
        <w:t xml:space="preserve">A nemzetközi szinten beálló változások figyelembevétele, illetve a környezetbarát fedélzeti hulladékgazdálkodási gyakorlatok elősegítése érdekében a Bizottságot a jelen irányelv módosításának keretében az EUMSZ 290. cikkével összhangban fel </w:t>
      </w:r>
      <w:r>
        <w:rPr>
          <w:noProof/>
        </w:rPr>
        <w:t>kell hatalmazni jogi aktusok elfogadására a nemzetközi eszközökre való hivatkozások és a mellékletek aktualizálásának, illetve a nemzetközi eszközökre való hivatkozások módosításának tekintetében; erre annak érdekében kell sort keríteni, hogy szükség eseté</w:t>
      </w:r>
      <w:r>
        <w:rPr>
          <w:noProof/>
        </w:rPr>
        <w:t>n megelőzhető legyen a nemzetközi eszközökben beálló változások alkalmazása a jelen irányelv alkalmazásában, valamint meghatározásra kerüljenek a „zöld hajók” elfogadásának kritériumai, amelyek alapján ezeknek a hajóknak kisebb hulladékdíjat kell fizetniük</w:t>
      </w:r>
      <w:r>
        <w:rPr>
          <w:noProof/>
        </w:rPr>
        <w:t>. Különösen fontos, hogy a Bizottság az előkészítő munka során megfelelő konzultációkat folytasson, többek között szakértői szinten is. A felhatalmazáson alapuló jogi aktusok elkészítésekor és szövegezésekor a Bizottságnak gondoskodnia kell a vonatkozó dok</w:t>
      </w:r>
      <w:r>
        <w:rPr>
          <w:noProof/>
        </w:rPr>
        <w:t xml:space="preserve">umentumoknak az Európai Parlament és a Tanács részére történő egyidejű, időben történő és megfelelő továbbításáról. </w:t>
      </w:r>
    </w:p>
    <w:p w:rsidR="00BB3609" w:rsidRDefault="008E1F07">
      <w:pPr>
        <w:pStyle w:val="ManualConsidrant"/>
        <w:rPr>
          <w:noProof/>
        </w:rPr>
      </w:pPr>
      <w:r>
        <w:t>(31)</w:t>
      </w:r>
      <w:r>
        <w:tab/>
      </w:r>
      <w:r>
        <w:rPr>
          <w:noProof/>
        </w:rPr>
        <w:t>Mivel az irányelv célját, hogy megvédje a tengeri környezetet a hulladékok tengerbe ürítésétől, a tagállamok egyoldalúan nem tudják ki</w:t>
      </w:r>
      <w:r>
        <w:rPr>
          <w:noProof/>
        </w:rPr>
        <w:t>elégítően megvalósítani, az Unió szintjén azonban az intézkedés terjedelme miatt e cél jobban megvalósítható, az Unió intézkedéseket hozhat az Európai Unióról szóló szerződés 5. cikkében megállapított szubszidiaritás elvének megfelelően. Az említett cikkbe</w:t>
      </w:r>
      <w:r>
        <w:rPr>
          <w:noProof/>
        </w:rPr>
        <w:t>n foglalt arányosság elvével összhangban ez az irányelv nem lépi túl az e célok megvalósításához szükséges mértéket.</w:t>
      </w:r>
    </w:p>
    <w:p w:rsidR="00BB3609" w:rsidRDefault="008E1F07">
      <w:pPr>
        <w:pStyle w:val="ManualConsidrant"/>
        <w:rPr>
          <w:noProof/>
        </w:rPr>
      </w:pPr>
      <w:r>
        <w:t>(32)</w:t>
      </w:r>
      <w:r>
        <w:tab/>
      </w:r>
      <w:r>
        <w:rPr>
          <w:noProof/>
        </w:rPr>
        <w:t>Az Uniót a kikötők szintjén regionális sokszínűség jellemzi, ahogy arra a területi hatásvizsgálat is rámutatott. A kikötők földrajzi e</w:t>
      </w:r>
      <w:r>
        <w:rPr>
          <w:noProof/>
        </w:rPr>
        <w:t>lhelyezkedés, méret, adminisztratív felépítés és tulajdonosi szerkezet szerint eltérőek, és az ide általában befutó hajók jellemzik őket. Emellett a hulladékgazdálkodási rendszerek az önkormányzati szinten és a lejjebb elhelyezkedő hulladékgazdálkodási inf</w:t>
      </w:r>
      <w:r>
        <w:rPr>
          <w:noProof/>
        </w:rPr>
        <w:t>rastruktúrában tapasztalható különbségeket tükrözik.</w:t>
      </w:r>
    </w:p>
    <w:p w:rsidR="00BB3609" w:rsidRDefault="008E1F07">
      <w:pPr>
        <w:pStyle w:val="ManualConsidrant"/>
        <w:rPr>
          <w:noProof/>
        </w:rPr>
      </w:pPr>
      <w:r>
        <w:t>(33)</w:t>
      </w:r>
      <w:r>
        <w:tab/>
      </w:r>
      <w:r>
        <w:rPr>
          <w:noProof/>
        </w:rPr>
        <w:t>A 2000/59/EK irányelvet ezért hatályon kívül kell helyezni.</w:t>
      </w:r>
    </w:p>
    <w:p w:rsidR="00BB3609" w:rsidRDefault="008E1F07">
      <w:pPr>
        <w:pStyle w:val="Formuledadoption"/>
        <w:rPr>
          <w:noProof/>
        </w:rPr>
      </w:pPr>
      <w:r>
        <w:rPr>
          <w:noProof/>
        </w:rPr>
        <w:t>ELFOGADTA EZT AZ IRÁNYELVET:</w:t>
      </w:r>
    </w:p>
    <w:p w:rsidR="00BB3609" w:rsidRDefault="008E1F07">
      <w:pPr>
        <w:pStyle w:val="SectionTitle"/>
        <w:rPr>
          <w:noProof/>
        </w:rPr>
      </w:pPr>
      <w:r>
        <w:rPr>
          <w:noProof/>
        </w:rPr>
        <w:t>1. szakasz: Általános rendelkezések</w:t>
      </w:r>
    </w:p>
    <w:p w:rsidR="00BB3609" w:rsidRDefault="008E1F07">
      <w:pPr>
        <w:pStyle w:val="Titrearticle"/>
        <w:rPr>
          <w:noProof/>
        </w:rPr>
      </w:pPr>
      <w:r>
        <w:rPr>
          <w:noProof/>
        </w:rPr>
        <w:t>1. cikk</w:t>
      </w:r>
      <w:r>
        <w:rPr>
          <w:noProof/>
        </w:rPr>
        <w:br/>
      </w:r>
      <w:r>
        <w:rPr>
          <w:b/>
          <w:i w:val="0"/>
          <w:noProof/>
        </w:rPr>
        <w:t>Tárgy</w:t>
      </w:r>
    </w:p>
    <w:p w:rsidR="00BB3609" w:rsidRDefault="008E1F07">
      <w:pPr>
        <w:rPr>
          <w:noProof/>
        </w:rPr>
      </w:pPr>
      <w:r>
        <w:rPr>
          <w:noProof/>
        </w:rPr>
        <w:t>A jelen irányelv célja a tengeri környezet megvédése az Uni</w:t>
      </w:r>
      <w:r>
        <w:rPr>
          <w:noProof/>
        </w:rPr>
        <w:t>óban található kikötőket használó hajókról származó hulladékok tengerbe ürítésének negatív hatásaitól, miközben zavartalan tengeri forgalmat biztosít, a megfelelő kikötői fogadólétesítmények rendelkezésre állásának, illetve a hulladékok e létesítményekbe v</w:t>
      </w:r>
      <w:r>
        <w:rPr>
          <w:noProof/>
        </w:rPr>
        <w:t>aló leadásának javításával.</w:t>
      </w:r>
    </w:p>
    <w:p w:rsidR="00BB3609" w:rsidRDefault="008E1F07">
      <w:pPr>
        <w:pStyle w:val="Titrearticle"/>
        <w:rPr>
          <w:b/>
          <w:i w:val="0"/>
          <w:noProof/>
        </w:rPr>
      </w:pPr>
      <w:r>
        <w:rPr>
          <w:noProof/>
        </w:rPr>
        <w:t>2. cikk</w:t>
      </w:r>
      <w:r>
        <w:rPr>
          <w:noProof/>
        </w:rPr>
        <w:br/>
      </w:r>
      <w:r>
        <w:rPr>
          <w:b/>
          <w:i w:val="0"/>
          <w:noProof/>
        </w:rPr>
        <w:t>Fogalommeghatározások</w:t>
      </w:r>
    </w:p>
    <w:p w:rsidR="00BB3609" w:rsidRDefault="008E1F07">
      <w:pPr>
        <w:rPr>
          <w:noProof/>
        </w:rPr>
      </w:pPr>
      <w:r>
        <w:rPr>
          <w:noProof/>
        </w:rPr>
        <w:t>Ezen irányelv alkalmazásában:</w:t>
      </w:r>
    </w:p>
    <w:p w:rsidR="00BB3609" w:rsidRDefault="008E1F07"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</w:r>
      <w:r>
        <w:rPr>
          <w:noProof/>
        </w:rPr>
        <w:t>„hajó”: bármilyen típusú tengeri jármű, amely a tengeri környezetben üzemel, beleértve a halászhajókat és a kereskedelmi tevékenységet nem folytató kedvtelési célú vízi járműveket, a hordszárnyas hajókat, a légpárnás hajókat, a tengeralattjárókat és az úsz</w:t>
      </w:r>
      <w:r>
        <w:rPr>
          <w:noProof/>
        </w:rPr>
        <w:t xml:space="preserve">ó munkagépeket; </w:t>
      </w:r>
    </w:p>
    <w:p w:rsidR="00BB3609" w:rsidRDefault="008E1F07"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>„MARPOL-egyezmény”: a hajókról történő szennyezés megelőzéséről szóló nemzetközi egyezmény naprakész változata;</w:t>
      </w:r>
    </w:p>
    <w:p w:rsidR="00BB3609" w:rsidRDefault="008E1F07">
      <w:pPr>
        <w:pStyle w:val="Point1"/>
        <w:rPr>
          <w:noProof/>
        </w:rPr>
      </w:pPr>
      <w:r>
        <w:rPr>
          <w:noProof/>
        </w:rPr>
        <w:t>c)</w:t>
      </w:r>
      <w:r>
        <w:rPr>
          <w:noProof/>
        </w:rPr>
        <w:tab/>
        <w:t>„hajókról származó hulladék”: minden hulladék, beleértve a rakománymaradványokat, amelyek a hajó üzemelése, illetve a ber</w:t>
      </w:r>
      <w:r>
        <w:rPr>
          <w:noProof/>
        </w:rPr>
        <w:t>akodási, kirakodási és tisztítási műveletek során keletkeznek, valamint a halászati művelet során a hálóba kerülő hulladékok, és amelyek a MARPOL-egyezmény I., II., IV., V. és VI. mellékletének hatálya alá tartoznak;</w:t>
      </w:r>
    </w:p>
    <w:p w:rsidR="00BB3609" w:rsidRDefault="008E1F07">
      <w:pPr>
        <w:pStyle w:val="Point1"/>
        <w:rPr>
          <w:noProof/>
        </w:rPr>
      </w:pPr>
      <w:r>
        <w:rPr>
          <w:noProof/>
        </w:rPr>
        <w:t>d)</w:t>
      </w:r>
      <w:r>
        <w:rPr>
          <w:noProof/>
        </w:rPr>
        <w:tab/>
        <w:t>„rakománymaradványok”: a hajó fedélz</w:t>
      </w:r>
      <w:r>
        <w:rPr>
          <w:noProof/>
        </w:rPr>
        <w:t>etén lévő rakomány maradványa, amely a be- és kirakodást követően a fedélzeten vagy a raktérben marad, beleértve a be- és kirakodási többletet, valamint a kiömlő anyagokat is, függetlenül attól, hogy nedves vagy száraz állapotú, vagy a mosóvízben található</w:t>
      </w:r>
      <w:r>
        <w:rPr>
          <w:noProof/>
        </w:rPr>
        <w:t>, de nem ideértve a rakományból származó port, ami seprést követően a fedélzeten marad, illetve a hajó külső felületeire lerakódott port;</w:t>
      </w:r>
    </w:p>
    <w:p w:rsidR="00BB3609" w:rsidRDefault="008E1F07">
      <w:pPr>
        <w:pStyle w:val="Point1"/>
        <w:rPr>
          <w:noProof/>
        </w:rPr>
      </w:pPr>
      <w:r>
        <w:rPr>
          <w:noProof/>
        </w:rPr>
        <w:t>e)</w:t>
      </w:r>
      <w:r>
        <w:rPr>
          <w:noProof/>
        </w:rPr>
        <w:tab/>
        <w:t>„kikötői fogadólétesítmény”: minden rögzített, úszó vagy mozgatható létesítmény, amely alkalmas a hajókról származó</w:t>
      </w:r>
      <w:r>
        <w:rPr>
          <w:noProof/>
        </w:rPr>
        <w:t xml:space="preserve"> hulladék fogadására;</w:t>
      </w:r>
    </w:p>
    <w:p w:rsidR="00BB3609" w:rsidRDefault="008E1F07">
      <w:pPr>
        <w:pStyle w:val="Point1"/>
        <w:rPr>
          <w:noProof/>
        </w:rPr>
      </w:pPr>
      <w:r>
        <w:rPr>
          <w:noProof/>
        </w:rPr>
        <w:t>f)</w:t>
      </w:r>
      <w:r>
        <w:rPr>
          <w:noProof/>
        </w:rPr>
        <w:tab/>
        <w:t>„halászhajó”: a halak vagy más tengeri élőlények fogására kereskedelmi céllal használt vagy ahhoz felszerelt hajó;</w:t>
      </w:r>
    </w:p>
    <w:p w:rsidR="00BB3609" w:rsidRDefault="008E1F07">
      <w:pPr>
        <w:pStyle w:val="Point1"/>
        <w:rPr>
          <w:noProof/>
        </w:rPr>
      </w:pPr>
      <w:r>
        <w:rPr>
          <w:noProof/>
        </w:rPr>
        <w:t>g)</w:t>
      </w:r>
      <w:r>
        <w:rPr>
          <w:noProof/>
        </w:rPr>
        <w:tab/>
        <w:t>„kedvtelési célú vízi jármű”: bármilyen típusú, 2,5 méteres vagy azt meghaladó teljes hosszúságú, sportolásra vag</w:t>
      </w:r>
      <w:r>
        <w:rPr>
          <w:noProof/>
        </w:rPr>
        <w:t>y szabadidős célokra használt és kereskedelmi tevékenységet nem folytató hajó, a meghajtási módjától függetlenül;</w:t>
      </w:r>
    </w:p>
    <w:p w:rsidR="00BB3609" w:rsidRDefault="008E1F07">
      <w:pPr>
        <w:pStyle w:val="Point1"/>
        <w:rPr>
          <w:noProof/>
        </w:rPr>
      </w:pPr>
      <w:r>
        <w:rPr>
          <w:noProof/>
        </w:rPr>
        <w:t>h)</w:t>
      </w:r>
      <w:r>
        <w:rPr>
          <w:noProof/>
        </w:rPr>
        <w:tab/>
        <w:t>„belföldi hajó”: egy tagállam zászlaja alatt közlekedő hajó, amely kizárólag belföldi utakon vesz részt az adott tagállamban;</w:t>
      </w:r>
    </w:p>
    <w:p w:rsidR="00BB3609" w:rsidRDefault="008E1F07">
      <w:pPr>
        <w:pStyle w:val="Point1"/>
        <w:rPr>
          <w:noProof/>
        </w:rPr>
      </w:pPr>
      <w:r>
        <w:rPr>
          <w:noProof/>
        </w:rPr>
        <w:t>i)</w:t>
      </w:r>
      <w:r>
        <w:rPr>
          <w:noProof/>
        </w:rPr>
        <w:tab/>
        <w:t xml:space="preserve">„belföldi </w:t>
      </w:r>
      <w:r>
        <w:rPr>
          <w:noProof/>
        </w:rPr>
        <w:t>út”: olyan tengerszakaszon folytatott út, amely egy tagállam kikötőjéből ugyanabba a kikötőbe, vagy a tagállam területén lévő másik kikötőbe vezet;</w:t>
      </w:r>
    </w:p>
    <w:p w:rsidR="00BB3609" w:rsidRDefault="008E1F07">
      <w:pPr>
        <w:pStyle w:val="Point1"/>
        <w:rPr>
          <w:noProof/>
        </w:rPr>
      </w:pPr>
      <w:r>
        <w:rPr>
          <w:noProof/>
        </w:rPr>
        <w:t>j)</w:t>
      </w:r>
      <w:r>
        <w:rPr>
          <w:noProof/>
        </w:rPr>
        <w:tab/>
        <w:t>„kikötő”: az a hely vagy földrajzi terület, amelyet kiépítettek és berendezésekkel szereltek fel, ezzel l</w:t>
      </w:r>
      <w:r>
        <w:rPr>
          <w:noProof/>
        </w:rPr>
        <w:t>ehetővé téve a hajók fogadását, beleértve a kikötő joghatósága alá tartozó horgonyzási területet is;</w:t>
      </w:r>
    </w:p>
    <w:p w:rsidR="00BB3609" w:rsidRDefault="008E1F07">
      <w:pPr>
        <w:pStyle w:val="Point1"/>
        <w:rPr>
          <w:noProof/>
        </w:rPr>
      </w:pPr>
      <w:r>
        <w:rPr>
          <w:noProof/>
        </w:rPr>
        <w:t>k)</w:t>
      </w:r>
      <w:r>
        <w:rPr>
          <w:noProof/>
        </w:rPr>
        <w:tab/>
        <w:t>„étkezési hulladék”: az éttermekből, vendéglátóipari egységekből és konyhákból származó minden élelmiszer-hulladék, beleértve a használt főzőolajat;</w:t>
      </w:r>
    </w:p>
    <w:p w:rsidR="00BB3609" w:rsidRDefault="008E1F07">
      <w:pPr>
        <w:pStyle w:val="Point1"/>
        <w:rPr>
          <w:noProof/>
        </w:rPr>
      </w:pPr>
      <w:r>
        <w:rPr>
          <w:noProof/>
        </w:rPr>
        <w:t>l)</w:t>
      </w:r>
      <w:r>
        <w:rPr>
          <w:noProof/>
        </w:rPr>
        <w:tab/>
      </w:r>
      <w:r>
        <w:rPr>
          <w:noProof/>
        </w:rPr>
        <w:t>„elegendő tárolókapacitás”: akkora kapacitás, amely az indulás pillanatától a kikötés céljából igénybe veendő következő kikötőig lehetővé teszi a fedélzeti hulladék tárolását, beleértve az út során esetlegesen keletkező hulladékmennyiséget;</w:t>
      </w:r>
    </w:p>
    <w:p w:rsidR="00BB3609" w:rsidRDefault="008E1F07">
      <w:pPr>
        <w:pStyle w:val="Point1"/>
        <w:rPr>
          <w:noProof/>
        </w:rPr>
      </w:pPr>
      <w:r>
        <w:rPr>
          <w:noProof/>
        </w:rPr>
        <w:t>m)</w:t>
      </w:r>
      <w:r>
        <w:rPr>
          <w:noProof/>
        </w:rPr>
        <w:tab/>
        <w:t>„menetrend s</w:t>
      </w:r>
      <w:r>
        <w:rPr>
          <w:noProof/>
        </w:rPr>
        <w:t>zerinti közlekedés”: az indulási és érkezési időpontok közzétett vagy megtervezett listájának alapján történő közlekedés meghatározott kikötők között vagy ismétlődő áthaladás, ami elismert menetrendnek tekinthető;</w:t>
      </w:r>
    </w:p>
    <w:p w:rsidR="00BB3609" w:rsidRDefault="008E1F07">
      <w:pPr>
        <w:pStyle w:val="Point1"/>
        <w:rPr>
          <w:noProof/>
        </w:rPr>
      </w:pPr>
      <w:r>
        <w:rPr>
          <w:noProof/>
        </w:rPr>
        <w:t>n)</w:t>
      </w:r>
      <w:r>
        <w:rPr>
          <w:noProof/>
        </w:rPr>
        <w:tab/>
        <w:t>„kikötő rendszeres felkeresése”: ugyana</w:t>
      </w:r>
      <w:r>
        <w:rPr>
          <w:noProof/>
        </w:rPr>
        <w:t>zon hajó ismétlődő útjai, amelyek meghatározott kikötők között állandó mintát képeznek, vagy utak sora egy adott kikötőből ki és vissza, közbeeső kikötő felkeresése nélkül;</w:t>
      </w:r>
    </w:p>
    <w:p w:rsidR="00BB3609" w:rsidRDefault="008E1F07">
      <w:pPr>
        <w:pStyle w:val="Point1"/>
        <w:rPr>
          <w:noProof/>
        </w:rPr>
      </w:pPr>
      <w:r>
        <w:rPr>
          <w:noProof/>
        </w:rPr>
        <w:t>o)</w:t>
      </w:r>
      <w:r>
        <w:rPr>
          <w:noProof/>
        </w:rPr>
        <w:tab/>
        <w:t>„kikötő gyakori felkeresése”: egy kikötő meglátogatása ugyanazon hajó által, leg</w:t>
      </w:r>
      <w:r>
        <w:rPr>
          <w:noProof/>
        </w:rPr>
        <w:t>alább kétheti rendszerességgel;</w:t>
      </w:r>
    </w:p>
    <w:p w:rsidR="00BB3609" w:rsidRDefault="008E1F07">
      <w:pPr>
        <w:pStyle w:val="Point1"/>
        <w:rPr>
          <w:noProof/>
        </w:rPr>
      </w:pPr>
      <w:r>
        <w:rPr>
          <w:noProof/>
        </w:rPr>
        <w:t>p)</w:t>
      </w:r>
      <w:r>
        <w:rPr>
          <w:noProof/>
        </w:rPr>
        <w:tab/>
        <w:t>„GISIS”: a Nemzetközi Tengerészeti Szervezet által létrehozott globális integrált hajózási információs rendszer.</w:t>
      </w:r>
    </w:p>
    <w:p w:rsidR="00BB3609" w:rsidRDefault="00BB3609">
      <w:pPr>
        <w:rPr>
          <w:noProof/>
        </w:rPr>
      </w:pPr>
    </w:p>
    <w:p w:rsidR="00BB3609" w:rsidRDefault="008E1F07">
      <w:pPr>
        <w:pStyle w:val="Text1"/>
        <w:rPr>
          <w:noProof/>
        </w:rPr>
      </w:pPr>
      <w:r>
        <w:rPr>
          <w:noProof/>
        </w:rPr>
        <w:t>A c) és d) pontokban meghatározott „hajókról származó hulladékot” a 2008/98/EK irányelv</w:t>
      </w:r>
      <w:r>
        <w:rPr>
          <w:rStyle w:val="FootnoteReference"/>
          <w:noProof/>
        </w:rPr>
        <w:footnoteReference w:id="27"/>
      </w:r>
      <w:r>
        <w:rPr>
          <w:noProof/>
        </w:rPr>
        <w:t xml:space="preserve"> 3. cikke (1) bekez</w:t>
      </w:r>
      <w:r>
        <w:rPr>
          <w:noProof/>
        </w:rPr>
        <w:t>dése szerinti hulladéknak kell tekinteni.</w:t>
      </w:r>
    </w:p>
    <w:p w:rsidR="00BB3609" w:rsidRDefault="008E1F07">
      <w:pPr>
        <w:pStyle w:val="Titrearticle"/>
        <w:rPr>
          <w:b/>
          <w:i w:val="0"/>
          <w:noProof/>
        </w:rPr>
      </w:pPr>
      <w:r>
        <w:rPr>
          <w:noProof/>
        </w:rPr>
        <w:t>3. cikk</w:t>
      </w:r>
      <w:r>
        <w:rPr>
          <w:noProof/>
        </w:rPr>
        <w:br/>
      </w:r>
      <w:r>
        <w:rPr>
          <w:b/>
          <w:i w:val="0"/>
          <w:noProof/>
        </w:rPr>
        <w:t>Hatály</w:t>
      </w:r>
    </w:p>
    <w:p w:rsidR="00BB3609" w:rsidRDefault="008E1F07">
      <w:pPr>
        <w:rPr>
          <w:noProof/>
        </w:rPr>
      </w:pPr>
      <w:r>
        <w:rPr>
          <w:noProof/>
        </w:rPr>
        <w:t>Ez az irányelv az alábbiakra alkalmazandó:</w:t>
      </w:r>
    </w:p>
    <w:p w:rsidR="00BB3609" w:rsidRDefault="008E1F07"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>valamennyi hajóra, amely valamely tagállam kikötőjében kiköt vagy ott üzemel, függetlenül attól, hogy milyen zászló alatt hajóznak, kivéve a hadihajókat,</w:t>
      </w:r>
      <w:r>
        <w:rPr>
          <w:noProof/>
        </w:rPr>
        <w:t xml:space="preserve"> illetve az állam tulajdonában lévő, vagy az állam által üzemeltetett haditengerészeti kisegítő vagy bármilyen egyéb hajót, amely az adott időpontban kizárólag kormányzati, és nem kereskedelmi jellegű feladatot lát el; </w:t>
      </w:r>
    </w:p>
    <w:p w:rsidR="00BB3609" w:rsidRDefault="008E1F07"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>a tagállamok valamennyi kikötőjér</w:t>
      </w:r>
      <w:r>
        <w:rPr>
          <w:noProof/>
        </w:rPr>
        <w:t>e, amelyet általában az a) pont hatálya alá tartozó hajók keresnek fel.</w:t>
      </w:r>
    </w:p>
    <w:p w:rsidR="00BB3609" w:rsidRDefault="008E1F07">
      <w:pPr>
        <w:rPr>
          <w:noProof/>
        </w:rPr>
      </w:pPr>
      <w:r>
        <w:rPr>
          <w:noProof/>
        </w:rPr>
        <w:t>A tagállamok megteszik a szükséges intézkedéseket, hogy azokban az esetekben, amikor ez lehetséges, a jelen irányelv hatályán kívül eső hajók szintén az irányelv előírásaival összhangb</w:t>
      </w:r>
      <w:r>
        <w:rPr>
          <w:noProof/>
        </w:rPr>
        <w:t>an adják le a hulladékaikat.</w:t>
      </w:r>
    </w:p>
    <w:p w:rsidR="00BB3609" w:rsidRDefault="00BB3609">
      <w:pPr>
        <w:rPr>
          <w:noProof/>
        </w:rPr>
      </w:pPr>
    </w:p>
    <w:p w:rsidR="00BB3609" w:rsidRDefault="008E1F07">
      <w:pPr>
        <w:pStyle w:val="SectionTitle"/>
        <w:rPr>
          <w:noProof/>
        </w:rPr>
      </w:pPr>
      <w:r>
        <w:rPr>
          <w:noProof/>
        </w:rPr>
        <w:t>2. szakasz: A megfelelő kikötői fogadólétesítmények rendelkezésre bocsátása</w:t>
      </w:r>
    </w:p>
    <w:p w:rsidR="00BB3609" w:rsidRDefault="008E1F07">
      <w:pPr>
        <w:pStyle w:val="Titrearticle"/>
        <w:rPr>
          <w:b/>
          <w:i w:val="0"/>
          <w:noProof/>
        </w:rPr>
      </w:pPr>
      <w:r>
        <w:rPr>
          <w:noProof/>
        </w:rPr>
        <w:t>4. cikk</w:t>
      </w:r>
      <w:r>
        <w:rPr>
          <w:noProof/>
        </w:rPr>
        <w:br/>
      </w:r>
      <w:r>
        <w:rPr>
          <w:b/>
          <w:i w:val="0"/>
          <w:noProof/>
        </w:rPr>
        <w:t>Kikötői fogadólétesítmények</w:t>
      </w:r>
    </w:p>
    <w:p w:rsidR="00BB3609" w:rsidRDefault="008E1F07">
      <w:pPr>
        <w:pStyle w:val="Point0number"/>
        <w:numPr>
          <w:ilvl w:val="0"/>
          <w:numId w:val="18"/>
        </w:numPr>
        <w:rPr>
          <w:noProof/>
        </w:rPr>
      </w:pPr>
      <w:r>
        <w:rPr>
          <w:noProof/>
        </w:rPr>
        <w:t>A tagállamok a hajók szükségtelen feltartóztatása nélkül biztosítják a kikötőiket általában használó hajók igényei</w:t>
      </w:r>
      <w:r>
        <w:rPr>
          <w:noProof/>
        </w:rPr>
        <w:t>nek megfelelő kikötői fogadólétesítmények hozzáférhetőségét.</w:t>
      </w:r>
    </w:p>
    <w:p w:rsidR="00BB3609" w:rsidRDefault="008E1F07">
      <w:pPr>
        <w:pStyle w:val="Point0number"/>
        <w:rPr>
          <w:noProof/>
        </w:rPr>
      </w:pPr>
      <w:r>
        <w:rPr>
          <w:noProof/>
        </w:rPr>
        <w:t>A tagállamok biztosítják, hogy:</w:t>
      </w:r>
    </w:p>
    <w:p w:rsidR="00BB3609" w:rsidRDefault="008E1F07"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>A kikötői fogadólétesítmények alkalmasak az adott kikötőt általában használó hajókról származó hulladék típusainak és mennyiségeinek fogadására, tekintettel a k</w:t>
      </w:r>
      <w:r>
        <w:rPr>
          <w:noProof/>
        </w:rPr>
        <w:t>ikötő felhasználóinak üzemeltetési igényeire, a kikötő méretére és földrajzi elhelyezkedésére, a kikötőbe érkező hajók típusára és a 9. cikkben meghatározott mentességekre.</w:t>
      </w:r>
    </w:p>
    <w:p w:rsidR="00BB3609" w:rsidRDefault="008E1F07"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>A létesítmények használatára vonatkozó formaságok egyszerűek és gyorsan elvégezh</w:t>
      </w:r>
      <w:r>
        <w:rPr>
          <w:noProof/>
        </w:rPr>
        <w:t>etők, és nem tartóztatják fel szükségtelenül a hajókat, valamint a leadásért felszámított díj nem tartja vissza a hajókat a kikötői fogadólétesítmények igénybevételétől;</w:t>
      </w:r>
    </w:p>
    <w:p w:rsidR="00BB3609" w:rsidRDefault="008E1F07">
      <w:pPr>
        <w:pStyle w:val="Point1"/>
        <w:rPr>
          <w:noProof/>
        </w:rPr>
      </w:pPr>
      <w:r>
        <w:rPr>
          <w:noProof/>
        </w:rPr>
        <w:t>c)</w:t>
      </w:r>
      <w:r>
        <w:rPr>
          <w:noProof/>
        </w:rPr>
        <w:tab/>
        <w:t>A kikötői fogadólétesítmények lehetővé teszik a hajókról származó hulladék környeze</w:t>
      </w:r>
      <w:r>
        <w:rPr>
          <w:noProof/>
        </w:rPr>
        <w:t>ti szempontból megfelelő kezelését, a 2008/98/EK irányelvvel és a hulladékokról szóló egyéb vonatkozó uniós jogszabályokkal összhangban. Ennek érdekében a tagállamok előírják a hajókról származó hulladékok külön gyűjtését a kikötőkben, ahogy azt a hulladék</w:t>
      </w:r>
      <w:r>
        <w:rPr>
          <w:noProof/>
        </w:rPr>
        <w:t>okról szóló uniós jogszabályok, különösen a 2008/98/EK irányelv, a 2012/19/EU irányelv és a 2006/66/EK irányelv megkövetelik. A c) pontot a nemzetközi közlekedésből származó étkezési hulladékok kezelését illetően az 1069/2009/EK rendeletben meghatározott s</w:t>
      </w:r>
      <w:r>
        <w:rPr>
          <w:noProof/>
        </w:rPr>
        <w:t>zigorúbb követelmények sérelme nélkül kell alkalmazni.</w:t>
      </w:r>
    </w:p>
    <w:p w:rsidR="00BB3609" w:rsidRDefault="008E1F07">
      <w:pPr>
        <w:pStyle w:val="Point0number"/>
        <w:rPr>
          <w:noProof/>
        </w:rPr>
      </w:pPr>
      <w:r>
        <w:rPr>
          <w:noProof/>
        </w:rPr>
        <w:t>A tagállamok az IMO által meghatározott űrlapokat és eljárásokat használják arra, hogy bejelentsék a kikötő szerint illetékes állam hatóságainak a kikötői fogadólétesítmények megfelelési hiányosságait.</w:t>
      </w:r>
    </w:p>
    <w:p w:rsidR="00BB3609" w:rsidRDefault="008E1F07">
      <w:pPr>
        <w:pStyle w:val="Text1"/>
        <w:rPr>
          <w:noProof/>
        </w:rPr>
      </w:pPr>
      <w:r>
        <w:rPr>
          <w:noProof/>
        </w:rPr>
        <w:t>Az ilyen bejelentési eljárásokon keresztül beérkező minden információt elektronikus úton továbbítanak a jelen irányelv 14. cikkében említett tájékoztatási, nyomonkövetési és végrehajtási rendszerbe.</w:t>
      </w:r>
    </w:p>
    <w:p w:rsidR="00BB3609" w:rsidRDefault="008E1F07">
      <w:pPr>
        <w:pStyle w:val="Point0number"/>
        <w:rPr>
          <w:noProof/>
        </w:rPr>
      </w:pPr>
      <w:r>
        <w:rPr>
          <w:noProof/>
        </w:rPr>
        <w:t>A tagállamok megvizsgálnak minden bejelentett megfelelés</w:t>
      </w:r>
      <w:r>
        <w:rPr>
          <w:noProof/>
        </w:rPr>
        <w:t>i hiányosságot, és biztosítják, hogy a hajókról származó hulladékok leadásában vagy fogadásában érintett minden fél kártérítést kérhet a szükségtelen késedelmek okozta károkért.</w:t>
      </w:r>
    </w:p>
    <w:p w:rsidR="00BB3609" w:rsidRDefault="008E1F07">
      <w:pPr>
        <w:pStyle w:val="Titrearticle"/>
        <w:rPr>
          <w:b/>
          <w:i w:val="0"/>
          <w:noProof/>
        </w:rPr>
      </w:pPr>
      <w:r>
        <w:rPr>
          <w:noProof/>
        </w:rPr>
        <w:t>5. cikk</w:t>
      </w:r>
      <w:r>
        <w:rPr>
          <w:noProof/>
        </w:rPr>
        <w:br/>
      </w:r>
      <w:r>
        <w:rPr>
          <w:b/>
          <w:i w:val="0"/>
          <w:noProof/>
        </w:rPr>
        <w:t>Hulladékgazdálkodási tervek</w:t>
      </w:r>
    </w:p>
    <w:p w:rsidR="00BB3609" w:rsidRDefault="008E1F07">
      <w:pPr>
        <w:pStyle w:val="Point0number"/>
        <w:numPr>
          <w:ilvl w:val="0"/>
          <w:numId w:val="19"/>
        </w:numPr>
        <w:rPr>
          <w:noProof/>
        </w:rPr>
      </w:pPr>
      <w:r>
        <w:rPr>
          <w:noProof/>
        </w:rPr>
        <w:t>Az érintett felekkel, különösen a kikötőket használókkal vagy azok képviselőivel folytatott folyamatos konzultáció után minden kikötőben megfelelő hulladékgazdálkodási terveket kell kidolgozni és végrehajtani. Ezekre a konzultációkra a tervek kezdeti megsz</w:t>
      </w:r>
      <w:r>
        <w:rPr>
          <w:noProof/>
        </w:rPr>
        <w:t>övegezésekor és elfogadásukat követően egyaránt sor kell keríteni, különösen pedig akkor, amikor jelentős módosítások állnak be a 4., 6. és 7. cikkekben megfogalmazott követelményekkel kapcsolatban. Az ilyen tervek kidolgozására vonatkozó részletes követel</w:t>
      </w:r>
      <w:r>
        <w:rPr>
          <w:noProof/>
        </w:rPr>
        <w:t>ményeket az 1. melléklet határozza meg.</w:t>
      </w:r>
    </w:p>
    <w:p w:rsidR="00BB3609" w:rsidRDefault="008E1F07">
      <w:pPr>
        <w:pStyle w:val="Point0number"/>
        <w:rPr>
          <w:noProof/>
        </w:rPr>
      </w:pPr>
      <w:r>
        <w:rPr>
          <w:noProof/>
        </w:rPr>
        <w:t>A tagállamok biztosítják, hogy a hulladékgazdálkodási terveken szereplő és a megfelelő fogadólétesítmények kikötőkben való rendelkezésre állásáról, illetve a kapcsolódó költségekről szóló alábbi információk egyértelm</w:t>
      </w:r>
      <w:r>
        <w:rPr>
          <w:noProof/>
        </w:rPr>
        <w:t>űen ismertetve vannak a hajók üzemeltetőivel és nyilvánosan elérhetők a kikötő weboldalán vagy nyomtatott formában:</w:t>
      </w:r>
    </w:p>
    <w:p w:rsidR="00BB3609" w:rsidRDefault="008E1F07"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>a kikötői fogadólétesítmények elhelyezkedése az egyes kikötőhelyekhez képest;</w:t>
      </w:r>
    </w:p>
    <w:p w:rsidR="00BB3609" w:rsidRDefault="008E1F07"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>a hajókról származó azon hulladékok listája, amelyeket a</w:t>
      </w:r>
      <w:r>
        <w:rPr>
          <w:noProof/>
        </w:rPr>
        <w:t xml:space="preserve"> kikötő rendszerint kezel;</w:t>
      </w:r>
    </w:p>
    <w:p w:rsidR="00BB3609" w:rsidRDefault="008E1F07">
      <w:pPr>
        <w:pStyle w:val="Point1"/>
        <w:rPr>
          <w:noProof/>
        </w:rPr>
      </w:pPr>
      <w:r>
        <w:rPr>
          <w:noProof/>
        </w:rPr>
        <w:t>c)</w:t>
      </w:r>
      <w:r>
        <w:rPr>
          <w:noProof/>
        </w:rPr>
        <w:tab/>
        <w:t>kapcsolattartási helyek, üzemeltetők és a kínált szolgáltatások felsorolása;</w:t>
      </w:r>
    </w:p>
    <w:p w:rsidR="00BB3609" w:rsidRDefault="008E1F07">
      <w:pPr>
        <w:pStyle w:val="Point1"/>
        <w:rPr>
          <w:noProof/>
        </w:rPr>
      </w:pPr>
      <w:r>
        <w:rPr>
          <w:noProof/>
        </w:rPr>
        <w:t>d)</w:t>
      </w:r>
      <w:r>
        <w:rPr>
          <w:noProof/>
        </w:rPr>
        <w:tab/>
        <w:t>a hulladékok leadására vonatkozó eljárások leírása;</w:t>
      </w:r>
    </w:p>
    <w:p w:rsidR="00BB3609" w:rsidRDefault="008E1F07">
      <w:pPr>
        <w:pStyle w:val="Point1"/>
        <w:rPr>
          <w:noProof/>
        </w:rPr>
      </w:pPr>
      <w:r>
        <w:rPr>
          <w:noProof/>
        </w:rPr>
        <w:t>e)</w:t>
      </w:r>
      <w:r>
        <w:rPr>
          <w:noProof/>
        </w:rPr>
        <w:tab/>
        <w:t>a költségtérítési rendszerek leírása; valamint</w:t>
      </w:r>
    </w:p>
    <w:p w:rsidR="00BB3609" w:rsidRDefault="008E1F07">
      <w:pPr>
        <w:pStyle w:val="Point1"/>
        <w:rPr>
          <w:noProof/>
        </w:rPr>
      </w:pPr>
      <w:r>
        <w:rPr>
          <w:noProof/>
        </w:rPr>
        <w:t>f)</w:t>
      </w:r>
      <w:r>
        <w:rPr>
          <w:noProof/>
        </w:rPr>
        <w:tab/>
        <w:t>a kikötői fogadólétesítmények megfelelési</w:t>
      </w:r>
      <w:r>
        <w:rPr>
          <w:noProof/>
        </w:rPr>
        <w:t xml:space="preserve"> hiányosságairól szóló jelentési eljárások leírása.</w:t>
      </w:r>
    </w:p>
    <w:p w:rsidR="00BB3609" w:rsidRDefault="008E1F07">
      <w:pPr>
        <w:pStyle w:val="Text1"/>
        <w:rPr>
          <w:noProof/>
        </w:rPr>
      </w:pPr>
      <w:r>
        <w:rPr>
          <w:noProof/>
        </w:rPr>
        <w:t>A 2002/59/EK irányelvvel összhangban ezeket az információkat elektronikus úton továbbítani kell a jelen irányelv 14. cikkében említett tájékoztatási, nyomonkövetési és végrehajtási rendszerbe.</w:t>
      </w:r>
    </w:p>
    <w:p w:rsidR="00BB3609" w:rsidRDefault="008E1F07">
      <w:pPr>
        <w:pStyle w:val="Point0number"/>
        <w:rPr>
          <w:noProof/>
        </w:rPr>
      </w:pPr>
      <w:r>
        <w:rPr>
          <w:noProof/>
        </w:rPr>
        <w:t>Az (1) beke</w:t>
      </w:r>
      <w:r>
        <w:rPr>
          <w:noProof/>
        </w:rPr>
        <w:t>zdésben említett hulladékgazdálkodási tervet ott, ahol azt a hatékonysági megfontolások megkövetelik, az ugyanabba a régióba tartozó két vagy több kikötő közösen is kidolgozhatja, valamennyi kikötő megfelelő szintű bevonásával, feltéve hogy a fogadólétesít</w:t>
      </w:r>
      <w:r>
        <w:rPr>
          <w:noProof/>
        </w:rPr>
        <w:t>mények iránti igény és ezek hozzáférhetősége minden egyes kikötő esetében meghatározott.</w:t>
      </w:r>
    </w:p>
    <w:p w:rsidR="00BB3609" w:rsidRDefault="008E1F07">
      <w:pPr>
        <w:pStyle w:val="Point0number"/>
        <w:rPr>
          <w:noProof/>
        </w:rPr>
      </w:pPr>
      <w:r>
        <w:rPr>
          <w:noProof/>
        </w:rPr>
        <w:t>A tagállamok értékelik és jóváhagyják a hulladékgazdálkodási tervet, ellenőrzik annak végrehajtását, és a jóváhagyás vagy az újbóli jóváhagyás után legalább háromévent</w:t>
      </w:r>
      <w:r>
        <w:rPr>
          <w:noProof/>
        </w:rPr>
        <w:t>e, valamint a kikötő működésében bekövetkező jelentős változásokat követően biztosítják az újbóli jóváhagyását. Ezek a változások nem kimerítő jelleggel magukban foglalják a kikötő forgalmában beálló szerkezeti változásokat, az új infrastruktúrák létrehozá</w:t>
      </w:r>
      <w:r>
        <w:rPr>
          <w:noProof/>
        </w:rPr>
        <w:t>sát, a kikötői fogadólétesítmények iránti kérelemben és azok biztosításában beálló változásokat, illetve az új fedélzeti kezelési technikákat.</w:t>
      </w:r>
    </w:p>
    <w:p w:rsidR="00BB3609" w:rsidRDefault="00BB3609">
      <w:pPr>
        <w:pStyle w:val="Text1"/>
        <w:rPr>
          <w:noProof/>
        </w:rPr>
      </w:pPr>
    </w:p>
    <w:p w:rsidR="00BB3609" w:rsidRDefault="008E1F07">
      <w:pPr>
        <w:pStyle w:val="SectionTitle"/>
        <w:rPr>
          <w:noProof/>
        </w:rPr>
      </w:pPr>
      <w:r>
        <w:rPr>
          <w:noProof/>
        </w:rPr>
        <w:t xml:space="preserve">3. szakasz </w:t>
      </w:r>
      <w:r>
        <w:rPr>
          <w:noProof/>
        </w:rPr>
        <w:br/>
        <w:t>A hajókról származó hulladék leadása</w:t>
      </w:r>
    </w:p>
    <w:p w:rsidR="00BB3609" w:rsidRDefault="008E1F07">
      <w:pPr>
        <w:pStyle w:val="Titrearticle"/>
        <w:rPr>
          <w:b/>
          <w:i w:val="0"/>
          <w:noProof/>
        </w:rPr>
      </w:pPr>
      <w:r>
        <w:rPr>
          <w:noProof/>
        </w:rPr>
        <w:t>6. cikk</w:t>
      </w:r>
      <w:r>
        <w:rPr>
          <w:noProof/>
        </w:rPr>
        <w:br/>
      </w:r>
      <w:r>
        <w:rPr>
          <w:b/>
          <w:i w:val="0"/>
          <w:noProof/>
        </w:rPr>
        <w:t>Előzetes hulladékbejelentés</w:t>
      </w:r>
    </w:p>
    <w:p w:rsidR="00BB3609" w:rsidRDefault="008E1F07">
      <w:pPr>
        <w:pStyle w:val="Point0number"/>
        <w:numPr>
          <w:ilvl w:val="0"/>
          <w:numId w:val="20"/>
        </w:numPr>
        <w:rPr>
          <w:noProof/>
        </w:rPr>
      </w:pPr>
      <w:r>
        <w:rPr>
          <w:noProof/>
        </w:rPr>
        <w:t>Az Európai Parlament és a T</w:t>
      </w:r>
      <w:r>
        <w:rPr>
          <w:noProof/>
        </w:rPr>
        <w:t>anács 2002/59/EK irányelvének</w:t>
      </w:r>
      <w:r>
        <w:rPr>
          <w:rStyle w:val="FootnoteReference"/>
          <w:noProof/>
        </w:rPr>
        <w:footnoteReference w:id="28"/>
      </w:r>
      <w:r>
        <w:rPr>
          <w:noProof/>
        </w:rPr>
        <w:t xml:space="preserve"> hatálya alá eső, halászhajóktól és 45 méternél rövidebb kedvtelési célú vízi járművektől eltérő és az Unió egyik kikötőjébe tartó hajó üzemeltetője, ügynöke vagy parancsnoka pontosan kitölti a 2. mellékletben szereplő űrlapot</w:t>
      </w:r>
      <w:r>
        <w:rPr>
          <w:noProof/>
        </w:rPr>
        <w:t>, és ezeket az információkat továbbítja a kikötő szerinti tagállam által ebből a célból kijelölt hatóságnak vagy szervnek:</w:t>
      </w:r>
    </w:p>
    <w:p w:rsidR="00BB3609" w:rsidRDefault="008E1F07"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>legalább 24 órával a megérkezés előtt, ha a kikötés céljából igénybe veendő kikötő ismert;</w:t>
      </w:r>
    </w:p>
    <w:p w:rsidR="00BB3609" w:rsidRDefault="008E1F07"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>amint a kikötés céljából igénybe vee</w:t>
      </w:r>
      <w:r>
        <w:rPr>
          <w:noProof/>
        </w:rPr>
        <w:t>ndő kikötő ismertté válik, ha ezek az adatok csak az érkezést megelőző 24 órán belül válnak ismertté;</w:t>
      </w:r>
    </w:p>
    <w:p w:rsidR="00BB3609" w:rsidRDefault="008E1F07">
      <w:pPr>
        <w:pStyle w:val="Point1"/>
        <w:rPr>
          <w:noProof/>
        </w:rPr>
      </w:pPr>
      <w:r>
        <w:rPr>
          <w:noProof/>
        </w:rPr>
        <w:t>c)</w:t>
      </w:r>
      <w:r>
        <w:rPr>
          <w:noProof/>
        </w:rPr>
        <w:tab/>
        <w:t>legkésőbb az előző kikötőből való kifutás után, ha az út időtartama 24 óránál kevesebb.</w:t>
      </w:r>
    </w:p>
    <w:p w:rsidR="00BB3609" w:rsidRDefault="008E1F07">
      <w:pPr>
        <w:pStyle w:val="Point0number"/>
        <w:rPr>
          <w:noProof/>
        </w:rPr>
      </w:pPr>
      <w:r>
        <w:rPr>
          <w:noProof/>
        </w:rPr>
        <w:t>Az (1) bekezdésben meghatározott információkat a 2010/65/EU irá</w:t>
      </w:r>
      <w:r>
        <w:rPr>
          <w:noProof/>
        </w:rPr>
        <w:t>nyelvvel és a 2002/59/EK irányelvvel összhangban elektronikus úton továbbítani kell a jelen irányelv 14. cikkében említett tájékoztatási, nyomonkövetési és végrehajtási rendszerbe.</w:t>
      </w:r>
    </w:p>
    <w:p w:rsidR="00BB3609" w:rsidRDefault="008E1F07">
      <w:pPr>
        <w:pStyle w:val="Point0number"/>
        <w:rPr>
          <w:noProof/>
        </w:rPr>
      </w:pPr>
      <w:r>
        <w:rPr>
          <w:noProof/>
        </w:rPr>
        <w:t xml:space="preserve">Az (1) bekezdésben meghatározott információkat legalább a kikötés céljából </w:t>
      </w:r>
      <w:r>
        <w:rPr>
          <w:noProof/>
        </w:rPr>
        <w:t>igénybe veendő legközelebbi kikötőbe való befutásig meg kell őrizni a fedélzeten, és kérésre a tagállamok hatóságainak rendelkezésére kell bocsátani.</w:t>
      </w:r>
    </w:p>
    <w:p w:rsidR="00BB3609" w:rsidRDefault="008E1F07">
      <w:pPr>
        <w:pStyle w:val="Point0number"/>
        <w:rPr>
          <w:noProof/>
        </w:rPr>
      </w:pPr>
      <w:r>
        <w:rPr>
          <w:noProof/>
        </w:rPr>
        <w:t>A tagállamok biztosítják a jelen cikk értelmében továbbított információk késedelem nélküli megfelelő elemz</w:t>
      </w:r>
      <w:r>
        <w:rPr>
          <w:noProof/>
        </w:rPr>
        <w:t>ését és megosztását az illetékes végrehajtó hatóságokkal.</w:t>
      </w:r>
    </w:p>
    <w:p w:rsidR="00BB3609" w:rsidRDefault="008E1F07">
      <w:pPr>
        <w:pStyle w:val="Titrearticle"/>
        <w:rPr>
          <w:noProof/>
        </w:rPr>
      </w:pPr>
      <w:r>
        <w:rPr>
          <w:noProof/>
        </w:rPr>
        <w:t>7. cikk</w:t>
      </w:r>
      <w:r>
        <w:rPr>
          <w:noProof/>
        </w:rPr>
        <w:br/>
      </w:r>
      <w:r>
        <w:rPr>
          <w:b/>
          <w:i w:val="0"/>
          <w:noProof/>
        </w:rPr>
        <w:t>A hajókról származó hulladék leadása</w:t>
      </w:r>
    </w:p>
    <w:p w:rsidR="00BB3609" w:rsidRDefault="008E1F07">
      <w:pPr>
        <w:pStyle w:val="Point0number"/>
        <w:numPr>
          <w:ilvl w:val="0"/>
          <w:numId w:val="21"/>
        </w:numPr>
        <w:rPr>
          <w:noProof/>
        </w:rPr>
      </w:pPr>
      <w:r>
        <w:rPr>
          <w:noProof/>
        </w:rPr>
        <w:t>Az Unió valamely kikötőjébe befutó hajó parancsnoka gondoskodik arról, hogy a kikötő elhagyása előtt a hajó fedélzetén található minden hulladék leadásra</w:t>
      </w:r>
      <w:r>
        <w:rPr>
          <w:noProof/>
        </w:rPr>
        <w:t xml:space="preserve"> kerül egy kikötői fogadólétesítménybe, a MARPOL-egyezmény vonatkozó leadási normáinak megfelelően.</w:t>
      </w:r>
    </w:p>
    <w:p w:rsidR="00BB3609" w:rsidRDefault="008E1F07">
      <w:pPr>
        <w:pStyle w:val="Point0number"/>
        <w:rPr>
          <w:noProof/>
        </w:rPr>
      </w:pPr>
      <w:r>
        <w:rPr>
          <w:noProof/>
        </w:rPr>
        <w:t>Leadáskor a hulladékok leadására használt kikötő hulladékgazdálkodója vagy hatósága pontosan kitölti a 3. mellékletben található űrlapot, és kiállítja az el</w:t>
      </w:r>
      <w:r>
        <w:rPr>
          <w:noProof/>
        </w:rPr>
        <w:t>ismervényt a hajó számára.</w:t>
      </w:r>
    </w:p>
    <w:p w:rsidR="00BB3609" w:rsidRDefault="008E1F07">
      <w:pPr>
        <w:pStyle w:val="Text1"/>
        <w:rPr>
          <w:noProof/>
        </w:rPr>
      </w:pPr>
      <w:r>
        <w:rPr>
          <w:noProof/>
        </w:rPr>
        <w:t>Ez a követelmény nem alkalmazandó a személyzet nélküli kis méretű kikötők vagy a félreeső kikötők esetében, feltéve hogy az adott kikötő szerinti tagállam elektronikus úton továbbította az erre vonatkozó információkat a jelen irá</w:t>
      </w:r>
      <w:r>
        <w:rPr>
          <w:noProof/>
        </w:rPr>
        <w:t>nyelv 14. cikkében említett tájékoztatási, nyomonkövetési és végrehajtási rendszerbe.</w:t>
      </w:r>
    </w:p>
    <w:p w:rsidR="00BB3609" w:rsidRDefault="008E1F07">
      <w:pPr>
        <w:pStyle w:val="Point0number"/>
        <w:rPr>
          <w:noProof/>
        </w:rPr>
      </w:pPr>
      <w:r>
        <w:rPr>
          <w:noProof/>
        </w:rPr>
        <w:t>A 2002/59/EK irányelv hatálya alá eső hajó üzemeltetője, ügynöke vagy parancsnoka a 2010/65/EU irányelvvel és a 2002/59/EK irányelvvel összhangban elektronikus úton továb</w:t>
      </w:r>
      <w:r>
        <w:rPr>
          <w:noProof/>
        </w:rPr>
        <w:t>bítja a hulladékátvételi elismervényben szereplő információkat a jelen irányelv 14. cikkében említett tájékoztatási, nyomonkövetési és végrehajtási rendszerbe.</w:t>
      </w:r>
    </w:p>
    <w:p w:rsidR="00BB3609" w:rsidRDefault="008E1F07">
      <w:pPr>
        <w:pStyle w:val="Point0number"/>
        <w:rPr>
          <w:noProof/>
        </w:rPr>
      </w:pPr>
      <w:r>
        <w:rPr>
          <w:noProof/>
        </w:rPr>
        <w:t>A (2) bekezdésben meghatározott információkat legalább két évig meg kell őrizni a fedélzeten, és</w:t>
      </w:r>
      <w:r>
        <w:rPr>
          <w:noProof/>
        </w:rPr>
        <w:t xml:space="preserve"> kérésre a tagállamok hatóságainak rendelkezésére kell bocsátani.</w:t>
      </w:r>
    </w:p>
    <w:p w:rsidR="00BB3609" w:rsidRDefault="008E1F07">
      <w:pPr>
        <w:pStyle w:val="Point0number"/>
        <w:rPr>
          <w:noProof/>
        </w:rPr>
      </w:pPr>
      <w:r>
        <w:rPr>
          <w:noProof/>
        </w:rPr>
        <w:t>Az (1) bekezdés sérelme nélkül egy hajó folytathatja az útját a kikötés céljából igénybe veendő következő kikötő felé a hulladékok leadása nélkül, amennyiben:</w:t>
      </w:r>
    </w:p>
    <w:p w:rsidR="00BB3609" w:rsidRDefault="008E1F07"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>a hajó 24 óránál rövidebb id</w:t>
      </w:r>
      <w:r>
        <w:rPr>
          <w:noProof/>
        </w:rPr>
        <w:t>eig horgonyozik vagy zord időjárási körülmények következtében veszi igénybe a kikötőt;</w:t>
      </w:r>
    </w:p>
    <w:p w:rsidR="00BB3609" w:rsidRDefault="008E1F07"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 xml:space="preserve">a 2. és 3. mellékletekkel összhangban biztosított információból kitűnik, hogy elegendő e célra kijelölt tárolókapacitás áll rendelkezésre az addig felgyülemlett és a </w:t>
      </w:r>
      <w:r>
        <w:rPr>
          <w:noProof/>
        </w:rPr>
        <w:t>hajó által kikötés céljából igénybe veendő következő kikötőig tervezett út során felgyülemlő hulladék tárolására.</w:t>
      </w:r>
    </w:p>
    <w:p w:rsidR="00BB3609" w:rsidRDefault="008E1F07">
      <w:pPr>
        <w:pStyle w:val="Point0number"/>
        <w:rPr>
          <w:noProof/>
        </w:rPr>
      </w:pPr>
      <w:r>
        <w:rPr>
          <w:noProof/>
        </w:rPr>
        <w:t>Az elegendő e célra kijelölt tárolókapacitáson alapuló mentesség végrehajtására vonatkozó egységes feltételek biztosítása érdekében a Bizottsá</w:t>
      </w:r>
      <w:r>
        <w:rPr>
          <w:noProof/>
        </w:rPr>
        <w:t xml:space="preserve">gra végrehajtási hatáskört kell ruházni, az elegendő e célra kijelölt fedélzeti tárolókapacitás kiszámításához használt módszerek meghatározása érdekében. Ezeket a végrehajtási jogi aktusokat a 20. cikk (2) bekezdésében említett vizsgálóbizottsági eljárás </w:t>
      </w:r>
      <w:r>
        <w:rPr>
          <w:noProof/>
        </w:rPr>
        <w:t>keretében kell elfogadni.</w:t>
      </w:r>
    </w:p>
    <w:p w:rsidR="00BB3609" w:rsidRDefault="008E1F07">
      <w:pPr>
        <w:pStyle w:val="Point0number"/>
        <w:rPr>
          <w:noProof/>
        </w:rPr>
      </w:pPr>
      <w:r>
        <w:rPr>
          <w:noProof/>
        </w:rPr>
        <w:t>Ha a kikötés céljából igénybe veendő következő kikötő az Unió területén kívül található, vagy amennyiben okkal lehet feltételezni, hogy a kikötés céljából igénybe veendő következő kikötőben nem állnak rendelkezésre megfelelő létes</w:t>
      </w:r>
      <w:r>
        <w:rPr>
          <w:noProof/>
        </w:rPr>
        <w:t>ítmények, akkor a tagállam megköveteli a hajótól, hogy indulás előtt adja le az összes hulladékát.</w:t>
      </w:r>
    </w:p>
    <w:p w:rsidR="00BB3609" w:rsidRDefault="008E1F07">
      <w:pPr>
        <w:pStyle w:val="Point0number"/>
        <w:rPr>
          <w:noProof/>
        </w:rPr>
      </w:pPr>
      <w:r>
        <w:rPr>
          <w:noProof/>
        </w:rPr>
        <w:t>A (2) bekezdést a nemzetközi joggal összhangban elfogadott, a hajókra vonatkozó szigorúbb követelmények sérelme nélkül kell alkalmazni.</w:t>
      </w:r>
    </w:p>
    <w:p w:rsidR="00BB3609" w:rsidRDefault="008E1F07">
      <w:pPr>
        <w:pStyle w:val="Titrearticle"/>
        <w:rPr>
          <w:b/>
          <w:i w:val="0"/>
          <w:noProof/>
        </w:rPr>
      </w:pPr>
      <w:r>
        <w:rPr>
          <w:noProof/>
        </w:rPr>
        <w:t>8. cikk</w:t>
      </w:r>
      <w:r>
        <w:rPr>
          <w:noProof/>
        </w:rPr>
        <w:br/>
      </w:r>
      <w:r>
        <w:rPr>
          <w:b/>
          <w:i w:val="0"/>
          <w:noProof/>
        </w:rPr>
        <w:t>Költségtéríté</w:t>
      </w:r>
      <w:r>
        <w:rPr>
          <w:b/>
          <w:i w:val="0"/>
          <w:noProof/>
        </w:rPr>
        <w:t>si rendszerek</w:t>
      </w:r>
    </w:p>
    <w:p w:rsidR="00BB3609" w:rsidRDefault="008E1F07">
      <w:pPr>
        <w:pStyle w:val="Point0number"/>
        <w:numPr>
          <w:ilvl w:val="0"/>
          <w:numId w:val="22"/>
        </w:numPr>
        <w:rPr>
          <w:noProof/>
        </w:rPr>
      </w:pPr>
      <w:r>
        <w:rPr>
          <w:noProof/>
        </w:rPr>
        <w:t>A tagállamok biztosítják, hogy a hajókról származó, rakománymaradványoktól eltérő hulladékok fogadására és kezelésére alkalmas kikötői fogadólétesítmények üzemeltetésével kapcsolatos költségeket fedezik a hajóktól beszedett díjak. Ezek a költ</w:t>
      </w:r>
      <w:r>
        <w:rPr>
          <w:noProof/>
        </w:rPr>
        <w:t>ségek a 4. mellékletben szereplő költségtételekből állnak.</w:t>
      </w:r>
    </w:p>
    <w:p w:rsidR="00BB3609" w:rsidRDefault="008E1F07">
      <w:pPr>
        <w:pStyle w:val="Point0number"/>
        <w:rPr>
          <w:noProof/>
        </w:rPr>
      </w:pPr>
      <w:r>
        <w:rPr>
          <w:noProof/>
        </w:rPr>
        <w:t>A költségtérítési rendszerek nem ösztönözhetik a hajókat arra, hogy a hulladékaikat a tengerbe ürítsék. Ennek érdekében a tagállamok az alábbi elveket alkalmazzák a kikötők költségtérítési rendszer</w:t>
      </w:r>
      <w:r>
        <w:rPr>
          <w:noProof/>
        </w:rPr>
        <w:t>einek kialakítása és működtetése során:</w:t>
      </w:r>
    </w:p>
    <w:p w:rsidR="00BB3609" w:rsidRDefault="008E1F07"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>a hajók által fizetett díj egy része közvetett díj, amelyet attól függetlenül be kell fizetni, hogy sor kerül-e hulladék leadására a kikötői fogadólétesítményben vagy sem;</w:t>
      </w:r>
    </w:p>
    <w:p w:rsidR="00BB3609" w:rsidRDefault="008E1F07"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>a közvetett díjnak fedeznie kell a köz</w:t>
      </w:r>
      <w:r>
        <w:rPr>
          <w:noProof/>
        </w:rPr>
        <w:t>vetett adminisztratív költségeket, valamint a 4. mellékletben meghatározott közvetlen üzemelési költségek jelentős részét. A közvetlen üzemelési költségek jelentős részének a hulladékok tényleges leadásához kapcsolódó éves közvetlen teljes költségek legalá</w:t>
      </w:r>
      <w:r>
        <w:rPr>
          <w:noProof/>
        </w:rPr>
        <w:t>bb 30 %-át kell kitennie;</w:t>
      </w:r>
    </w:p>
    <w:p w:rsidR="00BB3609" w:rsidRDefault="008E1F07">
      <w:pPr>
        <w:pStyle w:val="Point1"/>
        <w:rPr>
          <w:noProof/>
        </w:rPr>
      </w:pPr>
      <w:r>
        <w:rPr>
          <w:noProof/>
        </w:rPr>
        <w:t>c)</w:t>
      </w:r>
      <w:r>
        <w:rPr>
          <w:noProof/>
        </w:rPr>
        <w:tab/>
        <w:t>a MARPOL-egyezmény V. mellékletében meghatározott hulladékok, beleértve a halászati műveletek során a hálókba kerülő hulladékok leadásának maximális ösztönzése érdekében a felszámított közvetett díjnak a kikötői fogadólétesítmé</w:t>
      </w:r>
      <w:r>
        <w:rPr>
          <w:noProof/>
        </w:rPr>
        <w:t xml:space="preserve">nyek ilyen hulladékokkal kapcsolatos minden költségét fedeznie kell, hogy ezzel jogot biztosítson a leadás további díjak megfizetése nélküli elvégzésére; </w:t>
      </w:r>
    </w:p>
    <w:p w:rsidR="00BB3609" w:rsidRDefault="008E1F07">
      <w:pPr>
        <w:pStyle w:val="Point1"/>
        <w:rPr>
          <w:noProof/>
        </w:rPr>
      </w:pPr>
      <w:r>
        <w:rPr>
          <w:noProof/>
        </w:rPr>
        <w:t>d)</w:t>
      </w:r>
      <w:r>
        <w:rPr>
          <w:noProof/>
        </w:rPr>
        <w:tab/>
        <w:t>A közvetett díj nem fedezi a füstgáztisztító rendszerekből származó hulladékokhoz kapcsolódó költs</w:t>
      </w:r>
      <w:r>
        <w:rPr>
          <w:noProof/>
        </w:rPr>
        <w:t>égeket; ezeket a leadott hulladék típusa és mennyisége alapján fizetendő díj fedezi.</w:t>
      </w:r>
    </w:p>
    <w:p w:rsidR="00BB3609" w:rsidRDefault="008E1F07">
      <w:pPr>
        <w:pStyle w:val="Point0number"/>
        <w:rPr>
          <w:noProof/>
        </w:rPr>
      </w:pPr>
      <w:r>
        <w:rPr>
          <w:noProof/>
        </w:rPr>
        <w:t>A költségeknek azt a részét – ha van ilyen –, amelyet a b) pontban említett díj nem fedez, a hajó által ténylegesen leadott, a hajókról származó hulladék típusai és mennyi</w:t>
      </w:r>
      <w:r>
        <w:rPr>
          <w:noProof/>
        </w:rPr>
        <w:t>sége alapján fizetendő díj fedezi.</w:t>
      </w:r>
    </w:p>
    <w:p w:rsidR="00BB3609" w:rsidRDefault="008E1F07">
      <w:pPr>
        <w:pStyle w:val="Point0number"/>
        <w:rPr>
          <w:noProof/>
        </w:rPr>
      </w:pPr>
      <w:r>
        <w:rPr>
          <w:noProof/>
        </w:rPr>
        <w:t>Eltérő díjak alkalmazhatók többek között a hajó kategóriájától, típusától, méretétől és a hajó által bonyolított forgalom típusától függően, valamint a kikötő rendes nyitvatartási idején kívül nyújtott szolgáltatásokért.</w:t>
      </w:r>
    </w:p>
    <w:p w:rsidR="00BB3609" w:rsidRDefault="008E1F07">
      <w:pPr>
        <w:pStyle w:val="Point0number"/>
        <w:rPr>
          <w:noProof/>
        </w:rPr>
      </w:pPr>
      <w:r>
        <w:rPr>
          <w:noProof/>
        </w:rPr>
        <w:t xml:space="preserve">Csökkentett díjak alkalmazandók, ha a hajó kialakításából, felszereléséből és működéséből adódóan bizonyítható módon kisebb mennyiségű hulladékot termel, illetve fenntartható és környezetbarát hulladékgazdálkodást végez. A Bizottságnak felhatalmazást kell </w:t>
      </w:r>
      <w:r>
        <w:rPr>
          <w:noProof/>
        </w:rPr>
        <w:t>adni, hogy a 19. cikknek megfelelően felhatalmazáson alapuló jogi aktusok útján meghatározza azokat a kritériumokat, amelyek alapján megállapítható, hogy a hajók fedélzeti hulladékgazdálkodásának tekintetében egy hajó eleget tesz-e a jelen bekezdésben szer</w:t>
      </w:r>
      <w:r>
        <w:rPr>
          <w:noProof/>
        </w:rPr>
        <w:t>eplő követelményeknek.</w:t>
      </w:r>
    </w:p>
    <w:p w:rsidR="00BB3609" w:rsidRDefault="008E1F07">
      <w:pPr>
        <w:pStyle w:val="Point0number"/>
        <w:rPr>
          <w:noProof/>
        </w:rPr>
      </w:pPr>
      <w:r>
        <w:rPr>
          <w:noProof/>
        </w:rPr>
        <w:t xml:space="preserve">Annak biztosítása érdekében, hogy a díjak méltányosak, átláthatóak és megkülönböztetéstől mentesek legyenek, valamint tükrözzék az igénybe vehető és – ha szükséges – a használt létesítmények és szolgáltatások tényleges költségeit, a </w:t>
      </w:r>
      <w:r>
        <w:rPr>
          <w:noProof/>
        </w:rPr>
        <w:t>kikötőt használók számára érthetővé kell tenni a díjak összegét és az eljárást, amely alapján kiszámításuk megtörtént.</w:t>
      </w:r>
    </w:p>
    <w:p w:rsidR="00BB3609" w:rsidRDefault="008E1F07">
      <w:pPr>
        <w:pStyle w:val="Titrearticle"/>
        <w:rPr>
          <w:noProof/>
        </w:rPr>
      </w:pPr>
      <w:r>
        <w:rPr>
          <w:noProof/>
        </w:rPr>
        <w:t>9. cikk</w:t>
      </w:r>
      <w:r>
        <w:rPr>
          <w:noProof/>
        </w:rPr>
        <w:br/>
      </w:r>
      <w:r>
        <w:rPr>
          <w:b/>
          <w:i w:val="0"/>
          <w:noProof/>
        </w:rPr>
        <w:t>Mentességek</w:t>
      </w:r>
    </w:p>
    <w:p w:rsidR="00BB3609" w:rsidRDefault="008E1F07">
      <w:pPr>
        <w:pStyle w:val="Point0number"/>
        <w:numPr>
          <w:ilvl w:val="0"/>
          <w:numId w:val="23"/>
        </w:numPr>
        <w:rPr>
          <w:noProof/>
        </w:rPr>
      </w:pPr>
      <w:r>
        <w:rPr>
          <w:noProof/>
        </w:rPr>
        <w:t>A tagállamok mentesíthetik a kikötőikbe befutó hajókat a 6. cikkben, a 7. cikk (1) bekezdésében és a 8. cikkben szere</w:t>
      </w:r>
      <w:r>
        <w:rPr>
          <w:noProof/>
        </w:rPr>
        <w:t>plő összesített kötelezettségek alól, amennyiben elegendő bizonyíték áll rendelkezésre a következőkre vonatkozóan:</w:t>
      </w:r>
    </w:p>
    <w:p w:rsidR="00BB3609" w:rsidRDefault="008E1F07"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>a hajó a kikötőket gyakran és rendszeresen felkereső, menetrend szerint közlekedő hajó;</w:t>
      </w:r>
    </w:p>
    <w:p w:rsidR="00BB3609" w:rsidRDefault="008E1F07"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>létezik egy megállapodás, amely biztosítja a hu</w:t>
      </w:r>
      <w:r>
        <w:rPr>
          <w:noProof/>
        </w:rPr>
        <w:t>lladékok leadását és a díjak megfizetését a hajó útvonalán található egyik kikötőben;</w:t>
      </w:r>
    </w:p>
    <w:p w:rsidR="00BB3609" w:rsidRDefault="008E1F07">
      <w:pPr>
        <w:pStyle w:val="Point1"/>
        <w:rPr>
          <w:noProof/>
        </w:rPr>
      </w:pPr>
      <w:r>
        <w:rPr>
          <w:noProof/>
        </w:rPr>
        <w:t>c)</w:t>
      </w:r>
      <w:r>
        <w:rPr>
          <w:noProof/>
        </w:rPr>
        <w:tab/>
        <w:t>a b) pontban szereplő megállapodás meglétét bizonyítja egy kikötővel vagy hulladékgazdálkodással megbízott vállalkozóval megkötött szerződés, a hulladékátvételi elisme</w:t>
      </w:r>
      <w:r>
        <w:rPr>
          <w:noProof/>
        </w:rPr>
        <w:t>rvények és egy megerősítés, miszerint a megállapodást a hajó útvonalán található minden kikötő elfogadta. A leadásra és a díj megfizetésére vonatkozó megállapodásnak az Unió egyik kikötőjében kell létrejönnie ahhoz, hogy a jelen bekezdés szerint elegendő b</w:t>
      </w:r>
      <w:r>
        <w:rPr>
          <w:noProof/>
        </w:rPr>
        <w:t>izonyítéknak számítson.</w:t>
      </w:r>
    </w:p>
    <w:p w:rsidR="00BB3609" w:rsidRDefault="008E1F07">
      <w:pPr>
        <w:pStyle w:val="Point0number"/>
        <w:rPr>
          <w:noProof/>
        </w:rPr>
      </w:pPr>
      <w:r>
        <w:rPr>
          <w:noProof/>
        </w:rPr>
        <w:t xml:space="preserve">Mentesség biztosítása esetén a kikötő szerinti tagállam mentességi bizonyítványt állít ki az 5. mellékletben található formátumban, amely megerősíti, hogy a hajó eleget tesz a mentesség alkalmazásához szükséges feltételeknek és </w:t>
      </w:r>
      <w:r>
        <w:rPr>
          <w:noProof/>
        </w:rPr>
        <w:t>követelményeknek, valamint tartalmazza a mentesség időtartamát.</w:t>
      </w:r>
    </w:p>
    <w:p w:rsidR="00BB3609" w:rsidRDefault="008E1F07">
      <w:pPr>
        <w:pStyle w:val="Point0number"/>
        <w:rPr>
          <w:noProof/>
        </w:rPr>
      </w:pPr>
      <w:r>
        <w:rPr>
          <w:noProof/>
        </w:rPr>
        <w:t>A tagállamok a mentességi bizonyítványon szereplő információkat a 2002/59/EK irányelv előírásaival összhangban elektronikus úton továbbítják a jelen irányelv 14. cikkében említett nyomonköveté</w:t>
      </w:r>
      <w:r>
        <w:rPr>
          <w:noProof/>
        </w:rPr>
        <w:t>si és tájékoztatási rendszerbe.</w:t>
      </w:r>
    </w:p>
    <w:p w:rsidR="00BB3609" w:rsidRDefault="008E1F07">
      <w:pPr>
        <w:pStyle w:val="Point0number"/>
        <w:rPr>
          <w:noProof/>
        </w:rPr>
      </w:pPr>
      <w:r>
        <w:rPr>
          <w:noProof/>
        </w:rPr>
        <w:t>A tagállamok biztosítják a kikötőiket meglátogató és mentességet élvező hajók vonatkozásában létrejött leadási és fizetési megállapodások hatékony nyomon követését és betartatását.</w:t>
      </w:r>
    </w:p>
    <w:p w:rsidR="00BB3609" w:rsidRDefault="00BB3609">
      <w:pPr>
        <w:pStyle w:val="Text1"/>
        <w:rPr>
          <w:noProof/>
        </w:rPr>
      </w:pPr>
    </w:p>
    <w:p w:rsidR="00BB3609" w:rsidRDefault="008E1F07">
      <w:pPr>
        <w:pStyle w:val="SectionTitle"/>
        <w:rPr>
          <w:noProof/>
        </w:rPr>
      </w:pPr>
      <w:r>
        <w:rPr>
          <w:noProof/>
        </w:rPr>
        <w:t>4. szakasz: Végrehajtás</w:t>
      </w:r>
    </w:p>
    <w:p w:rsidR="00BB3609" w:rsidRDefault="008E1F07">
      <w:pPr>
        <w:pStyle w:val="Titrearticle"/>
        <w:rPr>
          <w:i w:val="0"/>
          <w:noProof/>
          <w:highlight w:val="yellow"/>
        </w:rPr>
      </w:pPr>
      <w:r>
        <w:rPr>
          <w:noProof/>
        </w:rPr>
        <w:t>10. cikk</w:t>
      </w:r>
      <w:r>
        <w:rPr>
          <w:noProof/>
        </w:rPr>
        <w:br/>
      </w:r>
      <w:r>
        <w:rPr>
          <w:b/>
          <w:i w:val="0"/>
          <w:noProof/>
        </w:rPr>
        <w:t>Ellenőrzések</w:t>
      </w:r>
    </w:p>
    <w:p w:rsidR="00BB3609" w:rsidRDefault="008E1F07">
      <w:pPr>
        <w:rPr>
          <w:noProof/>
        </w:rPr>
      </w:pPr>
      <w:r>
        <w:rPr>
          <w:noProof/>
        </w:rPr>
        <w:t>A tagállamok biztosítják, hogy bármilyen hajó ellenőrzés alá vonható, annak megvizsgálása érdekében, hogy eleget tesz-e az irányelv követelményeinek.</w:t>
      </w:r>
    </w:p>
    <w:p w:rsidR="00BB3609" w:rsidRDefault="008E1F07">
      <w:pPr>
        <w:pStyle w:val="Titrearticle"/>
        <w:rPr>
          <w:noProof/>
        </w:rPr>
      </w:pPr>
      <w:r>
        <w:rPr>
          <w:noProof/>
        </w:rPr>
        <w:t>11. cikk</w:t>
      </w:r>
      <w:r>
        <w:rPr>
          <w:noProof/>
        </w:rPr>
        <w:br/>
      </w:r>
      <w:r>
        <w:rPr>
          <w:b/>
          <w:i w:val="0"/>
          <w:noProof/>
        </w:rPr>
        <w:t>A kikötő szerint illetékes állam általi ellenőrzések</w:t>
      </w:r>
    </w:p>
    <w:p w:rsidR="00BB3609" w:rsidRDefault="008E1F07">
      <w:pPr>
        <w:rPr>
          <w:noProof/>
        </w:rPr>
      </w:pPr>
      <w:r>
        <w:rPr>
          <w:noProof/>
        </w:rPr>
        <w:t>A 2009/16/EK irányelv hatálya a</w:t>
      </w:r>
      <w:r>
        <w:rPr>
          <w:noProof/>
        </w:rPr>
        <w:t>lá eső hajók esetében az ellenőrzéseket ezzel az irányelvvel összhangban kell végezni, hogy minden ilyen ellenőrzés kiterjedjen annak vizsgálatára, hogy a hajó eleget tesz-e a 6., 7. és 9. cikkekben található követelményeknek.</w:t>
      </w:r>
    </w:p>
    <w:p w:rsidR="00BB3609" w:rsidRDefault="008E1F07">
      <w:pPr>
        <w:pStyle w:val="Titrearticle"/>
        <w:rPr>
          <w:b/>
          <w:i w:val="0"/>
          <w:noProof/>
        </w:rPr>
      </w:pPr>
      <w:r>
        <w:rPr>
          <w:noProof/>
        </w:rPr>
        <w:t>12. cikk</w:t>
      </w:r>
      <w:r>
        <w:rPr>
          <w:noProof/>
        </w:rPr>
        <w:br/>
      </w:r>
      <w:r>
        <w:rPr>
          <w:b/>
          <w:i w:val="0"/>
          <w:noProof/>
        </w:rPr>
        <w:t>A kikötő szerint ill</w:t>
      </w:r>
      <w:r>
        <w:rPr>
          <w:b/>
          <w:i w:val="0"/>
          <w:noProof/>
        </w:rPr>
        <w:t>etékes állam általi ellenőrzésektől eltérő ellenőrzések</w:t>
      </w:r>
    </w:p>
    <w:p w:rsidR="00BB3609" w:rsidRDefault="008E1F07">
      <w:pPr>
        <w:pStyle w:val="Point0number"/>
        <w:numPr>
          <w:ilvl w:val="0"/>
          <w:numId w:val="24"/>
        </w:numPr>
        <w:rPr>
          <w:noProof/>
        </w:rPr>
      </w:pPr>
      <w:r>
        <w:rPr>
          <w:noProof/>
        </w:rPr>
        <w:t xml:space="preserve">A 2009/16/EK irányelv hatályán kívül eső hajók ellenőrzését illetően a tagállamok biztosítják, hogy az ellenőrzések az alább felsorolt egyes kategóriákba tartozó egyéni hajók teljes számának legalább </w:t>
      </w:r>
      <w:r>
        <w:rPr>
          <w:noProof/>
        </w:rPr>
        <w:t>20 %-án elvégzésre kerülnek:</w:t>
      </w:r>
    </w:p>
    <w:p w:rsidR="00BB3609" w:rsidRDefault="008E1F07"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>a zászlójuk alatt közlekedő 100 bruttó tonnatartalmú és azt meghaladó belföldi hajók, amelyek egy év leforgása alatt igénybe veszik az adott tagállam kikötőit;</w:t>
      </w:r>
    </w:p>
    <w:p w:rsidR="00BB3609" w:rsidRDefault="008E1F07"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>a 100 bruttó tonnatartalmú és azt meghaladó halászhajók, amel</w:t>
      </w:r>
      <w:r>
        <w:rPr>
          <w:noProof/>
        </w:rPr>
        <w:t>yek egy év leforgása alatt igénybe veszik az adott tagállam kikötőit;</w:t>
      </w:r>
    </w:p>
    <w:p w:rsidR="00BB3609" w:rsidRDefault="008E1F07">
      <w:pPr>
        <w:pStyle w:val="Point1"/>
        <w:rPr>
          <w:noProof/>
        </w:rPr>
      </w:pPr>
      <w:r>
        <w:rPr>
          <w:noProof/>
        </w:rPr>
        <w:t>c)</w:t>
      </w:r>
      <w:r>
        <w:rPr>
          <w:noProof/>
        </w:rPr>
        <w:tab/>
        <w:t>a 100 bruttó tonnatartalmú és azt meghaladó kedvtelési célú vízi járművek, amelyek egy év leforgása alatt igénybe veszik az adott tagállam kikötőit.</w:t>
      </w:r>
    </w:p>
    <w:p w:rsidR="00BB3609" w:rsidRDefault="008E1F07">
      <w:pPr>
        <w:pStyle w:val="Point0number"/>
        <w:rPr>
          <w:noProof/>
        </w:rPr>
      </w:pPr>
      <w:r>
        <w:rPr>
          <w:noProof/>
        </w:rPr>
        <w:t>Az (1) bekezdésben említett ellenő</w:t>
      </w:r>
      <w:r>
        <w:rPr>
          <w:noProof/>
        </w:rPr>
        <w:t>rzések eredményeit rögzíteni kell a jelen irányelv 15. cikkében említett tájékoztatási, nyomonkövetési és végrehajtási rendszerbe.</w:t>
      </w:r>
    </w:p>
    <w:p w:rsidR="00BB3609" w:rsidRDefault="008E1F07">
      <w:pPr>
        <w:pStyle w:val="Point0number"/>
        <w:rPr>
          <w:noProof/>
        </w:rPr>
      </w:pPr>
      <w:r>
        <w:rPr>
          <w:noProof/>
        </w:rPr>
        <w:t>A jelen irányelv vonatkozó követelményeinek teljesítése érdekében a tagállamok a 100 bruttó tonnatartalomnál kisebb halászhaj</w:t>
      </w:r>
      <w:r>
        <w:rPr>
          <w:noProof/>
        </w:rPr>
        <w:t>ókra és a 100 bruttó tonnatartalomnál kisebb kedvtelési célú vízi járművekre vonatkozóan is kidolgozzák az ellenőrzési eljárásokat.</w:t>
      </w:r>
    </w:p>
    <w:p w:rsidR="00BB3609" w:rsidRDefault="008E1F07">
      <w:pPr>
        <w:pStyle w:val="Point0number"/>
        <w:rPr>
          <w:noProof/>
        </w:rPr>
      </w:pPr>
      <w:r>
        <w:rPr>
          <w:noProof/>
        </w:rPr>
        <w:t>Ha a tagállam illetékes hatósága nem elégedett az ellenőrzés eredményeivel, akkor a 16. cikkben megjelölt szankciók alkalmaz</w:t>
      </w:r>
      <w:r>
        <w:rPr>
          <w:noProof/>
        </w:rPr>
        <w:t>ásának sérelme nélkül biztosítja, hogy a hajó nem hagyja el a kikötőt, amíg a hulladékait a 7. cikkel összhangban le nem adta egy kikötői fogadólétesítménybe.</w:t>
      </w:r>
    </w:p>
    <w:p w:rsidR="00BB3609" w:rsidRDefault="008E1F07">
      <w:pPr>
        <w:pStyle w:val="Titrearticle"/>
        <w:rPr>
          <w:b/>
          <w:i w:val="0"/>
          <w:noProof/>
        </w:rPr>
      </w:pPr>
      <w:r>
        <w:rPr>
          <w:noProof/>
        </w:rPr>
        <w:t>13. cikk</w:t>
      </w:r>
      <w:r>
        <w:rPr>
          <w:noProof/>
        </w:rPr>
        <w:br/>
      </w:r>
      <w:r>
        <w:rPr>
          <w:b/>
          <w:i w:val="0"/>
          <w:noProof/>
        </w:rPr>
        <w:t>Tájékoztatási, nyomonkövetési és végrehajtási rendszer</w:t>
      </w:r>
    </w:p>
    <w:p w:rsidR="00BB3609" w:rsidRDefault="008E1F07">
      <w:pPr>
        <w:rPr>
          <w:noProof/>
        </w:rPr>
      </w:pPr>
      <w:r>
        <w:rPr>
          <w:noProof/>
        </w:rPr>
        <w:t>Az irányelv végrehajtását és beta</w:t>
      </w:r>
      <w:r>
        <w:rPr>
          <w:noProof/>
        </w:rPr>
        <w:t>rtatását a 14. és 15. cikkekkel összhangban az információk elektronikus továbbításával és tagállamok közötti megosztásával kell megkönnyíteni.</w:t>
      </w:r>
    </w:p>
    <w:p w:rsidR="00BB3609" w:rsidRDefault="008E1F07">
      <w:pPr>
        <w:pStyle w:val="Titrearticle"/>
        <w:rPr>
          <w:noProof/>
        </w:rPr>
      </w:pPr>
      <w:r>
        <w:rPr>
          <w:noProof/>
        </w:rPr>
        <w:t>14. cikk</w:t>
      </w:r>
      <w:r>
        <w:rPr>
          <w:noProof/>
        </w:rPr>
        <w:br/>
      </w:r>
      <w:r>
        <w:rPr>
          <w:b/>
          <w:i w:val="0"/>
          <w:noProof/>
        </w:rPr>
        <w:t>Információk jelentése és cseréje</w:t>
      </w:r>
    </w:p>
    <w:p w:rsidR="00BB3609" w:rsidRDefault="008E1F07">
      <w:pPr>
        <w:pStyle w:val="Point0number"/>
        <w:numPr>
          <w:ilvl w:val="0"/>
          <w:numId w:val="25"/>
        </w:numPr>
        <w:rPr>
          <w:noProof/>
        </w:rPr>
      </w:pPr>
      <w:r>
        <w:rPr>
          <w:noProof/>
        </w:rPr>
        <w:t>Az információk jelentésének és cseréjének a 2002/59/EK irányelv 22a. ci</w:t>
      </w:r>
      <w:r>
        <w:rPr>
          <w:noProof/>
        </w:rPr>
        <w:t>kke (3) bekezdésében és III. mellékletében említett uniós tengeri információcsere-rendszeren (SafeSeaNet) kell alapulnia.</w:t>
      </w:r>
    </w:p>
    <w:p w:rsidR="00BB3609" w:rsidRDefault="008E1F07">
      <w:pPr>
        <w:pStyle w:val="Point0number"/>
        <w:rPr>
          <w:noProof/>
        </w:rPr>
      </w:pPr>
      <w:r>
        <w:rPr>
          <w:noProof/>
        </w:rPr>
        <w:t>A tagállamok biztosítják az alábbi adatok elektronikus úton és észszerű időn belül történő jelentését a 2010/65/EK irányelvnek megfele</w:t>
      </w:r>
      <w:r>
        <w:rPr>
          <w:noProof/>
        </w:rPr>
        <w:t>lően:</w:t>
      </w:r>
    </w:p>
    <w:p w:rsidR="00BB3609" w:rsidRDefault="008E1F07"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>a 2002/59/EK irányelv hatálya alá eső és egy uniós kikötőt felkereső egyes hajók tényleges beérkezési és távozási idejére vonatkozó információk, az érintett kikötő azonosítójával együtt;</w:t>
      </w:r>
    </w:p>
    <w:p w:rsidR="00BB3609" w:rsidRDefault="008E1F07"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>a 2. mellékletnek megfelelő hulladékbejelentésben találha</w:t>
      </w:r>
      <w:r>
        <w:rPr>
          <w:noProof/>
        </w:rPr>
        <w:t>tó információk;</w:t>
      </w:r>
    </w:p>
    <w:p w:rsidR="00BB3609" w:rsidRDefault="008E1F07">
      <w:pPr>
        <w:pStyle w:val="Point1"/>
        <w:rPr>
          <w:noProof/>
        </w:rPr>
      </w:pPr>
      <w:r>
        <w:rPr>
          <w:noProof/>
        </w:rPr>
        <w:t>c)</w:t>
      </w:r>
      <w:r>
        <w:rPr>
          <w:noProof/>
        </w:rPr>
        <w:tab/>
        <w:t>a 3. mellékletnek megfelelő hulladékátvételi elismervényben található információk;</w:t>
      </w:r>
    </w:p>
    <w:p w:rsidR="00BB3609" w:rsidRDefault="008E1F07">
      <w:pPr>
        <w:pStyle w:val="Point1"/>
        <w:rPr>
          <w:noProof/>
        </w:rPr>
      </w:pPr>
      <w:r>
        <w:rPr>
          <w:noProof/>
        </w:rPr>
        <w:t>d)</w:t>
      </w:r>
      <w:r>
        <w:rPr>
          <w:noProof/>
        </w:rPr>
        <w:tab/>
        <w:t>az 5. mellékletnek megfelelő mentességi bizonyítványon található információk.</w:t>
      </w:r>
    </w:p>
    <w:p w:rsidR="00BB3609" w:rsidRDefault="008E1F07">
      <w:pPr>
        <w:pStyle w:val="Point0number"/>
        <w:rPr>
          <w:noProof/>
        </w:rPr>
      </w:pPr>
      <w:r>
        <w:rPr>
          <w:noProof/>
        </w:rPr>
        <w:t>A tagállamok a lehető legnagyobb mértékben biztosítják, hogy az uniós kik</w:t>
      </w:r>
      <w:r>
        <w:rPr>
          <w:noProof/>
        </w:rPr>
        <w:t>ötőket felkereső és 100 bruttó tonnatartalomnál nagyobb halászhajóknak és kedvtelési célú vízi járműveknek szintén jelenteniük kell a beérkezés és a távozás tényleges idejére vonatkozó információkat.</w:t>
      </w:r>
    </w:p>
    <w:p w:rsidR="00BB3609" w:rsidRDefault="008E1F07">
      <w:pPr>
        <w:pStyle w:val="Point0number"/>
        <w:rPr>
          <w:noProof/>
        </w:rPr>
      </w:pPr>
      <w:r>
        <w:rPr>
          <w:noProof/>
        </w:rPr>
        <w:t xml:space="preserve">A 4. cikk és az 5. cikk (2) bekezdésének alkalmazásában </w:t>
      </w:r>
      <w:r>
        <w:rPr>
          <w:noProof/>
        </w:rPr>
        <w:t>jelentett információkat a Bizottságnak továbbítania kell az IMO GISIS rendszerén belül a kikötői fogadólétesítmények számára kialakított adatbázisba.</w:t>
      </w:r>
    </w:p>
    <w:p w:rsidR="00BB3609" w:rsidRDefault="008E1F07">
      <w:pPr>
        <w:pStyle w:val="Titrearticle"/>
        <w:rPr>
          <w:noProof/>
        </w:rPr>
      </w:pPr>
      <w:r>
        <w:rPr>
          <w:noProof/>
        </w:rPr>
        <w:t>15. cikk</w:t>
      </w:r>
      <w:r>
        <w:rPr>
          <w:noProof/>
        </w:rPr>
        <w:br/>
      </w:r>
      <w:r>
        <w:rPr>
          <w:b/>
          <w:i w:val="0"/>
          <w:noProof/>
        </w:rPr>
        <w:t>Az ellenőrzések rögzítése</w:t>
      </w:r>
    </w:p>
    <w:p w:rsidR="00BB3609" w:rsidRDefault="008E1F07">
      <w:pPr>
        <w:pStyle w:val="Point0number"/>
        <w:numPr>
          <w:ilvl w:val="0"/>
          <w:numId w:val="26"/>
        </w:numPr>
        <w:rPr>
          <w:noProof/>
        </w:rPr>
      </w:pPr>
      <w:r>
        <w:rPr>
          <w:noProof/>
        </w:rPr>
        <w:t>A Bizottság olyan ellenőrzési adatbázist fejleszt ki, tart fenn és tart</w:t>
      </w:r>
      <w:r>
        <w:rPr>
          <w:noProof/>
        </w:rPr>
        <w:t xml:space="preserve"> naprakészen, amelyhez minden tagállam kapcsolódik és amely tartalmazza az ezen irányelvben meghatározott ellenőrzési rendszer megvalósításához szükséges valamennyi információt. Ez az adatbázis a 2009/16/EK irányelv 24. cikkében említett ellenőrzési adatbá</w:t>
      </w:r>
      <w:r>
        <w:rPr>
          <w:noProof/>
        </w:rPr>
        <w:t>zison fog alapulni és ahhoz hasonló funkciókkal fog rendelkezni.</w:t>
      </w:r>
    </w:p>
    <w:p w:rsidR="00BB3609" w:rsidRDefault="008E1F07">
      <w:pPr>
        <w:pStyle w:val="Point0number"/>
        <w:rPr>
          <w:noProof/>
        </w:rPr>
      </w:pPr>
      <w:r>
        <w:rPr>
          <w:noProof/>
        </w:rPr>
        <w:t xml:space="preserve">A tagállamok biztosítják, hogy az ezen irányelv szerint végzett ellenőrzésekhez kapcsolódó információk – ideértve a megfelelési hiányosságokkal és az elrendelt indulási tilalmakkal </w:t>
      </w:r>
      <w:r>
        <w:rPr>
          <w:noProof/>
        </w:rPr>
        <w:t>kapcsolatos információkat is – késedelem nélkül bekerüljenek az ellenőrzési adatbázisba, amint a vizsgálati jelentés elkészül, amint az indulási tilalmat feloldják, vagy amint mentességet adnak.</w:t>
      </w:r>
    </w:p>
    <w:p w:rsidR="00BB3609" w:rsidRDefault="008E1F07">
      <w:pPr>
        <w:pStyle w:val="Point0number"/>
        <w:rPr>
          <w:noProof/>
        </w:rPr>
      </w:pPr>
      <w:r>
        <w:rPr>
          <w:noProof/>
        </w:rPr>
        <w:t>A tagállamok biztosítják, hogy az ellenőrzési adatbázisba bev</w:t>
      </w:r>
      <w:r>
        <w:rPr>
          <w:noProof/>
        </w:rPr>
        <w:t>itt információk hitelesítésére 72 órán belül sor kerüljön.</w:t>
      </w:r>
    </w:p>
    <w:p w:rsidR="00BB3609" w:rsidRDefault="008E1F07">
      <w:pPr>
        <w:pStyle w:val="Point0number"/>
        <w:rPr>
          <w:noProof/>
        </w:rPr>
      </w:pPr>
      <w:r>
        <w:rPr>
          <w:noProof/>
        </w:rPr>
        <w:t>A Bizottság gondoskodik róla, hogy az irányelv nyomon követésének és végrehajtásának céljából az ellenőrzési adatbázis lehetővé teszi a tagállamok által jelentett minden lényeges adat lekérését.</w:t>
      </w:r>
    </w:p>
    <w:p w:rsidR="00BB3609" w:rsidRDefault="008E1F07">
      <w:pPr>
        <w:pStyle w:val="Point0number"/>
        <w:rPr>
          <w:noProof/>
        </w:rPr>
      </w:pPr>
      <w:r>
        <w:rPr>
          <w:noProof/>
        </w:rPr>
        <w:t xml:space="preserve">A </w:t>
      </w:r>
      <w:r>
        <w:rPr>
          <w:noProof/>
        </w:rPr>
        <w:t>tagállamoknak bármikor lehetőségük kell legyen a rögzített információk elérésére.</w:t>
      </w:r>
    </w:p>
    <w:p w:rsidR="00BB3609" w:rsidRDefault="008E1F07">
      <w:pPr>
        <w:pStyle w:val="Titrearticle"/>
        <w:rPr>
          <w:noProof/>
        </w:rPr>
      </w:pPr>
      <w:r>
        <w:rPr>
          <w:noProof/>
        </w:rPr>
        <w:t>16. cikk</w:t>
      </w:r>
      <w:r>
        <w:rPr>
          <w:noProof/>
        </w:rPr>
        <w:br/>
      </w:r>
      <w:r>
        <w:rPr>
          <w:b/>
          <w:i w:val="0"/>
          <w:noProof/>
        </w:rPr>
        <w:t>Szankciók</w:t>
      </w:r>
    </w:p>
    <w:p w:rsidR="00BB3609" w:rsidRDefault="008E1F07">
      <w:pPr>
        <w:rPr>
          <w:noProof/>
        </w:rPr>
      </w:pPr>
      <w:r>
        <w:rPr>
          <w:noProof/>
        </w:rPr>
        <w:t>A tagállamok megállapítják az ezen irányelv alapján elfogadott nemzeti rendelkezések megszegése esetén alkalmazandó szankciókra vonatkozó szabályokat, és m</w:t>
      </w:r>
      <w:r>
        <w:rPr>
          <w:noProof/>
        </w:rPr>
        <w:t>inden szükséges intézkedést meghoznak azok végrehajtásának biztosítására. Az előírt szankcióknak hatékonyaknak, arányosaknak és visszatartó erejűeknek kell lenniük.</w:t>
      </w:r>
    </w:p>
    <w:p w:rsidR="00BB3609" w:rsidRDefault="00BB3609">
      <w:pPr>
        <w:rPr>
          <w:noProof/>
        </w:rPr>
      </w:pPr>
    </w:p>
    <w:p w:rsidR="00BB3609" w:rsidRDefault="008E1F07">
      <w:pPr>
        <w:pStyle w:val="SectionTitle"/>
        <w:rPr>
          <w:noProof/>
        </w:rPr>
      </w:pPr>
      <w:r>
        <w:rPr>
          <w:noProof/>
        </w:rPr>
        <w:t>5. szakasz: Záró rendelkezések</w:t>
      </w:r>
    </w:p>
    <w:p w:rsidR="00BB3609" w:rsidRDefault="008E1F07">
      <w:pPr>
        <w:pStyle w:val="Titrearticle"/>
        <w:rPr>
          <w:b/>
          <w:i w:val="0"/>
          <w:noProof/>
        </w:rPr>
      </w:pPr>
      <w:r>
        <w:rPr>
          <w:noProof/>
        </w:rPr>
        <w:t>17. cikk</w:t>
      </w:r>
      <w:r>
        <w:rPr>
          <w:noProof/>
        </w:rPr>
        <w:br/>
      </w:r>
      <w:r>
        <w:rPr>
          <w:b/>
          <w:i w:val="0"/>
          <w:noProof/>
        </w:rPr>
        <w:t>A tapasztalatok megosztása</w:t>
      </w:r>
    </w:p>
    <w:p w:rsidR="00BB3609" w:rsidRDefault="008E1F07">
      <w:pPr>
        <w:rPr>
          <w:noProof/>
        </w:rPr>
      </w:pPr>
      <w:r>
        <w:rPr>
          <w:noProof/>
        </w:rPr>
        <w:t>A Bizottság gondoskodik</w:t>
      </w:r>
      <w:r>
        <w:rPr>
          <w:noProof/>
        </w:rPr>
        <w:t xml:space="preserve"> a tagállamok nemzeti hatóságai és a szakértők (beleértve a magánszektorból származókat is) közötti tapasztalatcserék megszervezéséről az irányelv uniós kikötőkben való alkalmazásával kapcsolatban.</w:t>
      </w:r>
    </w:p>
    <w:p w:rsidR="00BB3609" w:rsidRDefault="008E1F07">
      <w:pPr>
        <w:pStyle w:val="Titrearticle"/>
        <w:rPr>
          <w:noProof/>
        </w:rPr>
      </w:pPr>
      <w:r>
        <w:rPr>
          <w:noProof/>
        </w:rPr>
        <w:t>18. cikk</w:t>
      </w:r>
      <w:r>
        <w:rPr>
          <w:noProof/>
        </w:rPr>
        <w:br/>
      </w:r>
      <w:r>
        <w:rPr>
          <w:b/>
          <w:i w:val="0"/>
          <w:noProof/>
        </w:rPr>
        <w:t>Módosítási eljárás</w:t>
      </w:r>
    </w:p>
    <w:p w:rsidR="00BB3609" w:rsidRDefault="008E1F07">
      <w:pPr>
        <w:pStyle w:val="Point0number"/>
        <w:numPr>
          <w:ilvl w:val="0"/>
          <w:numId w:val="27"/>
        </w:numPr>
        <w:rPr>
          <w:noProof/>
        </w:rPr>
      </w:pPr>
      <w:r>
        <w:rPr>
          <w:noProof/>
        </w:rPr>
        <w:t xml:space="preserve">A Bizottságot fel kell </w:t>
      </w:r>
      <w:r>
        <w:rPr>
          <w:noProof/>
        </w:rPr>
        <w:t>hatalmazni, hogy a 19. cikknek megfelelően felhatalmazáson alapuló jogi aktusokat fogadjon el a jelen irányelv mellékleteinek, illetve az IMO eszközökre való hivatkozások olyan mértékű módosítása tekintetében, amely biztosítja az uniós joggal való összhang</w:t>
      </w:r>
      <w:r>
        <w:rPr>
          <w:noProof/>
        </w:rPr>
        <w:t>jukat, vagy a nemzetközi, különösen az IMO szintjén jelentkező változások figyelembevétele érdekében.</w:t>
      </w:r>
    </w:p>
    <w:p w:rsidR="00BB3609" w:rsidRDefault="008E1F07">
      <w:pPr>
        <w:pStyle w:val="Point0number"/>
        <w:rPr>
          <w:noProof/>
        </w:rPr>
      </w:pPr>
      <w:r>
        <w:rPr>
          <w:noProof/>
        </w:rPr>
        <w:t xml:space="preserve">A mellékletek módosítására szintén sor kerülhet, amikor szükség van a jelen irányelv, és különösen a 6., 7. és 9. cikkek által meghatározott végrehajtási </w:t>
      </w:r>
      <w:r>
        <w:rPr>
          <w:noProof/>
        </w:rPr>
        <w:t>és nyomonkövetési intézkedések javítására a hulladékok hatékony bejelentésének és leadásának, illetve a mentességek megfelelő alkalmazásának biztosítása érdekében.</w:t>
      </w:r>
    </w:p>
    <w:p w:rsidR="00BB3609" w:rsidRDefault="008E1F07">
      <w:pPr>
        <w:pStyle w:val="Point0number"/>
        <w:rPr>
          <w:noProof/>
        </w:rPr>
      </w:pPr>
      <w:r>
        <w:rPr>
          <w:noProof/>
        </w:rPr>
        <w:t>Rendkívüli körülmények fennállása esetén – amennyiben a Bizottság által végzett megfelelő el</w:t>
      </w:r>
      <w:r>
        <w:rPr>
          <w:noProof/>
        </w:rPr>
        <w:t>emzés ezt kellően indokolja és amennyiben ez a tengerészeti biztonságot, az egészséget, a fedélzeti élet- és munkakörülményeket vagy a tengeri környezetet fenyegető súlyos és elfogadhatatlan mértékű veszély, illetve az uniós tengerészeti jogszabályoknak va</w:t>
      </w:r>
      <w:r>
        <w:rPr>
          <w:noProof/>
        </w:rPr>
        <w:t>ló meg nem felelés elkerülése érdekében szükséges – a Bizottság felhatalmazást kap arra, hogy a 19. cikknek megfelelően felhatalmazáson alapuló jogi aktusokat fogadjon el ezen irányelv módosítására vonatkozóan annak érdekében, hogy a MARPOL-egyezmény módos</w:t>
      </w:r>
      <w:r>
        <w:rPr>
          <w:noProof/>
        </w:rPr>
        <w:t>ítása ezen irányelv alkalmazásában ne legyen alkalmazandó.</w:t>
      </w:r>
    </w:p>
    <w:p w:rsidR="00BB3609" w:rsidRDefault="008E1F07">
      <w:pPr>
        <w:pStyle w:val="Point0number"/>
        <w:rPr>
          <w:noProof/>
        </w:rPr>
      </w:pPr>
      <w:r>
        <w:rPr>
          <w:noProof/>
        </w:rPr>
        <w:t>E felhatalmazáson alapuló jogi aktusokat a szóban forgó módosítás hallgatólagos elfogadására nemzetközileg megállapított határidő lejárta vagy a szóban forgó módosítás hatálybalépésének tervezett i</w:t>
      </w:r>
      <w:r>
        <w:rPr>
          <w:noProof/>
        </w:rPr>
        <w:t>dőpontja előtt legalább három hónappal kell elfogadni. Az ilyen felhatalmazáson alapuló jogi aktusok hatálybalépését megelőzően a tagállamok nem kezdeményezik a módosításnak a nemzeti jogszabályokba való beillesztését, illetve a módosításnak a szóban forgó</w:t>
      </w:r>
      <w:r>
        <w:rPr>
          <w:noProof/>
        </w:rPr>
        <w:t xml:space="preserve"> nemzetközi jogi eszközre történő alkalmazását. .</w:t>
      </w:r>
    </w:p>
    <w:p w:rsidR="00BB3609" w:rsidRDefault="008E1F07">
      <w:pPr>
        <w:pStyle w:val="Titrearticle"/>
        <w:rPr>
          <w:noProof/>
        </w:rPr>
      </w:pPr>
      <w:r>
        <w:rPr>
          <w:noProof/>
        </w:rPr>
        <w:t>19. cikk</w:t>
      </w:r>
      <w:r>
        <w:rPr>
          <w:noProof/>
        </w:rPr>
        <w:br/>
      </w:r>
      <w:r>
        <w:rPr>
          <w:b/>
          <w:i w:val="0"/>
          <w:noProof/>
        </w:rPr>
        <w:t>A felhatalmazás gyakorlása</w:t>
      </w:r>
    </w:p>
    <w:p w:rsidR="00BB3609" w:rsidRDefault="008E1F07">
      <w:pPr>
        <w:pStyle w:val="Point0number"/>
        <w:numPr>
          <w:ilvl w:val="0"/>
          <w:numId w:val="30"/>
        </w:numPr>
        <w:rPr>
          <w:noProof/>
        </w:rPr>
      </w:pPr>
      <w:r>
        <w:rPr>
          <w:noProof/>
        </w:rPr>
        <w:t>A Bizottságnak a 8. cikk (5) bekezdésében, a 18. cikk (1) bekezdésében, a 18. cikk (2) bekezdésében, valamint a 18. cikk (3) bekezdésében említett, felhatalmazáson alapul</w:t>
      </w:r>
      <w:r>
        <w:rPr>
          <w:noProof/>
        </w:rPr>
        <w:t>ó jogi aktusok elfogadására vonatkozó felhatalmazása ötéves időtartamra szól [hatálybelépés dátuma] kezdődő hatállyal. A Bizottság legkésőbb kilenc hónappal az öt éves időtartam letelte előtt jelentést készít a felhatalmazásról. A felhatalmazás hallgatólag</w:t>
      </w:r>
      <w:r>
        <w:rPr>
          <w:noProof/>
        </w:rPr>
        <w:t>osan meghosszabbodik a korábbival megegyező időtartamra, amennyiben az Európai Parlament vagy a Tanács nem ellenzi a meghosszabbítást legkésőbb három hónappal minden egyes időtartam letelte előtt.</w:t>
      </w:r>
    </w:p>
    <w:p w:rsidR="00BB3609" w:rsidRDefault="008E1F07">
      <w:pPr>
        <w:pStyle w:val="Point0number"/>
        <w:rPr>
          <w:noProof/>
        </w:rPr>
      </w:pPr>
      <w:r>
        <w:rPr>
          <w:noProof/>
        </w:rPr>
        <w:t xml:space="preserve">Az Európai Parlament vagy a Tanács bármikor visszavonhatja </w:t>
      </w:r>
      <w:r>
        <w:rPr>
          <w:noProof/>
        </w:rPr>
        <w:t>a felhatalmazást. A visszavonásról szóló határozat megszünteti az abban meghatározott felhatalmazást. A határozat az Európai Unió Hivatalos Lapjában való kihirdetését követő napon, vagy a benne megjelölt későbbi időpontban lép hatályba. A határozat nem éri</w:t>
      </w:r>
      <w:r>
        <w:rPr>
          <w:noProof/>
        </w:rPr>
        <w:t>nti a már hatályban lévő, felhatalmazáson alapuló jogi aktusok érvényességét.</w:t>
      </w:r>
    </w:p>
    <w:p w:rsidR="00BB3609" w:rsidRDefault="008E1F07">
      <w:pPr>
        <w:pStyle w:val="Point0number"/>
        <w:rPr>
          <w:noProof/>
        </w:rPr>
      </w:pPr>
      <w:r>
        <w:rPr>
          <w:noProof/>
        </w:rPr>
        <w:t>A Bizottság a felhatalmazáson alapuló jogi aktus elfogadását követően haladéktalanul és egyidejűleg értesíti arról az Európai Parlamentet és a Tanácsot.</w:t>
      </w:r>
    </w:p>
    <w:p w:rsidR="00BB3609" w:rsidRDefault="008E1F07">
      <w:pPr>
        <w:pStyle w:val="Point0number"/>
        <w:rPr>
          <w:noProof/>
        </w:rPr>
      </w:pPr>
      <w:r>
        <w:rPr>
          <w:noProof/>
        </w:rPr>
        <w:t>Egy felhatalmazáson alapu</w:t>
      </w:r>
      <w:r>
        <w:rPr>
          <w:noProof/>
        </w:rPr>
        <w:t>ló jogi aktus csak akkor lép hatályba, ha az Európai Parlamentnek és a Tanácsnak a jogi aktusról való értesítését követő két hónapon belül sem az Európai Parlament, sem a Tanács nem emelt ellene kifogást, illetve ha az említett időtartam lejártát megelőzőe</w:t>
      </w:r>
      <w:r>
        <w:rPr>
          <w:noProof/>
        </w:rPr>
        <w:t>n mind az Európai Parlament, mind a Tanács arról tájékoztatta a Bizottságot, hogy nem fog kifogást emelni. Az Európai Parlament vagy a Tanács kezdeményezésére ez az időtartam két hónappal meghosszabbodik.</w:t>
      </w:r>
    </w:p>
    <w:p w:rsidR="00BB3609" w:rsidRDefault="008E1F07">
      <w:pPr>
        <w:pStyle w:val="Titrearticle"/>
        <w:rPr>
          <w:noProof/>
        </w:rPr>
      </w:pPr>
      <w:r>
        <w:rPr>
          <w:noProof/>
        </w:rPr>
        <w:t>20. cikk</w:t>
      </w:r>
      <w:r>
        <w:rPr>
          <w:noProof/>
        </w:rPr>
        <w:br/>
      </w:r>
      <w:r>
        <w:rPr>
          <w:b/>
          <w:i w:val="0"/>
          <w:noProof/>
        </w:rPr>
        <w:t>Bizottság</w:t>
      </w:r>
    </w:p>
    <w:p w:rsidR="00BB3609" w:rsidRDefault="008E1F07">
      <w:pPr>
        <w:pStyle w:val="Point0number"/>
        <w:numPr>
          <w:ilvl w:val="0"/>
          <w:numId w:val="28"/>
        </w:numPr>
        <w:rPr>
          <w:noProof/>
        </w:rPr>
      </w:pPr>
      <w:r>
        <w:rPr>
          <w:noProof/>
        </w:rPr>
        <w:t>A Bizottságot a 2099/2002/EK ren</w:t>
      </w:r>
      <w:r>
        <w:rPr>
          <w:noProof/>
        </w:rPr>
        <w:t>delettel létrehozott, a tengeri közlekedés biztonságával és a hajókról történő szennyezés megelőzésével foglalkozó bizottság (COSS) segíti. Ez a bizottság a 182/2011/EU rendelet értelmében vett bizottságnak minősül.</w:t>
      </w:r>
    </w:p>
    <w:p w:rsidR="00BB3609" w:rsidRDefault="008E1F07">
      <w:pPr>
        <w:pStyle w:val="Point0number"/>
        <w:rPr>
          <w:noProof/>
        </w:rPr>
      </w:pPr>
      <w:r>
        <w:rPr>
          <w:noProof/>
        </w:rPr>
        <w:t xml:space="preserve">Az e bekezdésre történő hivatkozáskor a </w:t>
      </w:r>
      <w:r>
        <w:rPr>
          <w:noProof/>
        </w:rPr>
        <w:t>182/2011/EU rendelet 5. cikkét kell alkalmazni.</w:t>
      </w:r>
    </w:p>
    <w:p w:rsidR="00BB3609" w:rsidRDefault="008E1F07">
      <w:pPr>
        <w:pStyle w:val="Titrearticle"/>
        <w:rPr>
          <w:noProof/>
        </w:rPr>
      </w:pPr>
      <w:r>
        <w:rPr>
          <w:noProof/>
        </w:rPr>
        <w:t>21. cikk</w:t>
      </w:r>
      <w:r>
        <w:rPr>
          <w:noProof/>
        </w:rPr>
        <w:br/>
      </w:r>
      <w:r>
        <w:rPr>
          <w:b/>
          <w:i w:val="0"/>
          <w:noProof/>
        </w:rPr>
        <w:t>A 2009/16/EK irányelv módosítása</w:t>
      </w:r>
    </w:p>
    <w:p w:rsidR="00BB3609" w:rsidRDefault="008E1F07">
      <w:pPr>
        <w:rPr>
          <w:noProof/>
        </w:rPr>
      </w:pPr>
      <w:r>
        <w:rPr>
          <w:noProof/>
        </w:rPr>
        <w:t>A 2009/16/EK irányelv a következőképpen módosul:</w:t>
      </w:r>
    </w:p>
    <w:p w:rsidR="00BB3609" w:rsidRDefault="008E1F07"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A 13. cikk a következőképpen módosul:</w:t>
      </w:r>
    </w:p>
    <w:p w:rsidR="00BB3609" w:rsidRDefault="008E1F07"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>Az (1) bekezdés a következő d) ponttal egészül ki:</w:t>
      </w:r>
    </w:p>
    <w:p w:rsidR="00BB3609" w:rsidRDefault="008E1F07">
      <w:pPr>
        <w:pStyle w:val="Point2"/>
        <w:rPr>
          <w:noProof/>
        </w:rPr>
      </w:pPr>
      <w:r>
        <w:rPr>
          <w:noProof/>
        </w:rPr>
        <w:t>d)</w:t>
      </w:r>
      <w:r>
        <w:rPr>
          <w:noProof/>
        </w:rPr>
        <w:tab/>
        <w:t xml:space="preserve">„ellenőrizze, hogy </w:t>
      </w:r>
      <w:r>
        <w:rPr>
          <w:noProof/>
        </w:rPr>
        <w:t>a hajó adott esetben megfelel a hajókról származó hulladék leadására alkalmas kikötői fogadólétesítményekről szóló 201X/XX/EU irányelv 6., 7. és 9. cikkeiben szereplő előírásoknak.”</w:t>
      </w:r>
    </w:p>
    <w:p w:rsidR="00BB3609" w:rsidRDefault="008E1F07"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>A (3) bekezdés első albekezdésének vége a következővel egészül ki:</w:t>
      </w:r>
    </w:p>
    <w:p w:rsidR="00BB3609" w:rsidRDefault="008E1F07">
      <w:pPr>
        <w:pStyle w:val="Point2"/>
        <w:rPr>
          <w:noProof/>
        </w:rPr>
      </w:pPr>
      <w:r>
        <w:rPr>
          <w:noProof/>
        </w:rPr>
        <w:t>„..v</w:t>
      </w:r>
      <w:r>
        <w:rPr>
          <w:noProof/>
        </w:rPr>
        <w:t>agy a 201X/XX/EU irányelv”.</w:t>
      </w:r>
    </w:p>
    <w:p w:rsidR="00BB3609" w:rsidRDefault="008E1F07">
      <w:pPr>
        <w:pStyle w:val="Point1"/>
        <w:rPr>
          <w:noProof/>
        </w:rPr>
      </w:pPr>
      <w:r>
        <w:rPr>
          <w:noProof/>
        </w:rPr>
        <w:t>c)</w:t>
      </w:r>
      <w:r>
        <w:rPr>
          <w:noProof/>
        </w:rPr>
        <w:tab/>
        <w:t>A szöveg az alábbi bekezdéssel egészül ki:</w:t>
      </w:r>
    </w:p>
    <w:p w:rsidR="00BB3609" w:rsidRDefault="008E1F07">
      <w:pPr>
        <w:pStyle w:val="Point2"/>
        <w:rPr>
          <w:noProof/>
        </w:rPr>
      </w:pPr>
      <w:r>
        <w:rPr>
          <w:noProof/>
        </w:rPr>
        <w:t>4.</w:t>
      </w:r>
      <w:r>
        <w:rPr>
          <w:noProof/>
        </w:rPr>
        <w:tab/>
        <w:t xml:space="preserve">„Ha az (1) bekezdés d) pontjában vagy a (3) bekezdésben említett ellenőrzést követően az ellenőr megállapítja, hogy a hajó nem felel meg a 201X/XX/EU irányelv előírásainak, akkor </w:t>
      </w:r>
      <w:r>
        <w:rPr>
          <w:noProof/>
        </w:rPr>
        <w:t>a 201X/XX/EU irányelv 16. cikkében meghatározott szankciók alkalmazásának sérelme nélkül a hajó nem hagyhatja el a kikötőt, amíg a hulladékát le nem adta egy kikötői fogadólétesítménybe.”</w:t>
      </w:r>
    </w:p>
    <w:p w:rsidR="00BB3609" w:rsidRDefault="008E1F07"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Az I. melléklet II. részének 2B pontjában a rendhagyó tényezők li</w:t>
      </w:r>
      <w:r>
        <w:rPr>
          <w:noProof/>
        </w:rPr>
        <w:t>stája a következő francia bekezdéssel egészül ki:</w:t>
      </w:r>
    </w:p>
    <w:p w:rsidR="00BB3609" w:rsidRDefault="008E1F07">
      <w:pPr>
        <w:pStyle w:val="Tiret1"/>
        <w:numPr>
          <w:ilvl w:val="0"/>
          <w:numId w:val="16"/>
        </w:numPr>
        <w:rPr>
          <w:noProof/>
        </w:rPr>
      </w:pPr>
      <w:r>
        <w:rPr>
          <w:noProof/>
        </w:rPr>
        <w:t>„Azokat a hajókat, amelyekkel kapcsolatban jelentették, hogy nem tettek eleget a hulladékok 201X/XX/EU irányelv 7. cikke szerinti leadására vonatkozó kötelezettségnek, vagy amelyekkel kapcsolatban a 201X/XX</w:t>
      </w:r>
      <w:r>
        <w:rPr>
          <w:noProof/>
        </w:rPr>
        <w:t>/EU irányelv 6. cikke szerint jelentett információkból kitűnik, hogy nem felelnek meg a 201X/XX/EU irányelv előírásainak”.</w:t>
      </w:r>
    </w:p>
    <w:p w:rsidR="00BB3609" w:rsidRDefault="008E1F07"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>A IV. melléklet az alábbi pontokkal egészül ki:</w:t>
      </w:r>
    </w:p>
    <w:p w:rsidR="00BB3609" w:rsidRDefault="008E1F07">
      <w:pPr>
        <w:pStyle w:val="Point1"/>
        <w:rPr>
          <w:noProof/>
        </w:rPr>
      </w:pPr>
      <w:r>
        <w:rPr>
          <w:noProof/>
        </w:rPr>
        <w:t>51.</w:t>
      </w:r>
      <w:r>
        <w:rPr>
          <w:noProof/>
        </w:rPr>
        <w:tab/>
        <w:t>A 201X/XX/EU irányelv 6. cikkének (3) bekezdése értelmében a fedélzeten megőrz</w:t>
      </w:r>
      <w:r>
        <w:rPr>
          <w:noProof/>
        </w:rPr>
        <w:t>ött előzetes hulladékbejelentési dokumentumok másolata</w:t>
      </w:r>
    </w:p>
    <w:p w:rsidR="00BB3609" w:rsidRDefault="008E1F07">
      <w:pPr>
        <w:pStyle w:val="Point1"/>
        <w:rPr>
          <w:noProof/>
        </w:rPr>
      </w:pPr>
      <w:r>
        <w:rPr>
          <w:noProof/>
        </w:rPr>
        <w:t>52.</w:t>
      </w:r>
      <w:r>
        <w:rPr>
          <w:noProof/>
        </w:rPr>
        <w:tab/>
        <w:t>A 201X/XX/EU irányelv 7. cikke szerint kiállított szabványos hulladékátvételi elismervények.</w:t>
      </w:r>
    </w:p>
    <w:p w:rsidR="00BB3609" w:rsidRDefault="008E1F07">
      <w:pPr>
        <w:pStyle w:val="Point1"/>
        <w:rPr>
          <w:noProof/>
        </w:rPr>
      </w:pPr>
      <w:r>
        <w:rPr>
          <w:noProof/>
        </w:rPr>
        <w:t>53.</w:t>
      </w:r>
      <w:r>
        <w:rPr>
          <w:noProof/>
        </w:rPr>
        <w:tab/>
        <w:t>A 201X/XX/EU irányelv 9. cikke szerint kiállított mentességi bizonyítvány.</w:t>
      </w:r>
    </w:p>
    <w:p w:rsidR="00BB3609" w:rsidRDefault="008E1F07">
      <w:pPr>
        <w:pStyle w:val="Titrearticle"/>
        <w:rPr>
          <w:b/>
          <w:i w:val="0"/>
          <w:noProof/>
        </w:rPr>
      </w:pPr>
      <w:r>
        <w:rPr>
          <w:noProof/>
        </w:rPr>
        <w:t>22. cikk</w:t>
      </w:r>
      <w:r>
        <w:rPr>
          <w:noProof/>
        </w:rPr>
        <w:br/>
      </w:r>
      <w:r>
        <w:rPr>
          <w:b/>
          <w:i w:val="0"/>
          <w:noProof/>
        </w:rPr>
        <w:t>A 2010/65/EU irá</w:t>
      </w:r>
      <w:r>
        <w:rPr>
          <w:b/>
          <w:i w:val="0"/>
          <w:noProof/>
        </w:rPr>
        <w:t>nyelv módosítása</w:t>
      </w:r>
    </w:p>
    <w:p w:rsidR="00BB3609" w:rsidRDefault="008E1F07">
      <w:pPr>
        <w:rPr>
          <w:noProof/>
        </w:rPr>
      </w:pPr>
      <w:r>
        <w:rPr>
          <w:noProof/>
        </w:rPr>
        <w:t>A 2010/65/EU irányelv a következőképpen módosul:</w:t>
      </w:r>
    </w:p>
    <w:p w:rsidR="00BB3609" w:rsidRDefault="008E1F07">
      <w:pPr>
        <w:rPr>
          <w:noProof/>
        </w:rPr>
      </w:pPr>
      <w:r>
        <w:rPr>
          <w:noProof/>
        </w:rPr>
        <w:t xml:space="preserve">A melléklet A. pontjának 4. alpontja a következőképpen módosul: </w:t>
      </w:r>
    </w:p>
    <w:p w:rsidR="00BB3609" w:rsidRDefault="008E1F07">
      <w:pPr>
        <w:rPr>
          <w:noProof/>
        </w:rPr>
      </w:pPr>
      <w:r>
        <w:rPr>
          <w:noProof/>
        </w:rPr>
        <w:t xml:space="preserve">„4. A hajókról származó hulladékok bejelentése, beleértve a maradványokat is </w:t>
      </w:r>
    </w:p>
    <w:p w:rsidR="00BB3609" w:rsidRDefault="008E1F07">
      <w:pPr>
        <w:rPr>
          <w:noProof/>
        </w:rPr>
      </w:pPr>
      <w:r>
        <w:rPr>
          <w:noProof/>
        </w:rPr>
        <w:t>Az Európai Parlament és a Tanács 201X/XX/EU irá</w:t>
      </w:r>
      <w:r>
        <w:rPr>
          <w:noProof/>
        </w:rPr>
        <w:t>nyelve 6. és 7. cikkei”.</w:t>
      </w:r>
    </w:p>
    <w:p w:rsidR="00BB3609" w:rsidRDefault="008E1F07">
      <w:pPr>
        <w:pStyle w:val="Titrearticle"/>
        <w:rPr>
          <w:noProof/>
        </w:rPr>
      </w:pPr>
      <w:r>
        <w:rPr>
          <w:noProof/>
        </w:rPr>
        <w:t>23. cikk</w:t>
      </w:r>
      <w:r>
        <w:rPr>
          <w:noProof/>
        </w:rPr>
        <w:br/>
      </w:r>
      <w:r>
        <w:rPr>
          <w:b/>
          <w:i w:val="0"/>
          <w:noProof/>
        </w:rPr>
        <w:t>Hatályon kívül helyezés</w:t>
      </w:r>
    </w:p>
    <w:p w:rsidR="00BB3609" w:rsidRDefault="008E1F07">
      <w:pPr>
        <w:rPr>
          <w:noProof/>
        </w:rPr>
      </w:pPr>
      <w:r>
        <w:rPr>
          <w:noProof/>
        </w:rPr>
        <w:t>Az 2000/59/EK irányelv hatályát veszti.</w:t>
      </w:r>
    </w:p>
    <w:p w:rsidR="00BB3609" w:rsidRDefault="008E1F07">
      <w:pPr>
        <w:rPr>
          <w:noProof/>
        </w:rPr>
      </w:pPr>
      <w:r>
        <w:rPr>
          <w:noProof/>
        </w:rPr>
        <w:t>A hatályon kívül helyezett irányelvre történő hivatkozásokat ezen irányelvre történő hivatkozásként kell értelmezni.</w:t>
      </w:r>
    </w:p>
    <w:p w:rsidR="00BB3609" w:rsidRDefault="008E1F07">
      <w:pPr>
        <w:pStyle w:val="Titrearticle"/>
        <w:rPr>
          <w:noProof/>
        </w:rPr>
      </w:pPr>
      <w:r>
        <w:rPr>
          <w:noProof/>
        </w:rPr>
        <w:t>24. cikk</w:t>
      </w:r>
      <w:r>
        <w:rPr>
          <w:noProof/>
        </w:rPr>
        <w:br/>
      </w:r>
      <w:r>
        <w:rPr>
          <w:b/>
          <w:i w:val="0"/>
          <w:noProof/>
        </w:rPr>
        <w:t>Felülvizsgálat</w:t>
      </w:r>
    </w:p>
    <w:p w:rsidR="00BB3609" w:rsidRDefault="008E1F07">
      <w:pPr>
        <w:rPr>
          <w:noProof/>
        </w:rPr>
      </w:pPr>
      <w:r>
        <w:rPr>
          <w:noProof/>
        </w:rPr>
        <w:t>A Bizottság legké</w:t>
      </w:r>
      <w:r>
        <w:rPr>
          <w:noProof/>
        </w:rPr>
        <w:t>sőbb hét évvel a hatálybalépést követően értékelést készít az irányelvről, és az értékelés eredményeit megküldi az Európai Parlament és a Tanács számára.</w:t>
      </w:r>
    </w:p>
    <w:p w:rsidR="00BB3609" w:rsidRDefault="008E1F07">
      <w:pPr>
        <w:pStyle w:val="Titrearticle"/>
        <w:rPr>
          <w:noProof/>
        </w:rPr>
      </w:pPr>
      <w:r>
        <w:rPr>
          <w:noProof/>
        </w:rPr>
        <w:t>25. cikk</w:t>
      </w:r>
      <w:r>
        <w:rPr>
          <w:noProof/>
        </w:rPr>
        <w:br/>
      </w:r>
      <w:r>
        <w:rPr>
          <w:b/>
          <w:i w:val="0"/>
          <w:noProof/>
        </w:rPr>
        <w:t>Átültetés</w:t>
      </w:r>
      <w:r>
        <w:rPr>
          <w:noProof/>
        </w:rPr>
        <w:br/>
      </w:r>
    </w:p>
    <w:p w:rsidR="00BB3609" w:rsidRDefault="008E1F07">
      <w:pPr>
        <w:pStyle w:val="Point0number"/>
        <w:numPr>
          <w:ilvl w:val="0"/>
          <w:numId w:val="29"/>
        </w:numPr>
        <w:rPr>
          <w:noProof/>
        </w:rPr>
      </w:pPr>
      <w:r>
        <w:rPr>
          <w:noProof/>
        </w:rPr>
        <w:t>A tagállamok legkésőbb 2020. december 31-ig elfogadják és kihirdetik azokat a törvényi, rendeleti és közigazgatási rendelkezéseket, amelyek szükségesek ahhoz, hogy ennek az irányelvnek megfeleljenek. E rendelkezések szövegét haladéktalanul megküldik a Bizo</w:t>
      </w:r>
      <w:r>
        <w:rPr>
          <w:noProof/>
        </w:rPr>
        <w:t>ttság számára.</w:t>
      </w:r>
    </w:p>
    <w:p w:rsidR="00BB3609" w:rsidRDefault="008E1F07">
      <w:pPr>
        <w:pStyle w:val="Text1"/>
        <w:rPr>
          <w:noProof/>
        </w:rPr>
      </w:pPr>
      <w:r>
        <w:rPr>
          <w:noProof/>
        </w:rPr>
        <w:t>Amikor a tagállamok elfogadják ezeket a rendelkezéseket, azokban hivatkozni kell erre az irányelvre, vagy azokhoz hivatalos kihirdetésük alkalmával ilyen hivatkozást kell fűzni. A hivatkozás módját a tagállamok határozzák meg.</w:t>
      </w:r>
    </w:p>
    <w:p w:rsidR="00BB3609" w:rsidRDefault="008E1F07">
      <w:pPr>
        <w:pStyle w:val="Point0number"/>
        <w:rPr>
          <w:noProof/>
        </w:rPr>
      </w:pPr>
      <w:r>
        <w:rPr>
          <w:noProof/>
        </w:rPr>
        <w:t>A tagállamok k</w:t>
      </w:r>
      <w:r>
        <w:rPr>
          <w:noProof/>
        </w:rPr>
        <w:t>özlik a Bizottsággal nemzeti joguk azon főbb rendelkezéseinek szövegét, amelyeket az ezen irányelv által szabályozott területen fogadnak el.</w:t>
      </w:r>
    </w:p>
    <w:p w:rsidR="00BB3609" w:rsidRDefault="008E1F07">
      <w:pPr>
        <w:pStyle w:val="Titrearticle"/>
        <w:rPr>
          <w:noProof/>
        </w:rPr>
      </w:pPr>
      <w:r>
        <w:rPr>
          <w:noProof/>
        </w:rPr>
        <w:t>26. cikk</w:t>
      </w:r>
      <w:r>
        <w:rPr>
          <w:noProof/>
        </w:rPr>
        <w:br/>
      </w:r>
      <w:r>
        <w:rPr>
          <w:b/>
          <w:i w:val="0"/>
          <w:noProof/>
        </w:rPr>
        <w:t>Hatálybelépés</w:t>
      </w:r>
    </w:p>
    <w:p w:rsidR="00BB3609" w:rsidRDefault="008E1F07">
      <w:pPr>
        <w:rPr>
          <w:noProof/>
        </w:rPr>
      </w:pPr>
      <w:r>
        <w:rPr>
          <w:noProof/>
        </w:rPr>
        <w:t xml:space="preserve">Ez az irányelv az Európai Unió Hivatalos Lapjában való kihirdetését követő huszadik napon </w:t>
      </w:r>
      <w:r>
        <w:rPr>
          <w:noProof/>
        </w:rPr>
        <w:t>lép hatályba.</w:t>
      </w:r>
    </w:p>
    <w:p w:rsidR="00BB3609" w:rsidRDefault="008E1F07">
      <w:pPr>
        <w:pStyle w:val="Titrearticle"/>
        <w:rPr>
          <w:noProof/>
        </w:rPr>
      </w:pPr>
      <w:r>
        <w:rPr>
          <w:noProof/>
        </w:rPr>
        <w:t>27. cikk</w:t>
      </w:r>
      <w:r>
        <w:rPr>
          <w:noProof/>
        </w:rPr>
        <w:br/>
      </w:r>
      <w:r>
        <w:rPr>
          <w:b/>
          <w:i w:val="0"/>
          <w:noProof/>
        </w:rPr>
        <w:t>Címzettek</w:t>
      </w:r>
    </w:p>
    <w:p w:rsidR="00BB3609" w:rsidRDefault="008E1F07">
      <w:pPr>
        <w:keepNext/>
        <w:keepLines/>
        <w:rPr>
          <w:noProof/>
        </w:rPr>
      </w:pPr>
      <w:r>
        <w:rPr>
          <w:noProof/>
        </w:rPr>
        <w:t>Ennek az irányelvnek a tagállamok a címzettjei.</w:t>
      </w:r>
    </w:p>
    <w:p w:rsidR="00BB3609" w:rsidRDefault="008E1F07">
      <w:pPr>
        <w:pStyle w:val="Fait"/>
        <w:rPr>
          <w:noProof/>
        </w:rPr>
      </w:pPr>
      <w:r>
        <w:t xml:space="preserve">Kelt Strasbourgban, </w:t>
      </w:r>
      <w:proofErr w:type="spellStart"/>
      <w:r>
        <w:t>-án</w:t>
      </w:r>
      <w:proofErr w:type="spellEnd"/>
      <w:r>
        <w:t>/</w:t>
      </w:r>
      <w:proofErr w:type="spellStart"/>
      <w:r>
        <w:t>-én</w:t>
      </w:r>
      <w:proofErr w:type="spellEnd"/>
      <w:r>
        <w:t>.</w:t>
      </w:r>
    </w:p>
    <w:p w:rsidR="00BB3609" w:rsidRDefault="008E1F07">
      <w:pPr>
        <w:pStyle w:val="Institutionquisigne"/>
        <w:rPr>
          <w:noProof/>
        </w:rPr>
      </w:pPr>
      <w:r>
        <w:rPr>
          <w:noProof/>
        </w:rPr>
        <w:t>az Európai Parlament részéről</w:t>
      </w:r>
      <w:r>
        <w:rPr>
          <w:noProof/>
        </w:rPr>
        <w:tab/>
        <w:t>a Tanács részéről</w:t>
      </w:r>
    </w:p>
    <w:p w:rsidR="00BB3609" w:rsidRDefault="008E1F07">
      <w:pPr>
        <w:pStyle w:val="Personnequisigne"/>
        <w:rPr>
          <w:noProof/>
        </w:rPr>
      </w:pPr>
      <w:r>
        <w:rPr>
          <w:noProof/>
        </w:rPr>
        <w:t>az elnök</w:t>
      </w:r>
      <w:r>
        <w:rPr>
          <w:noProof/>
        </w:rPr>
        <w:tab/>
        <w:t>az elnök</w:t>
      </w:r>
    </w:p>
    <w:sectPr w:rsidR="00BB3609"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609" w:rsidRDefault="008E1F07">
      <w:pPr>
        <w:spacing w:before="0" w:after="0"/>
      </w:pPr>
      <w:r>
        <w:separator/>
      </w:r>
    </w:p>
  </w:endnote>
  <w:endnote w:type="continuationSeparator" w:id="0">
    <w:p w:rsidR="00BB3609" w:rsidRDefault="008E1F0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F07" w:rsidRDefault="008E1F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609" w:rsidRDefault="008E1F07">
    <w:pPr>
      <w:pStyle w:val="Footer"/>
      <w:rPr>
        <w:rFonts w:ascii="Arial" w:hAnsi="Arial" w:cs="Arial"/>
        <w:b/>
        <w:sz w:val="48"/>
      </w:rPr>
    </w:pPr>
    <w:proofErr w:type="gramStart"/>
    <w:r>
      <w:rPr>
        <w:rFonts w:ascii="Arial" w:hAnsi="Arial" w:cs="Arial"/>
        <w:b/>
        <w:sz w:val="48"/>
      </w:rPr>
      <w:t>HU</w:t>
    </w:r>
    <w:proofErr w:type="gramEnd"/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proofErr w:type="spellStart"/>
    <w:r>
      <w:rPr>
        <w:rFonts w:ascii="Arial" w:hAnsi="Arial" w:cs="Arial"/>
        <w:b/>
        <w:sz w:val="48"/>
      </w:rPr>
      <w:t>HU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F07" w:rsidRDefault="008E1F0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609" w:rsidRDefault="008E1F07">
    <w:pPr>
      <w:pStyle w:val="Footer"/>
      <w:rPr>
        <w:rFonts w:ascii="Arial" w:hAnsi="Arial" w:cs="Arial"/>
        <w:b/>
        <w:sz w:val="48"/>
      </w:rPr>
    </w:pPr>
    <w:proofErr w:type="gramStart"/>
    <w:r>
      <w:rPr>
        <w:rFonts w:ascii="Arial" w:hAnsi="Arial" w:cs="Arial"/>
        <w:b/>
        <w:sz w:val="48"/>
      </w:rPr>
      <w:t>HU</w:t>
    </w:r>
    <w:proofErr w:type="gramEnd"/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HU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609" w:rsidRDefault="00BB36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609" w:rsidRDefault="008E1F07">
      <w:pPr>
        <w:spacing w:before="0" w:after="0"/>
      </w:pPr>
      <w:r>
        <w:separator/>
      </w:r>
    </w:p>
  </w:footnote>
  <w:footnote w:type="continuationSeparator" w:id="0">
    <w:p w:rsidR="00BB3609" w:rsidRDefault="008E1F07">
      <w:pPr>
        <w:spacing w:before="0" w:after="0"/>
      </w:pPr>
      <w:r>
        <w:continuationSeparator/>
      </w:r>
    </w:p>
  </w:footnote>
  <w:footnote w:id="1">
    <w:p w:rsidR="00BB3609" w:rsidRDefault="008E1F07">
      <w:pPr>
        <w:pStyle w:val="FootnoteText"/>
      </w:pPr>
      <w:r>
        <w:rPr>
          <w:rStyle w:val="FootnoteReference"/>
        </w:rPr>
        <w:footnoteRef/>
      </w:r>
      <w:r>
        <w:tab/>
        <w:t>Az Európai Parlament és a Tanács 2000/59/EK irányelve (2000. november 27.)</w:t>
      </w:r>
      <w:r>
        <w:t xml:space="preserve"> a hajókon keletkező hulladék és a rakománymaradványok fogadására alkalmas kikötői létesítményekről, HL L 332., 2000.12.28</w:t>
      </w:r>
      <w:proofErr w:type="gramStart"/>
      <w:r>
        <w:t>.,</w:t>
      </w:r>
      <w:proofErr w:type="gramEnd"/>
      <w:r>
        <w:t xml:space="preserve"> 81. o.</w:t>
      </w:r>
    </w:p>
  </w:footnote>
  <w:footnote w:id="2">
    <w:p w:rsidR="00BB3609" w:rsidRDefault="008E1F07">
      <w:pPr>
        <w:pStyle w:val="FootnoteText"/>
      </w:pPr>
      <w:r>
        <w:rPr>
          <w:rStyle w:val="FootnoteReference"/>
        </w:rPr>
        <w:footnoteRef/>
      </w:r>
      <w:r>
        <w:tab/>
        <w:t>Nemzetközi egyezmény a hajókról történő szennyezés megelőzéséről (egységes szerkezetbe foglalt szöveg).</w:t>
      </w:r>
    </w:p>
  </w:footnote>
  <w:footnote w:id="3">
    <w:p w:rsidR="00BB3609" w:rsidRDefault="008E1F07">
      <w:pPr>
        <w:pStyle w:val="FootnoteText"/>
      </w:pPr>
      <w:r>
        <w:rPr>
          <w:rStyle w:val="FootnoteReference"/>
        </w:rPr>
        <w:footnoteRef/>
      </w:r>
      <w:r>
        <w:tab/>
        <w:t>Az Európai Parla</w:t>
      </w:r>
      <w:r>
        <w:t>ment és a Tanács 2009/16/EK irányelve (2009. április 23.) a kikötő szerint illetékes állam általi ellenőrzésről, HL L 131., 2009.5.28</w:t>
      </w:r>
      <w:proofErr w:type="gramStart"/>
      <w:r>
        <w:t>.,</w:t>
      </w:r>
      <w:proofErr w:type="gramEnd"/>
      <w:r>
        <w:t xml:space="preserve"> 57. o.</w:t>
      </w:r>
    </w:p>
  </w:footnote>
  <w:footnote w:id="4">
    <w:p w:rsidR="00BB3609" w:rsidRDefault="008E1F07">
      <w:pPr>
        <w:pStyle w:val="FootnoteText"/>
      </w:pPr>
      <w:r>
        <w:rPr>
          <w:rStyle w:val="FootnoteReference"/>
        </w:rPr>
        <w:footnoteRef/>
      </w:r>
      <w:r>
        <w:tab/>
        <w:t>Az Európai Parlament és a Tanács 2010/65/EU irányelve (2010. október 20.) a tagállamok kikötőibe érkező vagy on</w:t>
      </w:r>
      <w:r>
        <w:t>nan induló hajókra vonatkozó nyilatkozattételi követelményekről, HL L 283., 2010.10.29</w:t>
      </w:r>
      <w:proofErr w:type="gramStart"/>
      <w:r>
        <w:t>.,</w:t>
      </w:r>
      <w:proofErr w:type="gramEnd"/>
      <w:r>
        <w:t xml:space="preserve"> 1. o.</w:t>
      </w:r>
    </w:p>
  </w:footnote>
  <w:footnote w:id="5">
    <w:p w:rsidR="00BB3609" w:rsidRDefault="008E1F07">
      <w:pPr>
        <w:pStyle w:val="FootnoteText"/>
      </w:pPr>
      <w:r>
        <w:rPr>
          <w:rStyle w:val="FootnoteReference"/>
        </w:rPr>
        <w:footnoteRef/>
      </w:r>
      <w:r>
        <w:tab/>
      </w:r>
      <w:proofErr w:type="gramStart"/>
      <w:r>
        <w:t>COM(</w:t>
      </w:r>
      <w:proofErr w:type="gramEnd"/>
      <w:r>
        <w:t>2009)8 „Stratégiai célkitűzések és javaslatok az Európai Unió tengeri szállítási politikájának vonatkozásában a 2018-ig terjedő időszakra”.</w:t>
      </w:r>
    </w:p>
  </w:footnote>
  <w:footnote w:id="6">
    <w:p w:rsidR="00BB3609" w:rsidRDefault="008E1F07">
      <w:pPr>
        <w:pStyle w:val="FootnoteText"/>
      </w:pPr>
      <w:r>
        <w:rPr>
          <w:rStyle w:val="FootnoteReference"/>
        </w:rPr>
        <w:footnoteRef/>
      </w:r>
      <w:r>
        <w:tab/>
        <w:t>Az Európai Pa</w:t>
      </w:r>
      <w:r>
        <w:t>rlament és a Tanács (EU) 2017/352 rendelete (2017. február 15.) a kikötői szolgáltatások nyújtását és a kikötők pénzügyi átláthatóságára vonatkozó közös szabályokat biztosító keretrendszer létrehozásáról, HL L 57., 2017.3.3</w:t>
      </w:r>
      <w:proofErr w:type="gramStart"/>
      <w:r>
        <w:t>.,</w:t>
      </w:r>
      <w:proofErr w:type="gramEnd"/>
      <w:r>
        <w:t xml:space="preserve"> 1–18. o.</w:t>
      </w:r>
    </w:p>
  </w:footnote>
  <w:footnote w:id="7">
    <w:p w:rsidR="00BB3609" w:rsidRDefault="008E1F07">
      <w:pPr>
        <w:pStyle w:val="FootnoteText"/>
      </w:pPr>
      <w:r>
        <w:rPr>
          <w:rStyle w:val="FootnoteReference"/>
        </w:rPr>
        <w:footnoteRef/>
      </w:r>
      <w:r>
        <w:tab/>
        <w:t>Az Európai Parlamen</w:t>
      </w:r>
      <w:r>
        <w:t>t és a Tanács 2008/56/EK irányelve (2008. június 17.) a tengeri környezetvédelmi politika területén a közösségi fellépés kereteinek meghatározásáról, HL L 164., 2008.6.25</w:t>
      </w:r>
      <w:proofErr w:type="gramStart"/>
      <w:r>
        <w:t>.,</w:t>
      </w:r>
      <w:proofErr w:type="gramEnd"/>
      <w:r>
        <w:t xml:space="preserve"> 19–40. o.</w:t>
      </w:r>
    </w:p>
  </w:footnote>
  <w:footnote w:id="8">
    <w:p w:rsidR="00BB3609" w:rsidRDefault="008E1F07">
      <w:pPr>
        <w:pStyle w:val="FootnoteText"/>
      </w:pPr>
      <w:r>
        <w:rPr>
          <w:rStyle w:val="FootnoteReference"/>
        </w:rPr>
        <w:footnoteRef/>
      </w:r>
      <w:r>
        <w:tab/>
        <w:t>Az Európai Parlament és a Tanács 2008/98/EK irányelve (2008. november 1</w:t>
      </w:r>
      <w:r>
        <w:t>9.) a hulladékokról és egyes irányelvek hatályon kívül helyezéséről, HL L 312., 2008.11.22</w:t>
      </w:r>
      <w:proofErr w:type="gramStart"/>
      <w:r>
        <w:t>.,</w:t>
      </w:r>
      <w:proofErr w:type="gramEnd"/>
      <w:r>
        <w:t xml:space="preserve"> 3–30. o.</w:t>
      </w:r>
    </w:p>
  </w:footnote>
  <w:footnote w:id="9">
    <w:p w:rsidR="00BB3609" w:rsidRDefault="008E1F07">
      <w:pPr>
        <w:pStyle w:val="FootnoteText"/>
      </w:pPr>
      <w:r>
        <w:rPr>
          <w:rStyle w:val="FootnoteReference"/>
        </w:rPr>
        <w:footnoteRef/>
      </w:r>
      <w:r>
        <w:tab/>
        <w:t>Az Európai Parlament és a Tanács 2005/33/EK irányelve (2005. július 6.) a tengeri hajózásban használatos tüzelő- és üzemanyagok kéntartalmáról, HL L 191</w:t>
      </w:r>
      <w:r>
        <w:t>., 2005.7.22</w:t>
      </w:r>
      <w:proofErr w:type="gramStart"/>
      <w:r>
        <w:t>.,</w:t>
      </w:r>
      <w:proofErr w:type="gramEnd"/>
      <w:r>
        <w:t xml:space="preserve"> 59. o.</w:t>
      </w:r>
    </w:p>
  </w:footnote>
  <w:footnote w:id="10">
    <w:p w:rsidR="00BB3609" w:rsidRDefault="008E1F07">
      <w:pPr>
        <w:pStyle w:val="FootnoteText"/>
      </w:pPr>
      <w:r>
        <w:rPr>
          <w:rStyle w:val="FootnoteReference"/>
        </w:rPr>
        <w:footnoteRef/>
      </w:r>
      <w:r>
        <w:tab/>
        <w:t>COM/2015/614 </w:t>
      </w:r>
      <w:proofErr w:type="spellStart"/>
      <w:r>
        <w:t>final</w:t>
      </w:r>
      <w:proofErr w:type="spellEnd"/>
      <w:r>
        <w:t>, „Az anyagkörforgás megvalósítása – a körforgásos gazdaságra vonatkozó uniós cselekvési terv”.</w:t>
      </w:r>
    </w:p>
  </w:footnote>
  <w:footnote w:id="11">
    <w:p w:rsidR="00BB3609" w:rsidRDefault="008E1F07">
      <w:pPr>
        <w:pStyle w:val="FootnoteText"/>
      </w:pPr>
      <w:r>
        <w:rPr>
          <w:rStyle w:val="FootnoteReference"/>
        </w:rPr>
        <w:footnoteRef/>
      </w:r>
      <w:r>
        <w:tab/>
      </w:r>
      <w:proofErr w:type="gramStart"/>
      <w:r>
        <w:t>SWD(</w:t>
      </w:r>
      <w:proofErr w:type="gramEnd"/>
      <w:r>
        <w:t>2018) 16 bizottsági szolgálati munkadokumentum.</w:t>
      </w:r>
    </w:p>
  </w:footnote>
  <w:footnote w:id="12">
    <w:p w:rsidR="00BB3609" w:rsidRDefault="008E1F07">
      <w:pPr>
        <w:pStyle w:val="FootnoteText"/>
      </w:pPr>
      <w:r>
        <w:rPr>
          <w:rStyle w:val="FootnoteReference"/>
        </w:rPr>
        <w:footnoteRef/>
      </w:r>
      <w:r>
        <w:tab/>
        <w:t>2. melléklet, 7. oldal, Az érdekelt felekkel folytatott konzul</w:t>
      </w:r>
      <w:r>
        <w:t>táció összefoglaló jelentése.</w:t>
      </w:r>
    </w:p>
  </w:footnote>
  <w:footnote w:id="13">
    <w:p w:rsidR="00BB3609" w:rsidRDefault="008E1F07">
      <w:pPr>
        <w:pStyle w:val="FootnoteText"/>
      </w:pPr>
      <w:r>
        <w:rPr>
          <w:rStyle w:val="FootnoteReference"/>
        </w:rPr>
        <w:footnoteRef/>
      </w:r>
      <w:r>
        <w:tab/>
        <w:t xml:space="preserve">4. melléklet, 23. oldal, </w:t>
      </w:r>
      <w:proofErr w:type="gramStart"/>
      <w:r>
        <w:t>A</w:t>
      </w:r>
      <w:proofErr w:type="gramEnd"/>
      <w:r>
        <w:t xml:space="preserve"> hatásvizsgálat előkészítése során használt analitikai modellek.</w:t>
      </w:r>
    </w:p>
  </w:footnote>
  <w:footnote w:id="14">
    <w:p w:rsidR="00BB3609" w:rsidRDefault="008E1F07">
      <w:pPr>
        <w:pStyle w:val="FootnoteText"/>
      </w:pPr>
      <w:r>
        <w:rPr>
          <w:rStyle w:val="FootnoteReference"/>
        </w:rPr>
        <w:footnoteRef/>
      </w:r>
      <w:r>
        <w:tab/>
        <w:t xml:space="preserve">Bizottsági szolgálati munkadokumentum – Hatásvizsgálat, 60. oldal (megfelelési költségek) és 73. oldal (következtetés). </w:t>
      </w:r>
    </w:p>
  </w:footnote>
  <w:footnote w:id="15">
    <w:p w:rsidR="00BB3609" w:rsidRDefault="008E1F07">
      <w:pPr>
        <w:pStyle w:val="FootnoteText"/>
      </w:pPr>
      <w:r>
        <w:rPr>
          <w:rStyle w:val="FootnoteReference"/>
        </w:rPr>
        <w:footnoteRef/>
      </w:r>
      <w:r>
        <w:tab/>
        <w:t>A hajóko</w:t>
      </w:r>
      <w:r>
        <w:t>n keletkező hulladék és a rakománymaradványok fogadására alkalmas kikötői létesítményekhez kapcsolódó hatásvizsgálatról szóló vélemény, 2017. június 23</w:t>
      </w:r>
      <w:proofErr w:type="gramStart"/>
      <w:r>
        <w:t>.,</w:t>
      </w:r>
      <w:proofErr w:type="gramEnd"/>
      <w:r>
        <w:t xml:space="preserve"> http://ec.europa.eu/transparency/regdoc/[....]</w:t>
      </w:r>
    </w:p>
  </w:footnote>
  <w:footnote w:id="16">
    <w:p w:rsidR="00BB3609" w:rsidRDefault="008E1F07">
      <w:pPr>
        <w:pStyle w:val="FootnoteText"/>
      </w:pPr>
      <w:r>
        <w:rPr>
          <w:rStyle w:val="FootnoteReference"/>
        </w:rPr>
        <w:footnoteRef/>
      </w:r>
      <w:r>
        <w:tab/>
        <w:t>Ahogy azt az EMSA tagállami látogatásainak módszertan</w:t>
      </w:r>
      <w:r>
        <w:t>a előírja, http://emsa.europa.eu/implementation-tasks/visits-and-inspections/items.html</w:t>
      </w:r>
      <w:proofErr w:type="gramStart"/>
      <w:r>
        <w:t>?cid</w:t>
      </w:r>
      <w:proofErr w:type="gramEnd"/>
      <w:r>
        <w:t>=89&amp;id=3065</w:t>
      </w:r>
    </w:p>
  </w:footnote>
  <w:footnote w:id="17">
    <w:p w:rsidR="00BB3609" w:rsidRDefault="008E1F07">
      <w:pPr>
        <w:pStyle w:val="FootnoteText"/>
      </w:pPr>
      <w:r>
        <w:rPr>
          <w:rStyle w:val="FootnoteReference"/>
        </w:rPr>
        <w:footnoteRef/>
      </w:r>
      <w:r>
        <w:tab/>
        <w:t>Bizottsági szolgálati munkadokumentum – Hatásvizsgálat, 5.2.5 fejezet, 46. oldal</w:t>
      </w:r>
    </w:p>
  </w:footnote>
  <w:footnote w:id="18">
    <w:p w:rsidR="00BB3609" w:rsidRDefault="008E1F07">
      <w:pPr>
        <w:pStyle w:val="FootnoteText"/>
      </w:pPr>
      <w:r>
        <w:rPr>
          <w:rStyle w:val="FootnoteReference"/>
        </w:rPr>
        <w:footnoteRef/>
      </w:r>
      <w:r>
        <w:tab/>
        <w:t xml:space="preserve">HL </w:t>
      </w:r>
      <w:proofErr w:type="gramStart"/>
      <w:r>
        <w:t>C ,</w:t>
      </w:r>
      <w:proofErr w:type="gramEnd"/>
      <w:r>
        <w:t xml:space="preserve"> ,  o.</w:t>
      </w:r>
    </w:p>
  </w:footnote>
  <w:footnote w:id="19">
    <w:p w:rsidR="00BB3609" w:rsidRDefault="008E1F07">
      <w:pPr>
        <w:pStyle w:val="FootnoteText"/>
      </w:pPr>
      <w:r>
        <w:rPr>
          <w:rStyle w:val="FootnoteReference"/>
        </w:rPr>
        <w:footnoteRef/>
      </w:r>
      <w:r>
        <w:tab/>
        <w:t xml:space="preserve">HL </w:t>
      </w:r>
      <w:proofErr w:type="gramStart"/>
      <w:r>
        <w:t>C ,</w:t>
      </w:r>
      <w:proofErr w:type="gramEnd"/>
      <w:r>
        <w:t xml:space="preserve"> ,  o.</w:t>
      </w:r>
    </w:p>
  </w:footnote>
  <w:footnote w:id="20">
    <w:p w:rsidR="00BB3609" w:rsidRDefault="008E1F07">
      <w:pPr>
        <w:pStyle w:val="FootnoteText"/>
      </w:pPr>
      <w:r>
        <w:rPr>
          <w:rStyle w:val="FootnoteReference"/>
        </w:rPr>
        <w:footnoteRef/>
      </w:r>
      <w:r>
        <w:tab/>
        <w:t xml:space="preserve">Az Európai Parlament és a Tanács </w:t>
      </w:r>
      <w:r>
        <w:t>2000/59/EK irányelve (2000. november 27.) a hajókon keletkező hulladék és a rakománymaradványok fogadására alkalmas kikötői létesítményekről (HL L 332., 2000.12.28</w:t>
      </w:r>
      <w:proofErr w:type="gramStart"/>
      <w:r>
        <w:t>.,</w:t>
      </w:r>
      <w:proofErr w:type="gramEnd"/>
      <w:r>
        <w:t xml:space="preserve"> 81. o.).</w:t>
      </w:r>
    </w:p>
  </w:footnote>
  <w:footnote w:id="21">
    <w:p w:rsidR="00BB3609" w:rsidRDefault="008E1F07"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rStyle w:val="Strong"/>
          <w:b w:val="0"/>
          <w:color w:val="444444"/>
          <w:sz w:val="19"/>
        </w:rPr>
        <w:t>Az Európai Parlament és a Tanács 2008/98/EK irányelve (2008. november 19.) a hu</w:t>
      </w:r>
      <w:r>
        <w:rPr>
          <w:rStyle w:val="Strong"/>
          <w:b w:val="0"/>
          <w:color w:val="444444"/>
          <w:sz w:val="19"/>
        </w:rPr>
        <w:t>lladékokról és egyes irányelvek hatályon kívül helyezéséről (HL L 312., 2008.11.22</w:t>
      </w:r>
      <w:proofErr w:type="gramStart"/>
      <w:r>
        <w:rPr>
          <w:rStyle w:val="Strong"/>
          <w:b w:val="0"/>
          <w:color w:val="444444"/>
          <w:sz w:val="19"/>
        </w:rPr>
        <w:t>.,</w:t>
      </w:r>
      <w:proofErr w:type="gramEnd"/>
      <w:r>
        <w:rPr>
          <w:rStyle w:val="Strong"/>
          <w:b w:val="0"/>
          <w:color w:val="444444"/>
          <w:sz w:val="19"/>
        </w:rPr>
        <w:t xml:space="preserve"> 3. o.).</w:t>
      </w:r>
    </w:p>
  </w:footnote>
  <w:footnote w:id="22">
    <w:p w:rsidR="00BB3609" w:rsidRDefault="008E1F07"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rStyle w:val="Strong"/>
          <w:b w:val="0"/>
          <w:color w:val="444444"/>
        </w:rPr>
        <w:t xml:space="preserve">Az Európai Parlament és a Tanács 2008/56/EK irányelve (2008. június 17.) a tengeri környezetvédelmi politika területén a közösségi fellépés kereteinek </w:t>
      </w:r>
      <w:r>
        <w:rPr>
          <w:rStyle w:val="Strong"/>
          <w:b w:val="0"/>
          <w:color w:val="444444"/>
        </w:rPr>
        <w:t>meghatározásáról (tengervédelmi stratégiáról szóló keretirányelv) (HL L 164., 2008.6.25</w:t>
      </w:r>
      <w:proofErr w:type="gramStart"/>
      <w:r>
        <w:rPr>
          <w:rStyle w:val="Strong"/>
          <w:b w:val="0"/>
          <w:color w:val="444444"/>
        </w:rPr>
        <w:t>.,</w:t>
      </w:r>
      <w:proofErr w:type="gramEnd"/>
      <w:r>
        <w:rPr>
          <w:rStyle w:val="Strong"/>
          <w:b w:val="0"/>
          <w:color w:val="444444"/>
        </w:rPr>
        <w:t xml:space="preserve"> 19. o.).</w:t>
      </w:r>
    </w:p>
  </w:footnote>
  <w:footnote w:id="23">
    <w:p w:rsidR="00BB3609" w:rsidRDefault="008E1F07">
      <w:pPr>
        <w:pStyle w:val="FootnoteText"/>
      </w:pPr>
      <w:r>
        <w:rPr>
          <w:rStyle w:val="FootnoteReference"/>
        </w:rPr>
        <w:footnoteRef/>
      </w:r>
      <w:r>
        <w:tab/>
        <w:t xml:space="preserve">COM/2015/0614 bizottsági közlemény, „Az anyagkörforgás megvalósítása – a körforgásos gazdaságra vonatkozó uniós cselekvési terv”, 5.1 szakasz. </w:t>
      </w:r>
    </w:p>
  </w:footnote>
  <w:footnote w:id="24">
    <w:p w:rsidR="00BB3609" w:rsidRDefault="008E1F07">
      <w:pPr>
        <w:pStyle w:val="FootnoteText"/>
      </w:pPr>
      <w:r>
        <w:rPr>
          <w:rStyle w:val="FootnoteReference"/>
        </w:rPr>
        <w:footnoteRef/>
      </w:r>
      <w:r>
        <w:tab/>
        <w:t>Az Európa</w:t>
      </w:r>
      <w:r>
        <w:t>i Parlament és a Tanács 1069/2009/EK rendelete (2009. október 21.) a nem emberi fogyasztásra szánt állati melléktermékekre és a belőlük származó termékekre vonatkozó egészségügyi szabályok megállapításáról és az 1774/2002/EK rendelet hatályon kívül helyezé</w:t>
      </w:r>
      <w:r>
        <w:t>séről (HL L 300., 2009.11.14</w:t>
      </w:r>
      <w:proofErr w:type="gramStart"/>
      <w:r>
        <w:t>.,</w:t>
      </w:r>
      <w:proofErr w:type="gramEnd"/>
      <w:r>
        <w:t xml:space="preserve"> 1. o.).</w:t>
      </w:r>
    </w:p>
  </w:footnote>
  <w:footnote w:id="25">
    <w:p w:rsidR="00BB3609" w:rsidRDefault="008E1F07">
      <w:pPr>
        <w:pStyle w:val="FootnoteText"/>
      </w:pPr>
      <w:r>
        <w:rPr>
          <w:rStyle w:val="FootnoteReference"/>
        </w:rPr>
        <w:footnoteRef/>
      </w:r>
      <w:r>
        <w:tab/>
        <w:t>Az Európai Parlament és a Tanács (EU) 2017/352 rendelete (2017. február 15.) a kikötői szolgáltatások nyújtását és a kikötők pénzügyi átláthatóságára vonatkozó közös szabályokat biztosító keretrendszer létrehozásáró</w:t>
      </w:r>
      <w:r>
        <w:t>l (HL L 57., 2017.3.3</w:t>
      </w:r>
      <w:proofErr w:type="gramStart"/>
      <w:r>
        <w:t>.,</w:t>
      </w:r>
      <w:proofErr w:type="gramEnd"/>
      <w:r>
        <w:t xml:space="preserve"> 1. o.).</w:t>
      </w:r>
    </w:p>
  </w:footnote>
  <w:footnote w:id="26">
    <w:p w:rsidR="00BB3609" w:rsidRDefault="008E1F07">
      <w:pPr>
        <w:pStyle w:val="FootnoteText"/>
      </w:pPr>
      <w:r>
        <w:rPr>
          <w:rStyle w:val="FootnoteReference"/>
        </w:rPr>
        <w:footnoteRef/>
      </w:r>
      <w:r>
        <w:tab/>
        <w:t>Az Európai Parlament és a Tanács 2009/16/EK irányelve (2009. április 23.) a kikötő szerint illetékes állam általi ellenőrzésről (HL L 131., 2009.5.28</w:t>
      </w:r>
      <w:proofErr w:type="gramStart"/>
      <w:r>
        <w:t>.,</w:t>
      </w:r>
      <w:proofErr w:type="gramEnd"/>
      <w:r>
        <w:t xml:space="preserve"> 57. o.).</w:t>
      </w:r>
    </w:p>
  </w:footnote>
  <w:footnote w:id="27">
    <w:p w:rsidR="00BB3609" w:rsidRDefault="008E1F07">
      <w:pPr>
        <w:pStyle w:val="FootnoteText"/>
      </w:pPr>
      <w:r>
        <w:rPr>
          <w:rStyle w:val="FootnoteReference"/>
        </w:rPr>
        <w:footnoteRef/>
      </w:r>
      <w:r>
        <w:tab/>
        <w:t>Az Európai Parlament és a Tanács 2008/98/EK irányelve (2008</w:t>
      </w:r>
      <w:r>
        <w:t>. november 19.) a hulladékokról és egyes irányelvek hatályon kívül helyezéséről, HL L 312., 2008.11.22</w:t>
      </w:r>
      <w:proofErr w:type="gramStart"/>
      <w:r>
        <w:t>.,</w:t>
      </w:r>
      <w:proofErr w:type="gramEnd"/>
      <w:r>
        <w:t xml:space="preserve"> 3–30. o.</w:t>
      </w:r>
    </w:p>
  </w:footnote>
  <w:footnote w:id="28">
    <w:p w:rsidR="00BB3609" w:rsidRDefault="008E1F07">
      <w:pPr>
        <w:pStyle w:val="FootnoteText"/>
      </w:pPr>
      <w:r>
        <w:rPr>
          <w:rStyle w:val="FootnoteReference"/>
        </w:rPr>
        <w:footnoteRef/>
      </w:r>
      <w:r>
        <w:tab/>
        <w:t>Az Európai Parlament és a Tanács 2002/59/EK irányelve (2002. június 27.) a közösségi hajóforgalomra vonatkozó megfigyelő és információs rend</w:t>
      </w:r>
      <w:r>
        <w:t>szer létrehozásáról és a 93/75/EGK irányelv hatályon kívül helyezéséről (HL L 208., 2002.8.5</w:t>
      </w:r>
      <w:proofErr w:type="gramStart"/>
      <w:r>
        <w:t>.,</w:t>
      </w:r>
      <w:proofErr w:type="gramEnd"/>
      <w:r>
        <w:t xml:space="preserve"> 10. o.).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F07" w:rsidRDefault="008E1F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F07" w:rsidRDefault="008E1F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F07" w:rsidRDefault="008E1F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DFF090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CBFAD69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2CB230A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480C815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4482BD0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7E4EEC5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35F0BE2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14741F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2D293CE3"/>
    <w:multiLevelType w:val="multilevel"/>
    <w:tmpl w:val="E98EA98A"/>
    <w:lvl w:ilvl="0">
      <w:start w:val="1"/>
      <w:numFmt w:val="decimal"/>
      <w:pStyle w:val="LegalNumPar"/>
      <w:lvlText w:val="%1."/>
      <w:lvlJc w:val="left"/>
      <w:pPr>
        <w:ind w:left="476" w:hanging="476"/>
      </w:pPr>
      <w:rPr>
        <w:rFonts w:hint="default"/>
      </w:rPr>
    </w:lvl>
    <w:lvl w:ilvl="1">
      <w:start w:val="1"/>
      <w:numFmt w:val="lowerLetter"/>
      <w:pStyle w:val="LegalNumPar2"/>
      <w:lvlText w:val="%2."/>
      <w:lvlJc w:val="left"/>
      <w:pPr>
        <w:ind w:left="953" w:hanging="477"/>
      </w:pPr>
      <w:rPr>
        <w:rFonts w:hint="default"/>
      </w:rPr>
    </w:lvl>
    <w:lvl w:ilvl="2">
      <w:start w:val="1"/>
      <w:numFmt w:val="lowerRoman"/>
      <w:pStyle w:val="LegalNumPar3"/>
      <w:lvlText w:val="%3."/>
      <w:lvlJc w:val="left"/>
      <w:pPr>
        <w:ind w:left="1429" w:hanging="47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5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6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7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8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2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12"/>
  </w:num>
  <w:num w:numId="7">
    <w:abstractNumId w:val="6"/>
  </w:num>
  <w:num w:numId="8">
    <w:abstractNumId w:val="2"/>
  </w:num>
  <w:num w:numId="9">
    <w:abstractNumId w:val="1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9"/>
    <w:lvlOverride w:ilvl="0">
      <w:startOverride w:val="1"/>
    </w:lvlOverride>
  </w:num>
  <w:num w:numId="16">
    <w:abstractNumId w:val="13"/>
    <w:lvlOverride w:ilvl="0">
      <w:startOverride w:val="1"/>
    </w:lvlOverride>
  </w:num>
  <w:num w:numId="17">
    <w:abstractNumId w:val="19"/>
    <w:lvlOverride w:ilvl="0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13"/>
  </w:num>
  <w:num w:numId="34">
    <w:abstractNumId w:val="21"/>
  </w:num>
  <w:num w:numId="35">
    <w:abstractNumId w:val="11"/>
  </w:num>
  <w:num w:numId="36">
    <w:abstractNumId w:val="14"/>
  </w:num>
  <w:num w:numId="37">
    <w:abstractNumId w:val="9"/>
  </w:num>
  <w:num w:numId="38">
    <w:abstractNumId w:val="20"/>
  </w:num>
  <w:num w:numId="39">
    <w:abstractNumId w:val="8"/>
  </w:num>
  <w:num w:numId="40">
    <w:abstractNumId w:val="15"/>
  </w:num>
  <w:num w:numId="41">
    <w:abstractNumId w:val="17"/>
  </w:num>
  <w:num w:numId="42">
    <w:abstractNumId w:val="18"/>
  </w:num>
  <w:num w:numId="43">
    <w:abstractNumId w:val="10"/>
  </w:num>
  <w:num w:numId="44">
    <w:abstractNumId w:val="16"/>
  </w:num>
  <w:num w:numId="45">
    <w:abstractNumId w:val="2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1-18 09:56:03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8"/>
    <w:docVar w:name="DQCResult_ModifiedMarkers" w:val="0;0"/>
    <w:docVar w:name="DQCResult_ModifiedNumbering" w:val="0;0"/>
    <w:docVar w:name="DQCResult_Objects" w:val="0;0"/>
    <w:docVar w:name="DQCResult_Sections" w:val="0;1"/>
    <w:docVar w:name="DQCResult_StructureCheck" w:val="0;0"/>
    <w:docVar w:name="DQCResult_SuperfluousWhitespace" w:val="0;6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CORRIGENDUM" w:val="&lt;UNUSED&gt;"/>
    <w:docVar w:name="LW_COVERPAGE_EXISTS" w:val="True"/>
    <w:docVar w:name="LW_COVERPAGE_GUID" w:val="4620030B-76BD-4100-9D69-1B64571A6A74"/>
    <w:docVar w:name="LW_COVERPAGE_TYPE" w:val="1"/>
    <w:docVar w:name="LW_CROSSREFERENCE" w:val="{SWD(2018) 21 final}_x000b_{SWD(2018) 22 final}"/>
    <w:docVar w:name="LW_DocType" w:val="COM"/>
    <w:docVar w:name="LW_EMISSION" w:val="2018.1.16."/>
    <w:docVar w:name="LW_EMISSION_ISODATE" w:val="2018-01-16"/>
    <w:docVar w:name="LW_EMISSION_LOCATION" w:val="STR"/>
    <w:docVar w:name="LW_EMISSION_PREFIX" w:val="Strasbourg, "/>
    <w:docVar w:name="LW_EMISSION_SUFFIX" w:val=" "/>
    <w:docVar w:name="LW_ID_DOCMODEL" w:val="SJ-024"/>
    <w:docVar w:name="LW_ID_DOCSIGNATURE" w:val="SJ-024"/>
    <w:docVar w:name="LW_ID_DOCSTRUCTURE" w:val="COM/PL/ORG"/>
    <w:docVar w:name="LW_ID_DOCTYPE" w:val="SJ-024"/>
    <w:docVar w:name="LW_ID_STATUT" w:val="SJ-024"/>
    <w:docVar w:name="LW_INTERETEEE.CP" w:val="(EGT-vonatkozású szöveg)"/>
    <w:docVar w:name="LW_LANGUE" w:val="HU"/>
    <w:docVar w:name="LW_LEVEL_OF_SENSITIVITY" w:val="Standard treatment"/>
    <w:docVar w:name="LW_NOM.INST" w:val="EURÓPAI BIZOTTSÁG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012"/>
    <w:docVar w:name="LW_REF.II.NEW.CP_YEAR" w:val="2018"/>
    <w:docVar w:name="LW_REF.INST.NEW" w:val="COM"/>
    <w:docVar w:name="LW_REF.INST.NEW_ADOPTED" w:val="final"/>
    <w:docVar w:name="LW_REF.INST.NEW_TEXT" w:val="(2018) 33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OUS.TITRE.OBJ.CP" w:val="&lt;UNUSED&gt;"/>
    <w:docVar w:name="LW_STATUT.CP" w:val="Javaslat"/>
    <w:docVar w:name="LW_SUPERTITRE" w:val="&lt;UNUSED&gt;"/>
    <w:docVar w:name="LW_TITRE.OBJ.CP" w:val="a hajókról származó hulladékok leadására alkalmas kiköt\u337?i fogadólétesítményekr\u337?l, a 2000/59/EK irányelv hatályon kívül helyezésér\u337?l, valamint a 2009/16/EK irányelv és a 2010/65/EU irányelv módosításáról"/>
    <w:docVar w:name="LW_TYPE.DOC.CP" w:val="AZ EURÓPAI PARLAMENT ÉS A TANÁCS IRÁNYELVE"/>
    <w:docVar w:name="Stamp" w:val="\\dossiers.dgt.cec.eu.int\dossiers\MOVE\MOVE-2017-01094\MOVE-2017-01094-00-00-EN-REV-00.201710261510388341827.DOCX"/>
  </w:docVars>
  <w:rsids>
    <w:rsidRoot w:val="00BB3609"/>
    <w:rsid w:val="008E1F07"/>
    <w:rsid w:val="00BB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hu-H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8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8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8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8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4">
    <w:name w:val="List Number 4"/>
    <w:basedOn w:val="Normal"/>
    <w:pPr>
      <w:numPr>
        <w:numId w:val="1"/>
      </w:numPr>
    </w:pPr>
    <w:rPr>
      <w:rFonts w:eastAsia="Times New Roman"/>
    </w:rPr>
  </w:style>
  <w:style w:type="character" w:styleId="Hyperlink">
    <w:name w:val="Hyperlink"/>
    <w:rPr>
      <w:color w:val="0000FF"/>
      <w:u w:val="single"/>
      <w:shd w:val="clear" w:color="auto" w:fill="auto"/>
    </w:rPr>
  </w:style>
  <w:style w:type="paragraph" w:customStyle="1" w:styleId="Norma">
    <w:name w:val="Norma"/>
    <w:basedOn w:val="Point1letter"/>
    <w:pPr>
      <w:numPr>
        <w:ilvl w:val="0"/>
        <w:numId w:val="0"/>
      </w:numPr>
      <w:tabs>
        <w:tab w:val="num" w:pos="850"/>
      </w:tabs>
      <w:ind w:left="1417" w:hanging="567"/>
    </w:pPr>
  </w:style>
  <w:style w:type="paragraph" w:customStyle="1" w:styleId="NumPat">
    <w:name w:val="NumPat"/>
    <w:basedOn w:val="Text1"/>
  </w:style>
  <w:style w:type="paragraph" w:customStyle="1" w:styleId="Num">
    <w:name w:val="Num"/>
    <w:basedOn w:val="Text1"/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hu-HU"/>
    </w:rPr>
  </w:style>
  <w:style w:type="paragraph" w:customStyle="1" w:styleId="Section1">
    <w:name w:val="Section 1"/>
    <w:basedOn w:val="Heading1"/>
  </w:style>
  <w:style w:type="paragraph" w:customStyle="1" w:styleId="ScetionTitle">
    <w:name w:val="Scetion Title"/>
    <w:basedOn w:val="ManualHeading1"/>
    <w:pPr>
      <w:jc w:val="center"/>
    </w:pPr>
  </w:style>
  <w:style w:type="paragraph" w:customStyle="1" w:styleId="LegalNumPar">
    <w:name w:val="LegalNumPar"/>
    <w:basedOn w:val="Normal"/>
    <w:pPr>
      <w:numPr>
        <w:numId w:val="6"/>
      </w:numPr>
      <w:spacing w:line="360" w:lineRule="auto"/>
    </w:pPr>
  </w:style>
  <w:style w:type="paragraph" w:customStyle="1" w:styleId="LegalNumPar2">
    <w:name w:val="LegalNumPar2"/>
    <w:basedOn w:val="Normal"/>
    <w:pPr>
      <w:numPr>
        <w:ilvl w:val="1"/>
        <w:numId w:val="6"/>
      </w:numPr>
      <w:spacing w:line="360" w:lineRule="auto"/>
    </w:pPr>
  </w:style>
  <w:style w:type="paragraph" w:customStyle="1" w:styleId="LegalNumPar3">
    <w:name w:val="LegalNumPar3"/>
    <w:basedOn w:val="Normal"/>
    <w:pPr>
      <w:numPr>
        <w:ilvl w:val="2"/>
        <w:numId w:val="6"/>
      </w:numPr>
      <w:spacing w:line="360" w:lineRule="auto"/>
    </w:pPr>
  </w:style>
  <w:style w:type="paragraph" w:customStyle="1" w:styleId="Numpar">
    <w:name w:val="Num par"/>
    <w:basedOn w:val="Point1letter"/>
  </w:style>
  <w:style w:type="paragraph" w:customStyle="1" w:styleId="Point0number0">
    <w:name w:val="Point 0(number)"/>
    <w:basedOn w:val="Point1"/>
  </w:style>
  <w:style w:type="paragraph" w:customStyle="1" w:styleId="Ppoint0number">
    <w:name w:val="Ppoint 0 (number)"/>
    <w:basedOn w:val="Point1"/>
  </w:style>
  <w:style w:type="paragraph" w:customStyle="1" w:styleId="Bulet">
    <w:name w:val="Bulet"/>
    <w:basedOn w:val="ManualHeading2"/>
    <w:rPr>
      <w:rFonts w:eastAsia="Arial Unicode MS"/>
      <w:u w:color="000000"/>
      <w:bdr w:val="nil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u-HU"/>
    </w:rPr>
  </w:style>
  <w:style w:type="paragraph" w:customStyle="1" w:styleId="Numpar10">
    <w:name w:val="Num par1"/>
    <w:basedOn w:val="Numpar"/>
    <w:pPr>
      <w:numPr>
        <w:ilvl w:val="0"/>
        <w:numId w:val="0"/>
      </w:numPr>
      <w:tabs>
        <w:tab w:val="num" w:pos="850"/>
      </w:tabs>
      <w:ind w:left="850" w:hanging="850"/>
    </w:pPr>
  </w:style>
  <w:style w:type="paragraph" w:customStyle="1" w:styleId="Point">
    <w:name w:val="Point"/>
    <w:basedOn w:val="NumPar1"/>
    <w:rPr>
      <w:i/>
    </w:rPr>
  </w:style>
  <w:style w:type="paragraph" w:customStyle="1" w:styleId="NumPar11">
    <w:name w:val="NumPar1"/>
    <w:basedOn w:val="Point1letter"/>
    <w:pPr>
      <w:numPr>
        <w:ilvl w:val="0"/>
        <w:numId w:val="0"/>
      </w:numPr>
      <w:tabs>
        <w:tab w:val="num" w:pos="850"/>
      </w:tabs>
      <w:ind w:left="1417" w:hanging="567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Numpar12">
    <w:name w:val="Num par 1"/>
    <w:basedOn w:val="Numpar10"/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2"/>
      </w:numPr>
    </w:pPr>
  </w:style>
  <w:style w:type="paragraph" w:customStyle="1" w:styleId="Tiret1">
    <w:name w:val="Tiret 1"/>
    <w:basedOn w:val="Point1"/>
    <w:pPr>
      <w:numPr>
        <w:numId w:val="33"/>
      </w:numPr>
    </w:pPr>
  </w:style>
  <w:style w:type="paragraph" w:customStyle="1" w:styleId="Tiret2">
    <w:name w:val="Tiret 2"/>
    <w:basedOn w:val="Point2"/>
    <w:pPr>
      <w:numPr>
        <w:numId w:val="34"/>
      </w:numPr>
    </w:pPr>
  </w:style>
  <w:style w:type="paragraph" w:customStyle="1" w:styleId="Tiret3">
    <w:name w:val="Tiret 3"/>
    <w:basedOn w:val="Point3"/>
    <w:pPr>
      <w:numPr>
        <w:numId w:val="35"/>
      </w:numPr>
    </w:pPr>
  </w:style>
  <w:style w:type="paragraph" w:customStyle="1" w:styleId="Tiret4">
    <w:name w:val="Tiret 4"/>
    <w:basedOn w:val="Point4"/>
    <w:pPr>
      <w:numPr>
        <w:numId w:val="36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7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7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7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7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0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9"/>
      </w:numPr>
    </w:pPr>
  </w:style>
  <w:style w:type="paragraph" w:customStyle="1" w:styleId="Point1number">
    <w:name w:val="Point 1 (number)"/>
    <w:basedOn w:val="Normal"/>
    <w:pPr>
      <w:numPr>
        <w:ilvl w:val="2"/>
        <w:numId w:val="39"/>
      </w:numPr>
    </w:pPr>
  </w:style>
  <w:style w:type="paragraph" w:customStyle="1" w:styleId="Point2number">
    <w:name w:val="Point 2 (number)"/>
    <w:basedOn w:val="Normal"/>
    <w:pPr>
      <w:numPr>
        <w:ilvl w:val="4"/>
        <w:numId w:val="39"/>
      </w:numPr>
    </w:pPr>
  </w:style>
  <w:style w:type="paragraph" w:customStyle="1" w:styleId="Point3number">
    <w:name w:val="Point 3 (number)"/>
    <w:basedOn w:val="Normal"/>
    <w:pPr>
      <w:numPr>
        <w:ilvl w:val="6"/>
        <w:numId w:val="39"/>
      </w:numPr>
    </w:pPr>
  </w:style>
  <w:style w:type="paragraph" w:customStyle="1" w:styleId="Point0letter">
    <w:name w:val="Point 0 (letter)"/>
    <w:basedOn w:val="Normal"/>
    <w:pPr>
      <w:numPr>
        <w:ilvl w:val="1"/>
        <w:numId w:val="39"/>
      </w:numPr>
    </w:pPr>
  </w:style>
  <w:style w:type="paragraph" w:customStyle="1" w:styleId="Point1letter">
    <w:name w:val="Point 1 (letter)"/>
    <w:basedOn w:val="Normal"/>
    <w:pPr>
      <w:numPr>
        <w:ilvl w:val="3"/>
        <w:numId w:val="39"/>
      </w:numPr>
    </w:pPr>
  </w:style>
  <w:style w:type="paragraph" w:customStyle="1" w:styleId="Point2letter">
    <w:name w:val="Point 2 (letter)"/>
    <w:basedOn w:val="Normal"/>
    <w:pPr>
      <w:numPr>
        <w:ilvl w:val="5"/>
        <w:numId w:val="39"/>
      </w:numPr>
    </w:pPr>
  </w:style>
  <w:style w:type="paragraph" w:customStyle="1" w:styleId="Point3letter">
    <w:name w:val="Point 3 (letter)"/>
    <w:basedOn w:val="Normal"/>
    <w:pPr>
      <w:numPr>
        <w:ilvl w:val="7"/>
        <w:numId w:val="39"/>
      </w:numPr>
    </w:pPr>
  </w:style>
  <w:style w:type="paragraph" w:customStyle="1" w:styleId="Point4letter">
    <w:name w:val="Point 4 (letter)"/>
    <w:basedOn w:val="Normal"/>
    <w:pPr>
      <w:numPr>
        <w:ilvl w:val="8"/>
        <w:numId w:val="39"/>
      </w:numPr>
    </w:pPr>
  </w:style>
  <w:style w:type="paragraph" w:customStyle="1" w:styleId="Bullet0">
    <w:name w:val="Bullet 0"/>
    <w:basedOn w:val="Normal"/>
    <w:pPr>
      <w:numPr>
        <w:numId w:val="40"/>
      </w:numPr>
    </w:pPr>
  </w:style>
  <w:style w:type="paragraph" w:customStyle="1" w:styleId="Bullet1">
    <w:name w:val="Bullet 1"/>
    <w:basedOn w:val="Normal"/>
    <w:pPr>
      <w:numPr>
        <w:numId w:val="41"/>
      </w:numPr>
    </w:pPr>
  </w:style>
  <w:style w:type="paragraph" w:customStyle="1" w:styleId="Bullet2">
    <w:name w:val="Bullet 2"/>
    <w:basedOn w:val="Normal"/>
    <w:pPr>
      <w:numPr>
        <w:numId w:val="42"/>
      </w:numPr>
    </w:pPr>
  </w:style>
  <w:style w:type="paragraph" w:customStyle="1" w:styleId="Bullet3">
    <w:name w:val="Bullet 3"/>
    <w:basedOn w:val="Normal"/>
    <w:pPr>
      <w:numPr>
        <w:numId w:val="43"/>
      </w:numPr>
    </w:pPr>
  </w:style>
  <w:style w:type="paragraph" w:customStyle="1" w:styleId="Bullet4">
    <w:name w:val="Bullet 4"/>
    <w:basedOn w:val="Normal"/>
    <w:pPr>
      <w:numPr>
        <w:numId w:val="44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5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hu-H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8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8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8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8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4">
    <w:name w:val="List Number 4"/>
    <w:basedOn w:val="Normal"/>
    <w:pPr>
      <w:numPr>
        <w:numId w:val="1"/>
      </w:numPr>
    </w:pPr>
    <w:rPr>
      <w:rFonts w:eastAsia="Times New Roman"/>
    </w:rPr>
  </w:style>
  <w:style w:type="character" w:styleId="Hyperlink">
    <w:name w:val="Hyperlink"/>
    <w:rPr>
      <w:color w:val="0000FF"/>
      <w:u w:val="single"/>
      <w:shd w:val="clear" w:color="auto" w:fill="auto"/>
    </w:rPr>
  </w:style>
  <w:style w:type="paragraph" w:customStyle="1" w:styleId="Norma">
    <w:name w:val="Norma"/>
    <w:basedOn w:val="Point1letter"/>
    <w:pPr>
      <w:numPr>
        <w:ilvl w:val="0"/>
        <w:numId w:val="0"/>
      </w:numPr>
      <w:tabs>
        <w:tab w:val="num" w:pos="850"/>
      </w:tabs>
      <w:ind w:left="1417" w:hanging="567"/>
    </w:pPr>
  </w:style>
  <w:style w:type="paragraph" w:customStyle="1" w:styleId="NumPat">
    <w:name w:val="NumPat"/>
    <w:basedOn w:val="Text1"/>
  </w:style>
  <w:style w:type="paragraph" w:customStyle="1" w:styleId="Num">
    <w:name w:val="Num"/>
    <w:basedOn w:val="Text1"/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hu-HU"/>
    </w:rPr>
  </w:style>
  <w:style w:type="paragraph" w:customStyle="1" w:styleId="Section1">
    <w:name w:val="Section 1"/>
    <w:basedOn w:val="Heading1"/>
  </w:style>
  <w:style w:type="paragraph" w:customStyle="1" w:styleId="ScetionTitle">
    <w:name w:val="Scetion Title"/>
    <w:basedOn w:val="ManualHeading1"/>
    <w:pPr>
      <w:jc w:val="center"/>
    </w:pPr>
  </w:style>
  <w:style w:type="paragraph" w:customStyle="1" w:styleId="LegalNumPar">
    <w:name w:val="LegalNumPar"/>
    <w:basedOn w:val="Normal"/>
    <w:pPr>
      <w:numPr>
        <w:numId w:val="6"/>
      </w:numPr>
      <w:spacing w:line="360" w:lineRule="auto"/>
    </w:pPr>
  </w:style>
  <w:style w:type="paragraph" w:customStyle="1" w:styleId="LegalNumPar2">
    <w:name w:val="LegalNumPar2"/>
    <w:basedOn w:val="Normal"/>
    <w:pPr>
      <w:numPr>
        <w:ilvl w:val="1"/>
        <w:numId w:val="6"/>
      </w:numPr>
      <w:spacing w:line="360" w:lineRule="auto"/>
    </w:pPr>
  </w:style>
  <w:style w:type="paragraph" w:customStyle="1" w:styleId="LegalNumPar3">
    <w:name w:val="LegalNumPar3"/>
    <w:basedOn w:val="Normal"/>
    <w:pPr>
      <w:numPr>
        <w:ilvl w:val="2"/>
        <w:numId w:val="6"/>
      </w:numPr>
      <w:spacing w:line="360" w:lineRule="auto"/>
    </w:pPr>
  </w:style>
  <w:style w:type="paragraph" w:customStyle="1" w:styleId="Numpar">
    <w:name w:val="Num par"/>
    <w:basedOn w:val="Point1letter"/>
  </w:style>
  <w:style w:type="paragraph" w:customStyle="1" w:styleId="Point0number0">
    <w:name w:val="Point 0(number)"/>
    <w:basedOn w:val="Point1"/>
  </w:style>
  <w:style w:type="paragraph" w:customStyle="1" w:styleId="Ppoint0number">
    <w:name w:val="Ppoint 0 (number)"/>
    <w:basedOn w:val="Point1"/>
  </w:style>
  <w:style w:type="paragraph" w:customStyle="1" w:styleId="Bulet">
    <w:name w:val="Bulet"/>
    <w:basedOn w:val="ManualHeading2"/>
    <w:rPr>
      <w:rFonts w:eastAsia="Arial Unicode MS"/>
      <w:u w:color="000000"/>
      <w:bdr w:val="nil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u-HU"/>
    </w:rPr>
  </w:style>
  <w:style w:type="paragraph" w:customStyle="1" w:styleId="Numpar10">
    <w:name w:val="Num par1"/>
    <w:basedOn w:val="Numpar"/>
    <w:pPr>
      <w:numPr>
        <w:ilvl w:val="0"/>
        <w:numId w:val="0"/>
      </w:numPr>
      <w:tabs>
        <w:tab w:val="num" w:pos="850"/>
      </w:tabs>
      <w:ind w:left="850" w:hanging="850"/>
    </w:pPr>
  </w:style>
  <w:style w:type="paragraph" w:customStyle="1" w:styleId="Point">
    <w:name w:val="Point"/>
    <w:basedOn w:val="NumPar1"/>
    <w:rPr>
      <w:i/>
    </w:rPr>
  </w:style>
  <w:style w:type="paragraph" w:customStyle="1" w:styleId="NumPar11">
    <w:name w:val="NumPar1"/>
    <w:basedOn w:val="Point1letter"/>
    <w:pPr>
      <w:numPr>
        <w:ilvl w:val="0"/>
        <w:numId w:val="0"/>
      </w:numPr>
      <w:tabs>
        <w:tab w:val="num" w:pos="850"/>
      </w:tabs>
      <w:ind w:left="1417" w:hanging="567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Numpar12">
    <w:name w:val="Num par 1"/>
    <w:basedOn w:val="Numpar10"/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2"/>
      </w:numPr>
    </w:pPr>
  </w:style>
  <w:style w:type="paragraph" w:customStyle="1" w:styleId="Tiret1">
    <w:name w:val="Tiret 1"/>
    <w:basedOn w:val="Point1"/>
    <w:pPr>
      <w:numPr>
        <w:numId w:val="33"/>
      </w:numPr>
    </w:pPr>
  </w:style>
  <w:style w:type="paragraph" w:customStyle="1" w:styleId="Tiret2">
    <w:name w:val="Tiret 2"/>
    <w:basedOn w:val="Point2"/>
    <w:pPr>
      <w:numPr>
        <w:numId w:val="34"/>
      </w:numPr>
    </w:pPr>
  </w:style>
  <w:style w:type="paragraph" w:customStyle="1" w:styleId="Tiret3">
    <w:name w:val="Tiret 3"/>
    <w:basedOn w:val="Point3"/>
    <w:pPr>
      <w:numPr>
        <w:numId w:val="35"/>
      </w:numPr>
    </w:pPr>
  </w:style>
  <w:style w:type="paragraph" w:customStyle="1" w:styleId="Tiret4">
    <w:name w:val="Tiret 4"/>
    <w:basedOn w:val="Point4"/>
    <w:pPr>
      <w:numPr>
        <w:numId w:val="36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7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7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7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7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0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9"/>
      </w:numPr>
    </w:pPr>
  </w:style>
  <w:style w:type="paragraph" w:customStyle="1" w:styleId="Point1number">
    <w:name w:val="Point 1 (number)"/>
    <w:basedOn w:val="Normal"/>
    <w:pPr>
      <w:numPr>
        <w:ilvl w:val="2"/>
        <w:numId w:val="39"/>
      </w:numPr>
    </w:pPr>
  </w:style>
  <w:style w:type="paragraph" w:customStyle="1" w:styleId="Point2number">
    <w:name w:val="Point 2 (number)"/>
    <w:basedOn w:val="Normal"/>
    <w:pPr>
      <w:numPr>
        <w:ilvl w:val="4"/>
        <w:numId w:val="39"/>
      </w:numPr>
    </w:pPr>
  </w:style>
  <w:style w:type="paragraph" w:customStyle="1" w:styleId="Point3number">
    <w:name w:val="Point 3 (number)"/>
    <w:basedOn w:val="Normal"/>
    <w:pPr>
      <w:numPr>
        <w:ilvl w:val="6"/>
        <w:numId w:val="39"/>
      </w:numPr>
    </w:pPr>
  </w:style>
  <w:style w:type="paragraph" w:customStyle="1" w:styleId="Point0letter">
    <w:name w:val="Point 0 (letter)"/>
    <w:basedOn w:val="Normal"/>
    <w:pPr>
      <w:numPr>
        <w:ilvl w:val="1"/>
        <w:numId w:val="39"/>
      </w:numPr>
    </w:pPr>
  </w:style>
  <w:style w:type="paragraph" w:customStyle="1" w:styleId="Point1letter">
    <w:name w:val="Point 1 (letter)"/>
    <w:basedOn w:val="Normal"/>
    <w:pPr>
      <w:numPr>
        <w:ilvl w:val="3"/>
        <w:numId w:val="39"/>
      </w:numPr>
    </w:pPr>
  </w:style>
  <w:style w:type="paragraph" w:customStyle="1" w:styleId="Point2letter">
    <w:name w:val="Point 2 (letter)"/>
    <w:basedOn w:val="Normal"/>
    <w:pPr>
      <w:numPr>
        <w:ilvl w:val="5"/>
        <w:numId w:val="39"/>
      </w:numPr>
    </w:pPr>
  </w:style>
  <w:style w:type="paragraph" w:customStyle="1" w:styleId="Point3letter">
    <w:name w:val="Point 3 (letter)"/>
    <w:basedOn w:val="Normal"/>
    <w:pPr>
      <w:numPr>
        <w:ilvl w:val="7"/>
        <w:numId w:val="39"/>
      </w:numPr>
    </w:pPr>
  </w:style>
  <w:style w:type="paragraph" w:customStyle="1" w:styleId="Point4letter">
    <w:name w:val="Point 4 (letter)"/>
    <w:basedOn w:val="Normal"/>
    <w:pPr>
      <w:numPr>
        <w:ilvl w:val="8"/>
        <w:numId w:val="39"/>
      </w:numPr>
    </w:pPr>
  </w:style>
  <w:style w:type="paragraph" w:customStyle="1" w:styleId="Bullet0">
    <w:name w:val="Bullet 0"/>
    <w:basedOn w:val="Normal"/>
    <w:pPr>
      <w:numPr>
        <w:numId w:val="40"/>
      </w:numPr>
    </w:pPr>
  </w:style>
  <w:style w:type="paragraph" w:customStyle="1" w:styleId="Bullet1">
    <w:name w:val="Bullet 1"/>
    <w:basedOn w:val="Normal"/>
    <w:pPr>
      <w:numPr>
        <w:numId w:val="41"/>
      </w:numPr>
    </w:pPr>
  </w:style>
  <w:style w:type="paragraph" w:customStyle="1" w:styleId="Bullet2">
    <w:name w:val="Bullet 2"/>
    <w:basedOn w:val="Normal"/>
    <w:pPr>
      <w:numPr>
        <w:numId w:val="42"/>
      </w:numPr>
    </w:pPr>
  </w:style>
  <w:style w:type="paragraph" w:customStyle="1" w:styleId="Bullet3">
    <w:name w:val="Bullet 3"/>
    <w:basedOn w:val="Normal"/>
    <w:pPr>
      <w:numPr>
        <w:numId w:val="43"/>
      </w:numPr>
    </w:pPr>
  </w:style>
  <w:style w:type="paragraph" w:customStyle="1" w:styleId="Bullet4">
    <w:name w:val="Bullet 4"/>
    <w:basedOn w:val="Normal"/>
    <w:pPr>
      <w:numPr>
        <w:numId w:val="44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5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0EE85-02FF-44B8-8C4C-798592345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2</TotalTime>
  <Pages>35</Pages>
  <Words>11970</Words>
  <Characters>86218</Characters>
  <Application>Microsoft Office Word</Application>
  <DocSecurity>0</DocSecurity>
  <Lines>4789</Lines>
  <Paragraphs>1888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Stefanie Heilemann</cp:lastModifiedBy>
  <cp:revision>20</cp:revision>
  <cp:lastPrinted>2017-11-17T12:57:00Z</cp:lastPrinted>
  <dcterms:created xsi:type="dcterms:W3CDTF">2018-01-17T13:33:00Z</dcterms:created>
  <dcterms:modified xsi:type="dcterms:W3CDTF">2018-01-18T13:40:00Z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5.84.2.0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5.8.4, Build 20150407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WTemplateID">
    <vt:lpwstr>SJ-024</vt:lpwstr>
  </property>
  <property fmtid="{D5CDD505-2E9C-101B-9397-08002B2CF9AE}" pid="9" name="Level of sensitivity">
    <vt:lpwstr>Standard treatment</vt:lpwstr>
  </property>
  <property fmtid="{D5CDD505-2E9C-101B-9397-08002B2CF9AE}" pid="10" name="DQCStatus">
    <vt:lpwstr>Yellow (DQC version 03)</vt:lpwstr>
  </property>
</Properties>
</file>