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F9E0ED1-8D18-403B-B273-0C664A763CF1" style="width:450pt;height:321pt">
            <v:imagedata r:id="rId8" o:title=""/>
          </v:shape>
        </w:pict>
      </w:r>
    </w:p>
    <w:bookmarkEnd w:id="0"/>
    <w:p>
      <w:pPr>
        <w:rPr>
          <w:rFonts w:ascii="Times New Roman" w:hAnsi="Times New Roman" w:cs="Times New Roman"/>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PAZIŅOJUMS EIROPAS PARLAMENTAM, PADOMEI, EIROPAS EKONOMIKAS UN SOCIĀLO LIETU KOMITEJAI UN REĢIONU KOMITEJAI</w:t>
      </w:r>
    </w:p>
    <w:p>
      <w:pPr>
        <w:pStyle w:val="Titreobjet"/>
        <w:rPr>
          <w:noProof/>
        </w:rPr>
      </w:pPr>
      <w:r>
        <w:rPr>
          <w:noProof/>
        </w:rPr>
        <w:t>Par ES rīcību vidiskās atbilstības un pārvaldības uzlabošanai</w:t>
      </w:r>
    </w:p>
    <w:p>
      <w:pPr>
        <w:pStyle w:val="Heading1"/>
        <w:rPr>
          <w:noProof/>
        </w:rPr>
      </w:pPr>
      <w:r>
        <w:rPr>
          <w:noProof/>
        </w:rPr>
        <w:t>Ievads un pamatinformācija</w:t>
      </w:r>
    </w:p>
    <w:p>
      <w:pPr>
        <w:jc w:val="both"/>
        <w:rPr>
          <w:rFonts w:ascii="Times New Roman" w:hAnsi="Times New Roman" w:cs="Times New Roman"/>
          <w:noProof/>
          <w:sz w:val="24"/>
          <w:szCs w:val="24"/>
        </w:rPr>
      </w:pPr>
      <w:r>
        <w:rPr>
          <w:rFonts w:ascii="Times New Roman" w:hAnsi="Times New Roman"/>
          <w:noProof/>
          <w:sz w:val="24"/>
        </w:rPr>
        <w:t>Šajā paziņojumā izklāstīts rīcības plāns, kura mērķis ir uzlabot atbilstību ES vides tiesību aktiem un vidisko pārvaldību. Rīcības plāns paredz, ka Komisija cieši sadarbosies ar dalībvalstīm un profesionāļiem, piemēram, inspektoriem, vides auditoriem, policijas darbiniekiem un prokuroriem, lai ieviestu pārdomātu un sadarbīgu atbilstības kultūru, kas nodrošinātu ES vidisko noteikumu ievērošanu tādās jomās kā rūpnieciskā ražošana, atkritumu apsaimniekošana un lauksaimniecība.</w:t>
      </w:r>
    </w:p>
    <w:p>
      <w:pPr>
        <w:jc w:val="both"/>
        <w:rPr>
          <w:rFonts w:ascii="Times New Roman" w:eastAsia="Calibri" w:hAnsi="Times New Roman" w:cs="Times New Roman"/>
          <w:bCs/>
          <w:noProof/>
          <w:sz w:val="24"/>
          <w:szCs w:val="24"/>
        </w:rPr>
      </w:pPr>
      <w:r>
        <w:rPr>
          <w:rFonts w:ascii="Times New Roman" w:hAnsi="Times New Roman"/>
          <w:noProof/>
          <w:sz w:val="24"/>
        </w:rPr>
        <w:t>ES jau ir pieņemts plašs labi izstrādātu vides tiesību aktu klāsts. Tomēr, kā uzsvērts Komisijas sagatavotajā Vides politikas īstenošanas pārskatā</w:t>
      </w:r>
      <w:r>
        <w:rPr>
          <w:rStyle w:val="FootnoteReference"/>
          <w:rFonts w:ascii="Times New Roman" w:hAnsi="Times New Roman"/>
          <w:noProof/>
          <w:sz w:val="24"/>
        </w:rPr>
        <w:footnoteReference w:id="1"/>
      </w:r>
      <w:r>
        <w:rPr>
          <w:rFonts w:ascii="Times New Roman" w:hAnsi="Times New Roman"/>
          <w:noProof/>
          <w:sz w:val="24"/>
        </w:rPr>
        <w:t>, to īstenošanā nākas saskarties ar lielām grūtībām. Tās saistītas ar tādām ilgstošām vidiskām problēmām kā difūzais ūdens piesārņojums, slikta pilsētu gaisa kvalitāte, neapmierinoša atkritumu apstrāde un sugu un biotopu iznīkšana. Turklāt noziegumi pret vidi ir bieži izplatīti</w:t>
      </w:r>
      <w:r>
        <w:rPr>
          <w:rStyle w:val="FootnoteReference"/>
          <w:rFonts w:ascii="Times New Roman" w:hAnsi="Times New Roman"/>
          <w:noProof/>
          <w:sz w:val="24"/>
        </w:rPr>
        <w:footnoteReference w:id="2"/>
      </w:r>
      <w:r>
        <w:rPr>
          <w:rFonts w:ascii="Times New Roman" w:hAnsi="Times New Roman"/>
          <w:noProof/>
          <w:sz w:val="24"/>
        </w:rPr>
        <w:t>, Komisijai tiek iesniegts liels skaits sūdzību</w:t>
      </w:r>
      <w:r>
        <w:rPr>
          <w:rStyle w:val="FootnoteReference"/>
          <w:rFonts w:ascii="Times New Roman" w:hAnsi="Times New Roman"/>
          <w:noProof/>
          <w:sz w:val="24"/>
        </w:rPr>
        <w:footnoteReference w:id="3"/>
      </w:r>
      <w:r>
        <w:rPr>
          <w:rFonts w:ascii="Times New Roman" w:hAnsi="Times New Roman"/>
          <w:noProof/>
          <w:sz w:val="24"/>
        </w:rPr>
        <w:t xml:space="preserve"> un Eiropas Parlamentam – liels skaits lūgumrakstu par vides jautājumiem. Lēš, ka tiesību aktu neizpilde katru gadu izmaksā aptuveni 50 miljardus euro</w:t>
      </w:r>
      <w:r>
        <w:rPr>
          <w:rStyle w:val="FootnoteReference"/>
          <w:rFonts w:ascii="Times New Roman" w:hAnsi="Times New Roman"/>
          <w:noProof/>
        </w:rPr>
        <w:footnoteReference w:id="4"/>
      </w:r>
      <w:r>
        <w:rPr>
          <w:noProof/>
        </w:rPr>
        <w:t>.</w:t>
      </w:r>
      <w:r>
        <w:rPr>
          <w:rFonts w:ascii="Times New Roman" w:hAnsi="Times New Roman"/>
          <w:noProof/>
          <w:sz w:val="24"/>
        </w:rPr>
        <w:t xml:space="preserve"> Taču jauni tiesību akti nemaz nebūtu vajadzīgi, jo lielu labumu varētu dot jau esošo tiesību aktu labāka īstenošana. </w:t>
      </w:r>
    </w:p>
    <w:p>
      <w:pPr>
        <w:jc w:val="both"/>
        <w:rPr>
          <w:rFonts w:ascii="Times New Roman" w:eastAsia="Calibri" w:hAnsi="Times New Roman" w:cs="Times New Roman"/>
          <w:bCs/>
          <w:noProof/>
          <w:sz w:val="24"/>
          <w:szCs w:val="24"/>
        </w:rPr>
      </w:pPr>
      <w:r>
        <w:rPr>
          <w:rFonts w:ascii="Times New Roman" w:hAnsi="Times New Roman"/>
          <w:noProof/>
          <w:sz w:val="24"/>
        </w:rPr>
        <w:t>Lai to panāktu, cita starpā jānodrošina vidisko noteikumu ievērošana “uz vietas”, t. i., jāgādā par to, lai ražotāji, pakalpojumu sniedzēji, zemes īpašnieki un citas atbildīgās personas</w:t>
      </w:r>
      <w:r>
        <w:rPr>
          <w:rStyle w:val="FootnoteReference"/>
          <w:rFonts w:ascii="Times New Roman" w:hAnsi="Times New Roman"/>
          <w:noProof/>
          <w:sz w:val="24"/>
        </w:rPr>
        <w:footnoteReference w:id="5"/>
      </w:r>
      <w:r>
        <w:rPr>
          <w:rFonts w:ascii="Times New Roman" w:hAnsi="Times New Roman"/>
          <w:noProof/>
          <w:sz w:val="24"/>
        </w:rPr>
        <w:t xml:space="preserve"> savā darbībā izpildītu vidiskos pienākumus. Pienākumi var izpausties kā aizliegumi, vispārīgi saistoši noteikumi, atļaujas un citi pasākumi, kas ieviesti, lai aizsargātu vidi, sabiedrības veselību un apmierinātu sabiedrības ilgtermiņa vajadzības pēc resursiem.</w:t>
      </w:r>
    </w:p>
    <w:p>
      <w:pPr>
        <w:jc w:val="both"/>
        <w:rPr>
          <w:rFonts w:ascii="Times New Roman" w:eastAsia="Calibri" w:hAnsi="Times New Roman" w:cs="Times New Roman"/>
          <w:bCs/>
          <w:noProof/>
          <w:sz w:val="24"/>
          <w:szCs w:val="24"/>
        </w:rPr>
      </w:pPr>
      <w:r>
        <w:rPr>
          <w:rFonts w:ascii="Times New Roman" w:hAnsi="Times New Roman"/>
          <w:noProof/>
          <w:sz w:val="24"/>
        </w:rPr>
        <w:lastRenderedPageBreak/>
        <w:t>Daži no nesekmīgas īstenošanas cēloņiem ir vāji mehānismi, kas nenodrošina noteikumu izpildi un rezultatīvu pārvaldību nacionālā, reģionālā vai vietējā līmenī</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Tie ir arī viens no faktoriem, kas rada negodīgu konkurenci</w:t>
      </w:r>
      <w:r>
        <w:rPr>
          <w:rStyle w:val="FootnoteReference"/>
          <w:rFonts w:ascii="Times New Roman" w:hAnsi="Times New Roman"/>
          <w:noProof/>
          <w:color w:val="000000"/>
          <w:sz w:val="24"/>
        </w:rPr>
        <w:footnoteReference w:id="7"/>
      </w:r>
      <w:r>
        <w:rPr>
          <w:rFonts w:ascii="Times New Roman" w:hAnsi="Times New Roman"/>
          <w:noProof/>
          <w:sz w:val="24"/>
        </w:rPr>
        <w:t xml:space="preserve"> un ekonomisku kaitējumu, piemēram, nodokļu ieņēmumu zaudējumu, kā arī iedragā sabiedrības uzticēšanos ES tiesību aktu efektivitātei. </w:t>
      </w:r>
    </w:p>
    <w:p>
      <w:pPr>
        <w:jc w:val="both"/>
        <w:rPr>
          <w:rFonts w:ascii="Times New Roman" w:hAnsi="Times New Roman" w:cs="Times New Roman"/>
          <w:noProof/>
          <w:sz w:val="24"/>
          <w:szCs w:val="24"/>
        </w:rPr>
      </w:pPr>
      <w:r>
        <w:rPr>
          <w:rFonts w:ascii="Times New Roman" w:hAnsi="Times New Roman"/>
          <w:noProof/>
          <w:sz w:val="24"/>
        </w:rPr>
        <w:t>Šā paziņojuma mērķis ir stiprināt šādus mehānismus. Tas papildina paziņojumu “ES tiesību akti: labāki rezultāti līdz ar labāku piemērošanu”</w:t>
      </w:r>
      <w:r>
        <w:rPr>
          <w:rStyle w:val="FootnoteReference"/>
          <w:rFonts w:ascii="Times New Roman" w:hAnsi="Times New Roman"/>
          <w:noProof/>
          <w:sz w:val="24"/>
        </w:rPr>
        <w:footnoteReference w:id="8"/>
      </w:r>
      <w:r>
        <w:rPr>
          <w:rFonts w:ascii="Times New Roman" w:hAnsi="Times New Roman"/>
          <w:noProof/>
          <w:sz w:val="24"/>
        </w:rPr>
        <w:t>, kurā Komisija izklāstījusi, kā tā pastiprinās savus centienus vispārēji nodrošināt ES tiesību aktu labāku piemērošanu, īstenošanu un izpildes panākšanu</w:t>
      </w:r>
      <w:r>
        <w:rPr>
          <w:noProof/>
        </w:rPr>
        <w:t>.</w:t>
      </w:r>
      <w:r>
        <w:rPr>
          <w:rFonts w:ascii="Times New Roman" w:hAnsi="Times New Roman"/>
          <w:noProof/>
          <w:sz w:val="24"/>
        </w:rPr>
        <w:t xml:space="preserve"> </w:t>
      </w:r>
    </w:p>
    <w:p>
      <w:pPr>
        <w:pStyle w:val="Heading1"/>
        <w:rPr>
          <w:noProof/>
        </w:rPr>
      </w:pPr>
      <w:r>
        <w:rPr>
          <w:noProof/>
        </w:rPr>
        <w:t xml:space="preserve">Nepieciešamība nodrošināt vidisko atbilstību </w:t>
      </w:r>
    </w:p>
    <w:p>
      <w:pPr>
        <w:jc w:val="both"/>
        <w:rPr>
          <w:rFonts w:ascii="Times New Roman" w:eastAsia="Calibri" w:hAnsi="Times New Roman" w:cs="Times New Roman"/>
          <w:bCs/>
          <w:noProof/>
          <w:sz w:val="24"/>
          <w:szCs w:val="24"/>
        </w:rPr>
      </w:pPr>
      <w:r>
        <w:rPr>
          <w:rFonts w:ascii="Times New Roman" w:hAnsi="Times New Roman"/>
          <w:noProof/>
          <w:sz w:val="24"/>
        </w:rPr>
        <w:t>Dalībvalstīm ir pienākums godprātīgi sadarboties ES mērķu sasniegšanā</w:t>
      </w:r>
      <w:r>
        <w:rPr>
          <w:rFonts w:ascii="Times New Roman" w:hAnsi="Times New Roman"/>
          <w:noProof/>
          <w:vertAlign w:val="superscript"/>
        </w:rPr>
        <w:footnoteReference w:id="9"/>
      </w:r>
      <w:r>
        <w:rPr>
          <w:rFonts w:ascii="Times New Roman" w:hAnsi="Times New Roman"/>
          <w:noProof/>
          <w:sz w:val="24"/>
        </w:rPr>
        <w:t>. Tiesa no šā pienākuma ir atvasinājusi prasību dalībvalstu iestādēm novērst ES tiesību aktu pārkāpuma nelikumīgās sekas</w:t>
      </w:r>
      <w:r>
        <w:rPr>
          <w:rFonts w:ascii="Times New Roman" w:hAnsi="Times New Roman"/>
          <w:noProof/>
          <w:sz w:val="24"/>
          <w:vertAlign w:val="superscript"/>
        </w:rPr>
        <w:footnoteReference w:id="10"/>
      </w:r>
      <w:r>
        <w:rPr>
          <w:rFonts w:ascii="Times New Roman" w:hAnsi="Times New Roman"/>
          <w:noProof/>
          <w:sz w:val="24"/>
        </w:rPr>
        <w:t xml:space="preserve"> un prasību, ka noteikumu izpildes panākšanai jābūt faktiskai, samērīgai un atturošai</w:t>
      </w:r>
      <w:r>
        <w:rPr>
          <w:rFonts w:ascii="Times New Roman" w:hAnsi="Times New Roman"/>
          <w:noProof/>
          <w:vertAlign w:val="superscript"/>
        </w:rPr>
        <w:footnoteReference w:id="11"/>
      </w:r>
      <w:r>
        <w:rPr>
          <w:rFonts w:ascii="Times New Roman" w:hAnsi="Times New Roman"/>
          <w:noProof/>
          <w:sz w:val="24"/>
        </w:rPr>
        <w:t>. Tātad dalībvalstīm ir jāizveido piemēroti mehānismi, ar ko nodrošināma ES noteikto pienākumu izpilde.</w:t>
      </w:r>
    </w:p>
    <w:p>
      <w:pPr>
        <w:jc w:val="both"/>
        <w:rPr>
          <w:rFonts w:ascii="Times New Roman" w:eastAsia="Calibri" w:hAnsi="Times New Roman" w:cs="Times New Roman"/>
          <w:bCs/>
          <w:noProof/>
          <w:sz w:val="24"/>
          <w:szCs w:val="24"/>
        </w:rPr>
      </w:pPr>
      <w:r>
        <w:rPr>
          <w:rFonts w:ascii="Times New Roman" w:hAnsi="Times New Roman"/>
          <w:noProof/>
          <w:sz w:val="24"/>
        </w:rPr>
        <w:t>Neatbilstībai var būt dažādi iemesli; to vidū jāmin neskaidrība, noteikumu neizprašana vai neakceptēšana, investīciju trūkums, oportūnisms un noziedzība. Tās ietekme uz vidi, cilvēka veselību un ekonomiku ir atkarīga no pārkāpumu veida, apmēra un ilguma.</w:t>
      </w:r>
    </w:p>
    <w:p>
      <w:pPr>
        <w:jc w:val="both"/>
        <w:rPr>
          <w:rFonts w:ascii="Times New Roman" w:eastAsia="Calibri" w:hAnsi="Times New Roman" w:cs="Times New Roman"/>
          <w:bCs/>
          <w:noProof/>
          <w:sz w:val="24"/>
          <w:szCs w:val="24"/>
        </w:rPr>
      </w:pPr>
      <w:r>
        <w:rPr>
          <w:rFonts w:ascii="Times New Roman" w:hAnsi="Times New Roman"/>
          <w:noProof/>
          <w:sz w:val="24"/>
        </w:rPr>
        <w:t xml:space="preserve">Praksē atbilstības nodrošināšanas mehānismi nozīmē, ka dalībvalstis izmanto pasākumus, kas iedalās trīs plašās kategorijās (kopā sauktas par “vidiskās atbilstības nodrošināšanu”): </w:t>
      </w:r>
    </w:p>
    <w:p>
      <w:pPr>
        <w:pStyle w:val="ListBullet"/>
        <w:jc w:val="both"/>
        <w:rPr>
          <w:noProof/>
          <w:sz w:val="24"/>
          <w:szCs w:val="24"/>
        </w:rPr>
      </w:pPr>
      <w:r>
        <w:rPr>
          <w:i/>
          <w:noProof/>
          <w:sz w:val="24"/>
        </w:rPr>
        <w:t>atbilstības veicināšana</w:t>
      </w:r>
      <w:r>
        <w:rPr>
          <w:noProof/>
          <w:sz w:val="24"/>
        </w:rPr>
        <w:t xml:space="preserve"> atbildīgajām personām palīdz, izmantojot tādus līdzekļus kā vadlīnijas, “biežāk uzdotie jautājumi” un palīdzības dienesti; </w:t>
      </w:r>
    </w:p>
    <w:p>
      <w:pPr>
        <w:pStyle w:val="ListBullet"/>
        <w:jc w:val="both"/>
        <w:rPr>
          <w:noProof/>
          <w:sz w:val="24"/>
          <w:szCs w:val="24"/>
        </w:rPr>
      </w:pPr>
      <w:r>
        <w:rPr>
          <w:i/>
          <w:noProof/>
          <w:sz w:val="24"/>
        </w:rPr>
        <w:t>atbilstības uzraudzība</w:t>
      </w:r>
      <w:r>
        <w:rPr>
          <w:noProof/>
          <w:sz w:val="24"/>
        </w:rPr>
        <w:t>, izmantojot vides inspekcijas un citas pārbaudes, identificē un raksturo atbildīgās personas rīcību un konstatē un novērtē jebkādas neatbilstības;</w:t>
      </w:r>
    </w:p>
    <w:p>
      <w:pPr>
        <w:pStyle w:val="ListBullet"/>
        <w:jc w:val="both"/>
        <w:rPr>
          <w:noProof/>
          <w:sz w:val="24"/>
          <w:szCs w:val="24"/>
        </w:rPr>
      </w:pPr>
      <w:r>
        <w:rPr>
          <w:i/>
          <w:noProof/>
          <w:sz w:val="24"/>
        </w:rPr>
        <w:t>līdzsekošana un izpildes panākšana</w:t>
      </w:r>
      <w:r>
        <w:rPr>
          <w:noProof/>
          <w:sz w:val="24"/>
        </w:rPr>
        <w:t xml:space="preserve">, pamatojoties uz administratīvajām tiesībām, krimināltiesībām un civiltiesībām, aptur, novērš un soda neatbilstošu rīcību, panāk tās kompensēšanu un veicina atbilstību. </w:t>
      </w:r>
    </w:p>
    <w:p>
      <w:pPr>
        <w:jc w:val="both"/>
        <w:rPr>
          <w:rFonts w:ascii="Times New Roman" w:eastAsia="Calibri" w:hAnsi="Times New Roman" w:cs="Times New Roman"/>
          <w:bCs/>
          <w:noProof/>
          <w:sz w:val="24"/>
          <w:szCs w:val="24"/>
        </w:rPr>
      </w:pPr>
      <w:r>
        <w:rPr>
          <w:rFonts w:ascii="Times New Roman" w:hAnsi="Times New Roman"/>
          <w:noProof/>
          <w:sz w:val="24"/>
        </w:rPr>
        <w:t xml:space="preserve">Šādus pasākumus veic dažādas dalībvalstu iestādes. Struktūras, kam uzticēti inspekcijas uzdevumi, parasti veic regulāras vai </w:t>
      </w:r>
      <w:r>
        <w:rPr>
          <w:rFonts w:ascii="Times New Roman" w:hAnsi="Times New Roman"/>
          <w:i/>
          <w:noProof/>
          <w:sz w:val="24"/>
        </w:rPr>
        <w:t>ad hoc</w:t>
      </w:r>
      <w:r>
        <w:rPr>
          <w:rFonts w:ascii="Times New Roman" w:hAnsi="Times New Roman"/>
          <w:noProof/>
          <w:sz w:val="24"/>
        </w:rPr>
        <w:t xml:space="preserve"> pārbaudes un veicina atbilstību. Smagu nodarījumu izmeklēšanā un kriminālvajāšanā liela nozīme ir policijai un prokuratūrai. Ar “vidiskās atbilstības nodrošināšanas ķēdi” var būt saistītas dažādas struktūras, jo inspektori, muitas un policijas darbinieki un prokurori sadarbojas pierādījumu vākšanā un kriminālvajāšanā. Vides auditori var pildīt būtisku lomu, izvērtējot vispārīgas neatbilstības problēmas vai konkrētu iestāžu sniegumu.</w:t>
      </w:r>
    </w:p>
    <w:p>
      <w:pPr>
        <w:jc w:val="both"/>
        <w:rPr>
          <w:rFonts w:ascii="Times New Roman" w:eastAsia="Calibri" w:hAnsi="Times New Roman" w:cs="Times New Roman"/>
          <w:bCs/>
          <w:noProof/>
          <w:sz w:val="24"/>
          <w:szCs w:val="24"/>
        </w:rPr>
      </w:pPr>
      <w:r>
        <w:rPr>
          <w:rFonts w:ascii="Times New Roman" w:hAnsi="Times New Roman"/>
          <w:noProof/>
          <w:sz w:val="24"/>
        </w:rPr>
        <w:t>Vidiskās atbilstības nodrošināšana mazina risku, ka dažas atbildīgās personas nepilda savus pienākumus un tādā veidā nelabvēlīgi ietekmē ūdens, gaisa, bioloģiskās daudzveidības, cilvēka veselības un ekonomikas stāvokli. Tās gaitā tiek novērtēti neatbilstības cēloņi un ietekmes un, lai ietekmētu atbildīgo personu rīcību, izmantotas pielāgojamas triju pasākumu kategoriju kombinācijas. Koncepcija</w:t>
      </w:r>
      <w:r>
        <w:rPr>
          <w:rStyle w:val="FootnoteReference"/>
          <w:rFonts w:ascii="Times New Roman" w:hAnsi="Times New Roman"/>
          <w:noProof/>
          <w:sz w:val="24"/>
        </w:rPr>
        <w:footnoteReference w:id="12"/>
      </w:r>
      <w:r>
        <w:rPr>
          <w:rFonts w:ascii="Times New Roman" w:hAnsi="Times New Roman"/>
          <w:noProof/>
          <w:sz w:val="24"/>
        </w:rPr>
        <w:t xml:space="preserve"> laika gaitā ir pilnveidojusies, pateicoties pieredzes apmaiņai ar ekspertiem, piemēram, dalībvalstu speciālistiem un praktiķu sadarbības tīkliem</w:t>
      </w:r>
      <w:r>
        <w:rPr>
          <w:rStyle w:val="FootnoteReference"/>
          <w:rFonts w:ascii="Times New Roman" w:hAnsi="Times New Roman"/>
          <w:noProof/>
          <w:sz w:val="24"/>
        </w:rPr>
        <w:footnoteReference w:id="13"/>
      </w:r>
      <w:r>
        <w:rPr>
          <w:noProof/>
        </w:rPr>
        <w:t>.</w:t>
      </w:r>
    </w:p>
    <w:p>
      <w:pPr>
        <w:pStyle w:val="Heading1"/>
        <w:rPr>
          <w:noProof/>
        </w:rPr>
      </w:pPr>
      <w:r>
        <w:rPr>
          <w:noProof/>
        </w:rPr>
        <w:t xml:space="preserve">Problēmjautājumi </w:t>
      </w:r>
    </w:p>
    <w:p>
      <w:pPr>
        <w:spacing w:line="240" w:lineRule="auto"/>
        <w:jc w:val="both"/>
        <w:rPr>
          <w:rFonts w:ascii="Times New Roman" w:eastAsia="Calibri" w:hAnsi="Times New Roman" w:cs="Times New Roman"/>
          <w:bCs/>
          <w:noProof/>
          <w:sz w:val="24"/>
          <w:szCs w:val="24"/>
        </w:rPr>
      </w:pPr>
      <w:r>
        <w:rPr>
          <w:rFonts w:ascii="Times New Roman" w:hAnsi="Times New Roman"/>
          <w:noProof/>
          <w:sz w:val="24"/>
        </w:rPr>
        <w:t>Dalībvalsts iestādes, kas atbildīgas par vidiskās atbilstības nodrošināšanu, saskaras ar daudzām problēmām:</w:t>
      </w:r>
    </w:p>
    <w:p>
      <w:pPr>
        <w:pStyle w:val="ListBullet"/>
        <w:jc w:val="both"/>
        <w:rPr>
          <w:noProof/>
          <w:sz w:val="24"/>
        </w:rPr>
      </w:pPr>
      <w:r>
        <w:rPr>
          <w:noProof/>
          <w:sz w:val="24"/>
        </w:rPr>
        <w:t>ES vidiskie noteikumi par darbībām ar vidisku ietekmi ir plaši un daudzveidīgi,</w:t>
      </w:r>
    </w:p>
    <w:p>
      <w:pPr>
        <w:pStyle w:val="ListBullet"/>
        <w:jc w:val="both"/>
        <w:rPr>
          <w:noProof/>
          <w:sz w:val="24"/>
        </w:rPr>
      </w:pPr>
      <w:r>
        <w:rPr>
          <w:noProof/>
          <w:sz w:val="24"/>
        </w:rPr>
        <w:t>šie noteikumi attiecas uz visu dalībvalstu teritoriju – gan laukiem, gan pilsētām,</w:t>
      </w:r>
    </w:p>
    <w:p>
      <w:pPr>
        <w:pStyle w:val="ListBullet"/>
        <w:jc w:val="both"/>
        <w:rPr>
          <w:noProof/>
          <w:sz w:val="24"/>
        </w:rPr>
      </w:pPr>
      <w:r>
        <w:rPr>
          <w:noProof/>
          <w:sz w:val="24"/>
        </w:rPr>
        <w:t>pastāv atzītas problēmas, kas saistītas ar ūdens un gaisa piesārņojumu, atkritumu apglabāšanu un dabas degradāciju,</w:t>
      </w:r>
    </w:p>
    <w:p>
      <w:pPr>
        <w:pStyle w:val="ListBullet"/>
        <w:jc w:val="both"/>
        <w:rPr>
          <w:noProof/>
          <w:sz w:val="24"/>
        </w:rPr>
      </w:pPr>
      <w:r>
        <w:rPr>
          <w:noProof/>
          <w:sz w:val="24"/>
        </w:rPr>
        <w:t>jāņem vērā sabiedrības vēlmes,</w:t>
      </w:r>
    </w:p>
    <w:p>
      <w:pPr>
        <w:pStyle w:val="ListBullet"/>
        <w:jc w:val="both"/>
        <w:rPr>
          <w:noProof/>
          <w:sz w:val="24"/>
        </w:rPr>
      </w:pPr>
      <w:r>
        <w:rPr>
          <w:noProof/>
          <w:sz w:val="24"/>
        </w:rPr>
        <w:t>vidiskie noteikumi jāievēro lielam skaitam dažādu subjektu,</w:t>
      </w:r>
    </w:p>
    <w:p>
      <w:pPr>
        <w:pStyle w:val="ListBullet"/>
        <w:jc w:val="both"/>
        <w:rPr>
          <w:noProof/>
          <w:sz w:val="24"/>
        </w:rPr>
      </w:pPr>
      <w:r>
        <w:rPr>
          <w:noProof/>
          <w:sz w:val="24"/>
        </w:rPr>
        <w:t>var rasties ļoti dažādu veidu atbilstības problēmas,</w:t>
      </w:r>
    </w:p>
    <w:p>
      <w:pPr>
        <w:pStyle w:val="ListBullet"/>
        <w:jc w:val="both"/>
        <w:rPr>
          <w:noProof/>
          <w:sz w:val="24"/>
        </w:rPr>
      </w:pPr>
      <w:r>
        <w:rPr>
          <w:noProof/>
          <w:sz w:val="24"/>
        </w:rPr>
        <w:t>tās konstatēt un novērst nav viegli, jo īpaši tas sakāms par noziegumiem pret vidi.</w:t>
      </w:r>
    </w:p>
    <w:p>
      <w:pPr>
        <w:jc w:val="both"/>
        <w:rPr>
          <w:rFonts w:ascii="Times New Roman" w:hAnsi="Times New Roman" w:cs="Times New Roman"/>
          <w:noProof/>
          <w:sz w:val="24"/>
          <w:szCs w:val="24"/>
        </w:rPr>
      </w:pPr>
      <w:r>
        <w:rPr>
          <w:rFonts w:ascii="Times New Roman" w:hAnsi="Times New Roman"/>
          <w:noProof/>
          <w:sz w:val="24"/>
        </w:rPr>
        <w:t>Šim sarakstam var pievienot arī spējas, jo atbildība bieži vien tiek uzlikta nelielām struktūrām ar ierobežotiem finansiālajiem resursiem, nelielu darbinieku skaitu vai specifisku zināšanu trūkumu</w:t>
      </w:r>
      <w:r>
        <w:rPr>
          <w:rStyle w:val="FootnoteReference"/>
          <w:rFonts w:ascii="Times New Roman" w:hAnsi="Times New Roman"/>
          <w:noProof/>
        </w:rPr>
        <w:footnoteReference w:id="14"/>
      </w:r>
      <w:r>
        <w:rPr>
          <w:noProof/>
        </w:rPr>
        <w:t>.</w:t>
      </w:r>
      <w:r>
        <w:rPr>
          <w:rFonts w:ascii="Times New Roman" w:hAnsi="Times New Roman"/>
          <w:i/>
          <w:noProof/>
          <w:sz w:val="24"/>
        </w:rPr>
        <w:t xml:space="preserve"> </w:t>
      </w:r>
      <w:r>
        <w:rPr>
          <w:rFonts w:ascii="Times New Roman" w:hAnsi="Times New Roman"/>
          <w:noProof/>
          <w:sz w:val="24"/>
        </w:rPr>
        <w:t>Daudzās dalībvalstīs vides inspekciju budžets finanšu krīzes ietekmē ir palicis nemainīgs vai samazinājies. Ņemot vērā šīs problēmas, pat lielām, resursiem bagātām iestādēm var būt grūti patstāvīgi izveidot zināšanu bāzi par labākajiem veidiem, kā nodrošināt atbilstību.</w:t>
      </w:r>
    </w:p>
    <w:p>
      <w:pPr>
        <w:jc w:val="both"/>
        <w:rPr>
          <w:rFonts w:ascii="Times New Roman" w:hAnsi="Times New Roman" w:cs="Times New Roman"/>
          <w:noProof/>
          <w:sz w:val="24"/>
          <w:szCs w:val="24"/>
        </w:rPr>
      </w:pPr>
      <w:r>
        <w:rPr>
          <w:rFonts w:ascii="Times New Roman" w:hAnsi="Times New Roman"/>
          <w:noProof/>
          <w:sz w:val="24"/>
        </w:rPr>
        <w:t xml:space="preserve">Problēmas, ar kurām saskaras šīs iestādes, ir radījušas pieprasījumu pēc dažāda veida atbalsta ES līmenī, un nu tāds ir izveidots. 1. tabulā ir apkopoti šie atbalsta veidi un norādītas to īpašās priekšrocības. </w:t>
      </w:r>
    </w:p>
    <w:p>
      <w:pPr>
        <w:jc w:val="both"/>
        <w:rPr>
          <w:rFonts w:ascii="Times New Roman" w:hAnsi="Times New Roman" w:cs="Times New Roman"/>
          <w:i/>
          <w:noProof/>
          <w:sz w:val="20"/>
          <w:szCs w:val="20"/>
        </w:rPr>
      </w:pPr>
      <w:r>
        <w:rPr>
          <w:rFonts w:ascii="Times New Roman" w:hAnsi="Times New Roman"/>
          <w:i/>
          <w:noProof/>
          <w:sz w:val="20"/>
        </w:rPr>
        <w:t>1. tabula. Atbalsta veidi, kas paredzēti, lai nodrošinātu vidisko atbilstību, un to sagādātās priekšrocības</w:t>
      </w:r>
    </w:p>
    <w:tbl>
      <w:tblPr>
        <w:tblStyle w:val="LightList-Accent1"/>
        <w:tblW w:w="0" w:type="auto"/>
        <w:tblBorders>
          <w:insideH w:val="single" w:sz="8" w:space="0" w:color="4F81BD" w:themeColor="accent1"/>
          <w:insideV w:val="single" w:sz="4" w:space="0" w:color="auto"/>
        </w:tblBorders>
        <w:tblLook w:val="04A0" w:firstRow="1" w:lastRow="0" w:firstColumn="1" w:lastColumn="0" w:noHBand="0" w:noVBand="1"/>
      </w:tblPr>
      <w:tblGrid>
        <w:gridCol w:w="4420"/>
        <w:gridCol w:w="441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Pr>
          <w:p>
            <w:pPr>
              <w:spacing w:before="120" w:after="240"/>
              <w:rPr>
                <w:noProof/>
              </w:rPr>
            </w:pPr>
            <w:r>
              <w:rPr>
                <w:noProof/>
              </w:rPr>
              <w:t>Atbalsta veids</w:t>
            </w:r>
          </w:p>
        </w:tc>
        <w:tc>
          <w:tcPr>
            <w:tcW w:w="4414" w:type="dxa"/>
          </w:tcPr>
          <w:p>
            <w:pPr>
              <w:spacing w:before="120" w:after="240"/>
              <w:cnfStyle w:val="100000000000" w:firstRow="1" w:lastRow="0" w:firstColumn="0" w:lastColumn="0" w:oddVBand="0" w:evenVBand="0" w:oddHBand="0" w:evenHBand="0" w:firstRowFirstColumn="0" w:firstRowLastColumn="0" w:lastRowFirstColumn="0" w:lastRowLastColumn="0"/>
              <w:rPr>
                <w:noProof/>
              </w:rPr>
            </w:pPr>
            <w:r>
              <w:rPr>
                <w:noProof/>
              </w:rPr>
              <w:t>Priekšrocības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Borders>
              <w:top w:val="none" w:sz="0" w:space="0" w:color="auto"/>
              <w:left w:val="none" w:sz="0" w:space="0" w:color="auto"/>
              <w:bottom w:val="none" w:sz="0" w:space="0" w:color="auto"/>
            </w:tcBorders>
          </w:tcPr>
          <w:p>
            <w:pPr>
              <w:spacing w:before="120" w:after="120"/>
              <w:rPr>
                <w:noProof/>
              </w:rPr>
            </w:pPr>
            <w:r>
              <w:rPr>
                <w:noProof/>
              </w:rPr>
              <w:t>ES praktiķu sadarbības tīkli</w:t>
            </w:r>
          </w:p>
        </w:tc>
        <w:tc>
          <w:tcPr>
            <w:tcW w:w="4414" w:type="dxa"/>
            <w:tcBorders>
              <w:top w:val="none" w:sz="0" w:space="0" w:color="auto"/>
              <w:bottom w:val="none" w:sz="0" w:space="0" w:color="auto"/>
              <w:right w:val="none" w:sz="0" w:space="0" w:color="auto"/>
            </w:tcBorders>
          </w:tcPr>
          <w:p>
            <w:pPr>
              <w:spacing w:before="120" w:after="120"/>
              <w:cnfStyle w:val="000000100000" w:firstRow="0" w:lastRow="0" w:firstColumn="0" w:lastColumn="0" w:oddVBand="0" w:evenVBand="0" w:oddHBand="1" w:evenHBand="0" w:firstRowFirstColumn="0" w:firstRowLastColumn="0" w:lastRowFirstColumn="0" w:lastRowLastColumn="0"/>
              <w:rPr>
                <w:noProof/>
              </w:rPr>
            </w:pPr>
            <w:r>
              <w:rPr>
                <w:noProof/>
              </w:rPr>
              <w:t xml:space="preserve">Dod praktiķiem iespēju apmainīties ar zināšanām un pieredzi un kopīgi izstrādāt dažus citus atbalsta veidus, kas iekļauti šajā tabulā </w:t>
            </w:r>
          </w:p>
        </w:tc>
      </w:tr>
      <w:tr>
        <w:tc>
          <w:tcPr>
            <w:cnfStyle w:val="001000000000" w:firstRow="0" w:lastRow="0" w:firstColumn="1" w:lastColumn="0" w:oddVBand="0" w:evenVBand="0" w:oddHBand="0" w:evenHBand="0" w:firstRowFirstColumn="0" w:firstRowLastColumn="0" w:lastRowFirstColumn="0" w:lastRowLastColumn="0"/>
            <w:tcW w:w="4420" w:type="dxa"/>
          </w:tcPr>
          <w:p>
            <w:pPr>
              <w:spacing w:before="120" w:after="120"/>
              <w:rPr>
                <w:noProof/>
              </w:rPr>
            </w:pPr>
            <w:r>
              <w:rPr>
                <w:noProof/>
              </w:rPr>
              <w:t>Dalībvalsts vidiskās atbilstības nodrošināšanas sistēmu izvērtējums ES līmenī</w:t>
            </w:r>
          </w:p>
        </w:tc>
        <w:tc>
          <w:tcPr>
            <w:tcW w:w="4414" w:type="dxa"/>
          </w:tcPr>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Dod iespēju salīdzināt un identificēt stiprās un vājās puses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Borders>
              <w:top w:val="none" w:sz="0" w:space="0" w:color="auto"/>
              <w:left w:val="none" w:sz="0" w:space="0" w:color="auto"/>
              <w:bottom w:val="none" w:sz="0" w:space="0" w:color="auto"/>
            </w:tcBorders>
          </w:tcPr>
          <w:p>
            <w:pPr>
              <w:spacing w:before="120" w:after="120"/>
              <w:rPr>
                <w:noProof/>
              </w:rPr>
            </w:pPr>
            <w:r>
              <w:rPr>
                <w:noProof/>
              </w:rPr>
              <w:t>Vispārēji pieejami informācijas portāli par atbilstības nodrošināšanu</w:t>
            </w:r>
          </w:p>
        </w:tc>
        <w:tc>
          <w:tcPr>
            <w:tcW w:w="4414" w:type="dxa"/>
            <w:tcBorders>
              <w:top w:val="none" w:sz="0" w:space="0" w:color="auto"/>
              <w:bottom w:val="none" w:sz="0" w:space="0" w:color="auto"/>
              <w:right w:val="none" w:sz="0" w:space="0" w:color="auto"/>
            </w:tcBorders>
          </w:tcPr>
          <w:p>
            <w:pPr>
              <w:spacing w:before="120" w:after="120"/>
              <w:cnfStyle w:val="000000100000" w:firstRow="0" w:lastRow="0" w:firstColumn="0" w:lastColumn="0" w:oddVBand="0" w:evenVBand="0" w:oddHBand="1" w:evenHBand="0" w:firstRowFirstColumn="0" w:firstRowLastColumn="0" w:lastRowFirstColumn="0" w:lastRowLastColumn="0"/>
              <w:rPr>
                <w:noProof/>
              </w:rPr>
            </w:pPr>
            <w:r>
              <w:rPr>
                <w:noProof/>
              </w:rPr>
              <w:t>Dod iespēju mācīties, dalīties ar labas prakses piemēriem un tos viegli salīdzināt, uzlabo pārredzamību un pārskatatbildību</w:t>
            </w:r>
          </w:p>
        </w:tc>
      </w:tr>
      <w:tr>
        <w:tc>
          <w:tcPr>
            <w:cnfStyle w:val="001000000000" w:firstRow="0" w:lastRow="0" w:firstColumn="1" w:lastColumn="0" w:oddVBand="0" w:evenVBand="0" w:oddHBand="0" w:evenHBand="0" w:firstRowFirstColumn="0" w:firstRowLastColumn="0" w:lastRowFirstColumn="0" w:lastRowLastColumn="0"/>
            <w:tcW w:w="4420" w:type="dxa"/>
          </w:tcPr>
          <w:p>
            <w:pPr>
              <w:spacing w:before="120" w:after="120"/>
              <w:rPr>
                <w:noProof/>
              </w:rPr>
            </w:pPr>
            <w:r>
              <w:rPr>
                <w:noProof/>
              </w:rPr>
              <w:t>Mehānismi, kas veicina sadarbību, koordināciju, zināšanu un pieredzes kopīgošanu un kopdarbu visā ES un citu dalībvalstu un iestāžu palīdzību atbilstības nodrošināšanā</w:t>
            </w:r>
          </w:p>
        </w:tc>
        <w:tc>
          <w:tcPr>
            <w:tcW w:w="4414" w:type="dxa"/>
          </w:tcPr>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Dod iespēju sadarbības ceļā panākt lielāku efektivitāti</w:t>
            </w:r>
          </w:p>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Dod iespēju mācīties no specializētām zināšanām, kas izstrādātas citur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Borders>
              <w:top w:val="none" w:sz="0" w:space="0" w:color="auto"/>
              <w:left w:val="none" w:sz="0" w:space="0" w:color="auto"/>
              <w:bottom w:val="none" w:sz="0" w:space="0" w:color="auto"/>
            </w:tcBorders>
          </w:tcPr>
          <w:p>
            <w:pPr>
              <w:spacing w:before="120" w:after="120"/>
              <w:rPr>
                <w:noProof/>
              </w:rPr>
            </w:pPr>
            <w:r>
              <w:rPr>
                <w:noProof/>
              </w:rPr>
              <w:t>Savstarpējā atbilstība kopējās lauksaimniecības politikas (KLP) satvarā</w:t>
            </w:r>
          </w:p>
        </w:tc>
        <w:tc>
          <w:tcPr>
            <w:tcW w:w="4414" w:type="dxa"/>
            <w:tcBorders>
              <w:top w:val="none" w:sz="0" w:space="0" w:color="auto"/>
              <w:bottom w:val="none" w:sz="0" w:space="0" w:color="auto"/>
              <w:right w:val="none" w:sz="0" w:space="0" w:color="auto"/>
            </w:tcBorders>
          </w:tcPr>
          <w:p>
            <w:pPr>
              <w:spacing w:before="120" w:after="120"/>
              <w:cnfStyle w:val="000000100000" w:firstRow="0" w:lastRow="0" w:firstColumn="0" w:lastColumn="0" w:oddVBand="0" w:evenVBand="0" w:oddHBand="1" w:evenHBand="0" w:firstRowFirstColumn="0" w:firstRowLastColumn="0" w:lastRowFirstColumn="0" w:lastRowLastColumn="0"/>
              <w:rPr>
                <w:noProof/>
              </w:rPr>
            </w:pPr>
            <w:r>
              <w:rPr>
                <w:noProof/>
              </w:rPr>
              <w:t xml:space="preserve">Palīdz nodrošināt to, ka lauksaimnieki ievēro vidiskās prasības </w:t>
            </w:r>
          </w:p>
        </w:tc>
      </w:tr>
      <w:tr>
        <w:tc>
          <w:tcPr>
            <w:cnfStyle w:val="001000000000" w:firstRow="0" w:lastRow="0" w:firstColumn="1" w:lastColumn="0" w:oddVBand="0" w:evenVBand="0" w:oddHBand="0" w:evenHBand="0" w:firstRowFirstColumn="0" w:firstRowLastColumn="0" w:lastRowFirstColumn="0" w:lastRowLastColumn="0"/>
            <w:tcW w:w="4420" w:type="dxa"/>
          </w:tcPr>
          <w:p>
            <w:pPr>
              <w:spacing w:before="120" w:after="120"/>
              <w:rPr>
                <w:noProof/>
              </w:rPr>
            </w:pPr>
            <w:r>
              <w:rPr>
                <w:noProof/>
              </w:rPr>
              <w:t>Informācija un norādījumi par labu praksi</w:t>
            </w:r>
          </w:p>
        </w:tc>
        <w:tc>
          <w:tcPr>
            <w:tcW w:w="4414" w:type="dxa"/>
          </w:tcPr>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Dod iespēju mācīties no jau iegūtām zināšanām</w:t>
            </w:r>
          </w:p>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Samazina vajadzību izstrādāt labas prakses piemērus no nulles (efektivitātes ieguvumi)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Borders>
              <w:top w:val="none" w:sz="0" w:space="0" w:color="auto"/>
              <w:left w:val="none" w:sz="0" w:space="0" w:color="auto"/>
              <w:bottom w:val="none" w:sz="0" w:space="0" w:color="auto"/>
            </w:tcBorders>
          </w:tcPr>
          <w:p>
            <w:pPr>
              <w:spacing w:before="120" w:after="120"/>
              <w:rPr>
                <w:noProof/>
              </w:rPr>
            </w:pPr>
            <w:r>
              <w:rPr>
                <w:noProof/>
              </w:rPr>
              <w:t>Apmācības programmas, mācību materiāli un norādījumi par prasmēm</w:t>
            </w:r>
          </w:p>
        </w:tc>
        <w:tc>
          <w:tcPr>
            <w:tcW w:w="4414" w:type="dxa"/>
            <w:tcBorders>
              <w:top w:val="none" w:sz="0" w:space="0" w:color="auto"/>
              <w:bottom w:val="none" w:sz="0" w:space="0" w:color="auto"/>
              <w:right w:val="none" w:sz="0" w:space="0" w:color="auto"/>
            </w:tcBorders>
          </w:tcPr>
          <w:p>
            <w:pPr>
              <w:spacing w:before="120" w:after="120"/>
              <w:cnfStyle w:val="000000100000" w:firstRow="0" w:lastRow="0" w:firstColumn="0" w:lastColumn="0" w:oddVBand="0" w:evenVBand="0" w:oddHBand="1" w:evenHBand="0" w:firstRowFirstColumn="0" w:firstRowLastColumn="0" w:lastRowFirstColumn="0" w:lastRowLastColumn="0"/>
              <w:rPr>
                <w:noProof/>
              </w:rPr>
            </w:pPr>
            <w:r>
              <w:rPr>
                <w:noProof/>
              </w:rPr>
              <w:t>Dod iespēju attīstīt un uzturēt prasmes</w:t>
            </w:r>
          </w:p>
        </w:tc>
      </w:tr>
      <w:tr>
        <w:tc>
          <w:tcPr>
            <w:cnfStyle w:val="001000000000" w:firstRow="0" w:lastRow="0" w:firstColumn="1" w:lastColumn="0" w:oddVBand="0" w:evenVBand="0" w:oddHBand="0" w:evenHBand="0" w:firstRowFirstColumn="0" w:firstRowLastColumn="0" w:lastRowFirstColumn="0" w:lastRowLastColumn="0"/>
            <w:tcW w:w="4420" w:type="dxa"/>
          </w:tcPr>
          <w:p>
            <w:pPr>
              <w:spacing w:before="120" w:after="120"/>
              <w:rPr>
                <w:noProof/>
              </w:rPr>
            </w:pPr>
            <w:r>
              <w:rPr>
                <w:noProof/>
              </w:rPr>
              <w:t>Piekļuve ES ģenerētiem datu avotiem, piemēram, satelītattēliem</w:t>
            </w:r>
          </w:p>
        </w:tc>
        <w:tc>
          <w:tcPr>
            <w:tcW w:w="4414" w:type="dxa"/>
          </w:tcPr>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Paplašina iespējas faktiski nodrošināt atbilstību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0" w:type="dxa"/>
            <w:tcBorders>
              <w:top w:val="none" w:sz="0" w:space="0" w:color="auto"/>
              <w:left w:val="none" w:sz="0" w:space="0" w:color="auto"/>
              <w:bottom w:val="none" w:sz="0" w:space="0" w:color="auto"/>
            </w:tcBorders>
          </w:tcPr>
          <w:p>
            <w:pPr>
              <w:spacing w:before="120" w:after="120"/>
              <w:rPr>
                <w:noProof/>
              </w:rPr>
            </w:pPr>
            <w:r>
              <w:rPr>
                <w:noProof/>
              </w:rPr>
              <w:t>ES finansiālais atbalsts</w:t>
            </w:r>
          </w:p>
        </w:tc>
        <w:tc>
          <w:tcPr>
            <w:tcW w:w="4414" w:type="dxa"/>
            <w:tcBorders>
              <w:top w:val="none" w:sz="0" w:space="0" w:color="auto"/>
              <w:bottom w:val="none" w:sz="0" w:space="0" w:color="auto"/>
              <w:right w:val="none" w:sz="0" w:space="0" w:color="auto"/>
            </w:tcBorders>
          </w:tcPr>
          <w:p>
            <w:pPr>
              <w:spacing w:before="120" w:after="120"/>
              <w:cnfStyle w:val="000000100000" w:firstRow="0" w:lastRow="0" w:firstColumn="0" w:lastColumn="0" w:oddVBand="0" w:evenVBand="0" w:oddHBand="1" w:evenHBand="0" w:firstRowFirstColumn="0" w:firstRowLastColumn="0" w:lastRowFirstColumn="0" w:lastRowLastColumn="0"/>
              <w:rPr>
                <w:noProof/>
              </w:rPr>
            </w:pPr>
            <w:r>
              <w:rPr>
                <w:noProof/>
              </w:rPr>
              <w:t>Palīdz atbilstības nodrošināšanas iestādēm labāk sasniegt mērķus</w:t>
            </w:r>
          </w:p>
        </w:tc>
      </w:tr>
    </w:tbl>
    <w:p>
      <w:pPr>
        <w:jc w:val="both"/>
        <w:rPr>
          <w:rFonts w:ascii="Times New Roman" w:hAnsi="Times New Roman" w:cs="Times New Roman"/>
          <w:noProof/>
          <w:sz w:val="24"/>
          <w:szCs w:val="24"/>
        </w:rPr>
      </w:pPr>
    </w:p>
    <w:p>
      <w:pPr>
        <w:rPr>
          <w:rFonts w:ascii="Times New Roman" w:eastAsia="Calibri" w:hAnsi="Times New Roman" w:cs="Times New Roman"/>
          <w:bCs/>
          <w:noProof/>
          <w:sz w:val="24"/>
          <w:szCs w:val="24"/>
        </w:rPr>
      </w:pPr>
      <w:r>
        <w:rPr>
          <w:rFonts w:ascii="Times New Roman" w:hAnsi="Times New Roman" w:cs="Times New Roman"/>
          <w:noProof/>
          <w:sz w:val="24"/>
          <w:szCs w:val="24"/>
        </w:rPr>
        <w:t>Lai kopīgotu un pilnveidotu zināšanas par atbilstības nodrošināšanu, inspektori, policijas darbinieki, muitas amatpersonas, prokurori, tiesneši un auditori jau ir izveidojuši atsevišķus Eiropas līmeņa tīklus</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Šie un citi tīkli rāda pozitīvu piemēru par dažādiem tabulā apkopotiem atbalsta veidiem. Ņemot vērā to pašreizējos aptvēruma un darbības jomas ierobežojumus, šie piemēri rāda, kā ar Komisijas palīdzību var izdarīt vairāk, lai stiprinātu vidisko pārvaldību un uzlabotu atbilstību</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w:t>
      </w:r>
    </w:p>
    <w:p>
      <w:pPr>
        <w:pStyle w:val="Heading1"/>
        <w:rPr>
          <w:noProof/>
        </w:rPr>
      </w:pPr>
      <w:r>
        <w:rPr>
          <w:noProof/>
        </w:rPr>
        <w:t>Rīcības pamatojums</w:t>
      </w:r>
    </w:p>
    <w:p>
      <w:pPr>
        <w:jc w:val="both"/>
        <w:rPr>
          <w:rFonts w:ascii="Times New Roman" w:eastAsia="Calibri" w:hAnsi="Times New Roman" w:cs="Times New Roman"/>
          <w:bCs/>
          <w:noProof/>
          <w:sz w:val="24"/>
          <w:szCs w:val="24"/>
        </w:rPr>
      </w:pPr>
      <w:r>
        <w:rPr>
          <w:rFonts w:ascii="Times New Roman" w:hAnsi="Times New Roman"/>
          <w:noProof/>
          <w:sz w:val="24"/>
        </w:rPr>
        <w:t xml:space="preserve">Komisija ir izskatījusi vairākus variantus, kā uzlabot vidiskās atbilstības nodrošināšanu, tostarp ar tiesību aktiem, un 2014. gadā tā sagatavoja lēmumu pieņemšanas palīglīdzekli – ietekmes novērtējuma ziņojuma projektu. Komisija secināja, ka vislabāko rezultātu vairākās prioritārās jomās jau īstermiņā, visticamāk, varēs sasniegt ar rīcības plānu, kas paredz mērķorientētus atbalsta pasākumus praktisku vajadzību risināšanai. </w:t>
      </w:r>
    </w:p>
    <w:p>
      <w:pPr>
        <w:jc w:val="both"/>
        <w:rPr>
          <w:rFonts w:ascii="Times New Roman" w:eastAsia="Calibri" w:hAnsi="Times New Roman" w:cs="Times New Roman"/>
          <w:bCs/>
          <w:noProof/>
          <w:sz w:val="24"/>
          <w:szCs w:val="24"/>
        </w:rPr>
      </w:pPr>
      <w:r>
        <w:rPr>
          <w:rFonts w:ascii="Times New Roman" w:hAnsi="Times New Roman"/>
          <w:noProof/>
          <w:sz w:val="24"/>
        </w:rPr>
        <w:t>Sagatavošanās posmā, kurš ietvēra apspriešanos ar dalībvalstīm un praktiķu sadarbības tīkliem</w:t>
      </w:r>
      <w:r>
        <w:rPr>
          <w:rFonts w:ascii="Times New Roman" w:hAnsi="Times New Roman"/>
          <w:noProof/>
          <w:vertAlign w:val="superscript"/>
        </w:rPr>
        <w:footnoteReference w:id="17"/>
      </w:r>
      <w:r>
        <w:rPr>
          <w:rFonts w:ascii="Times New Roman" w:hAnsi="Times New Roman"/>
          <w:noProof/>
          <w:sz w:val="24"/>
        </w:rPr>
        <w:t>, apstiprinājās 1. tabulā apkopoto atbalsta veidu vērtība un kļuva skaidrs, kādā veidā tos var nostiprināt un papildināt ar jauniem rīkiem. Praktiķu sadarbības tīkli uzsvēra to, cik vērtīga ir lietpratības kopīgošana un lielāka darbības koordinēšana dalībvalstu starpā. Tie īpaši atzīmēja profesionālās apmācības un patiesas zināšanu kopīgošanas nozīmi. Apspriešanās laikā iezīmējās vairākas jomas, kurās ir ievērojams pieprasījums pēc labas prakses references materiāliem un jauniem rīkiem. Par īpašu uzmanību pelnošu tika nosaukta atkritumu joma un noziegumi pret dzīvo dabu. Kopējā lauksaimniecības politika (KLP) 2014.–2020. gadā ar daudzveidīgiem savstarpēji papildinošiem politikas instrumentiem, tostarp ar savstarpējās atbilstības sistēmu, par prioritāru izvirza dabas resursu ilgtspējīgu pārvaldību un klimata darbus. Šajā dokumentā izklāstītā iniciatīva – kā nacionālo atbilstības nodrošināšanas sistēmu uzlabošanas līdzeklis ar lauksaimniecisko darbību saistītajā ūdenssaimniecības aspektā – ir minēta jau Komisijas dienestu darba dokumentā “Lauksaimniecība un ilgtspējīga ūdens apsaimniekošana Eiropas Savienībā”</w:t>
      </w:r>
      <w:r>
        <w:rPr>
          <w:rFonts w:ascii="Times New Roman" w:hAnsi="Times New Roman"/>
          <w:noProof/>
          <w:vertAlign w:val="superscript"/>
        </w:rPr>
        <w:footnoteReference w:id="18"/>
      </w:r>
      <w:r>
        <w:rPr>
          <w:rFonts w:ascii="Times New Roman" w:hAnsi="Times New Roman"/>
          <w:noProof/>
          <w:sz w:val="24"/>
        </w:rPr>
        <w:t>. Līdzīgā veidā arī Komisijas “Rīcības plāns dabai, cilvēkam un ekonomikai”</w:t>
      </w:r>
      <w:r>
        <w:rPr>
          <w:rFonts w:ascii="Times New Roman" w:hAnsi="Times New Roman"/>
          <w:noProof/>
          <w:vertAlign w:val="superscript"/>
        </w:rPr>
        <w:footnoteReference w:id="19"/>
      </w:r>
      <w:r>
        <w:rPr>
          <w:rFonts w:ascii="Times New Roman" w:hAnsi="Times New Roman"/>
          <w:noProof/>
          <w:sz w:val="24"/>
        </w:rPr>
        <w:t xml:space="preserve"> atzīmē atbilstības stiprināšanas nepieciešamību</w:t>
      </w:r>
      <w:r>
        <w:rPr>
          <w:rFonts w:ascii="Times New Roman" w:hAnsi="Times New Roman"/>
          <w:noProof/>
          <w:vertAlign w:val="superscript"/>
        </w:rPr>
        <w:footnoteReference w:id="20"/>
      </w:r>
      <w:r>
        <w:rPr>
          <w:rFonts w:ascii="Times New Roman" w:hAnsi="Times New Roman"/>
          <w:noProof/>
          <w:sz w:val="24"/>
        </w:rPr>
        <w:t>. Citi apspriešanās laikā skartie temati bija tehnoloģiju pienesums neatbilstības pamanīšanā un nozīmīgais iedzīvotāju ieguldījums, kurš ienāk ar valsts iestādēm adresētām sūdzībām un iesniegumiem. Vairāki esošie ES vides tiesību akti skaidri nosaka inspekciju vadlīniju vai metodisko norādījumu nozīmi</w:t>
      </w:r>
      <w:r>
        <w:rPr>
          <w:rFonts w:ascii="Times New Roman" w:hAnsi="Times New Roman"/>
          <w:noProof/>
          <w:vertAlign w:val="superscript"/>
        </w:rPr>
        <w:footnoteReference w:id="21"/>
      </w:r>
      <w:r>
        <w:rPr>
          <w:rFonts w:ascii="Times New Roman" w:hAnsi="Times New Roman"/>
          <w:noProof/>
          <w:sz w:val="24"/>
        </w:rPr>
        <w:t>, un šī iespēja ir jāizmanto. Darbs pie pirmajiem ES vides politikas īstenošanas pārskata (</w:t>
      </w:r>
      <w:r>
        <w:rPr>
          <w:rFonts w:ascii="Times New Roman" w:hAnsi="Times New Roman"/>
          <w:i/>
          <w:noProof/>
          <w:sz w:val="24"/>
        </w:rPr>
        <w:t>EIR</w:t>
      </w:r>
      <w:r>
        <w:rPr>
          <w:rFonts w:ascii="Times New Roman" w:hAnsi="Times New Roman"/>
          <w:noProof/>
          <w:sz w:val="24"/>
        </w:rPr>
        <w:t xml:space="preserve">) ziņojumiem, kas adresēti individuālām dalībvalstīm, ir parādījis, kā Komisija atbilstības nodrošināšanas un citu publiskās pārvaldes aspektu ziņā var uzlabot atsauksmju sniegšanu dalībvalstīm. Visbeidzot, apspriešanās laikā iezīmējās vēlme pēc augsta līmeņa dialoga starp vidiskās atbilstības nodrošināšanas praktiķiem un vidiskās pārvaldības augstākā līmeņa vadītājiem. </w:t>
      </w:r>
    </w:p>
    <w:p>
      <w:pPr>
        <w:pStyle w:val="Heading1"/>
        <w:rPr>
          <w:noProof/>
        </w:rPr>
      </w:pPr>
      <w:r>
        <w:rPr>
          <w:noProof/>
        </w:rPr>
        <w:t>Rīcība</w:t>
      </w:r>
    </w:p>
    <w:p>
      <w:pPr>
        <w:spacing w:after="0" w:line="240" w:lineRule="auto"/>
        <w:jc w:val="both"/>
        <w:rPr>
          <w:rFonts w:ascii="Times New Roman" w:eastAsia="Calibri" w:hAnsi="Times New Roman" w:cs="Times New Roman"/>
          <w:bCs/>
          <w:noProof/>
          <w:sz w:val="24"/>
          <w:szCs w:val="24"/>
        </w:rPr>
      </w:pPr>
      <w:r>
        <w:rPr>
          <w:rFonts w:ascii="Times New Roman" w:hAnsi="Times New Roman"/>
          <w:noProof/>
          <w:sz w:val="24"/>
        </w:rPr>
        <w:t>Rīcības plāns sastāv no deviņām rīcībām (darbību kopumiem), kas risina sagatavošanās posmā apzinātās vajadzības. Šo rīcību kopsavilkums sniegts 2. tabulā</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after="0" w:line="240" w:lineRule="auto"/>
        <w:jc w:val="both"/>
        <w:rPr>
          <w:rFonts w:ascii="Times New Roman" w:eastAsia="Calibri" w:hAnsi="Times New Roman" w:cs="Times New Roman"/>
          <w:bCs/>
          <w:noProof/>
          <w:sz w:val="24"/>
          <w:szCs w:val="24"/>
        </w:rPr>
      </w:pPr>
    </w:p>
    <w:p>
      <w:pPr>
        <w:jc w:val="both"/>
        <w:rPr>
          <w:rFonts w:ascii="Times New Roman" w:hAnsi="Times New Roman" w:cs="Times New Roman"/>
          <w:i/>
          <w:noProof/>
          <w:sz w:val="20"/>
          <w:szCs w:val="20"/>
        </w:rPr>
      </w:pPr>
      <w:r>
        <w:rPr>
          <w:rFonts w:ascii="Times New Roman" w:hAnsi="Times New Roman"/>
          <w:i/>
          <w:noProof/>
          <w:sz w:val="20"/>
        </w:rPr>
        <w:t xml:space="preserve">2. tabula. Rīcības pārskats </w:t>
      </w:r>
    </w:p>
    <w:tbl>
      <w:tblPr>
        <w:tblStyle w:val="LightList-Accent1"/>
        <w:tblW w:w="0" w:type="auto"/>
        <w:tblBorders>
          <w:insideH w:val="single" w:sz="4" w:space="0" w:color="auto"/>
          <w:insideV w:val="single" w:sz="4" w:space="0" w:color="auto"/>
        </w:tblBorders>
        <w:tblLook w:val="04A0" w:firstRow="1" w:lastRow="0" w:firstColumn="1" w:lastColumn="0" w:noHBand="0" w:noVBand="1"/>
      </w:tblPr>
      <w:tblGrid>
        <w:gridCol w:w="653"/>
        <w:gridCol w:w="6885"/>
        <w:gridCol w:w="1296"/>
      </w:tblGrid>
      <w:tr>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 w:type="dxa"/>
            <w:tcBorders>
              <w:top w:val="single" w:sz="8" w:space="0" w:color="4F81BD" w:themeColor="accent1"/>
              <w:left w:val="single" w:sz="8" w:space="0" w:color="4F81BD" w:themeColor="accent1"/>
              <w:bottom w:val="single" w:sz="4" w:space="0" w:color="auto"/>
              <w:right w:val="single" w:sz="4" w:space="0" w:color="auto"/>
            </w:tcBorders>
            <w:hideMark/>
          </w:tcPr>
          <w:p>
            <w:pPr>
              <w:spacing w:before="120" w:after="240"/>
              <w:rPr>
                <w:noProof/>
              </w:rPr>
            </w:pPr>
            <w:r>
              <w:rPr>
                <w:noProof/>
              </w:rPr>
              <w:t>Nr.</w:t>
            </w:r>
          </w:p>
        </w:tc>
        <w:tc>
          <w:tcPr>
            <w:tcW w:w="7243" w:type="dxa"/>
            <w:tcBorders>
              <w:top w:val="single" w:sz="8" w:space="0" w:color="4F81BD" w:themeColor="accent1"/>
              <w:left w:val="single" w:sz="4" w:space="0" w:color="auto"/>
              <w:bottom w:val="single" w:sz="4" w:space="0" w:color="auto"/>
              <w:right w:val="single" w:sz="4" w:space="0" w:color="auto"/>
            </w:tcBorders>
            <w:hideMark/>
          </w:tcPr>
          <w:p>
            <w:pPr>
              <w:spacing w:before="120" w:after="240"/>
              <w:cnfStyle w:val="100000000000" w:firstRow="1" w:lastRow="0" w:firstColumn="0" w:lastColumn="0" w:oddVBand="0" w:evenVBand="0" w:oddHBand="0" w:evenHBand="0" w:firstRowFirstColumn="0" w:firstRowLastColumn="0" w:lastRowFirstColumn="0" w:lastRowLastColumn="0"/>
              <w:rPr>
                <w:noProof/>
              </w:rPr>
            </w:pPr>
            <w:r>
              <w:rPr>
                <w:noProof/>
              </w:rPr>
              <w:t>Rīcība</w:t>
            </w:r>
          </w:p>
        </w:tc>
        <w:tc>
          <w:tcPr>
            <w:tcW w:w="1316" w:type="dxa"/>
            <w:tcBorders>
              <w:top w:val="single" w:sz="8" w:space="0" w:color="4F81BD" w:themeColor="accent1"/>
              <w:left w:val="single" w:sz="4" w:space="0" w:color="auto"/>
              <w:bottom w:val="single" w:sz="4" w:space="0" w:color="auto"/>
              <w:right w:val="single" w:sz="8" w:space="0" w:color="4F81BD" w:themeColor="accent1"/>
            </w:tcBorders>
            <w:hideMark/>
          </w:tcPr>
          <w:p>
            <w:pPr>
              <w:spacing w:before="120" w:after="240"/>
              <w:jc w:val="center"/>
              <w:cnfStyle w:val="100000000000" w:firstRow="1" w:lastRow="0" w:firstColumn="0" w:lastColumn="0" w:oddVBand="0" w:evenVBand="0" w:oddHBand="0" w:evenHBand="0" w:firstRowFirstColumn="0" w:firstRowLastColumn="0" w:lastRowFirstColumn="0" w:lastRowLastColumn="0"/>
              <w:rPr>
                <w:noProof/>
              </w:rPr>
            </w:pPr>
            <w:r>
              <w:rPr>
                <w:noProof/>
              </w:rPr>
              <w:t>Termiņš</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bottom w:val="single" w:sz="4" w:space="0" w:color="auto"/>
              <w:right w:val="single" w:sz="4" w:space="0" w:color="auto"/>
            </w:tcBorders>
            <w:hideMark/>
          </w:tcPr>
          <w:p>
            <w:pPr>
              <w:spacing w:before="120" w:after="120"/>
              <w:rPr>
                <w:b w:val="0"/>
                <w:noProof/>
              </w:rPr>
            </w:pPr>
            <w:r>
              <w:rPr>
                <w:b w:val="0"/>
                <w:noProof/>
              </w:rPr>
              <w:t>1</w:t>
            </w:r>
          </w:p>
        </w:tc>
        <w:tc>
          <w:tcPr>
            <w:tcW w:w="7243" w:type="dxa"/>
            <w:tcBorders>
              <w:top w:val="single" w:sz="4" w:space="0" w:color="auto"/>
              <w:left w:val="single" w:sz="4" w:space="0" w:color="auto"/>
              <w:bottom w:val="single" w:sz="4" w:space="0" w:color="auto"/>
              <w:right w:val="single" w:sz="4" w:space="0" w:color="auto"/>
            </w:tcBorders>
            <w:hideMark/>
          </w:tcPr>
          <w:p>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Izmantojot salīdzinošo izvērtēšanu, kopīgas noteikumu izpildes panākšanas darbības, ar atbilstības nodrošināšanu saistītus iestāžu apmeklējumus un </w:t>
            </w:r>
            <w:r>
              <w:rPr>
                <w:i/>
                <w:noProof/>
              </w:rPr>
              <w:t>TAIEX-EIR Peer2Peer</w:t>
            </w:r>
            <w:r>
              <w:rPr>
                <w:noProof/>
              </w:rPr>
              <w:t xml:space="preserve"> rīku</w:t>
            </w:r>
            <w:r>
              <w:rPr>
                <w:rStyle w:val="FootnoteReference"/>
                <w:noProof/>
              </w:rPr>
              <w:footnoteReference w:id="23"/>
            </w:r>
            <w:r>
              <w:rPr>
                <w:noProof/>
              </w:rPr>
              <w:t xml:space="preserve">, </w:t>
            </w:r>
            <w:r>
              <w:rPr>
                <w:b/>
                <w:noProof/>
              </w:rPr>
              <w:t>uzlabot vidiskās atbilstības nodrošināšanas lietpratību visā ES</w:t>
            </w:r>
          </w:p>
        </w:tc>
        <w:tc>
          <w:tcPr>
            <w:tcW w:w="1316" w:type="dxa"/>
            <w:tcBorders>
              <w:top w:val="single" w:sz="4" w:space="0" w:color="auto"/>
              <w:left w:val="single" w:sz="4" w:space="0" w:color="auto"/>
              <w:bottom w:val="single" w:sz="4" w:space="0" w:color="auto"/>
            </w:tcBorders>
            <w:hideMark/>
          </w:tcPr>
          <w:p>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2019</w:t>
            </w:r>
          </w:p>
        </w:tc>
      </w:tr>
      <w:t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left w:val="single" w:sz="8" w:space="0" w:color="4F81BD" w:themeColor="accent1"/>
              <w:bottom w:val="single" w:sz="4" w:space="0" w:color="auto"/>
              <w:right w:val="single" w:sz="4" w:space="0" w:color="auto"/>
            </w:tcBorders>
            <w:hideMark/>
          </w:tcPr>
          <w:p>
            <w:pPr>
              <w:spacing w:before="120" w:after="120"/>
              <w:rPr>
                <w:b w:val="0"/>
                <w:noProof/>
              </w:rPr>
            </w:pPr>
            <w:r>
              <w:rPr>
                <w:b w:val="0"/>
                <w:noProof/>
              </w:rPr>
              <w:t>2</w:t>
            </w:r>
          </w:p>
        </w:tc>
        <w:tc>
          <w:tcPr>
            <w:tcW w:w="7243" w:type="dxa"/>
            <w:tcBorders>
              <w:top w:val="single" w:sz="4" w:space="0" w:color="auto"/>
              <w:left w:val="single" w:sz="4" w:space="0" w:color="auto"/>
              <w:bottom w:val="single" w:sz="4" w:space="0" w:color="auto"/>
              <w:right w:val="single" w:sz="4" w:space="0" w:color="auto"/>
            </w:tcBorders>
            <w:hideMark/>
          </w:tcPr>
          <w:p>
            <w:pPr>
              <w:spacing w:before="120" w:after="120"/>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Apzināt vides inspektoru </w:t>
            </w:r>
            <w:r>
              <w:rPr>
                <w:b/>
                <w:noProof/>
              </w:rPr>
              <w:t>profesionālo prasmju un apmācības vajadzības</w:t>
            </w:r>
            <w:r>
              <w:rPr>
                <w:noProof/>
              </w:rPr>
              <w:t xml:space="preserve"> un uzlabot sadarbību ar praktiķiem un citām struktūrām, kuras valsts un Eiropas līmenī veicina izcilību un gādā par atbilstības nodrošināšanas speciālistu apmācību</w:t>
            </w:r>
          </w:p>
        </w:tc>
        <w:tc>
          <w:tcPr>
            <w:tcW w:w="1316" w:type="dxa"/>
            <w:tcBorders>
              <w:top w:val="single" w:sz="4" w:space="0" w:color="auto"/>
              <w:left w:val="single" w:sz="4" w:space="0" w:color="auto"/>
              <w:bottom w:val="single" w:sz="4" w:space="0" w:color="auto"/>
              <w:right w:val="single" w:sz="8" w:space="0" w:color="4F81BD" w:themeColor="accent1"/>
            </w:tcBorders>
            <w:hideMark/>
          </w:tcPr>
          <w:p>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2018</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bottom w:val="single" w:sz="4" w:space="0" w:color="auto"/>
              <w:right w:val="single" w:sz="4" w:space="0" w:color="auto"/>
            </w:tcBorders>
            <w:hideMark/>
          </w:tcPr>
          <w:p>
            <w:pPr>
              <w:spacing w:before="120" w:after="120"/>
              <w:rPr>
                <w:b w:val="0"/>
                <w:noProof/>
              </w:rPr>
            </w:pPr>
            <w:r>
              <w:rPr>
                <w:b w:val="0"/>
                <w:noProof/>
              </w:rPr>
              <w:t>3</w:t>
            </w:r>
          </w:p>
        </w:tc>
        <w:tc>
          <w:tcPr>
            <w:tcW w:w="7243" w:type="dxa"/>
            <w:tcBorders>
              <w:top w:val="single" w:sz="4" w:space="0" w:color="auto"/>
              <w:left w:val="single" w:sz="4" w:space="0" w:color="auto"/>
              <w:bottom w:val="single" w:sz="4" w:space="0" w:color="auto"/>
              <w:right w:val="single" w:sz="4" w:space="0" w:color="auto"/>
            </w:tcBorders>
            <w:hideMark/>
          </w:tcPr>
          <w:p>
            <w:pPr>
              <w:spacing w:before="120" w:after="120"/>
              <w:jc w:val="both"/>
              <w:cnfStyle w:val="000000100000" w:firstRow="0" w:lastRow="0" w:firstColumn="0" w:lastColumn="0" w:oddVBand="0" w:evenVBand="0" w:oddHBand="1" w:evenHBand="0" w:firstRowFirstColumn="0" w:firstRowLastColumn="0" w:lastRowFirstColumn="0" w:lastRowLastColumn="0"/>
              <w:rPr>
                <w:noProof/>
              </w:rPr>
            </w:pPr>
            <w:r>
              <w:rPr>
                <w:b/>
                <w:noProof/>
              </w:rPr>
              <w:t>Sekmēt labas prakses</w:t>
            </w:r>
            <w:r>
              <w:rPr>
                <w:noProof/>
              </w:rPr>
              <w:t xml:space="preserve">, pamatinformācijas un references materiālu </w:t>
            </w:r>
            <w:r>
              <w:rPr>
                <w:b/>
                <w:noProof/>
              </w:rPr>
              <w:t>kopīgošanu</w:t>
            </w:r>
            <w:r>
              <w:rPr>
                <w:noProof/>
              </w:rPr>
              <w:t>, veicināt vidiskās atbilstības nodrošināšanas finansējuma iespēju radīšanu un izpētīt plašāka vides politikas īstenošanas portāla izveidošanas iespēju</w:t>
            </w:r>
          </w:p>
        </w:tc>
        <w:tc>
          <w:tcPr>
            <w:tcW w:w="1316" w:type="dxa"/>
            <w:tcBorders>
              <w:top w:val="single" w:sz="4" w:space="0" w:color="auto"/>
              <w:left w:val="single" w:sz="4" w:space="0" w:color="auto"/>
              <w:bottom w:val="single" w:sz="4" w:space="0" w:color="auto"/>
            </w:tcBorders>
            <w:hideMark/>
          </w:tcPr>
          <w:p>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2019</w:t>
            </w:r>
          </w:p>
        </w:tc>
      </w:tr>
      <w:t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left w:val="single" w:sz="8" w:space="0" w:color="4F81BD" w:themeColor="accent1"/>
              <w:bottom w:val="single" w:sz="4" w:space="0" w:color="auto"/>
              <w:right w:val="single" w:sz="4" w:space="0" w:color="auto"/>
            </w:tcBorders>
            <w:hideMark/>
          </w:tcPr>
          <w:p>
            <w:pPr>
              <w:spacing w:before="120" w:after="120"/>
              <w:rPr>
                <w:b w:val="0"/>
                <w:noProof/>
              </w:rPr>
            </w:pPr>
            <w:r>
              <w:rPr>
                <w:b w:val="0"/>
                <w:noProof/>
              </w:rPr>
              <w:t>4</w:t>
            </w:r>
          </w:p>
        </w:tc>
        <w:tc>
          <w:tcPr>
            <w:tcW w:w="7243" w:type="dxa"/>
            <w:tcBorders>
              <w:top w:val="single" w:sz="4" w:space="0" w:color="auto"/>
              <w:left w:val="single" w:sz="4" w:space="0" w:color="auto"/>
              <w:bottom w:val="single" w:sz="4" w:space="0" w:color="auto"/>
              <w:right w:val="single" w:sz="4" w:space="0" w:color="auto"/>
            </w:tcBorders>
            <w:hideMark/>
          </w:tcPr>
          <w:p>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Sagatavot </w:t>
            </w:r>
            <w:r>
              <w:rPr>
                <w:b/>
                <w:noProof/>
              </w:rPr>
              <w:t>labas prakses vadlīnijas par stratēģijām, kā apkarojami pret vidi izdarīti noziegumi un citi līdzīgi pārkāpumi</w:t>
            </w:r>
            <w:r>
              <w:rPr>
                <w:noProof/>
              </w:rPr>
              <w:t>, un īpašu uzmanību tajās veltīt atkritumiem un noziegumiem pret dzīvo dabu</w:t>
            </w:r>
          </w:p>
        </w:tc>
        <w:tc>
          <w:tcPr>
            <w:tcW w:w="1316" w:type="dxa"/>
            <w:tcBorders>
              <w:top w:val="single" w:sz="4" w:space="0" w:color="auto"/>
              <w:left w:val="single" w:sz="4" w:space="0" w:color="auto"/>
              <w:bottom w:val="single" w:sz="4" w:space="0" w:color="auto"/>
              <w:right w:val="single" w:sz="8" w:space="0" w:color="4F81BD" w:themeColor="accent1"/>
            </w:tcBorders>
            <w:hideMark/>
          </w:tcPr>
          <w:p>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2019</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bottom w:val="single" w:sz="4" w:space="0" w:color="auto"/>
              <w:right w:val="single" w:sz="4" w:space="0" w:color="auto"/>
            </w:tcBorders>
            <w:hideMark/>
          </w:tcPr>
          <w:p>
            <w:pPr>
              <w:spacing w:before="120" w:after="120"/>
              <w:rPr>
                <w:b w:val="0"/>
                <w:noProof/>
              </w:rPr>
            </w:pPr>
            <w:r>
              <w:rPr>
                <w:b w:val="0"/>
                <w:noProof/>
              </w:rPr>
              <w:t>5</w:t>
            </w:r>
          </w:p>
        </w:tc>
        <w:tc>
          <w:tcPr>
            <w:tcW w:w="7243" w:type="dxa"/>
            <w:tcBorders>
              <w:top w:val="single" w:sz="4" w:space="0" w:color="auto"/>
              <w:left w:val="single" w:sz="4" w:space="0" w:color="auto"/>
              <w:bottom w:val="single" w:sz="4" w:space="0" w:color="auto"/>
              <w:right w:val="single" w:sz="4" w:space="0" w:color="auto"/>
            </w:tcBorders>
            <w:hideMark/>
          </w:tcPr>
          <w:p>
            <w:pPr>
              <w:spacing w:before="120" w:after="120"/>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Sagatavot </w:t>
            </w:r>
            <w:r>
              <w:rPr>
                <w:b/>
                <w:noProof/>
              </w:rPr>
              <w:t>vadlīnijas par labu vidiskās atbilstības nodrošināšanas praksi lauku apvidos</w:t>
            </w:r>
            <w:r>
              <w:rPr>
                <w:noProof/>
              </w:rPr>
              <w:t xml:space="preserve"> (attiecībā uz zemi un ūdeni) </w:t>
            </w:r>
          </w:p>
        </w:tc>
        <w:tc>
          <w:tcPr>
            <w:tcW w:w="1316" w:type="dxa"/>
            <w:tcBorders>
              <w:top w:val="single" w:sz="4" w:space="0" w:color="auto"/>
              <w:left w:val="single" w:sz="4" w:space="0" w:color="auto"/>
              <w:bottom w:val="single" w:sz="4" w:space="0" w:color="auto"/>
            </w:tcBorders>
            <w:hideMark/>
          </w:tcPr>
          <w:p>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2019</w:t>
            </w:r>
          </w:p>
        </w:tc>
      </w:tr>
      <w:t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bottom w:val="single" w:sz="4" w:space="0" w:color="auto"/>
              <w:right w:val="single" w:sz="4" w:space="0" w:color="auto"/>
            </w:tcBorders>
            <w:hideMark/>
          </w:tcPr>
          <w:p>
            <w:pPr>
              <w:spacing w:before="120" w:after="120"/>
              <w:rPr>
                <w:b w:val="0"/>
                <w:noProof/>
              </w:rPr>
            </w:pPr>
            <w:r>
              <w:rPr>
                <w:b w:val="0"/>
                <w:noProof/>
              </w:rPr>
              <w:t>6</w:t>
            </w:r>
          </w:p>
        </w:tc>
        <w:tc>
          <w:tcPr>
            <w:tcW w:w="7243" w:type="dxa"/>
            <w:tcBorders>
              <w:top w:val="single" w:sz="4" w:space="0" w:color="auto"/>
              <w:left w:val="single" w:sz="4" w:space="0" w:color="auto"/>
              <w:bottom w:val="single" w:sz="4" w:space="0" w:color="auto"/>
              <w:right w:val="single" w:sz="4" w:space="0" w:color="auto"/>
            </w:tcBorders>
            <w:hideMark/>
          </w:tcPr>
          <w:p>
            <w:pPr>
              <w:spacing w:before="120" w:after="120"/>
              <w:cnfStyle w:val="000000000000" w:firstRow="0" w:lastRow="0" w:firstColumn="0" w:lastColumn="0" w:oddVBand="0" w:evenVBand="0" w:oddHBand="0" w:evenHBand="0" w:firstRowFirstColumn="0" w:firstRowLastColumn="0" w:lastRowFirstColumn="0" w:lastRowLastColumn="0"/>
              <w:rPr>
                <w:noProof/>
              </w:rPr>
            </w:pPr>
            <w:r>
              <w:rPr>
                <w:noProof/>
              </w:rPr>
              <w:t xml:space="preserve">Sagatavot </w:t>
            </w:r>
            <w:r>
              <w:rPr>
                <w:b/>
                <w:noProof/>
              </w:rPr>
              <w:t>metodiskus norādījumus par ieguves rūpniecības atkritumu apsaimniekošanas objektu inspicēšanu</w:t>
            </w:r>
            <w:r>
              <w:rPr>
                <w:noProof/>
              </w:rPr>
              <w:t xml:space="preserve"> </w:t>
            </w:r>
          </w:p>
        </w:tc>
        <w:tc>
          <w:tcPr>
            <w:tcW w:w="1316" w:type="dxa"/>
            <w:tcBorders>
              <w:top w:val="single" w:sz="4" w:space="0" w:color="auto"/>
              <w:left w:val="single" w:sz="4" w:space="0" w:color="auto"/>
              <w:bottom w:val="single" w:sz="4" w:space="0" w:color="auto"/>
            </w:tcBorders>
            <w:hideMark/>
          </w:tcPr>
          <w:p>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2018</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bottom w:val="single" w:sz="4" w:space="0" w:color="auto"/>
              <w:right w:val="single" w:sz="4" w:space="0" w:color="auto"/>
            </w:tcBorders>
            <w:hideMark/>
          </w:tcPr>
          <w:p>
            <w:pPr>
              <w:spacing w:before="120" w:after="120"/>
              <w:rPr>
                <w:b w:val="0"/>
                <w:noProof/>
              </w:rPr>
            </w:pPr>
            <w:r>
              <w:rPr>
                <w:b w:val="0"/>
                <w:noProof/>
              </w:rPr>
              <w:t>7</w:t>
            </w:r>
          </w:p>
        </w:tc>
        <w:tc>
          <w:tcPr>
            <w:tcW w:w="7243" w:type="dxa"/>
            <w:tcBorders>
              <w:top w:val="single" w:sz="4" w:space="0" w:color="auto"/>
              <w:left w:val="single" w:sz="4" w:space="0" w:color="auto"/>
              <w:bottom w:val="single" w:sz="4" w:space="0" w:color="auto"/>
              <w:right w:val="single" w:sz="4" w:space="0" w:color="auto"/>
            </w:tcBorders>
            <w:hideMark/>
          </w:tcPr>
          <w:p>
            <w:pPr>
              <w:jc w:val="both"/>
              <w:cnfStyle w:val="000000100000" w:firstRow="0" w:lastRow="0" w:firstColumn="0" w:lastColumn="0" w:oddVBand="0" w:evenVBand="0" w:oddHBand="1" w:evenHBand="0" w:firstRowFirstColumn="0" w:firstRowLastColumn="0" w:lastRowFirstColumn="0" w:lastRowLastColumn="0"/>
              <w:rPr>
                <w:rFonts w:eastAsia="Calibri"/>
                <w:bCs/>
                <w:noProof/>
              </w:rPr>
            </w:pPr>
            <w:r>
              <w:rPr>
                <w:noProof/>
              </w:rPr>
              <w:t xml:space="preserve">Lai kopīgotu informāciju par labu praksi attiecībā uz efektīviem sūdzību izskatīšanas mehānismiem, kurus valstis izveidojušas ES vides tiesību aktu sakarībā, sagatavot </w:t>
            </w:r>
            <w:r>
              <w:rPr>
                <w:b/>
                <w:noProof/>
              </w:rPr>
              <w:t>labas prakses dokumentu par to, kā dalībvalstu līmenī notiek vidisko sūdzību izskatīšana un iedzīvotāju iesaistīšanās</w:t>
            </w:r>
            <w:r>
              <w:rPr>
                <w:noProof/>
              </w:rPr>
              <w:t xml:space="preserve">, tostarp ar pilsoniskās zinātnes starpniecību un kopdarbā ar dalībvalstīm </w:t>
            </w:r>
          </w:p>
        </w:tc>
        <w:tc>
          <w:tcPr>
            <w:tcW w:w="1316" w:type="dxa"/>
            <w:tcBorders>
              <w:top w:val="single" w:sz="4" w:space="0" w:color="auto"/>
              <w:left w:val="single" w:sz="4" w:space="0" w:color="auto"/>
              <w:bottom w:val="single" w:sz="4" w:space="0" w:color="auto"/>
            </w:tcBorders>
            <w:hideMark/>
          </w:tcPr>
          <w:p>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2019</w:t>
            </w:r>
          </w:p>
        </w:tc>
      </w:tr>
      <w:tr>
        <w:tc>
          <w:tcPr>
            <w:cnfStyle w:val="001000000000" w:firstRow="0" w:lastRow="0" w:firstColumn="1" w:lastColumn="0" w:oddVBand="0" w:evenVBand="0" w:oddHBand="0" w:evenHBand="0" w:firstRowFirstColumn="0" w:firstRowLastColumn="0" w:lastRowFirstColumn="0" w:lastRowLastColumn="0"/>
            <w:tcW w:w="662" w:type="dxa"/>
            <w:tcBorders>
              <w:top w:val="single" w:sz="4" w:space="0" w:color="auto"/>
              <w:left w:val="single" w:sz="8" w:space="0" w:color="4F81BD" w:themeColor="accent1"/>
              <w:bottom w:val="single" w:sz="4" w:space="0" w:color="auto"/>
              <w:right w:val="single" w:sz="4" w:space="0" w:color="auto"/>
            </w:tcBorders>
            <w:hideMark/>
          </w:tcPr>
          <w:p>
            <w:pPr>
              <w:spacing w:before="120" w:after="120"/>
              <w:rPr>
                <w:b w:val="0"/>
                <w:noProof/>
              </w:rPr>
            </w:pPr>
            <w:r>
              <w:rPr>
                <w:b w:val="0"/>
                <w:noProof/>
              </w:rPr>
              <w:t>8</w:t>
            </w:r>
          </w:p>
        </w:tc>
        <w:tc>
          <w:tcPr>
            <w:tcW w:w="7243" w:type="dxa"/>
            <w:tcBorders>
              <w:top w:val="single" w:sz="4" w:space="0" w:color="auto"/>
              <w:left w:val="single" w:sz="4" w:space="0" w:color="auto"/>
              <w:bottom w:val="single" w:sz="4" w:space="0" w:color="auto"/>
              <w:right w:val="single" w:sz="4" w:space="0" w:color="auto"/>
            </w:tcBorders>
            <w:hideMark/>
          </w:tcPr>
          <w:p>
            <w:pPr>
              <w:spacing w:before="120" w:after="120"/>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Izkopt </w:t>
            </w:r>
            <w:r>
              <w:rPr>
                <w:b/>
                <w:noProof/>
              </w:rPr>
              <w:t>ģeotelpisko izlūkdatu izmantošanas spēju un lietot tos</w:t>
            </w:r>
            <w:r>
              <w:rPr>
                <w:noProof/>
              </w:rPr>
              <w:t xml:space="preserve"> atbilstības nodrošināšanai, kā arī sekmēt labas prakses projektus (piemēram, tādus, kuros izmanto </w:t>
            </w:r>
            <w:r>
              <w:rPr>
                <w:i/>
                <w:noProof/>
              </w:rPr>
              <w:t>Copernicus</w:t>
            </w:r>
            <w:r>
              <w:rPr>
                <w:noProof/>
              </w:rPr>
              <w:t xml:space="preserve"> datus) </w:t>
            </w:r>
          </w:p>
        </w:tc>
        <w:tc>
          <w:tcPr>
            <w:tcW w:w="1316" w:type="dxa"/>
            <w:tcBorders>
              <w:top w:val="single" w:sz="4" w:space="0" w:color="auto"/>
              <w:left w:val="single" w:sz="4" w:space="0" w:color="auto"/>
              <w:bottom w:val="single" w:sz="4" w:space="0" w:color="auto"/>
              <w:right w:val="single" w:sz="8" w:space="0" w:color="4F81BD" w:themeColor="accent1"/>
            </w:tcBorders>
            <w:hideMark/>
          </w:tcPr>
          <w:p>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2019</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Borders>
              <w:right w:val="single" w:sz="4" w:space="0" w:color="4F81BD" w:themeColor="accent1"/>
            </w:tcBorders>
            <w:hideMark/>
          </w:tcPr>
          <w:p>
            <w:pPr>
              <w:spacing w:before="120" w:after="120"/>
              <w:rPr>
                <w:b w:val="0"/>
                <w:noProof/>
              </w:rPr>
            </w:pPr>
            <w:r>
              <w:rPr>
                <w:b w:val="0"/>
                <w:noProof/>
              </w:rPr>
              <w:t>9</w:t>
            </w:r>
          </w:p>
        </w:tc>
        <w:tc>
          <w:tcPr>
            <w:tcW w:w="7243" w:type="dxa"/>
            <w:tcBorders>
              <w:left w:val="single" w:sz="4" w:space="0" w:color="auto"/>
              <w:right w:val="single" w:sz="4" w:space="0" w:color="auto"/>
            </w:tcBorders>
            <w:hideMark/>
          </w:tcPr>
          <w:p>
            <w:pPr>
              <w:spacing w:before="120" w:after="120"/>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Novērtēt dalībvalstu izveidotās vidiskās atbilstības nodrošināšanas sistēmas kā daļu no plašāka pārvaldības </w:t>
            </w:r>
            <w:r>
              <w:rPr>
                <w:b/>
                <w:noProof/>
              </w:rPr>
              <w:t>novērtēšanas satvara</w:t>
            </w:r>
            <w:r>
              <w:rPr>
                <w:noProof/>
              </w:rPr>
              <w:t xml:space="preserve"> un regulāri sniegt par tām atsauksmes, tostarp izmantojot vides politikas īstenošanas pārskatu </w:t>
            </w:r>
          </w:p>
        </w:tc>
        <w:tc>
          <w:tcPr>
            <w:tcW w:w="1316" w:type="dxa"/>
            <w:tcBorders>
              <w:left w:val="single" w:sz="4" w:space="0" w:color="auto"/>
            </w:tcBorders>
            <w:hideMark/>
          </w:tcPr>
          <w:p>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2019</w:t>
            </w:r>
          </w:p>
        </w:tc>
      </w:tr>
    </w:tbl>
    <w:p>
      <w:pPr>
        <w:pStyle w:val="Heading1"/>
        <w:rPr>
          <w:noProof/>
        </w:rPr>
      </w:pPr>
      <w:r>
        <w:rPr>
          <w:noProof/>
        </w:rPr>
        <w:t xml:space="preserve">Sadarbības stiprināšana </w:t>
      </w:r>
    </w:p>
    <w:p>
      <w:pPr>
        <w:jc w:val="both"/>
        <w:rPr>
          <w:rFonts w:ascii="Times New Roman" w:eastAsia="Calibri" w:hAnsi="Times New Roman" w:cs="Times New Roman"/>
          <w:bCs/>
          <w:noProof/>
          <w:sz w:val="24"/>
          <w:szCs w:val="24"/>
        </w:rPr>
      </w:pPr>
      <w:r>
        <w:rPr>
          <w:rFonts w:ascii="Times New Roman" w:hAnsi="Times New Roman"/>
          <w:noProof/>
          <w:sz w:val="24"/>
        </w:rPr>
        <w:t>No vienas puses, Komisijai kā Līgumu piemērošanas uzraudzītājai ir svarīga loma pilnīgas un pareizas ES vides tiesību aktu piemērošanas nodrošināšanā, kuru kontrolē Eiropas Savienības Tiesa. No otras puses, primārā atbildība par ES tiesību aktu pareizu īstenošanu gulstas uz dalībvalstīm. Rīcības plāns palīdzēs risināt iepriekš aprakstītos problēmjautājumus, ar kuriem dalībvalstis saskaras.</w:t>
      </w:r>
    </w:p>
    <w:p>
      <w:pPr>
        <w:jc w:val="both"/>
        <w:rPr>
          <w:rFonts w:ascii="Times New Roman" w:eastAsia="Calibri" w:hAnsi="Times New Roman" w:cs="Times New Roman"/>
          <w:bCs/>
          <w:noProof/>
          <w:sz w:val="24"/>
          <w:szCs w:val="24"/>
        </w:rPr>
      </w:pPr>
      <w:r>
        <w:rPr>
          <w:rFonts w:ascii="Times New Roman" w:hAnsi="Times New Roman"/>
          <w:noProof/>
          <w:sz w:val="24"/>
        </w:rPr>
        <w:t>Lai šis rīcības plāns nestu vēlamos rezultātus, dalībvalstis tiek aicinātas:</w:t>
      </w:r>
    </w:p>
    <w:p>
      <w:pPr>
        <w:pStyle w:val="ListBullet"/>
        <w:jc w:val="both"/>
        <w:rPr>
          <w:noProof/>
          <w:sz w:val="24"/>
        </w:rPr>
      </w:pPr>
      <w:r>
        <w:rPr>
          <w:noProof/>
          <w:sz w:val="24"/>
        </w:rPr>
        <w:t>sekmēt savu iestāžu līdzdalību ES līmeņa sadarbības tīklos;</w:t>
      </w:r>
    </w:p>
    <w:p>
      <w:pPr>
        <w:pStyle w:val="ListBullet"/>
        <w:jc w:val="both"/>
        <w:rPr>
          <w:noProof/>
          <w:sz w:val="24"/>
        </w:rPr>
      </w:pPr>
      <w:r>
        <w:rPr>
          <w:noProof/>
          <w:sz w:val="24"/>
        </w:rPr>
        <w:t>nodrošināt, lai labā prakse, jo īpaši tā, kurā izmanto riska novērtēšanas un pārredzamības pieeju, tiktu ieviesta un lai rīki, kas izstrādāti saskaņā ar rīcības plānu, tiktu izmantoti;</w:t>
      </w:r>
    </w:p>
    <w:p>
      <w:pPr>
        <w:pStyle w:val="ListBullet"/>
        <w:jc w:val="both"/>
        <w:rPr>
          <w:noProof/>
          <w:sz w:val="24"/>
        </w:rPr>
      </w:pPr>
      <w:r>
        <w:rPr>
          <w:noProof/>
          <w:sz w:val="24"/>
        </w:rPr>
        <w:t>sekmēt apmācību un profesionālo prasmju izkopšanu;</w:t>
      </w:r>
    </w:p>
    <w:p>
      <w:pPr>
        <w:pStyle w:val="ListBullet"/>
        <w:jc w:val="both"/>
        <w:rPr>
          <w:noProof/>
          <w:sz w:val="24"/>
        </w:rPr>
      </w:pPr>
      <w:r>
        <w:rPr>
          <w:noProof/>
          <w:sz w:val="24"/>
        </w:rPr>
        <w:t>nodrošināt pienācīga līmeņa sadarbību un koordināciju starp iestādēm, kuras izpilda atbilstības nodrošināšanas funkcijas;</w:t>
      </w:r>
    </w:p>
    <w:p>
      <w:pPr>
        <w:pStyle w:val="ListBullet"/>
        <w:jc w:val="both"/>
        <w:rPr>
          <w:noProof/>
          <w:sz w:val="24"/>
        </w:rPr>
      </w:pPr>
      <w:r>
        <w:rPr>
          <w:noProof/>
          <w:sz w:val="24"/>
        </w:rPr>
        <w:t>nodrošināt, lai visā to teritorijā atbilstības nodrošināšanai būtu iedalīti atbilstīgi cilvēkresursi un naudas līdzekļi.</w:t>
      </w:r>
    </w:p>
    <w:p>
      <w:pPr>
        <w:jc w:val="both"/>
        <w:rPr>
          <w:rFonts w:ascii="Times New Roman" w:eastAsia="Calibri" w:hAnsi="Times New Roman" w:cs="Times New Roman"/>
          <w:bCs/>
          <w:noProof/>
          <w:sz w:val="24"/>
          <w:szCs w:val="24"/>
        </w:rPr>
      </w:pPr>
      <w:r>
        <w:rPr>
          <w:rFonts w:ascii="Times New Roman" w:hAnsi="Times New Roman"/>
          <w:noProof/>
          <w:sz w:val="24"/>
        </w:rPr>
        <w:t>Lai īstenotu rīcības plāna vadību un veicinātu viedokļu apmaiņu ar dalībvalstu augstākā līmeņa vadītājiem par to, kā uzlabot ar atbilstību un pārvaldību saistītos īstenošanas aspektus, Komisija turklāt veido ekspertu grupu – Vidiskās atbilstības un pārvaldības forumu</w:t>
      </w:r>
      <w:r>
        <w:rPr>
          <w:rStyle w:val="FootnoteReference"/>
          <w:rFonts w:ascii="Times New Roman" w:hAnsi="Times New Roman"/>
          <w:noProof/>
          <w:sz w:val="24"/>
        </w:rPr>
        <w:footnoteReference w:id="24"/>
      </w:r>
      <w:r>
        <w:rPr>
          <w:rFonts w:ascii="Times New Roman" w:hAnsi="Times New Roman"/>
          <w:noProof/>
          <w:sz w:val="24"/>
        </w:rPr>
        <w:t xml:space="preserve">. Konkrēti šajā forumā darbosies dalībvalstu un ES līmeņa praktiķu sadarbības tīklu pārstāvji. Piedalīties aicināti ir pārstāvji no Padomes, Parlamenta, Reģionu komitejas un Eiropas Ekonomikas un sociālo lietu komitejas. Komisija centīsies iesaistīt arī citas ieinteresētās personas, tostarp NVO un uzņēmēju organizācijas, un Vidiskās atbilstības un pārvaldības foruma pirmajā sanāksmē apspriedīs vislabākos veidus, kā tas būtu  izdarāms. </w:t>
      </w:r>
    </w:p>
    <w:p>
      <w:pPr>
        <w:jc w:val="both"/>
        <w:rPr>
          <w:rFonts w:ascii="Times New Roman" w:eastAsia="Calibri" w:hAnsi="Times New Roman" w:cs="Times New Roman"/>
          <w:bCs/>
          <w:noProof/>
          <w:sz w:val="24"/>
          <w:szCs w:val="24"/>
        </w:rPr>
      </w:pPr>
      <w:r>
        <w:rPr>
          <w:rFonts w:ascii="Times New Roman" w:hAnsi="Times New Roman"/>
          <w:noProof/>
          <w:sz w:val="24"/>
        </w:rPr>
        <w:t xml:space="preserve">Rīcību īstenošana būs sadarbīgs process, kurā iesaistīsies ne tikai Vidiskās atbilstības un pārvaldības forums, bet arī praktiķu sadarbības tīkli. Lai veicinātu šo tīklu savstarpējo sadarbību, tiem tiks piedāvāta palīdzība. Komisija turpinās tos atbalstīt arī plašākā nozīmē. </w:t>
      </w:r>
    </w:p>
    <w:p>
      <w:pPr>
        <w:jc w:val="both"/>
        <w:rPr>
          <w:rFonts w:ascii="Times New Roman" w:eastAsia="Calibri" w:hAnsi="Times New Roman" w:cs="Times New Roman"/>
          <w:bCs/>
          <w:noProof/>
          <w:sz w:val="24"/>
          <w:szCs w:val="24"/>
        </w:rPr>
      </w:pPr>
      <w:r>
        <w:rPr>
          <w:rFonts w:ascii="Times New Roman" w:hAnsi="Times New Roman"/>
          <w:noProof/>
          <w:sz w:val="24"/>
        </w:rPr>
        <w:t xml:space="preserve">Taustāmus veidus, kādos atbalstīt dažādas atbilstības nodrošināšanas un pārvaldības darbības, spēj piedāvāt arī pašreizējie ES finansēšanas instrumenti, piemēram, </w:t>
      </w:r>
      <w:r>
        <w:rPr>
          <w:rFonts w:ascii="Times New Roman" w:hAnsi="Times New Roman"/>
          <w:i/>
          <w:noProof/>
          <w:sz w:val="24"/>
        </w:rPr>
        <w:t>LIFE</w:t>
      </w:r>
      <w:r>
        <w:rPr>
          <w:rFonts w:ascii="Times New Roman" w:hAnsi="Times New Roman"/>
          <w:noProof/>
          <w:vertAlign w:val="superscript"/>
        </w:rPr>
        <w:footnoteReference w:id="25"/>
      </w:r>
      <w:r>
        <w:rPr>
          <w:rFonts w:ascii="Times New Roman" w:hAnsi="Times New Roman"/>
          <w:noProof/>
          <w:sz w:val="24"/>
        </w:rPr>
        <w:t xml:space="preserve"> un Iekšējās drošības fonds</w:t>
      </w:r>
      <w:r>
        <w:rPr>
          <w:rFonts w:ascii="Times New Roman" w:hAnsi="Times New Roman"/>
          <w:noProof/>
          <w:vertAlign w:val="superscript"/>
        </w:rPr>
        <w:footnoteReference w:id="26"/>
      </w:r>
      <w:r>
        <w:rPr>
          <w:rFonts w:ascii="Times New Roman" w:hAnsi="Times New Roman"/>
          <w:noProof/>
          <w:sz w:val="24"/>
        </w:rPr>
        <w:t>. Tāpēc dalībvalstis, praktiķu sadarbības tīkli un citas ieinteresētās personas tiek aicinātas tos izmantot pilnā apmērā.</w:t>
      </w:r>
    </w:p>
    <w:p>
      <w:pPr>
        <w:jc w:val="both"/>
        <w:rPr>
          <w:rFonts w:ascii="Times New Roman" w:eastAsia="Calibri" w:hAnsi="Times New Roman" w:cs="Times New Roman"/>
          <w:bCs/>
          <w:noProof/>
          <w:sz w:val="24"/>
          <w:szCs w:val="24"/>
        </w:rPr>
      </w:pPr>
      <w:r>
        <w:rPr>
          <w:rFonts w:ascii="Times New Roman" w:hAnsi="Times New Roman"/>
          <w:noProof/>
          <w:sz w:val="24"/>
        </w:rPr>
        <w:t xml:space="preserve">Kad Komisija izstrādās rīcības plānu, tā ņems vērā arī nozīmīgus ES vides tiesību aktu ārējos un globālos aspektus, kas ir saistīti ar ES dalību reģionāla un pasaules mēroga konvencijās. Tā piemēram, pasaules mēroga tirdzniecībai un piegādes ķēdēm ir saistība ar atkritumu apsaimniekošanu un bioloģiskās daudzveidības aizsardzību. Vidiskās atbilstības nodrošināšanai ir patiešām plaša nozīme pasaulē – līdzās citiem elementiem tā ir vajadzīga ilgtspējīgas attīstības mērķu sasniegšanai. Tās nostiprināšana Eiropā palīdzēs Savienībai rādīt piemēru un būt par patiesu partneri starptautiskā līmenī. </w:t>
      </w:r>
    </w:p>
    <w:p>
      <w:pPr>
        <w:pStyle w:val="Heading1"/>
        <w:rPr>
          <w:noProof/>
        </w:rPr>
      </w:pPr>
      <w:r>
        <w:rPr>
          <w:noProof/>
        </w:rPr>
        <w:t>Uzraudzība un turpmāki pasākumi</w:t>
      </w:r>
    </w:p>
    <w:p>
      <w:pPr>
        <w:jc w:val="both"/>
        <w:rPr>
          <w:rFonts w:ascii="Times New Roman" w:eastAsia="Calibri" w:hAnsi="Times New Roman" w:cs="Times New Roman"/>
          <w:bCs/>
          <w:noProof/>
          <w:sz w:val="24"/>
          <w:szCs w:val="24"/>
        </w:rPr>
      </w:pPr>
      <w:r>
        <w:rPr>
          <w:rFonts w:ascii="Times New Roman" w:hAnsi="Times New Roman"/>
          <w:noProof/>
          <w:sz w:val="24"/>
        </w:rPr>
        <w:t>Rīcības plāns kalpos par pamatu 2018.–2019. gada pastāvīgajai darba programmai. Šo programmu 2019. gadā pārskatīs un pēc apspriešanās ar Vidiskās atbilstības un pārvaldības forumu vajadzības gadījumā papildinās ar jauniem darbību kopumiem.</w:t>
      </w:r>
    </w:p>
    <w:p>
      <w:pPr>
        <w:jc w:val="both"/>
        <w:rPr>
          <w:rFonts w:ascii="Times New Roman" w:eastAsia="Calibri" w:hAnsi="Times New Roman" w:cs="Times New Roman"/>
          <w:bCs/>
          <w:noProof/>
          <w:sz w:val="24"/>
          <w:szCs w:val="24"/>
        </w:rPr>
      </w:pPr>
      <w:r>
        <w:rPr>
          <w:rFonts w:ascii="Times New Roman" w:hAnsi="Times New Roman"/>
          <w:noProof/>
          <w:sz w:val="24"/>
        </w:rPr>
        <w:t xml:space="preserve">Paredzētais novērtēšanas satvars (rīcība Nr. 9) radīs pamatu, kurš ļaus noskaidrot, kā dalībvalstīs noris vidiskās atbilstības nodrošināšana un publiskā pārvalde, nodrošinās turpināmību, izmantojot vides politikas īstenošanas pārskatus, un līdz pirmās darba programmas termiņa beigām ļaus novērtēt, vai šajā jomā būs vajadzīgas vēl kādas iniciatīvas. </w:t>
      </w:r>
    </w:p>
    <w:p>
      <w:pPr>
        <w:pStyle w:val="Heading1"/>
        <w:rPr>
          <w:noProof/>
        </w:rPr>
      </w:pPr>
      <w:r>
        <w:rPr>
          <w:noProof/>
        </w:rPr>
        <w:t>Secinājumi</w:t>
      </w:r>
    </w:p>
    <w:p>
      <w:pPr>
        <w:jc w:val="both"/>
        <w:rPr>
          <w:rFonts w:ascii="Times New Roman" w:eastAsia="Calibri" w:hAnsi="Times New Roman" w:cs="Times New Roman"/>
          <w:bCs/>
          <w:noProof/>
          <w:sz w:val="24"/>
          <w:szCs w:val="24"/>
        </w:rPr>
      </w:pPr>
      <w:r>
        <w:rPr>
          <w:rFonts w:ascii="Times New Roman" w:hAnsi="Times New Roman"/>
          <w:noProof/>
          <w:sz w:val="24"/>
        </w:rPr>
        <w:t>Rīcības plāns ir atbilde uz praktiska atbalsta pieprasījumu no praktiķiem, kuri visā ES strādā, lai palīdzētu uzlabot vidiskās atbilstības nodrošināšanu un vidisko pārvaldību. Papildus jau minētajām konkrētajām priekšrocībām plāns turklāt palīdzēs kopīgi izveidot konsekventāku ES pieeju vidiskās atbilstības un pārvaldības problēmjautājumu risināšanā. Rezultātā praktiķiem vajadzētu spēt: stingrāk vērsties pret vidisko noteikumu pārkāpumiem un negodīgu konkurenci, kā arī to nodarīto kaitējumu; labāk palīdzēt atbildīgajām personām pildīt to pienākumus; izpelnīties lielāku sabiedrības uzticēšanos atbilstības nodrošināšanas ziņā un, visbeidzot, labāk aizsargāt Eiropas kopīgo mantojumu.</w:t>
      </w: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331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sz w:val="18"/>
        </w:rPr>
        <w:footnoteRef/>
      </w:r>
      <w:r>
        <w:rPr>
          <w:sz w:val="18"/>
        </w:rPr>
        <w:t xml:space="preserve"> </w:t>
      </w:r>
      <w:r>
        <w:tab/>
      </w:r>
      <w:hyperlink r:id="rId1">
        <w:r>
          <w:rPr>
            <w:rStyle w:val="Hyperlink"/>
            <w:sz w:val="18"/>
          </w:rPr>
          <w:t>http://ec.europa.eu/environment/eir/country-reports/index_en.htm</w:t>
        </w:r>
      </w:hyperlink>
      <w:r>
        <w:rPr>
          <w:sz w:val="18"/>
        </w:rPr>
        <w:t>.</w:t>
      </w:r>
    </w:p>
  </w:footnote>
  <w:footnote w:id="2">
    <w:p>
      <w:pPr>
        <w:pStyle w:val="FootnoteText"/>
        <w:jc w:val="both"/>
        <w:rPr>
          <w:sz w:val="18"/>
          <w:szCs w:val="18"/>
          <w:vertAlign w:val="superscript"/>
        </w:rPr>
      </w:pPr>
      <w:r>
        <w:rPr>
          <w:rStyle w:val="FootnoteReference"/>
          <w:sz w:val="18"/>
        </w:rPr>
        <w:footnoteRef/>
      </w:r>
      <w:r>
        <w:rPr>
          <w:sz w:val="18"/>
        </w:rPr>
        <w:t xml:space="preserve"> </w:t>
      </w:r>
      <w:r>
        <w:tab/>
      </w:r>
      <w:r>
        <w:rPr>
          <w:sz w:val="18"/>
        </w:rPr>
        <w:t>ESAO, ANO Narkotiku un noziedzības novēršanas biroja (</w:t>
      </w:r>
      <w:r>
        <w:rPr>
          <w:i/>
          <w:sz w:val="18"/>
        </w:rPr>
        <w:t>UNODC</w:t>
      </w:r>
      <w:r>
        <w:rPr>
          <w:sz w:val="18"/>
        </w:rPr>
        <w:t>), ANO Vides programmas (</w:t>
      </w:r>
      <w:r>
        <w:rPr>
          <w:i/>
          <w:sz w:val="18"/>
        </w:rPr>
        <w:t>UNEP</w:t>
      </w:r>
      <w:r>
        <w:rPr>
          <w:sz w:val="18"/>
        </w:rPr>
        <w:t>) un Interpola kombinētās aplēses par visu pret vidi izdarīto noziegumu monetāro vērtību liecina, ka tā ir ceturtā lielākā starptautisko noziegumu kategorija.</w:t>
      </w:r>
    </w:p>
  </w:footnote>
  <w:footnote w:id="3">
    <w:p>
      <w:pPr>
        <w:pStyle w:val="FootnoteText"/>
        <w:jc w:val="both"/>
        <w:rPr>
          <w:sz w:val="18"/>
          <w:szCs w:val="18"/>
        </w:rPr>
      </w:pPr>
      <w:r>
        <w:rPr>
          <w:rStyle w:val="FootnoteReference"/>
          <w:sz w:val="18"/>
        </w:rPr>
        <w:footnoteRef/>
      </w:r>
      <w:r>
        <w:rPr>
          <w:sz w:val="18"/>
        </w:rPr>
        <w:t xml:space="preserve"> </w:t>
      </w:r>
      <w:r>
        <w:tab/>
      </w:r>
      <w:r>
        <w:rPr>
          <w:sz w:val="18"/>
        </w:rPr>
        <w:t>Gadā aptuveni seši simti.</w:t>
      </w:r>
    </w:p>
  </w:footnote>
  <w:footnote w:id="4">
    <w:p>
      <w:pPr>
        <w:pStyle w:val="FootnoteText"/>
        <w:jc w:val="both"/>
      </w:pPr>
      <w:r>
        <w:rPr>
          <w:rStyle w:val="FootnoteReference"/>
        </w:rPr>
        <w:footnoteRef/>
      </w:r>
      <w:r>
        <w:t xml:space="preserve"> </w:t>
      </w:r>
      <w:hyperlink r:id="rId2">
        <w:r>
          <w:rPr>
            <w:rStyle w:val="Hyperlink"/>
            <w:sz w:val="18"/>
          </w:rPr>
          <w:t>http://ec.europa.eu/environment/enveco/economics_policy/pdf/report_sept2011.pdf</w:t>
        </w:r>
      </w:hyperlink>
      <w:r>
        <w:rPr>
          <w:sz w:val="18"/>
        </w:rPr>
        <w:t xml:space="preserve">. Pie izmaksu elementiem cita starpā pieder ar vidi un veselību saistītas izmaksas, “zaļajās” nozarēs nerealizētās priekšrocības, tirgus izkropļojumi un nozaru administratīvās izmaksas. </w:t>
      </w:r>
    </w:p>
  </w:footnote>
  <w:footnote w:id="5">
    <w:p>
      <w:pPr>
        <w:pStyle w:val="FootnoteText"/>
        <w:jc w:val="both"/>
        <w:rPr>
          <w:sz w:val="18"/>
          <w:szCs w:val="18"/>
        </w:rPr>
      </w:pPr>
      <w:r>
        <w:rPr>
          <w:rStyle w:val="FootnoteReference"/>
          <w:sz w:val="18"/>
        </w:rPr>
        <w:footnoteRef/>
      </w:r>
      <w:r>
        <w:rPr>
          <w:sz w:val="18"/>
        </w:rPr>
        <w:t xml:space="preserve"> </w:t>
      </w:r>
      <w:r>
        <w:tab/>
      </w:r>
      <w:r>
        <w:rPr>
          <w:sz w:val="18"/>
        </w:rPr>
        <w:t>T. i., fiziskas vai juridiskas personas, tostarp publiskā sektora iestādes, kam, veicot darbības, kuras ietver emisijas vidē vai citu fizisku ietekmi uz vidi, ir jāievēro no ES vides tiesību aktiem izrietoši pienākumi.</w:t>
      </w:r>
    </w:p>
  </w:footnote>
  <w:footnote w:id="6">
    <w:p>
      <w:pPr>
        <w:pStyle w:val="FootnoteText"/>
      </w:pPr>
      <w:r>
        <w:rPr>
          <w:rStyle w:val="FootnoteReference"/>
        </w:rPr>
        <w:footnoteRef/>
      </w:r>
      <w:r>
        <w:t xml:space="preserve"> </w:t>
      </w:r>
      <w:r>
        <w:tab/>
      </w:r>
      <w:r>
        <w:rPr>
          <w:sz w:val="18"/>
        </w:rPr>
        <w:t>“ES vides politikas īstenošanas pārskats – kopīgas problēmas un kā apvienot centienus, lai gūtu labākus rezultātus” (COM(2017) 63).</w:t>
      </w:r>
    </w:p>
  </w:footnote>
  <w:footnote w:id="7">
    <w:p>
      <w:pPr>
        <w:pStyle w:val="FootnoteText"/>
        <w:jc w:val="both"/>
        <w:rPr>
          <w:sz w:val="18"/>
          <w:szCs w:val="18"/>
        </w:rPr>
      </w:pPr>
      <w:r>
        <w:rPr>
          <w:rStyle w:val="FootnoteReference"/>
          <w:sz w:val="18"/>
        </w:rPr>
        <w:footnoteRef/>
      </w:r>
      <w:r>
        <w:rPr>
          <w:sz w:val="18"/>
        </w:rPr>
        <w:t xml:space="preserve"> </w:t>
      </w:r>
      <w:r>
        <w:tab/>
      </w:r>
      <w:r>
        <w:rPr>
          <w:sz w:val="18"/>
        </w:rPr>
        <w:t>Par to jau ir brīdinājuši likumīgie atkritumu apsaimniekotāji, jo nelikumīgi atkritumu apsaimniekotāji tos var pārspēt, piemēram, tāpēc, ka atkritumus apglabā nelegālos poligonos.</w:t>
      </w:r>
    </w:p>
  </w:footnote>
  <w:footnote w:id="8">
    <w:p>
      <w:pPr>
        <w:pStyle w:val="FootnoteText"/>
        <w:jc w:val="both"/>
        <w:rPr>
          <w:sz w:val="18"/>
          <w:szCs w:val="18"/>
        </w:rPr>
      </w:pPr>
      <w:r>
        <w:rPr>
          <w:rStyle w:val="FootnoteReference"/>
          <w:sz w:val="18"/>
        </w:rPr>
        <w:footnoteRef/>
      </w:r>
      <w:r>
        <w:rPr>
          <w:sz w:val="18"/>
        </w:rPr>
        <w:t xml:space="preserve"> </w:t>
      </w:r>
      <w:r>
        <w:tab/>
      </w:r>
      <w:r>
        <w:rPr>
          <w:sz w:val="18"/>
        </w:rPr>
        <w:t>2017/C 18/02.</w:t>
      </w:r>
    </w:p>
  </w:footnote>
  <w:footnote w:id="9">
    <w:p>
      <w:pPr>
        <w:pStyle w:val="FootnoteText"/>
        <w:jc w:val="both"/>
        <w:rPr>
          <w:sz w:val="18"/>
          <w:szCs w:val="18"/>
        </w:rPr>
      </w:pPr>
      <w:r>
        <w:rPr>
          <w:rStyle w:val="FootnoteReference"/>
          <w:sz w:val="18"/>
        </w:rPr>
        <w:footnoteRef/>
      </w:r>
      <w:r>
        <w:rPr>
          <w:sz w:val="18"/>
        </w:rPr>
        <w:t xml:space="preserve"> </w:t>
      </w:r>
      <w:r>
        <w:tab/>
      </w:r>
      <w:r>
        <w:rPr>
          <w:sz w:val="18"/>
        </w:rPr>
        <w:t>Sk. Līguma par Eiropas Savienību 4. panta 3. punktu.</w:t>
      </w:r>
    </w:p>
  </w:footnote>
  <w:footnote w:id="10">
    <w:p>
      <w:pPr>
        <w:pStyle w:val="FootnoteText"/>
        <w:jc w:val="both"/>
        <w:rPr>
          <w:sz w:val="18"/>
          <w:szCs w:val="18"/>
        </w:rPr>
      </w:pPr>
      <w:r>
        <w:rPr>
          <w:rStyle w:val="FootnoteReference"/>
          <w:sz w:val="18"/>
        </w:rPr>
        <w:footnoteRef/>
      </w:r>
      <w:r>
        <w:rPr>
          <w:sz w:val="18"/>
        </w:rPr>
        <w:t xml:space="preserve"> </w:t>
      </w:r>
      <w:r>
        <w:tab/>
      </w:r>
      <w:r>
        <w:rPr>
          <w:sz w:val="18"/>
        </w:rPr>
        <w:t xml:space="preserve">Sk., piemēram, lietu C-201/02 </w:t>
      </w:r>
      <w:r>
        <w:rPr>
          <w:i/>
          <w:sz w:val="18"/>
        </w:rPr>
        <w:t>Wells</w:t>
      </w:r>
      <w:r>
        <w:rPr>
          <w:sz w:val="18"/>
        </w:rPr>
        <w:t>, EU:2004:12, 64. un 65. punkts.</w:t>
      </w:r>
    </w:p>
  </w:footnote>
  <w:footnote w:id="11">
    <w:p>
      <w:pPr>
        <w:pStyle w:val="FootnoteText"/>
        <w:jc w:val="both"/>
        <w:rPr>
          <w:sz w:val="18"/>
          <w:szCs w:val="18"/>
        </w:rPr>
      </w:pPr>
      <w:r>
        <w:rPr>
          <w:rStyle w:val="FootnoteReference"/>
          <w:sz w:val="18"/>
        </w:rPr>
        <w:footnoteRef/>
      </w:r>
      <w:r>
        <w:rPr>
          <w:sz w:val="18"/>
        </w:rPr>
        <w:t xml:space="preserve"> </w:t>
      </w:r>
      <w:r>
        <w:tab/>
      </w:r>
      <w:r>
        <w:rPr>
          <w:sz w:val="18"/>
        </w:rPr>
        <w:t xml:space="preserve">Sk., piemēram, lietu 68/88 </w:t>
      </w:r>
      <w:r>
        <w:rPr>
          <w:i/>
          <w:sz w:val="18"/>
        </w:rPr>
        <w:t>Komisija / Grieķija</w:t>
      </w:r>
      <w:r>
        <w:rPr>
          <w:sz w:val="18"/>
        </w:rPr>
        <w:t xml:space="preserve">, [1989] </w:t>
      </w:r>
      <w:r>
        <w:rPr>
          <w:i/>
          <w:sz w:val="18"/>
        </w:rPr>
        <w:t>Recueil</w:t>
      </w:r>
      <w:r>
        <w:rPr>
          <w:sz w:val="18"/>
        </w:rPr>
        <w:t xml:space="preserve"> 2965, 23. un 24. punkts. </w:t>
      </w:r>
    </w:p>
  </w:footnote>
  <w:footnote w:id="12">
    <w:p>
      <w:pPr>
        <w:pStyle w:val="FootnoteText"/>
        <w:jc w:val="both"/>
        <w:rPr>
          <w:sz w:val="18"/>
          <w:szCs w:val="18"/>
        </w:rPr>
      </w:pPr>
      <w:r>
        <w:rPr>
          <w:rStyle w:val="FootnoteReference"/>
          <w:sz w:val="18"/>
        </w:rPr>
        <w:footnoteRef/>
      </w:r>
      <w:r>
        <w:rPr>
          <w:sz w:val="18"/>
        </w:rPr>
        <w:t xml:space="preserve"> </w:t>
      </w:r>
      <w:r>
        <w:tab/>
      </w:r>
      <w:r>
        <w:rPr>
          <w:sz w:val="18"/>
        </w:rPr>
        <w:t>Sīkāka informācija ir izklāstīta šim paziņojumam pievienotajā Komisijas dienestu darba dokumentā SWD(2018)10.</w:t>
      </w:r>
    </w:p>
  </w:footnote>
  <w:footnote w:id="13">
    <w:p>
      <w:pPr>
        <w:pStyle w:val="FootnoteText"/>
        <w:jc w:val="both"/>
        <w:rPr>
          <w:sz w:val="18"/>
          <w:szCs w:val="18"/>
        </w:rPr>
      </w:pPr>
      <w:r>
        <w:rPr>
          <w:rStyle w:val="FootnoteReference"/>
          <w:sz w:val="18"/>
        </w:rPr>
        <w:footnoteRef/>
      </w:r>
      <w:r>
        <w:rPr>
          <w:sz w:val="18"/>
        </w:rPr>
        <w:t xml:space="preserve"> Sk., piemēram, vidiskās atbilstības nodrošināšanas pamatprincipus “Make it Work”: </w:t>
      </w:r>
      <w:hyperlink r:id="rId3">
        <w:r>
          <w:rPr>
            <w:rStyle w:val="Hyperlink"/>
            <w:sz w:val="18"/>
          </w:rPr>
          <w:t>http://minisites.ieep.eu/work-areas/environmental-governance/better-regulation/make-it-work/subjects/2015/08/compliance-assurance</w:t>
        </w:r>
      </w:hyperlink>
      <w:r>
        <w:rPr>
          <w:sz w:val="18"/>
        </w:rPr>
        <w:t>.</w:t>
      </w:r>
    </w:p>
  </w:footnote>
  <w:footnote w:id="14">
    <w:p>
      <w:pPr>
        <w:pStyle w:val="FootnoteText"/>
        <w:jc w:val="both"/>
        <w:rPr>
          <w:sz w:val="18"/>
          <w:szCs w:val="18"/>
        </w:rPr>
      </w:pPr>
      <w:r>
        <w:rPr>
          <w:rStyle w:val="FootnoteReference"/>
        </w:rPr>
        <w:footnoteRef/>
      </w:r>
      <w:r>
        <w:t xml:space="preserve"> </w:t>
      </w:r>
      <w:r>
        <w:tab/>
      </w:r>
      <w:r>
        <w:rPr>
          <w:sz w:val="18"/>
        </w:rPr>
        <w:t>Sk., piemēram, ES vides tiesību aktu īstenošanas un izpildes tīkla (</w:t>
      </w:r>
      <w:r>
        <w:rPr>
          <w:i/>
          <w:sz w:val="18"/>
        </w:rPr>
        <w:t>IMPEL</w:t>
      </w:r>
      <w:r>
        <w:rPr>
          <w:sz w:val="18"/>
        </w:rPr>
        <w:t xml:space="preserve">) ziņojumu par īstenošanas grūtībām: </w:t>
      </w:r>
      <w:hyperlink r:id="rId4">
        <w:r>
          <w:rPr>
            <w:rStyle w:val="Hyperlink"/>
            <w:sz w:val="18"/>
          </w:rPr>
          <w:t>https://www.impel.eu/impel-study-confirms-that-significant-challenges-remain-in-implementing-eu-environmental-law/</w:t>
        </w:r>
      </w:hyperlink>
      <w:r>
        <w:rPr>
          <w:sz w:val="18"/>
        </w:rPr>
        <w:t>. Atjaunināts ziņojums apstiprina un papildina līdzšinējos secinājumus.</w:t>
      </w:r>
    </w:p>
  </w:footnote>
  <w:footnote w:id="15">
    <w:p>
      <w:pPr>
        <w:pStyle w:val="FootnoteText"/>
        <w:jc w:val="both"/>
        <w:rPr>
          <w:rFonts w:eastAsia="Calibri"/>
          <w:bCs/>
          <w:sz w:val="18"/>
          <w:szCs w:val="18"/>
        </w:rPr>
      </w:pPr>
      <w:r>
        <w:rPr>
          <w:sz w:val="14"/>
        </w:rPr>
        <w:footnoteRef/>
      </w:r>
      <w:r>
        <w:rPr>
          <w:sz w:val="14"/>
        </w:rPr>
        <w:t xml:space="preserve"> </w:t>
      </w:r>
      <w:r>
        <w:tab/>
      </w:r>
      <w:r>
        <w:rPr>
          <w:sz w:val="18"/>
        </w:rPr>
        <w:t>Inspektori ir pārstāvēti ES vides tiesību aktu īstenošanas un izpildes tīklā (</w:t>
      </w:r>
      <w:r>
        <w:rPr>
          <w:i/>
          <w:sz w:val="18"/>
        </w:rPr>
        <w:t>IMPEL</w:t>
      </w:r>
      <w:r>
        <w:rPr>
          <w:sz w:val="18"/>
        </w:rPr>
        <w:t xml:space="preserve">). Policijas darbinieki ir pārstāvēti </w:t>
      </w:r>
      <w:r>
        <w:rPr>
          <w:i/>
          <w:sz w:val="18"/>
        </w:rPr>
        <w:t>EnviCrimeNet</w:t>
      </w:r>
      <w:r>
        <w:rPr>
          <w:sz w:val="18"/>
        </w:rPr>
        <w:t>, prokurori – Eiropas prokuroru tīklā vides tiesībaizsardzībai (</w:t>
      </w:r>
      <w:r>
        <w:rPr>
          <w:i/>
          <w:sz w:val="18"/>
        </w:rPr>
        <w:t>ENPE</w:t>
      </w:r>
      <w:r>
        <w:rPr>
          <w:sz w:val="18"/>
        </w:rPr>
        <w:t>), tiesneši – ES tiesnešu forumā vides tiesībaizsardzībai (</w:t>
      </w:r>
      <w:r>
        <w:rPr>
          <w:i/>
          <w:sz w:val="18"/>
        </w:rPr>
        <w:t>EUFJE</w:t>
      </w:r>
      <w:r>
        <w:rPr>
          <w:sz w:val="18"/>
        </w:rPr>
        <w:t>) un vides auditori – specializētā darba grupā vides audita jautājumos, kas ietilpst Eiropas Augstāko revīzijas iestāžu organizācijā (</w:t>
      </w:r>
      <w:r>
        <w:rPr>
          <w:i/>
          <w:sz w:val="18"/>
        </w:rPr>
        <w:t>EUROSAI</w:t>
      </w:r>
      <w:r>
        <w:rPr>
          <w:sz w:val="18"/>
        </w:rPr>
        <w:t>).</w:t>
      </w:r>
    </w:p>
  </w:footnote>
  <w:footnote w:id="16">
    <w:p>
      <w:pPr>
        <w:pStyle w:val="FootnoteText"/>
        <w:jc w:val="both"/>
      </w:pPr>
      <w:r>
        <w:rPr>
          <w:rStyle w:val="FootnoteReference"/>
          <w:sz w:val="18"/>
        </w:rPr>
        <w:footnoteRef/>
      </w:r>
      <w:r>
        <w:rPr>
          <w:sz w:val="18"/>
        </w:rPr>
        <w:t xml:space="preserve"> </w:t>
      </w:r>
      <w:r>
        <w:tab/>
      </w:r>
      <w:r>
        <w:rPr>
          <w:sz w:val="18"/>
        </w:rPr>
        <w:t xml:space="preserve">Sk. </w:t>
      </w:r>
      <w:r>
        <w:rPr>
          <w:i/>
          <w:sz w:val="18"/>
        </w:rPr>
        <w:t>IMPEL</w:t>
      </w:r>
      <w:r>
        <w:rPr>
          <w:sz w:val="18"/>
        </w:rPr>
        <w:t xml:space="preserve"> nostājas dokumentu par vidiskās atbilstības nodrošināšanu: </w:t>
      </w:r>
      <w:hyperlink r:id="rId5">
        <w:r>
          <w:rPr>
            <w:rStyle w:val="Hyperlink"/>
            <w:sz w:val="18"/>
          </w:rPr>
          <w:t>https://www.impel.eu/position-paper-on-environmental-compliance-assurance/</w:t>
        </w:r>
      </w:hyperlink>
      <w:r>
        <w:t>.</w:t>
      </w:r>
      <w:r>
        <w:rPr>
          <w:sz w:val="18"/>
        </w:rPr>
        <w:t xml:space="preserve"> Līdzīgu nostājas dokumentu ir iesniegusi arī </w:t>
      </w:r>
      <w:r>
        <w:rPr>
          <w:i/>
          <w:sz w:val="18"/>
        </w:rPr>
        <w:t>ENPE</w:t>
      </w:r>
      <w:r>
        <w:rPr>
          <w:sz w:val="18"/>
        </w:rPr>
        <w:t>.</w:t>
      </w:r>
    </w:p>
  </w:footnote>
  <w:footnote w:id="17">
    <w:p>
      <w:pPr>
        <w:pStyle w:val="FootnoteText"/>
        <w:jc w:val="both"/>
        <w:rPr>
          <w:sz w:val="18"/>
          <w:szCs w:val="18"/>
        </w:rPr>
      </w:pPr>
      <w:r>
        <w:rPr>
          <w:rStyle w:val="FootnoteReference"/>
          <w:sz w:val="18"/>
        </w:rPr>
        <w:footnoteRef/>
      </w:r>
      <w:r>
        <w:rPr>
          <w:sz w:val="18"/>
        </w:rPr>
        <w:t xml:space="preserve"> </w:t>
      </w:r>
      <w:r>
        <w:tab/>
      </w:r>
      <w:r>
        <w:rPr>
          <w:sz w:val="18"/>
        </w:rPr>
        <w:t xml:space="preserve">Sk., piemēram, kopsavilkumu par ieinteresēto personu 2017. gada 31.janvāra konferenci un 2017. gada 20. marta darbsemināru; pieejami </w:t>
      </w:r>
      <w:hyperlink r:id="rId6">
        <w:r>
          <w:rPr>
            <w:rStyle w:val="Hyperlink"/>
            <w:sz w:val="18"/>
          </w:rPr>
          <w:t>http://ec.europa.eu/environment/legal/law/inspections.htm.</w:t>
        </w:r>
      </w:hyperlink>
      <w:r>
        <w:rPr>
          <w:sz w:val="18"/>
        </w:rPr>
        <w:t xml:space="preserve"> </w:t>
      </w:r>
    </w:p>
  </w:footnote>
  <w:footnote w:id="18">
    <w:p>
      <w:pPr>
        <w:pStyle w:val="FootnoteText"/>
        <w:jc w:val="both"/>
        <w:rPr>
          <w:sz w:val="18"/>
          <w:szCs w:val="18"/>
        </w:rPr>
      </w:pPr>
      <w:r>
        <w:rPr>
          <w:rStyle w:val="FootnoteReference"/>
          <w:sz w:val="18"/>
        </w:rPr>
        <w:footnoteRef/>
      </w:r>
      <w:r>
        <w:rPr>
          <w:sz w:val="18"/>
        </w:rPr>
        <w:t xml:space="preserve"> </w:t>
      </w:r>
      <w:r>
        <w:tab/>
      </w:r>
      <w:r>
        <w:rPr>
          <w:sz w:val="18"/>
        </w:rPr>
        <w:t xml:space="preserve">SWD(2017)153, </w:t>
      </w:r>
      <w:r>
        <w:rPr>
          <w:i/>
          <w:sz w:val="18"/>
        </w:rPr>
        <w:t>final</w:t>
      </w:r>
      <w:r>
        <w:rPr>
          <w:sz w:val="18"/>
        </w:rPr>
        <w:t>, 28.4.2017.</w:t>
      </w:r>
    </w:p>
  </w:footnote>
  <w:footnote w:id="19">
    <w:p>
      <w:pPr>
        <w:pStyle w:val="FootnoteText"/>
        <w:jc w:val="both"/>
        <w:rPr>
          <w:sz w:val="18"/>
          <w:szCs w:val="18"/>
        </w:rPr>
      </w:pPr>
      <w:r>
        <w:rPr>
          <w:rStyle w:val="FootnoteReference"/>
          <w:sz w:val="18"/>
        </w:rPr>
        <w:footnoteRef/>
      </w:r>
      <w:r>
        <w:rPr>
          <w:sz w:val="18"/>
        </w:rPr>
        <w:t xml:space="preserve"> </w:t>
      </w:r>
      <w:r>
        <w:tab/>
      </w:r>
      <w:r>
        <w:rPr>
          <w:sz w:val="18"/>
        </w:rPr>
        <w:t xml:space="preserve">COM(2017) 198 </w:t>
      </w:r>
      <w:r>
        <w:rPr>
          <w:i/>
          <w:sz w:val="18"/>
        </w:rPr>
        <w:t>final</w:t>
      </w:r>
      <w:r>
        <w:rPr>
          <w:sz w:val="18"/>
        </w:rPr>
        <w:t xml:space="preserve"> un SWD(2017) 139 </w:t>
      </w:r>
      <w:r>
        <w:rPr>
          <w:i/>
          <w:sz w:val="18"/>
        </w:rPr>
        <w:t>final</w:t>
      </w:r>
      <w:r>
        <w:rPr>
          <w:sz w:val="18"/>
        </w:rPr>
        <w:t>.</w:t>
      </w:r>
    </w:p>
  </w:footnote>
  <w:footnote w:id="20">
    <w:p>
      <w:pPr>
        <w:pStyle w:val="FootnoteText"/>
      </w:pPr>
      <w:r>
        <w:rPr>
          <w:rStyle w:val="FootnoteReference"/>
        </w:rPr>
        <w:footnoteRef/>
      </w:r>
      <w:r>
        <w:t xml:space="preserve"> </w:t>
      </w:r>
      <w:r>
        <w:tab/>
      </w:r>
      <w:r>
        <w:rPr>
          <w:sz w:val="18"/>
        </w:rPr>
        <w:t xml:space="preserve">Sk. B prioritāti par </w:t>
      </w:r>
      <w:r>
        <w:rPr>
          <w:i/>
          <w:sz w:val="18"/>
        </w:rPr>
        <w:t>politiskās atbildības vairošanu un noteikumu ievērošanas stiprināšanu</w:t>
      </w:r>
      <w:r>
        <w:rPr>
          <w:sz w:val="18"/>
        </w:rPr>
        <w:t>.</w:t>
      </w:r>
    </w:p>
  </w:footnote>
  <w:footnote w:id="21">
    <w:p>
      <w:pPr>
        <w:pStyle w:val="FootnoteText"/>
        <w:jc w:val="both"/>
        <w:rPr>
          <w:sz w:val="18"/>
          <w:szCs w:val="18"/>
        </w:rPr>
      </w:pPr>
      <w:r>
        <w:rPr>
          <w:rStyle w:val="FootnoteReference"/>
          <w:sz w:val="18"/>
        </w:rPr>
        <w:footnoteRef/>
      </w:r>
      <w:r>
        <w:rPr>
          <w:sz w:val="18"/>
        </w:rPr>
        <w:t xml:space="preserve"> </w:t>
      </w:r>
      <w:r>
        <w:tab/>
      </w:r>
      <w:r>
        <w:rPr>
          <w:sz w:val="18"/>
        </w:rPr>
        <w:t xml:space="preserve">Sk. 22. panta 1. punkta d) apakšpunktu Direktīvā 2006/21/EK par ieguves rūpniecības atkritumu apsaimniekošanu un par grozījumiem Direktīvā 2004/35/EK (OV L 102, 11.4.2006., 15. lpp.) un 23. panta 4. punktu Direktīvā 2010/75/ES par rūpnieciskajām emisijām (OV L 334, 17.12.2010., 17. lpp.). </w:t>
      </w:r>
    </w:p>
  </w:footnote>
  <w:footnote w:id="22">
    <w:p>
      <w:pPr>
        <w:pStyle w:val="FootnoteText"/>
        <w:jc w:val="both"/>
        <w:rPr>
          <w:sz w:val="18"/>
          <w:szCs w:val="18"/>
        </w:rPr>
      </w:pPr>
      <w:r>
        <w:rPr>
          <w:rStyle w:val="FootnoteReference"/>
          <w:sz w:val="18"/>
        </w:rPr>
        <w:footnoteRef/>
      </w:r>
      <w:r>
        <w:rPr>
          <w:sz w:val="18"/>
        </w:rPr>
        <w:t xml:space="preserve"> </w:t>
      </w:r>
      <w:r>
        <w:tab/>
      </w:r>
      <w:r>
        <w:rPr>
          <w:sz w:val="18"/>
        </w:rPr>
        <w:t xml:space="preserve">Sīkākas ziņas – pievienotajā Komisijas dienestu darba dokumentā SWD(2018)10. </w:t>
      </w:r>
    </w:p>
  </w:footnote>
  <w:footnote w:id="23">
    <w:p>
      <w:pPr>
        <w:pStyle w:val="FootnoteText"/>
        <w:jc w:val="both"/>
        <w:rPr>
          <w:sz w:val="18"/>
          <w:szCs w:val="18"/>
        </w:rPr>
      </w:pPr>
      <w:r>
        <w:rPr>
          <w:rStyle w:val="FootnoteReference"/>
          <w:sz w:val="18"/>
        </w:rPr>
        <w:footnoteRef/>
      </w:r>
      <w:r>
        <w:rPr>
          <w:sz w:val="18"/>
        </w:rPr>
        <w:t xml:space="preserve"> </w:t>
      </w:r>
      <w:r>
        <w:tab/>
      </w:r>
      <w:hyperlink r:id="rId7">
        <w:r>
          <w:rPr>
            <w:rStyle w:val="Hyperlink"/>
            <w:sz w:val="18"/>
          </w:rPr>
          <w:t>http://ec.europa.eu/environment/eir/p2p/index_en.htm.</w:t>
        </w:r>
      </w:hyperlink>
      <w:r>
        <w:rPr>
          <w:sz w:val="18"/>
        </w:rPr>
        <w:t xml:space="preserve"> </w:t>
      </w:r>
    </w:p>
  </w:footnote>
  <w:footnote w:id="24">
    <w:p>
      <w:pPr>
        <w:pStyle w:val="FootnoteText"/>
        <w:jc w:val="both"/>
      </w:pPr>
      <w:r>
        <w:rPr>
          <w:rStyle w:val="FootnoteReference"/>
        </w:rPr>
        <w:footnoteRef/>
      </w:r>
      <w:r>
        <w:t xml:space="preserve"> </w:t>
      </w:r>
      <w:r>
        <w:tab/>
      </w:r>
      <w:r>
        <w:rPr>
          <w:sz w:val="18"/>
        </w:rPr>
        <w:t xml:space="preserve">C(2018)10. </w:t>
      </w:r>
    </w:p>
  </w:footnote>
  <w:footnote w:id="25">
    <w:p>
      <w:pPr>
        <w:pStyle w:val="FootnoteText"/>
        <w:jc w:val="both"/>
        <w:rPr>
          <w:sz w:val="18"/>
          <w:szCs w:val="18"/>
        </w:rPr>
      </w:pPr>
      <w:r>
        <w:rPr>
          <w:rStyle w:val="FootnoteReference"/>
          <w:sz w:val="18"/>
        </w:rPr>
        <w:footnoteRef/>
      </w:r>
      <w:r>
        <w:rPr>
          <w:sz w:val="18"/>
        </w:rPr>
        <w:t xml:space="preserve"> </w:t>
      </w:r>
      <w:r>
        <w:tab/>
      </w:r>
      <w:r>
        <w:rPr>
          <w:sz w:val="18"/>
        </w:rPr>
        <w:t>Eiropas Parlamenta un Padomes 2013. gada 11. decembra Regula (ES) Nr. 1293/2013 par vides un klimata pasākumu programmas (</w:t>
      </w:r>
      <w:r>
        <w:rPr>
          <w:i/>
          <w:sz w:val="18"/>
        </w:rPr>
        <w:t>LIFE</w:t>
      </w:r>
      <w:r>
        <w:rPr>
          <w:sz w:val="18"/>
        </w:rPr>
        <w:t>) izveidi un ar ko atceļ Regulu (EK) Nr. 614/2007 (OV L 347, 20.12.2013., 185. lpp.).</w:t>
      </w:r>
    </w:p>
  </w:footnote>
  <w:footnote w:id="26">
    <w:p>
      <w:pPr>
        <w:pStyle w:val="FootnoteText"/>
        <w:jc w:val="both"/>
        <w:rPr>
          <w:sz w:val="18"/>
          <w:szCs w:val="18"/>
        </w:rPr>
      </w:pPr>
      <w:r>
        <w:rPr>
          <w:rStyle w:val="FootnoteReference"/>
          <w:sz w:val="18"/>
        </w:rPr>
        <w:footnoteRef/>
      </w:r>
      <w:r>
        <w:rPr>
          <w:sz w:val="18"/>
        </w:rPr>
        <w:t xml:space="preserve"> </w:t>
      </w:r>
      <w:r>
        <w:tab/>
      </w:r>
      <w:r>
        <w:rPr>
          <w:sz w:val="18"/>
        </w:rPr>
        <w:t xml:space="preserve">Eiropas Parlamenta un Padomes 2014. gada 16. aprīļa Regula (ES) Nr. 513/2014, ar ko kā daļu no Iekšējās drošības fonda izveido finansiālā atbalsta instrumentu policijas sadarbībai, noziedzības novēršanai un apkarošanai un krīžu pārvarēšanai un atceļ Padomes Lēmumu 2007/125/TI (OV L 150, 20.5.2014., 93.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F9E0ED1-8D18-403B-B273-0C664A763CF1"/>
    <w:docVar w:name="LW_COVERPAGE_TYPE" w:val="1"/>
    <w:docVar w:name="LW_CROSSREFERENCE" w:val="{SWD(2018) 10 final}"/>
    <w:docVar w:name="LW_DocType" w:val="NORMAL"/>
    <w:docVar w:name="LW_EMISSION" w:val="18.1.2018"/>
    <w:docVar w:name="LW_EMISSION_ISODATE" w:val="2018-01-18"/>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ES r\u299?c\u299?bu vidisk\u257?s atbilst\u299?bas un p\u257?rvald\u299?bas uzlabo\u353?anai"/>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outlineLvl w:val="0"/>
    </w:pPr>
    <w:rPr>
      <w:rFonts w:ascii="Times New Roman" w:hAnsi="Times New Roman" w:cs="Times New Roman"/>
      <w:b/>
      <w:smallCaps/>
    </w:rPr>
  </w:style>
  <w:style w:type="paragraph" w:styleId="Heading2">
    <w:name w:val="heading 2"/>
    <w:basedOn w:val="Normal"/>
    <w:next w:val="Normal"/>
    <w:link w:val="Heading2Char"/>
    <w:uiPriority w:val="9"/>
    <w:qFormat/>
    <w:pPr>
      <w:keepNext/>
      <w:numPr>
        <w:ilvl w:val="1"/>
        <w:numId w:val="1"/>
      </w:numPr>
      <w:outlineLvl w:val="1"/>
    </w:pPr>
    <w:rPr>
      <w:rFonts w:ascii="Times New Roman" w:hAnsi="Times New Roman" w:cs="Times New Roman"/>
      <w:b/>
    </w:rPr>
  </w:style>
  <w:style w:type="paragraph" w:styleId="Heading3">
    <w:name w:val="heading 3"/>
    <w:basedOn w:val="Normal"/>
    <w:next w:val="Normal"/>
    <w:link w:val="Heading3Char"/>
    <w:uiPriority w:val="9"/>
    <w:qFormat/>
    <w:pPr>
      <w:keepNext/>
      <w:numPr>
        <w:ilvl w:val="2"/>
        <w:numId w:val="1"/>
      </w:numPr>
      <w:outlineLvl w:val="2"/>
    </w:pPr>
    <w:rPr>
      <w:rFonts w:ascii="Times New Roman" w:hAnsi="Times New Roman" w:cs="Times New Roman"/>
      <w:i/>
    </w:rPr>
  </w:style>
  <w:style w:type="paragraph" w:styleId="Heading4">
    <w:name w:val="heading 4"/>
    <w:basedOn w:val="Normal"/>
    <w:next w:val="Normal"/>
    <w:link w:val="Heading4Char"/>
    <w:uiPriority w:val="9"/>
    <w:qFormat/>
    <w:pPr>
      <w:keepNext/>
      <w:numPr>
        <w:ilvl w:val="3"/>
        <w:numId w:val="1"/>
      </w:numPr>
      <w:outlineLvl w:val="3"/>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smallCaps/>
    </w:rPr>
  </w:style>
  <w:style w:type="character" w:customStyle="1" w:styleId="Heading2Char">
    <w:name w:val="Heading 2 Char"/>
    <w:basedOn w:val="DefaultParagraphFont"/>
    <w:link w:val="Heading2"/>
    <w:uiPriority w:val="9"/>
    <w:rPr>
      <w:rFonts w:ascii="Times New Roman" w:hAnsi="Times New Roman" w:cs="Times New Roman"/>
      <w:b/>
    </w:rPr>
  </w:style>
  <w:style w:type="character" w:customStyle="1" w:styleId="Heading3Char">
    <w:name w:val="Heading 3 Char"/>
    <w:basedOn w:val="DefaultParagraphFont"/>
    <w:link w:val="Heading3"/>
    <w:uiPriority w:val="9"/>
    <w:rPr>
      <w:rFonts w:ascii="Times New Roman" w:hAnsi="Times New Roman" w:cs="Times New Roman"/>
      <w:i/>
    </w:rPr>
  </w:style>
  <w:style w:type="character" w:customStyle="1" w:styleId="Heading4Char">
    <w:name w:val="Heading 4 Char"/>
    <w:basedOn w:val="DefaultParagraphFont"/>
    <w:link w:val="Heading4"/>
    <w:uiPriority w:val="9"/>
    <w:rPr>
      <w:rFonts w:ascii="Times New Roman" w:hAnsi="Times New Roman" w:cs="Times New Roman"/>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n"/>
    <w:basedOn w:val="Normal"/>
    <w:link w:val="FootnoteTextChar"/>
    <w:uiPriority w:val="99"/>
    <w:qFormat/>
    <w:pPr>
      <w:ind w:left="357" w:hanging="357"/>
    </w:pPr>
    <w:rPr>
      <w:rFonts w:ascii="Times New Roman" w:hAnsi="Times New Roman" w:cs="Times New Roman"/>
      <w:sz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rFonts w:ascii="Times New Roman" w:hAnsi="Times New Roman" w:cs="Times New Roman"/>
      <w:sz w:val="20"/>
    </w:rPr>
  </w:style>
  <w:style w:type="paragraph" w:styleId="ListBullet">
    <w:name w:val="List Bullet"/>
    <w:basedOn w:val="Normal"/>
    <w:pPr>
      <w:numPr>
        <w:numId w:val="2"/>
      </w:numPr>
    </w:pPr>
    <w:rPr>
      <w:rFonts w:ascii="Times New Roman" w:hAnsi="Times New Roman" w:cs="Times New Roman"/>
    </w:rPr>
  </w:style>
  <w:style w:type="character" w:styleId="FootnoteReference">
    <w:name w:val="footnote reference"/>
    <w:aliases w:val="Footnote Reference/,EN Footnote Reference,Times 10 Point,Exposant 3 Point,Footnote symbol,Footnote reference number,note TESI,stylish,SUPERS,number,no...,Footnote,Footnote Reference Superscript,(Footnote Reference),Footnote number,ft"/>
    <w:link w:val="SUPERS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pPr>
      <w:spacing w:after="0" w:line="240" w:lineRule="auto"/>
    </w:pPr>
    <w:rPr>
      <w:rFonts w:ascii="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UPERSChar">
    <w:name w:val="SUPERS Char"/>
    <w:aliases w:val="EN Footnote Reference Char"/>
    <w:basedOn w:val="Normal"/>
    <w:link w:val="FootnoteReference"/>
    <w:uiPriority w:val="99"/>
    <w:pPr>
      <w:widowControl w:val="0"/>
      <w:adjustRightInd w:val="0"/>
      <w:spacing w:after="160" w:line="240" w:lineRule="exact"/>
      <w:jc w:val="both"/>
      <w:textAlignment w:val="baseline"/>
    </w:pPr>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outlineLvl w:val="0"/>
    </w:pPr>
    <w:rPr>
      <w:rFonts w:ascii="Times New Roman" w:hAnsi="Times New Roman" w:cs="Times New Roman"/>
      <w:b/>
      <w:smallCaps/>
    </w:rPr>
  </w:style>
  <w:style w:type="paragraph" w:styleId="Heading2">
    <w:name w:val="heading 2"/>
    <w:basedOn w:val="Normal"/>
    <w:next w:val="Normal"/>
    <w:link w:val="Heading2Char"/>
    <w:uiPriority w:val="9"/>
    <w:qFormat/>
    <w:pPr>
      <w:keepNext/>
      <w:numPr>
        <w:ilvl w:val="1"/>
        <w:numId w:val="1"/>
      </w:numPr>
      <w:outlineLvl w:val="1"/>
    </w:pPr>
    <w:rPr>
      <w:rFonts w:ascii="Times New Roman" w:hAnsi="Times New Roman" w:cs="Times New Roman"/>
      <w:b/>
    </w:rPr>
  </w:style>
  <w:style w:type="paragraph" w:styleId="Heading3">
    <w:name w:val="heading 3"/>
    <w:basedOn w:val="Normal"/>
    <w:next w:val="Normal"/>
    <w:link w:val="Heading3Char"/>
    <w:uiPriority w:val="9"/>
    <w:qFormat/>
    <w:pPr>
      <w:keepNext/>
      <w:numPr>
        <w:ilvl w:val="2"/>
        <w:numId w:val="1"/>
      </w:numPr>
      <w:outlineLvl w:val="2"/>
    </w:pPr>
    <w:rPr>
      <w:rFonts w:ascii="Times New Roman" w:hAnsi="Times New Roman" w:cs="Times New Roman"/>
      <w:i/>
    </w:rPr>
  </w:style>
  <w:style w:type="paragraph" w:styleId="Heading4">
    <w:name w:val="heading 4"/>
    <w:basedOn w:val="Normal"/>
    <w:next w:val="Normal"/>
    <w:link w:val="Heading4Char"/>
    <w:uiPriority w:val="9"/>
    <w:qFormat/>
    <w:pPr>
      <w:keepNext/>
      <w:numPr>
        <w:ilvl w:val="3"/>
        <w:numId w:val="1"/>
      </w:numPr>
      <w:outlineLvl w:val="3"/>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smallCaps/>
    </w:rPr>
  </w:style>
  <w:style w:type="character" w:customStyle="1" w:styleId="Heading2Char">
    <w:name w:val="Heading 2 Char"/>
    <w:basedOn w:val="DefaultParagraphFont"/>
    <w:link w:val="Heading2"/>
    <w:uiPriority w:val="9"/>
    <w:rPr>
      <w:rFonts w:ascii="Times New Roman" w:hAnsi="Times New Roman" w:cs="Times New Roman"/>
      <w:b/>
    </w:rPr>
  </w:style>
  <w:style w:type="character" w:customStyle="1" w:styleId="Heading3Char">
    <w:name w:val="Heading 3 Char"/>
    <w:basedOn w:val="DefaultParagraphFont"/>
    <w:link w:val="Heading3"/>
    <w:uiPriority w:val="9"/>
    <w:rPr>
      <w:rFonts w:ascii="Times New Roman" w:hAnsi="Times New Roman" w:cs="Times New Roman"/>
      <w:i/>
    </w:rPr>
  </w:style>
  <w:style w:type="character" w:customStyle="1" w:styleId="Heading4Char">
    <w:name w:val="Heading 4 Char"/>
    <w:basedOn w:val="DefaultParagraphFont"/>
    <w:link w:val="Heading4"/>
    <w:uiPriority w:val="9"/>
    <w:rPr>
      <w:rFonts w:ascii="Times New Roman" w:hAnsi="Times New Roman" w:cs="Times New Roman"/>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n"/>
    <w:basedOn w:val="Normal"/>
    <w:link w:val="FootnoteTextChar"/>
    <w:uiPriority w:val="99"/>
    <w:qFormat/>
    <w:pPr>
      <w:ind w:left="357" w:hanging="357"/>
    </w:pPr>
    <w:rPr>
      <w:rFonts w:ascii="Times New Roman" w:hAnsi="Times New Roman" w:cs="Times New Roman"/>
      <w:sz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rFonts w:ascii="Times New Roman" w:hAnsi="Times New Roman" w:cs="Times New Roman"/>
      <w:sz w:val="20"/>
    </w:rPr>
  </w:style>
  <w:style w:type="paragraph" w:styleId="ListBullet">
    <w:name w:val="List Bullet"/>
    <w:basedOn w:val="Normal"/>
    <w:pPr>
      <w:numPr>
        <w:numId w:val="2"/>
      </w:numPr>
    </w:pPr>
    <w:rPr>
      <w:rFonts w:ascii="Times New Roman" w:hAnsi="Times New Roman" w:cs="Times New Roman"/>
    </w:rPr>
  </w:style>
  <w:style w:type="character" w:styleId="FootnoteReference">
    <w:name w:val="footnote reference"/>
    <w:aliases w:val="Footnote Reference/,EN Footnote Reference,Times 10 Point,Exposant 3 Point,Footnote symbol,Footnote reference number,note TESI,stylish,SUPERS,number,no...,Footnote,Footnote Reference Superscript,(Footnote Reference),Footnote number,ft"/>
    <w:link w:val="SUPERS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pPr>
      <w:spacing w:after="0" w:line="240" w:lineRule="auto"/>
    </w:pPr>
    <w:rPr>
      <w:rFonts w:ascii="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UPERSChar">
    <w:name w:val="SUPERS Char"/>
    <w:aliases w:val="EN Footnote Reference Char"/>
    <w:basedOn w:val="Normal"/>
    <w:link w:val="FootnoteReference"/>
    <w:uiPriority w:val="99"/>
    <w:pPr>
      <w:widowControl w:val="0"/>
      <w:adjustRightInd w:val="0"/>
      <w:spacing w:after="160" w:line="240" w:lineRule="exact"/>
      <w:jc w:val="both"/>
      <w:textAlignment w:val="baseline"/>
    </w:pPr>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nisites.ieep.eu/work-areas/environmental-governance/better-regulation/make-it-work/subjects/2015/08/compliance-assurance" TargetMode="External"/><Relationship Id="rId7" Type="http://schemas.openxmlformats.org/officeDocument/2006/relationships/hyperlink" Target="http://ec.europa.eu/environment/eir/p2p/index_en.htm" TargetMode="External"/><Relationship Id="rId2" Type="http://schemas.openxmlformats.org/officeDocument/2006/relationships/hyperlink" Target="http://ec.europa.eu/environment/enveco/economics_policy/pdf/report_sept2011.pdf" TargetMode="External"/><Relationship Id="rId1" Type="http://schemas.openxmlformats.org/officeDocument/2006/relationships/hyperlink" Target="http://ec.europa.eu/environment/eir/country-reports/index_en.htm" TargetMode="External"/><Relationship Id="rId6" Type="http://schemas.openxmlformats.org/officeDocument/2006/relationships/hyperlink" Target="http://ec.europa.eu/environment/legal/law/inspections.htm" TargetMode="External"/><Relationship Id="rId5" Type="http://schemas.openxmlformats.org/officeDocument/2006/relationships/hyperlink" Target="https://www.impel.eu/position-paper-on-environmental-compliance-assurance/" TargetMode="External"/><Relationship Id="rId4" Type="http://schemas.openxmlformats.org/officeDocument/2006/relationships/hyperlink" Target="https://www.impel.eu/impel-study-confirms-that-significant-challenges-remain-in-implementing-eu-environment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2190</Words>
  <Characters>15199</Characters>
  <Application>Microsoft Office Word</Application>
  <DocSecurity>0</DocSecurity>
  <Lines>286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31</cp:revision>
  <dcterms:created xsi:type="dcterms:W3CDTF">2017-12-01T09:59:00Z</dcterms:created>
  <dcterms:modified xsi:type="dcterms:W3CDTF">2018-01-11T09:41:00Z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