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CA" w:rsidRDefault="00CC6E9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E2BD707-1955-4235-85C1-1DCBFE328FF8" style="width:451pt;height:389.4pt">
            <v:imagedata r:id="rId9" o:title=""/>
          </v:shape>
        </w:pict>
      </w:r>
    </w:p>
    <w:bookmarkEnd w:id="0"/>
    <w:p w:rsidR="003236CA" w:rsidRDefault="003236CA">
      <w:pPr>
        <w:rPr>
          <w:noProof/>
        </w:rPr>
        <w:sectPr w:rsidR="003236CA">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3236CA" w:rsidRDefault="00CC6E96">
      <w:pPr>
        <w:spacing w:before="360" w:after="0" w:line="240" w:lineRule="auto"/>
        <w:jc w:val="center"/>
        <w:rPr>
          <w:rFonts w:ascii="Times New Roman" w:eastAsia="Times New Roman" w:hAnsi="Times New Roman"/>
          <w:b/>
          <w:noProof/>
          <w:sz w:val="24"/>
          <w:szCs w:val="24"/>
        </w:rPr>
      </w:pPr>
      <w:r>
        <w:rPr>
          <w:rFonts w:ascii="Times New Roman" w:hAnsi="Times New Roman"/>
          <w:b/>
          <w:noProof/>
          <w:sz w:val="24"/>
          <w:szCs w:val="24"/>
        </w:rPr>
        <w:lastRenderedPageBreak/>
        <w:t>SPOROČILO KOMISIJE EVROPSKEMU PARLAMENTU, SVETU, EVROPSKEMU EKONOMSKO-SOCIALNEMU ODBORU IN ODBORU REGIJ</w:t>
      </w:r>
    </w:p>
    <w:p w:rsidR="003236CA" w:rsidRDefault="00CC6E96">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szCs w:val="24"/>
        </w:rPr>
        <w:t>o izvajanju svežnja o krožnem gospodarstvu:</w:t>
      </w:r>
    </w:p>
    <w:p w:rsidR="003236CA" w:rsidRDefault="00CC6E96">
      <w:pPr>
        <w:spacing w:after="0" w:line="240" w:lineRule="auto"/>
        <w:jc w:val="center"/>
        <w:rPr>
          <w:rFonts w:ascii="Times New Roman" w:eastAsia="Times New Roman" w:hAnsi="Times New Roman"/>
          <w:b/>
          <w:noProof/>
          <w:sz w:val="24"/>
          <w:szCs w:val="24"/>
        </w:rPr>
      </w:pPr>
      <w:r>
        <w:rPr>
          <w:rFonts w:ascii="Times New Roman" w:hAnsi="Times New Roman"/>
          <w:b/>
          <w:noProof/>
          <w:sz w:val="24"/>
          <w:szCs w:val="24"/>
        </w:rPr>
        <w:t xml:space="preserve">možnosti za rešitev vprašanja stičišča med zakonodajo o kemikalijah, proizvodih in odpadkih </w:t>
      </w:r>
    </w:p>
    <w:p w:rsidR="003236CA" w:rsidRDefault="00CC6E96">
      <w:pPr>
        <w:spacing w:before="360" w:after="240" w:line="240" w:lineRule="auto"/>
        <w:jc w:val="center"/>
        <w:rPr>
          <w:rFonts w:ascii="Times New Roman" w:eastAsia="Times New Roman" w:hAnsi="Times New Roman"/>
          <w:noProof/>
          <w:sz w:val="24"/>
          <w:szCs w:val="24"/>
        </w:rPr>
      </w:pPr>
      <w:r>
        <w:rPr>
          <w:rFonts w:ascii="Times New Roman" w:hAnsi="Times New Roman"/>
          <w:noProof/>
          <w:sz w:val="24"/>
          <w:szCs w:val="24"/>
        </w:rPr>
        <w:t xml:space="preserve"> (Besedilo velja za EGP)</w:t>
      </w:r>
    </w:p>
    <w:p w:rsidR="003236CA" w:rsidRDefault="00CC6E96">
      <w:pPr>
        <w:pStyle w:val="ManualHeading1"/>
        <w:rPr>
          <w:noProof/>
        </w:rPr>
      </w:pPr>
      <w:r>
        <w:rPr>
          <w:noProof/>
        </w:rPr>
        <w:t>1.</w:t>
      </w:r>
      <w:r>
        <w:rPr>
          <w:noProof/>
        </w:rPr>
        <w:tab/>
        <w:t>Uvod</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Evropska komisija je decembra 2015 sprejela ambiciozen sveženj o krožnem gospodarstvu, da bi podjetjem in potrošnikom v EU </w:t>
      </w:r>
      <w:r>
        <w:rPr>
          <w:rFonts w:ascii="Times New Roman" w:hAnsi="Times New Roman"/>
          <w:noProof/>
          <w:sz w:val="24"/>
          <w:szCs w:val="24"/>
        </w:rPr>
        <w:t>pomagala pri prehodu na močnejše in bolj krožno gospodarstvo, v katerem se viri uporabljajo bolj trajnostno.</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Predlagani ukrepi, kot je na primer povečanje recikliranja in ponovne uporabe, so prispevali k „zaprtju zanke“ življenjskih ciklov proizvodov in pr</w:t>
      </w:r>
      <w:r>
        <w:rPr>
          <w:rFonts w:ascii="Times New Roman" w:hAnsi="Times New Roman"/>
          <w:noProof/>
          <w:sz w:val="24"/>
          <w:szCs w:val="24"/>
        </w:rPr>
        <w:t xml:space="preserve">inesli koristi za okolje in gospodarstvo. Njihov cilj je omogočiti, da bi čim bolj izkoristili vse surovine, proizvode in odpadke ter njihovo vrednost, s čimer se bodo povečali prihranki energije in zmanjšale emisije toplogrednih plinov.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Prisotnost nekate</w:t>
      </w:r>
      <w:r>
        <w:rPr>
          <w:rFonts w:ascii="Times New Roman" w:hAnsi="Times New Roman"/>
          <w:noProof/>
          <w:sz w:val="24"/>
          <w:szCs w:val="24"/>
        </w:rPr>
        <w:t>rih kemikalij lahko ovira recikliranje in ponovno uporabo. Nekatere kemikalije so lahko tehnične prepreke, zaradi katerih je recikliranje nemogoče. V nekaterih primerih lahko uporabo recikliranega materiala prepreči celo neškodljiva snov, če je npr. močneg</w:t>
      </w:r>
      <w:r>
        <w:rPr>
          <w:rFonts w:ascii="Times New Roman" w:hAnsi="Times New Roman"/>
          <w:noProof/>
          <w:sz w:val="24"/>
          <w:szCs w:val="24"/>
        </w:rPr>
        <w:t>a vonja</w:t>
      </w:r>
      <w:r>
        <w:rPr>
          <w:rStyle w:val="FootnoteReference"/>
          <w:rFonts w:ascii="Times New Roman" w:hAnsi="Times New Roman"/>
          <w:noProof/>
          <w:sz w:val="24"/>
          <w:szCs w:val="24"/>
        </w:rPr>
        <w:footnoteReference w:id="1"/>
      </w:r>
      <w:r>
        <w:rPr>
          <w:rFonts w:ascii="Times New Roman" w:hAnsi="Times New Roman"/>
          <w:noProof/>
          <w:sz w:val="24"/>
          <w:szCs w:val="24"/>
        </w:rPr>
        <w:t>. Druge kemikalije so škodljive za ljudi ali okolje. Odkrivajo vse več takih snovi, za katere potem veljajo omejitve ali prepovedi. Take kemikalije so lahko v proizvodih, ki so se prodajali, še preden so omejitve začele veljati. Nekatere od njih im</w:t>
      </w:r>
      <w:r>
        <w:rPr>
          <w:rFonts w:ascii="Times New Roman" w:hAnsi="Times New Roman"/>
          <w:noProof/>
          <w:sz w:val="24"/>
          <w:szCs w:val="24"/>
        </w:rPr>
        <w:t>ajo dolgo življenjsko dobo, tako da je v tokovih recikliranja včasih mogoče najti prepovedane kemikalije. Odkrivanje ali odstranjevanje takšnih snovi je lahko drago, kar pomeni oviro zlasti za majhna reciklažna podjetja. Vse te raznovrstne kemikalije imenu</w:t>
      </w:r>
      <w:r>
        <w:rPr>
          <w:rFonts w:ascii="Times New Roman" w:hAnsi="Times New Roman"/>
          <w:noProof/>
          <w:sz w:val="24"/>
          <w:szCs w:val="24"/>
        </w:rPr>
        <w:t>jemo „snovi, ki vzbujajo zaskrbljenost“.</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Sporočilo in priloženi delovni dokument služb Komisije sta nastala na podlagi medsektorskega sodelovanja med strokovnjaki, zadolženimi za različna zakonodajna področja. Izvedeno je bilo tudi obsežno ciljno posvetova</w:t>
      </w:r>
      <w:r>
        <w:rPr>
          <w:rFonts w:ascii="Times New Roman" w:hAnsi="Times New Roman"/>
          <w:noProof/>
          <w:sz w:val="24"/>
          <w:szCs w:val="24"/>
        </w:rPr>
        <w:t xml:space="preserve">nje z zainteresiranimi stranmi, ki je potekalo od 12. aprila do 7. julija 2017, in prejeti so bili odgovori od več kot 100 strokovnjakov.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V sporočilu preučujemo štiri največje težave, ki so bile ugotovljene glede součinkovanja zakonodaje o kemičnih snoveh</w:t>
      </w:r>
      <w:r>
        <w:rPr>
          <w:rFonts w:ascii="Times New Roman" w:hAnsi="Times New Roman"/>
          <w:noProof/>
          <w:sz w:val="24"/>
          <w:szCs w:val="24"/>
        </w:rPr>
        <w:t>, proizvodih in odpadkih, in pojasnjujemo, kako te težave ovirajo krožno gospodarstvo. Na tej podlagi postavljamo konkretna ključna vprašanja o reševanju teh težav in navajamo ukrepe, ki jih bo Komisija začela izvajati že zdaj. Službe Komisije so v prilože</w:t>
      </w:r>
      <w:r>
        <w:rPr>
          <w:rFonts w:ascii="Times New Roman" w:hAnsi="Times New Roman"/>
          <w:noProof/>
          <w:sz w:val="24"/>
          <w:szCs w:val="24"/>
        </w:rPr>
        <w:t>nem delovnem dokumentu podale podrobnejšo analizo pravnih in tehnoloških izzivov, o katerih bi bilo po našem mnenju treba razpravljati, in predlagale možnosti za to.</w:t>
      </w:r>
    </w:p>
    <w:p w:rsidR="003236CA" w:rsidRDefault="00CC6E96">
      <w:pPr>
        <w:pStyle w:val="ManualHeading1"/>
        <w:rPr>
          <w:noProof/>
        </w:rPr>
      </w:pPr>
      <w:r>
        <w:rPr>
          <w:noProof/>
        </w:rPr>
        <w:lastRenderedPageBreak/>
        <w:t>2.</w:t>
      </w:r>
      <w:r>
        <w:rPr>
          <w:noProof/>
        </w:rPr>
        <w:tab/>
        <w:t>Kaj je naš cilj?</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Akcijski načrt za krožno gospodarstvo je vseboval dva cilja:</w:t>
      </w:r>
    </w:p>
    <w:p w:rsidR="003236CA" w:rsidRDefault="00CC6E96">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szCs w:val="24"/>
        </w:rPr>
        <w:t>omogočiti</w:t>
      </w:r>
      <w:r>
        <w:rPr>
          <w:rFonts w:ascii="Times New Roman" w:hAnsi="Times New Roman"/>
          <w:noProof/>
          <w:sz w:val="24"/>
          <w:szCs w:val="24"/>
        </w:rPr>
        <w:t xml:space="preserve"> recikliranje in izboljšati uporabo sekundarnih surovin z omejevanjem nepotrebnih bremen ter omogočiti lažji čezmejni promet s sekundarnimi surovinami, da bi bilo mogoče z njimi trgovati po vsej EU, ter</w:t>
      </w:r>
    </w:p>
    <w:p w:rsidR="003236CA" w:rsidRDefault="00CC6E96">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nadomestiti snovi, ki vzbujajo zaskrbljenost, oziroma, če to ni mogoče, zmanjšati njihovo prisotnost in izboljšati njihovo sledljivost.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Prvi od teh ciljev izvira iz politike o odpadkih, drugi pa iz politike o kemikalijah. Zanju pogosto velja, da sta si v </w:t>
      </w:r>
      <w:r>
        <w:rPr>
          <w:rFonts w:ascii="Times New Roman" w:hAnsi="Times New Roman"/>
          <w:noProof/>
          <w:sz w:val="24"/>
          <w:szCs w:val="24"/>
        </w:rPr>
        <w:t xml:space="preserve">nasprotju, in očitajo jima, da eno področje politike ovira izpolnjevanje ciljev na drugem področju.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Cilj tega sporočila je v Uniji spodbuditi obširno razpravo o tem, kako bi lahko zadovoljivo rešili najpomembnejše elemente, ki se pojavljajo na stičišču za</w:t>
      </w:r>
      <w:r>
        <w:rPr>
          <w:rFonts w:ascii="Times New Roman" w:hAnsi="Times New Roman"/>
          <w:noProof/>
          <w:sz w:val="24"/>
          <w:szCs w:val="24"/>
        </w:rPr>
        <w:t xml:space="preserve">konodaje o kemikalijah, proizvodih in odpadkih. V rešitvah bi moralo biti upoštevano, da imajo na tem področju politike pomembno vlogo posebne okoliščine, ki so pogosto regionalne ali celo lokalne.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Iščemo rešitve, ki bi uživale široko podporo udeleženih z</w:t>
      </w:r>
      <w:r>
        <w:rPr>
          <w:rFonts w:ascii="Times New Roman" w:hAnsi="Times New Roman"/>
          <w:noProof/>
          <w:sz w:val="24"/>
          <w:szCs w:val="24"/>
        </w:rPr>
        <w:t xml:space="preserve">ainteresiranih strani in ki bi se morale izvajati na ustrezni ravni. Če lahko s pomočjo nacionalnih ali lokalnih rešitev dosežemo boljše rezultate, ni treba vseh težav reševati na ravni EU. </w:t>
      </w:r>
    </w:p>
    <w:p w:rsidR="003236CA" w:rsidRDefault="00CC6E96">
      <w:pPr>
        <w:pStyle w:val="ManualHeading1"/>
        <w:rPr>
          <w:noProof/>
        </w:rPr>
      </w:pPr>
      <w:r>
        <w:rPr>
          <w:noProof/>
        </w:rPr>
        <w:t>3.</w:t>
      </w:r>
      <w:r>
        <w:rPr>
          <w:noProof/>
        </w:rPr>
        <w:tab/>
        <w:t>Štiri ugotovljene težave</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Na odprtem, konkurenčnem trgu EU podj</w:t>
      </w:r>
      <w:r>
        <w:rPr>
          <w:rFonts w:ascii="Times New Roman" w:hAnsi="Times New Roman"/>
          <w:noProof/>
          <w:sz w:val="24"/>
          <w:szCs w:val="24"/>
        </w:rPr>
        <w:t>etja za proizvodnjo blaga uporabljajo materiale, ki po njihovem mnenju najbolje zadovoljujejo njihove potrebe. Potem ko se odpadki predelajo, da bi znova vstopili na trg, ti predelani materiali neposredno konkurirajo primarnim materialom. Zato je konkurenč</w:t>
      </w:r>
      <w:r>
        <w:rPr>
          <w:rFonts w:ascii="Times New Roman" w:hAnsi="Times New Roman"/>
          <w:noProof/>
          <w:sz w:val="24"/>
          <w:szCs w:val="24"/>
        </w:rPr>
        <w:t xml:space="preserve">ni položaj predelanega materiala najboljši, če čim bolj ustreza primarnemu materialu po učinkovitosti in kakovosti. Tako ima predelani material več možnosti za uporabo.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Predelani materiali, ki vsebujejo snovi, ki vzbujajo zaskrbljenost, se morda ne bodo u</w:t>
      </w:r>
      <w:r>
        <w:rPr>
          <w:rFonts w:ascii="Times New Roman" w:hAnsi="Times New Roman"/>
          <w:noProof/>
          <w:sz w:val="24"/>
          <w:szCs w:val="24"/>
        </w:rPr>
        <w:t>porabljali, ker bi lahko že njihova uporaba škodovala javni podobi proizvoda, ki vsebuje ta material. Poleg tega teh materialov v nekaterih primerih morda ni dovoljeno ponovno uporabljati npr. za proizvodnjo novih materialov, ki prihajajo v stik s hrano.</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D</w:t>
      </w:r>
      <w:r>
        <w:rPr>
          <w:rFonts w:ascii="Times New Roman" w:hAnsi="Times New Roman"/>
          <w:noProof/>
          <w:sz w:val="24"/>
          <w:szCs w:val="24"/>
        </w:rPr>
        <w:t>a bi prispevali k uspehu Unije pri doseganju čim višje stopnje recikliranja in čim nižje stopnje uporabe primarnih materialov, smo temeljito preučili pravila EU, ki se uporabljajo za ravnanje z odpadki, kemikalijami in proizvodi, ter ugotovili, da se na st</w:t>
      </w:r>
      <w:r>
        <w:rPr>
          <w:rFonts w:ascii="Times New Roman" w:hAnsi="Times New Roman"/>
          <w:noProof/>
          <w:sz w:val="24"/>
          <w:szCs w:val="24"/>
        </w:rPr>
        <w:t xml:space="preserve">ičišču teh pravil pojavljajo štiri glavne težave. </w:t>
      </w:r>
    </w:p>
    <w:p w:rsidR="003236CA" w:rsidRDefault="003236CA">
      <w:pPr>
        <w:spacing w:before="120" w:after="120" w:line="240" w:lineRule="auto"/>
        <w:jc w:val="both"/>
        <w:rPr>
          <w:rFonts w:ascii="Times New Roman" w:hAnsi="Times New Roman"/>
          <w:noProof/>
          <w:sz w:val="24"/>
          <w:szCs w:val="24"/>
        </w:rPr>
      </w:pPr>
    </w:p>
    <w:p w:rsidR="003236CA" w:rsidRDefault="00CC6E96">
      <w:pPr>
        <w:pStyle w:val="ManualHeading2"/>
        <w:rPr>
          <w:noProof/>
        </w:rPr>
      </w:pPr>
      <w:r>
        <w:rPr>
          <w:noProof/>
        </w:rPr>
        <w:t>3.1</w:t>
      </w:r>
      <w:r>
        <w:rPr>
          <w:noProof/>
        </w:rPr>
        <w:tab/>
        <w:t>Informacije o snoveh, ki vzbujajo zaskrbljenost, niso takoj na voljo tistim, ki ravnajo z odpadki in jih pripravljajo za predelavo.</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Odpadki so pogosto sestavljeni iz mešanega blaga, ki je bilo proizve</w:t>
      </w:r>
      <w:r>
        <w:rPr>
          <w:rFonts w:ascii="Times New Roman" w:hAnsi="Times New Roman"/>
          <w:noProof/>
          <w:sz w:val="24"/>
          <w:szCs w:val="24"/>
        </w:rPr>
        <w:t>deno v različnih obdobjih in izpolnjuje različne standarde za proizvode. Podjetja, ki se ukvarjajo z odpadki, pogosto nimajo na razpolago podatkov o sestavi zavrženega blaga, s katerim ravnajo, ker teh podatkov ni ali pa v času, ko blago postane odpadek, n</w:t>
      </w:r>
      <w:r>
        <w:rPr>
          <w:rFonts w:ascii="Times New Roman" w:hAnsi="Times New Roman"/>
          <w:noProof/>
          <w:sz w:val="24"/>
          <w:szCs w:val="24"/>
        </w:rPr>
        <w:t xml:space="preserve">iso več na razpolago. Poleg tega lahko na materiale vpliva naključna kontaminacija, ki so ji izpostavljeni v svojem življenjskem ciklu.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u w:val="single"/>
              </w:rPr>
              <w:t>Primer</w:t>
            </w:r>
            <w:r>
              <w:rPr>
                <w:rFonts w:ascii="Times New Roman" w:hAnsi="Times New Roman"/>
                <w:noProof/>
                <w:sz w:val="24"/>
                <w:szCs w:val="24"/>
              </w:rPr>
              <w:t xml:space="preserve">: papirna industrija si prizadeva, da bi bili njeni proizvodi varni in bi jih bilo mogoče </w:t>
            </w:r>
            <w:r>
              <w:rPr>
                <w:rFonts w:ascii="Times New Roman" w:hAnsi="Times New Roman"/>
                <w:noProof/>
                <w:sz w:val="24"/>
                <w:szCs w:val="24"/>
              </w:rPr>
              <w:lastRenderedPageBreak/>
              <w:t>brez težav reciklirati.</w:t>
            </w:r>
            <w:r>
              <w:rPr>
                <w:rFonts w:ascii="Times New Roman" w:hAnsi="Times New Roman"/>
                <w:noProof/>
                <w:sz w:val="24"/>
                <w:szCs w:val="24"/>
              </w:rPr>
              <w:t xml:space="preserve"> Ko papir uporabijo obrati za predelavo, da bi iz njega naredili tiskovine, se lahko dodajo črnila in druge snovi. Po sedanjih pravilih obrati za recikliranje papirja ne morejo dobiti zadostnih informacij o kemikalijah, ki so bile dodane v prejšnjih življe</w:t>
            </w:r>
            <w:r>
              <w:rPr>
                <w:rFonts w:ascii="Times New Roman" w:hAnsi="Times New Roman"/>
                <w:noProof/>
                <w:sz w:val="24"/>
                <w:szCs w:val="24"/>
              </w:rPr>
              <w:t>njskih ciklih. To omejuje recikliranje papirja in povečuje stroške, ki nastajajo zaradi potrebnih dodatnih pregledov in preizkusov</w:t>
            </w:r>
            <w:r>
              <w:rPr>
                <w:rStyle w:val="FootnoteReference"/>
                <w:rFonts w:ascii="Times New Roman" w:eastAsia="Times New Roman" w:hAnsi="Times New Roman"/>
                <w:noProof/>
                <w:sz w:val="24"/>
                <w:szCs w:val="24"/>
              </w:rPr>
              <w:footnoteReference w:id="2"/>
            </w:r>
            <w:r>
              <w:rPr>
                <w:rFonts w:ascii="Times New Roman" w:hAnsi="Times New Roman"/>
                <w:noProof/>
                <w:sz w:val="24"/>
                <w:szCs w:val="24"/>
              </w:rPr>
              <w:t>. Znani so nedavni primeri, ko so v živilih odkrili ostanke črnila in mineralnih olj, ki so vanje prišli iz embalaže, narejen</w:t>
            </w:r>
            <w:r>
              <w:rPr>
                <w:rFonts w:ascii="Times New Roman" w:hAnsi="Times New Roman"/>
                <w:noProof/>
                <w:sz w:val="24"/>
                <w:szCs w:val="24"/>
              </w:rPr>
              <w:t>e iz recikliranega papirja in kartona</w:t>
            </w:r>
            <w:r>
              <w:rPr>
                <w:rStyle w:val="FootnoteReference"/>
                <w:rFonts w:ascii="Times New Roman" w:eastAsia="Times New Roman" w:hAnsi="Times New Roman"/>
                <w:noProof/>
                <w:sz w:val="24"/>
                <w:szCs w:val="24"/>
              </w:rPr>
              <w:footnoteReference w:id="3"/>
            </w:r>
            <w:r>
              <w:rPr>
                <w:rFonts w:ascii="Times New Roman" w:hAnsi="Times New Roman"/>
                <w:noProof/>
                <w:sz w:val="24"/>
                <w:szCs w:val="24"/>
              </w:rPr>
              <w:t xml:space="preserve">.   </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Poleg tega študije o odpadni električni in elektronski opremi, ki so jih izvedle države članice, kažejo, da se informacije, ki se zahtevajo na podlagi prava EU, le redko posredujejo obratom za predelavo odpadkov o</w:t>
            </w:r>
            <w:r>
              <w:rPr>
                <w:rFonts w:ascii="Times New Roman" w:hAnsi="Times New Roman"/>
                <w:noProof/>
                <w:sz w:val="24"/>
                <w:szCs w:val="24"/>
              </w:rPr>
              <w:t>ziroma so jim le redko na razpolago</w:t>
            </w:r>
            <w:r>
              <w:rPr>
                <w:rStyle w:val="FootnoteReference"/>
                <w:rFonts w:ascii="Times New Roman" w:eastAsia="Times New Roman" w:hAnsi="Times New Roman"/>
                <w:noProof/>
                <w:sz w:val="24"/>
                <w:szCs w:val="24"/>
              </w:rPr>
              <w:footnoteReference w:id="4"/>
            </w:r>
            <w:r>
              <w:rPr>
                <w:rFonts w:ascii="Times New Roman" w:hAnsi="Times New Roman"/>
                <w:noProof/>
                <w:sz w:val="24"/>
                <w:szCs w:val="24"/>
              </w:rPr>
              <w:t>.</w:t>
            </w:r>
          </w:p>
        </w:tc>
      </w:tr>
    </w:tbl>
    <w:p w:rsidR="003236CA" w:rsidRDefault="003236CA">
      <w:pPr>
        <w:spacing w:before="120" w:after="120" w:line="240" w:lineRule="auto"/>
        <w:jc w:val="both"/>
        <w:rPr>
          <w:rFonts w:ascii="Times New Roman" w:hAnsi="Times New Roman"/>
          <w:noProof/>
          <w:sz w:val="24"/>
          <w:szCs w:val="24"/>
        </w:rPr>
      </w:pPr>
    </w:p>
    <w:p w:rsidR="003236CA" w:rsidRDefault="00CC6E96">
      <w:pPr>
        <w:pStyle w:val="ManualHeading3"/>
        <w:rPr>
          <w:noProof/>
        </w:rPr>
      </w:pPr>
      <w:r>
        <w:t>3.1.1.</w:t>
      </w:r>
      <w:r>
        <w:tab/>
      </w:r>
      <w:r>
        <w:rPr>
          <w:noProof/>
        </w:rPr>
        <w:t>Cilj</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Zagotoviti moramo, da bodo podatki o snoveh, ki vzbujajo zaskrbljenost, na voljo vsem akterjem v dobavni verigi in da bodo nazadnje na razpolago tudi obratom za ravnanje z odpadki. To bo prispevalo k </w:t>
      </w:r>
      <w:r>
        <w:rPr>
          <w:rFonts w:ascii="Times New Roman" w:hAnsi="Times New Roman"/>
          <w:noProof/>
          <w:sz w:val="24"/>
          <w:szCs w:val="24"/>
        </w:rPr>
        <w:t>spodbujanju ciklov nestrupenih materialov in izboljšalo upravljanje tveganja pri kemikalijah med popravilom in drugimi oblikami ponovne uporabe ter pri procesih predelave odpadkov.</w:t>
      </w:r>
    </w:p>
    <w:p w:rsidR="00CC6E96" w:rsidRPr="00CC6E96" w:rsidRDefault="00CC6E96" w:rsidP="00CC6E96">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CC6E96" w:rsidRPr="00CC6E96" w:rsidRDefault="00CC6E96" w:rsidP="00CC6E96">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CC6E96" w:rsidRPr="00CC6E96" w:rsidRDefault="00CC6E96" w:rsidP="00CC6E96">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CC6E96" w:rsidRPr="00CC6E96" w:rsidRDefault="00CC6E96" w:rsidP="00CC6E96">
      <w:pPr>
        <w:pStyle w:val="ListParagraph"/>
        <w:keepNext/>
        <w:numPr>
          <w:ilvl w:val="1"/>
          <w:numId w:val="9"/>
        </w:numPr>
        <w:spacing w:before="120" w:after="120" w:line="240" w:lineRule="auto"/>
        <w:jc w:val="both"/>
        <w:outlineLvl w:val="1"/>
        <w:rPr>
          <w:rFonts w:ascii="Times New Roman" w:eastAsia="Times New Roman" w:hAnsi="Times New Roman"/>
          <w:b/>
          <w:bCs/>
          <w:iCs/>
          <w:noProof/>
          <w:vanish/>
          <w:sz w:val="24"/>
          <w:szCs w:val="28"/>
        </w:rPr>
      </w:pPr>
    </w:p>
    <w:p w:rsidR="00CC6E96" w:rsidRPr="00CC6E96" w:rsidRDefault="00CC6E96" w:rsidP="00CC6E96">
      <w:pPr>
        <w:pStyle w:val="ListParagraph"/>
        <w:keepNext/>
        <w:numPr>
          <w:ilvl w:val="2"/>
          <w:numId w:val="9"/>
        </w:numPr>
        <w:spacing w:before="120" w:after="120" w:line="240" w:lineRule="auto"/>
        <w:jc w:val="both"/>
        <w:outlineLvl w:val="2"/>
        <w:rPr>
          <w:rFonts w:ascii="Times New Roman" w:eastAsia="Times New Roman" w:hAnsi="Times New Roman"/>
          <w:bCs/>
          <w:i/>
          <w:noProof/>
          <w:vanish/>
          <w:sz w:val="24"/>
          <w:szCs w:val="26"/>
        </w:rPr>
      </w:pPr>
    </w:p>
    <w:p w:rsidR="003236CA" w:rsidRDefault="00CC6E96" w:rsidP="00CC6E96">
      <w:pPr>
        <w:pStyle w:val="Heading3"/>
        <w:rPr>
          <w:noProof/>
        </w:rPr>
      </w:pPr>
      <w:bookmarkStart w:id="1" w:name="_GoBack"/>
      <w:bookmarkEnd w:id="1"/>
      <w:r>
        <w:rPr>
          <w:noProof/>
        </w:rPr>
        <w:t>Predvideni ukrepi</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Vzporedno s tem posvetovanjem bomo izboljšali bazo dokazi</w:t>
      </w:r>
      <w:r>
        <w:rPr>
          <w:rFonts w:ascii="Times New Roman" w:hAnsi="Times New Roman"/>
          <w:noProof/>
          <w:sz w:val="24"/>
          <w:szCs w:val="24"/>
        </w:rPr>
        <w:t>l, in sicer z izvedbo študije o izvedljivosti, v kateri bodo obravnavani reprezentativni sektorji, o uporabi različnih informacijskih sistemov in strategij, s katerimi bi lahko omogočili, da bi ustrezne informacije tekle po dobavnih verigah proizvodov in k</w:t>
      </w:r>
      <w:r>
        <w:rPr>
          <w:rFonts w:ascii="Times New Roman" w:hAnsi="Times New Roman"/>
          <w:noProof/>
          <w:sz w:val="24"/>
          <w:szCs w:val="24"/>
        </w:rPr>
        <w:t xml:space="preserve"> izvajalcem recikliranja. Pričakujemo, da bo študija pripravljena do konca leta 2019. Med drugimi načrtovanimi dejavnostmi je razvoj delovnih postopkov, s katerimi bi zagotovili, da uvoženi izdelki ne bodo vsebovali snovi, ki v EU nimajo dovoljenja za upor</w:t>
      </w:r>
      <w:r>
        <w:rPr>
          <w:rFonts w:ascii="Times New Roman" w:hAnsi="Times New Roman"/>
          <w:noProof/>
          <w:sz w:val="24"/>
          <w:szCs w:val="24"/>
        </w:rPr>
        <w:t>abo v proizvodnji, ter poenostavljenih postopkov za omejevanje uporabe snovi CMR</w:t>
      </w:r>
      <w:r>
        <w:rPr>
          <w:rStyle w:val="FootnoteReference"/>
          <w:rFonts w:ascii="Times New Roman" w:eastAsia="Times New Roman" w:hAnsi="Times New Roman"/>
          <w:noProof/>
          <w:sz w:val="24"/>
          <w:szCs w:val="24"/>
          <w:lang w:eastAsia="fr-FR"/>
        </w:rPr>
        <w:footnoteReference w:id="5"/>
      </w:r>
      <w:r>
        <w:rPr>
          <w:rFonts w:ascii="Times New Roman" w:hAnsi="Times New Roman"/>
          <w:noProof/>
          <w:sz w:val="24"/>
          <w:szCs w:val="24"/>
        </w:rPr>
        <w:t xml:space="preserve"> v potrošniških proizvodih. </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hAnsi="Times New Roman"/>
                <w:b/>
                <w:noProof/>
                <w:sz w:val="24"/>
                <w:szCs w:val="24"/>
              </w:rPr>
            </w:pPr>
            <w:r>
              <w:rPr>
                <w:rFonts w:ascii="Times New Roman" w:hAnsi="Times New Roman"/>
                <w:b/>
                <w:noProof/>
                <w:sz w:val="24"/>
                <w:szCs w:val="24"/>
              </w:rPr>
              <w:t xml:space="preserve">Vprašanja: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Kaj bi bila dodana vrednost uvedbe obveznega informacijskega sistema v Uniji, ki bi izvajalce ravnanja z odpadki in predelovalne obrate obveščal o prisotnosti snovi, ki vzbujajo zaskrbljenost?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Kako naj ravnamo z blagom, ki je uvoženo v Unijo?</w:t>
            </w:r>
          </w:p>
        </w:tc>
      </w:tr>
    </w:tbl>
    <w:p w:rsidR="003236CA" w:rsidRDefault="00CC6E96">
      <w:pPr>
        <w:pStyle w:val="ManualHeading2"/>
        <w:rPr>
          <w:noProof/>
        </w:rPr>
      </w:pPr>
      <w:r>
        <w:rPr>
          <w:noProof/>
        </w:rPr>
        <w:t>3.2</w:t>
      </w:r>
      <w:r>
        <w:rPr>
          <w:noProof/>
        </w:rPr>
        <w:tab/>
        <w:t>Odpadki</w:t>
      </w:r>
      <w:r>
        <w:rPr>
          <w:noProof/>
        </w:rPr>
        <w:t xml:space="preserve"> lahko vsebujejo snovi, ki v novih proizvodih niso več dovoljene.</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Ves čas se dajejo na trg nove kemikalije, druge pa se prepovedujejo, če se odkrije, da pomenijo tveganje. Posledica tega nenehnega procesa je, da lahko proizvodi, ki se danes proizvajajo zak</w:t>
      </w:r>
      <w:r>
        <w:rPr>
          <w:rFonts w:ascii="Times New Roman" w:hAnsi="Times New Roman"/>
          <w:noProof/>
          <w:sz w:val="24"/>
          <w:szCs w:val="24"/>
        </w:rPr>
        <w:t>onito, vsebujejo snov, ki bi lahko bila pozneje prepovedana. Ko proizvod postane odpadek in se potem predela, predelani material morda še vedno vsebuje prepovedano snov. To se imenuje težava s „podedovanimi snovmi“.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szCs w:val="24"/>
              </w:rPr>
              <w:t>Primer: primerov za probleme s „podedova</w:t>
            </w:r>
            <w:r>
              <w:rPr>
                <w:rFonts w:ascii="Times New Roman" w:hAnsi="Times New Roman"/>
                <w:noProof/>
                <w:sz w:val="24"/>
                <w:szCs w:val="24"/>
              </w:rPr>
              <w:t>nimi snovmi“ je veliko. Npr.: sporočeno je bilo, da so bili v recikliranih plastičnih proizvodih, tudi igračah in kuhinjskih pripomočkih, najdeni nekateri bromirani zaviralci gorenja, ki so obstojni, se kopičijo v organizmih in so strupeni</w:t>
            </w:r>
            <w:r>
              <w:rPr>
                <w:rStyle w:val="FootnoteReference"/>
                <w:rFonts w:ascii="Times New Roman" w:hAnsi="Times New Roman"/>
                <w:noProof/>
                <w:sz w:val="24"/>
                <w:szCs w:val="24"/>
              </w:rPr>
              <w:footnoteReference w:id="6"/>
            </w:r>
            <w:r>
              <w:rPr>
                <w:rFonts w:ascii="Times New Roman" w:hAnsi="Times New Roman"/>
                <w:noProof/>
                <w:sz w:val="24"/>
                <w:szCs w:val="24"/>
              </w:rPr>
              <w:t xml:space="preserve">. Še en primer: </w:t>
            </w:r>
            <w:r>
              <w:rPr>
                <w:rFonts w:ascii="Times New Roman" w:hAnsi="Times New Roman"/>
                <w:noProof/>
                <w:sz w:val="24"/>
                <w:szCs w:val="24"/>
              </w:rPr>
              <w:t xml:space="preserve">uporaba nekaterih snovi, ki so se prvotno dodajale PVC za mehčanje, je zdaj regulirana, to pa pomeni, da se reciklirani PVC, ki vsebuje te snovi, v EU ne bi smel uporabljati ali dajati na trg. </w:t>
            </w:r>
          </w:p>
        </w:tc>
      </w:tr>
    </w:tbl>
    <w:p w:rsidR="003236CA" w:rsidRDefault="00CC6E96">
      <w:pPr>
        <w:pStyle w:val="ManualHeading3"/>
        <w:rPr>
          <w:noProof/>
        </w:rPr>
      </w:pPr>
      <w:r>
        <w:rPr>
          <w:noProof/>
        </w:rPr>
        <w:t>3.2.1</w:t>
      </w:r>
      <w:r>
        <w:rPr>
          <w:noProof/>
        </w:rPr>
        <w:tab/>
        <w:t>Cilj</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S spodbujanjem ciklov nestrupenih materialov moramo olajšati recikliranje in izboljšati uporabo sekundarnih surovin. Poleg tega moramo, če razmišljamo o možnih kemičnih omejitvah in izvzetjih iz omejitev, biti bolj pozorni na njihov vpliv na recikliranje i</w:t>
      </w:r>
      <w:r>
        <w:rPr>
          <w:rFonts w:ascii="Times New Roman" w:hAnsi="Times New Roman"/>
          <w:noProof/>
          <w:sz w:val="24"/>
          <w:szCs w:val="24"/>
        </w:rPr>
        <w:t xml:space="preserve">n ponovno uporabo v prihodnosti. </w:t>
      </w:r>
    </w:p>
    <w:p w:rsidR="003236CA" w:rsidRDefault="00CC6E96">
      <w:pPr>
        <w:pStyle w:val="ManualHeading3"/>
        <w:rPr>
          <w:noProof/>
        </w:rPr>
      </w:pPr>
      <w:r>
        <w:rPr>
          <w:noProof/>
        </w:rPr>
        <w:t>3.2.2</w:t>
      </w:r>
      <w:r>
        <w:rPr>
          <w:noProof/>
        </w:rPr>
        <w:tab/>
        <w:t>Predvideni ukrepi</w:t>
      </w:r>
    </w:p>
    <w:p w:rsidR="003236CA" w:rsidRDefault="00CC6E96">
      <w:pPr>
        <w:pStyle w:val="Text1"/>
        <w:ind w:left="0"/>
        <w:rPr>
          <w:noProof/>
        </w:rPr>
      </w:pPr>
      <w:r>
        <w:rPr>
          <w:noProof/>
        </w:rPr>
        <w:t>Težava s podedovanimi snovmi bo še naprej ovirala krožno gospodarstvo, zato si bomo prizadevali oblikovati posebno metodologijo odločanja za pomoč pri odločitvah o možnosti recikliranja odpadkov, ki</w:t>
      </w:r>
      <w:r>
        <w:rPr>
          <w:noProof/>
        </w:rPr>
        <w:t xml:space="preserve"> vsebujejo snovi, ki vzbujajo zaskrbljenost. V tej metodologiji bo upoštevana celotna stroškovna učinkovitost recikliranja materiala v primerjavi z njegovim odlaganjem (vključno s sežigom z energijsko predelavo). Delo bo po pričakovanjih končano sredi leta</w:t>
      </w:r>
      <w:r>
        <w:rPr>
          <w:noProof/>
        </w:rPr>
        <w:t xml:space="preserve"> 2019. </w:t>
      </w:r>
    </w:p>
    <w:p w:rsidR="003236CA" w:rsidRDefault="00CC6E96">
      <w:pPr>
        <w:pStyle w:val="Text1"/>
        <w:ind w:left="0"/>
        <w:rPr>
          <w:noProof/>
        </w:rPr>
      </w:pPr>
      <w:r>
        <w:rPr>
          <w:noProof/>
        </w:rPr>
        <w:t>Menimo tudi, da bi bilo treba pripraviti smernice, s katerimi bi zagotovili, da bi bilo vprašanje prisotnosti snovi, ki vzbujajo zaskrbljenost, v predelanih materialih bolje rešeno že v zgodnjih fazah priprave predlogov za obvladovanje tveganja pri</w:t>
      </w:r>
      <w:r>
        <w:rPr>
          <w:noProof/>
        </w:rPr>
        <w:t xml:space="preserve"> snoveh, ki vzbujajo zaskrbljenost.</w:t>
      </w:r>
    </w:p>
    <w:p w:rsidR="003236CA" w:rsidRDefault="00CC6E96">
      <w:pPr>
        <w:pStyle w:val="Text1"/>
        <w:ind w:left="0"/>
        <w:rPr>
          <w:noProof/>
        </w:rPr>
      </w:pPr>
      <w:r>
        <w:rPr>
          <w:noProof/>
        </w:rPr>
        <w:t>Razmišljamo pa tudi o sprejetju izvedbene zakonodaje, ki bi omogočila učinkovit nadzor nad uporabo sedanjega izvzetja iz obveznosti registracije po uredbi REACH za predelane snovi.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Vprašanja: </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Kako bi lahko medsebojno us</w:t>
            </w:r>
            <w:r>
              <w:rPr>
                <w:rFonts w:ascii="Times New Roman" w:hAnsi="Times New Roman"/>
                <w:noProof/>
                <w:sz w:val="24"/>
                <w:szCs w:val="24"/>
              </w:rPr>
              <w:t>kladili predstavo, da so po eni strani odpadki vir, ki ga moramo reciklirati, po drugi strani pa moramo zagotoviti, da bodo odpadki, ki vsebujejo vprašljive snovi, predelani samo v materiale, ki jih je mogoče varno uporabljati?</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Naj dovolimo, da reciklirani</w:t>
            </w:r>
            <w:r>
              <w:rPr>
                <w:rFonts w:ascii="Times New Roman" w:hAnsi="Times New Roman"/>
                <w:noProof/>
                <w:sz w:val="24"/>
                <w:szCs w:val="24"/>
              </w:rPr>
              <w:t xml:space="preserve"> materiali vsebujejo kemikalije, ki v primarnih materialih niso več dovoljene? Če to dovolimo, pod katerimi pogoji?</w:t>
            </w:r>
          </w:p>
        </w:tc>
      </w:tr>
    </w:tbl>
    <w:p w:rsidR="003236CA" w:rsidRDefault="00CC6E96">
      <w:pPr>
        <w:pStyle w:val="ManualHeading2"/>
        <w:rPr>
          <w:noProof/>
        </w:rPr>
      </w:pPr>
      <w:r>
        <w:rPr>
          <w:noProof/>
        </w:rPr>
        <w:t>3.3</w:t>
      </w:r>
      <w:r>
        <w:rPr>
          <w:noProof/>
        </w:rPr>
        <w:tab/>
        <w:t>Pravila EU o prenehanju statusa odpadka niso docela harmonizirana, zaradi česar je pretvorba materiala iz odpadkov v proizvod negotova.</w:t>
      </w:r>
      <w:r>
        <w:rPr>
          <w:noProof/>
        </w:rPr>
        <w:t xml:space="preserve">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Kdaj blago ni več blago, temveč je postalo odpadek, določajo naši predpisi, sodna praksa in dolgoletne izkušnje. Ko pride do tega, se uporablja zakonodaja EU o odpadkih. Pravila EU so stroga, da bi varovala zdravje ljudi in okolje. V krožnem gospodarstvu</w:t>
      </w:r>
      <w:r>
        <w:rPr>
          <w:rFonts w:ascii="Times New Roman" w:hAnsi="Times New Roman"/>
          <w:noProof/>
          <w:sz w:val="24"/>
          <w:szCs w:val="24"/>
        </w:rPr>
        <w:t xml:space="preserve"> bi morali materiali ostati v fazi odpadkov samo začasno, saj naj bi jih predelali in ponovno uporabili v gospodarstvu, da bi nadomestili primarne materiale. Da bi bilo to mogoče, se reciklirani materiali večinoma ne bi smeli več šteti za odpadke.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Da pa o</w:t>
      </w:r>
      <w:r>
        <w:rPr>
          <w:rFonts w:ascii="Times New Roman" w:hAnsi="Times New Roman"/>
          <w:noProof/>
          <w:sz w:val="24"/>
          <w:szCs w:val="24"/>
        </w:rPr>
        <w:t>dpadki ne bi bili več odpadki, morajo izpolnjevati t. i. „merila za prenehanje statusa odpadka“. Za nekatere tokove odpadkov so bila taka merila določena na ravni EU ali na nacionalni ravni. Toda zanje nista določena področje uporabe in način delovanja. Ke</w:t>
      </w:r>
      <w:r>
        <w:rPr>
          <w:rFonts w:ascii="Times New Roman" w:hAnsi="Times New Roman"/>
          <w:noProof/>
          <w:sz w:val="24"/>
          <w:szCs w:val="24"/>
        </w:rPr>
        <w:t>r so tokovi odpadkov, procesi predelave in predelani materiali zapleteni, je težko določiti merila za prenehanje statusa odpadka, ki bi se uporabljala za celotne tokove odpadkov. Zato se veliko predelanih materialov prodaja in uporablja brez določenih meri</w:t>
      </w:r>
      <w:r>
        <w:rPr>
          <w:rFonts w:ascii="Times New Roman" w:hAnsi="Times New Roman"/>
          <w:noProof/>
          <w:sz w:val="24"/>
          <w:szCs w:val="24"/>
        </w:rPr>
        <w:t>l za prenehanje statusa odpadka, torej v nejasnih pravnih okoliščinah in nepregledno.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u w:val="single"/>
              </w:rPr>
              <w:t>Primer</w:t>
            </w:r>
            <w:r>
              <w:rPr>
                <w:rFonts w:ascii="Times New Roman" w:hAnsi="Times New Roman"/>
                <w:noProof/>
                <w:sz w:val="24"/>
                <w:szCs w:val="24"/>
              </w:rPr>
              <w:t xml:space="preserve">: v ciljno usmerjenem posvetovanju sta panogi kovinarstva in električne energije poročali o težavah, ki jih imata, ko je treba določiti, ali se materiali, kot so </w:t>
            </w:r>
            <w:r>
              <w:rPr>
                <w:rFonts w:ascii="Times New Roman" w:hAnsi="Times New Roman"/>
                <w:noProof/>
                <w:sz w:val="24"/>
                <w:szCs w:val="24"/>
              </w:rPr>
              <w:t>premogov pepel, bakrova žlindra ali fero-molibdenova žlindra, štejejo za odpadke ali proizvod. V različnih državah članicah in celo v različnih regijah se uporabljajo različna merila. To povzroča težave pri čezmejnem prevozu teh materialov, včasih pa iz te</w:t>
            </w:r>
            <w:r>
              <w:rPr>
                <w:rFonts w:ascii="Times New Roman" w:hAnsi="Times New Roman"/>
                <w:noProof/>
                <w:sz w:val="24"/>
                <w:szCs w:val="24"/>
              </w:rPr>
              <w:t>h materialov sploh ni mogoče pridobiti koristnih virov, čeprav gre pri nekaterih od njih za odpadke, katerih količine se merijo v milijonih ton na leto</w:t>
            </w:r>
            <w:r>
              <w:rPr>
                <w:rStyle w:val="FootnoteReference"/>
                <w:rFonts w:ascii="Times New Roman" w:hAnsi="Times New Roman"/>
                <w:noProof/>
                <w:sz w:val="24"/>
                <w:szCs w:val="24"/>
              </w:rPr>
              <w:footnoteReference w:id="7"/>
            </w:r>
            <w:r>
              <w:rPr>
                <w:rFonts w:ascii="Times New Roman" w:hAnsi="Times New Roman"/>
                <w:noProof/>
                <w:sz w:val="24"/>
                <w:szCs w:val="24"/>
              </w:rPr>
              <w:t xml:space="preserve">.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Zaradi negotovosti glede statusa materiala kot odpadka ali proizvoda imajo težave tudi uradni organi,</w:t>
            </w:r>
            <w:r>
              <w:rPr>
                <w:rFonts w:ascii="Times New Roman" w:hAnsi="Times New Roman"/>
                <w:noProof/>
                <w:sz w:val="24"/>
                <w:szCs w:val="24"/>
              </w:rPr>
              <w:t xml:space="preserve"> ki pogosto le stežka določijo, ali se uporablja zakonodaja s področja odpadkov ali področja proizvodov. Do tega prihaja na primer pri odločanju o vprašanju, ali naj se reciklirani PVC, ki vsebuje DEHP, še vedno šteje za odpadek ali pa naj se obravnava kot</w:t>
            </w:r>
            <w:r>
              <w:rPr>
                <w:rFonts w:ascii="Times New Roman" w:hAnsi="Times New Roman"/>
                <w:noProof/>
                <w:sz w:val="24"/>
                <w:szCs w:val="24"/>
              </w:rPr>
              <w:t xml:space="preserve"> proizvod.</w:t>
            </w:r>
          </w:p>
        </w:tc>
      </w:tr>
    </w:tbl>
    <w:p w:rsidR="003236CA" w:rsidRDefault="00CC6E96">
      <w:pPr>
        <w:pStyle w:val="ManualHeading3"/>
        <w:rPr>
          <w:noProof/>
        </w:rPr>
      </w:pPr>
      <w:r>
        <w:rPr>
          <w:noProof/>
        </w:rPr>
        <w:t>3.3.1</w:t>
      </w:r>
      <w:r>
        <w:rPr>
          <w:noProof/>
        </w:rPr>
        <w:tab/>
        <w:t>Cilj</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Omogočiti moramo bolj harmonizirano razlago in izvajanje pravil o prenehanju statusa odpadkov po vsej EU, da bi omogočili lažjo uporabo predelanega materiala v EU.  </w:t>
      </w:r>
    </w:p>
    <w:p w:rsidR="003236CA" w:rsidRDefault="00CC6E96">
      <w:pPr>
        <w:pStyle w:val="ManualHeading3"/>
        <w:rPr>
          <w:noProof/>
        </w:rPr>
      </w:pPr>
      <w:r>
        <w:rPr>
          <w:noProof/>
        </w:rPr>
        <w:t>3.3.2</w:t>
      </w:r>
      <w:r>
        <w:rPr>
          <w:noProof/>
        </w:rPr>
        <w:tab/>
        <w:t>Predvideni ukrepi</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Komisija bo omogočila tesnejše sodelovanje </w:t>
      </w:r>
      <w:r>
        <w:rPr>
          <w:rFonts w:ascii="Times New Roman" w:hAnsi="Times New Roman"/>
          <w:noProof/>
          <w:sz w:val="24"/>
          <w:szCs w:val="24"/>
        </w:rPr>
        <w:t>med obstoječimi mrežami strokovnjakov za ravnanje s kemikalijami in odpadki in pripravila spletno zbirko EU za vsa sprejeta nacionalna merila in merila EU za prenehanje statusa odpadka in stranske proizvode. Kot izhodišče za morebitne smernice bo začela iz</w:t>
      </w:r>
      <w:r>
        <w:rPr>
          <w:rFonts w:ascii="Times New Roman" w:hAnsi="Times New Roman"/>
          <w:noProof/>
          <w:sz w:val="24"/>
          <w:szCs w:val="24"/>
        </w:rPr>
        <w:t>vajati tudi študijo za boljše razumevanje praks držav članic glede izvajanja in potrjevanja določb o prenehanju statusa odpadka.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Vprašanje: </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Kako in za katere tokove odpadkov bi morali omogočiti lažjo harmonizacijo pravil o prenehanju statusa odpadka? </w:t>
            </w:r>
          </w:p>
        </w:tc>
      </w:tr>
    </w:tbl>
    <w:p w:rsidR="003236CA" w:rsidRDefault="00CC6E96">
      <w:pPr>
        <w:pStyle w:val="ManualHeading2"/>
        <w:rPr>
          <w:noProof/>
        </w:rPr>
      </w:pPr>
      <w:r>
        <w:rPr>
          <w:noProof/>
        </w:rPr>
        <w:t>3.</w:t>
      </w:r>
      <w:r>
        <w:rPr>
          <w:noProof/>
        </w:rPr>
        <w:t>4</w:t>
      </w:r>
      <w:r>
        <w:rPr>
          <w:noProof/>
        </w:rPr>
        <w:tab/>
        <w:t>Pravila za odločanje o tem, kateri odpadki in kemikalije so nevarni, niso docela usklajena, kar vpliva na uporabo sekundarnih surovin.</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Za proizvodnjo in uporabo nevarnih kemičnih snovi in proizvodov veljajo stroga pravila EU, ki so bila sprejeta za zašči</w:t>
      </w:r>
      <w:r>
        <w:rPr>
          <w:rFonts w:ascii="Times New Roman" w:hAnsi="Times New Roman"/>
          <w:noProof/>
          <w:sz w:val="24"/>
          <w:szCs w:val="24"/>
        </w:rPr>
        <w:t>to delavcev</w:t>
      </w:r>
      <w:r>
        <w:rPr>
          <w:rStyle w:val="FootnoteReference"/>
          <w:rFonts w:ascii="Times New Roman" w:hAnsi="Times New Roman"/>
          <w:noProof/>
          <w:sz w:val="24"/>
          <w:szCs w:val="24"/>
        </w:rPr>
        <w:footnoteReference w:id="8"/>
      </w:r>
      <w:r>
        <w:rPr>
          <w:rFonts w:ascii="Times New Roman" w:hAnsi="Times New Roman"/>
          <w:noProof/>
          <w:sz w:val="24"/>
          <w:szCs w:val="24"/>
        </w:rPr>
        <w:t xml:space="preserve">, državljanov in okolja pred škodo. Ko se določi, da je kakšna kemikalija nevarna, se kot taka tudi razvrsti, iz česar izhajajo jasne obveznosti za tiste, ki delajo z njo, da poskrbijo za varno ravnanje.  </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Tudi ravnanje z odpadki na podoben nač</w:t>
      </w:r>
      <w:r>
        <w:rPr>
          <w:rFonts w:ascii="Times New Roman" w:hAnsi="Times New Roman"/>
          <w:noProof/>
          <w:sz w:val="24"/>
          <w:szCs w:val="24"/>
        </w:rPr>
        <w:t>in urejajo pravila EU, sprejeta z istimi cilji, tako da pri ravnanju z nevarnimi odpadki ne nastane škoda za okolje ali zdravje ljudi. Toda ta sklopa pravil nista docela usklajena. Znani so primeri, v katerih se lahko isti material, ki vsebuje nevarno snov</w:t>
      </w:r>
      <w:r>
        <w:rPr>
          <w:rFonts w:ascii="Times New Roman" w:hAnsi="Times New Roman"/>
          <w:noProof/>
          <w:sz w:val="24"/>
          <w:szCs w:val="24"/>
        </w:rPr>
        <w:t>, šteje za nevarnega ali nenevarnega, odvisno od tega, ali je odpadek ali proizvod. To razhajanje pomeni, da ne moremo domnevati, da bo iz materialov, ki ponovno vstopijo v gospodarstvo in izhajajo iz predelave nenevarnih odpadkov, nujno nastal nenevaren p</w:t>
      </w:r>
      <w:r>
        <w:rPr>
          <w:rFonts w:ascii="Times New Roman" w:hAnsi="Times New Roman"/>
          <w:noProof/>
          <w:sz w:val="24"/>
          <w:szCs w:val="24"/>
        </w:rPr>
        <w:t>roizvod.</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Način izvajanja in izvrševanja pravil o razvrščanju odpadkov pomembno vpliva na prihodnje odločitve o ravnanju z odpadki, kot so izvedljivost in ekonomska upravičenost zbiranja, metode recikliranja ali izbira med recikliranjem ali odlaganjem. Taka</w:t>
      </w:r>
      <w:r>
        <w:rPr>
          <w:rFonts w:ascii="Times New Roman" w:hAnsi="Times New Roman"/>
          <w:noProof/>
          <w:sz w:val="24"/>
          <w:szCs w:val="24"/>
        </w:rPr>
        <w:t xml:space="preserve"> neskladja lahko vplivajo na uporabo sekundarnih surovin.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u w:val="single"/>
              </w:rPr>
              <w:t>Primer</w:t>
            </w:r>
            <w:r>
              <w:rPr>
                <w:rFonts w:ascii="Times New Roman" w:hAnsi="Times New Roman"/>
                <w:noProof/>
                <w:sz w:val="24"/>
                <w:szCs w:val="24"/>
              </w:rPr>
              <w:t>: svinec se razvršča različno, in sicer odvisno od tega, ali se šteje za odpadek ali proizvod. Odpadni svinec iz gradbeništva in rušenja je na Evropskem seznamu odpadkov uvrščen med nenevarne</w:t>
            </w:r>
            <w:r>
              <w:rPr>
                <w:rFonts w:ascii="Times New Roman" w:hAnsi="Times New Roman"/>
                <w:noProof/>
                <w:sz w:val="24"/>
                <w:szCs w:val="24"/>
              </w:rPr>
              <w:t xml:space="preserve"> odpadke. V skladu z zakonodajo EU o razvrstitvi, pakiranju in označevanju (uredba CLP) je svinec kot proizvod uvrščen med nevarne snovi zaradi škodljivih učinkov na reprodukcijo. </w:t>
            </w:r>
          </w:p>
          <w:p w:rsidR="003236CA" w:rsidRDefault="00CC6E96">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szCs w:val="24"/>
              </w:rPr>
              <w:t xml:space="preserve">Še en primer je odpadni upogljivi PVC, ki vsebuje nekatere dodatke: obrati </w:t>
            </w:r>
            <w:r>
              <w:rPr>
                <w:rFonts w:ascii="Times New Roman" w:hAnsi="Times New Roman"/>
                <w:noProof/>
                <w:sz w:val="24"/>
                <w:szCs w:val="24"/>
              </w:rPr>
              <w:t>za ravnanje z odpadki te odpadke pogosto (napačno) razvrščajo kot nenevarne, čeprav bo proizvod, ki bo nastal iz njih, v skladu z uredbo CLP razvrščen kot nevarna kemična zmes.</w:t>
            </w:r>
          </w:p>
        </w:tc>
      </w:tr>
    </w:tbl>
    <w:p w:rsidR="003236CA" w:rsidRDefault="00CC6E96">
      <w:pPr>
        <w:pStyle w:val="ManualHeading3"/>
        <w:rPr>
          <w:noProof/>
        </w:rPr>
      </w:pPr>
      <w:r>
        <w:rPr>
          <w:noProof/>
        </w:rPr>
        <w:t>3.4.1</w:t>
      </w:r>
      <w:r>
        <w:rPr>
          <w:noProof/>
        </w:rPr>
        <w:tab/>
        <w:t>Cilj</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Omogočiti moramo bolj usklajen pristop med pravili za razvrščanje k</w:t>
      </w:r>
      <w:r>
        <w:rPr>
          <w:rFonts w:ascii="Times New Roman" w:hAnsi="Times New Roman"/>
          <w:noProof/>
          <w:sz w:val="24"/>
          <w:szCs w:val="24"/>
        </w:rPr>
        <w:t xml:space="preserve">emikalij in odpadkov. </w:t>
      </w:r>
    </w:p>
    <w:p w:rsidR="003236CA" w:rsidRDefault="00CC6E96">
      <w:pPr>
        <w:pStyle w:val="ManualHeading3"/>
        <w:rPr>
          <w:noProof/>
        </w:rPr>
      </w:pPr>
      <w:r>
        <w:rPr>
          <w:noProof/>
        </w:rPr>
        <w:t>3.4.2</w:t>
      </w:r>
      <w:r>
        <w:rPr>
          <w:noProof/>
        </w:rPr>
        <w:tab/>
        <w:t>Predvideni ukrepi</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Objaviti nameravamo smernice za razvrščanje odpadkov, s pomočjo katerih bodo lahko obrati za ravnanje z odpadki in pristojni organi uporabljali skupen pristop k določanju in razvrščanju odpadkov. Spodbujali bo</w:t>
      </w:r>
      <w:r>
        <w:rPr>
          <w:rFonts w:ascii="Times New Roman" w:hAnsi="Times New Roman"/>
          <w:noProof/>
          <w:sz w:val="24"/>
          <w:szCs w:val="24"/>
        </w:rPr>
        <w:t>mo tudi izmenjavo dobrih praks v zvezi z metodami preizkušanja za ocenjevanje snovi glede nevarne lastnosti HP 14 „ekotoksično“ z namenom morebitne harmonizacije.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36CA">
        <w:tc>
          <w:tcPr>
            <w:tcW w:w="9242" w:type="dxa"/>
            <w:shd w:val="clear" w:color="auto" w:fill="auto"/>
          </w:tcPr>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Vprašanje: </w:t>
            </w:r>
          </w:p>
          <w:p w:rsidR="003236CA" w:rsidRDefault="00CC6E96">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Naj še bolj uskladimo pravila o razvrstitvi glede na nevarnosti, tako da bi se odpadki šteli za nevarne po istih pravilih kot proizvodi? </w:t>
            </w:r>
          </w:p>
        </w:tc>
      </w:tr>
    </w:tbl>
    <w:p w:rsidR="003236CA" w:rsidRDefault="00CC6E96">
      <w:pPr>
        <w:pStyle w:val="ManualHeading1"/>
        <w:rPr>
          <w:noProof/>
        </w:rPr>
      </w:pPr>
      <w:r>
        <w:rPr>
          <w:noProof/>
        </w:rPr>
        <w:t>4.</w:t>
      </w:r>
      <w:r>
        <w:rPr>
          <w:noProof/>
        </w:rPr>
        <w:tab/>
        <w:t>Sklepne ugotovitve in naslednji koraki</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Te štiri težave so pomembne prepreke na poti do krožnega gospodarstva. Iz p</w:t>
      </w:r>
      <w:r>
        <w:rPr>
          <w:rFonts w:ascii="Times New Roman" w:hAnsi="Times New Roman"/>
          <w:noProof/>
          <w:sz w:val="24"/>
          <w:szCs w:val="24"/>
        </w:rPr>
        <w:t>rejetih odgovorov je razvidno, da obstajajo izzivi pri uporabi v praksi na terenu, tako v smislu omejene razpoložljivosti virov in znanja kot tudi glede usklajevanja med različnimi akterji na lokalni in nacionalni ravni ter na ravni EU.</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noProof/>
          <w:sz w:val="24"/>
          <w:szCs w:val="24"/>
        </w:rPr>
        <w:t>Naša analiza je pok</w:t>
      </w:r>
      <w:r>
        <w:rPr>
          <w:rFonts w:ascii="Times New Roman" w:hAnsi="Times New Roman"/>
          <w:noProof/>
          <w:sz w:val="24"/>
          <w:szCs w:val="24"/>
        </w:rPr>
        <w:t xml:space="preserve">azala tudi, da obstajajo pravni izzivi. Dolgoročneje si moramo prizadevati za popolno usklajenost zakonov, s katerimi se izvajajo politike na področju odpadkov in kemičnih snovi. S pomočjo tega bomo lahko dosegli cilj, da bodo materiali varni, primerni za </w:t>
      </w:r>
      <w:r>
        <w:rPr>
          <w:rFonts w:ascii="Times New Roman" w:hAnsi="Times New Roman"/>
          <w:noProof/>
          <w:sz w:val="24"/>
          <w:szCs w:val="24"/>
        </w:rPr>
        <w:t>uporabo in zasnovani tako, da bodo vzdržljivi, jih bo mogoče reciklirati in bodo le malo vplivali na okolje. Blago bi bilo treba zasnovati, izdelovati, z njim trgovati in ga reciklirati ob čim manjši uporabi snovi, ki vzbujajo zaskrbljenost, da bomo omogoč</w:t>
      </w:r>
      <w:r>
        <w:rPr>
          <w:rFonts w:ascii="Times New Roman" w:hAnsi="Times New Roman"/>
          <w:noProof/>
          <w:sz w:val="24"/>
          <w:szCs w:val="24"/>
        </w:rPr>
        <w:t>ili lažjo ponovno uporabo, pri kateri bodo gospodarske koristi materiala čim večje in bo koristen za družbo, varstvo okolja in zdravja ljudi pa bo še naprej na visoki ravni.</w:t>
      </w:r>
    </w:p>
    <w:p w:rsidR="003236CA" w:rsidRDefault="00CC6E96">
      <w:pPr>
        <w:spacing w:before="120" w:after="120" w:line="240" w:lineRule="auto"/>
        <w:jc w:val="both"/>
        <w:rPr>
          <w:rFonts w:ascii="Times New Roman" w:hAnsi="Times New Roman"/>
          <w:noProof/>
          <w:sz w:val="24"/>
          <w:szCs w:val="24"/>
        </w:rPr>
      </w:pPr>
      <w:r>
        <w:rPr>
          <w:rFonts w:ascii="Times New Roman" w:hAnsi="Times New Roman"/>
          <w:iCs/>
          <w:noProof/>
          <w:sz w:val="24"/>
          <w:szCs w:val="24"/>
        </w:rPr>
        <w:t>Možnosti politike v delovnem dokumentu služb Komisije zajemajo tako neposredne tež</w:t>
      </w:r>
      <w:r>
        <w:rPr>
          <w:rFonts w:ascii="Times New Roman" w:hAnsi="Times New Roman"/>
          <w:iCs/>
          <w:noProof/>
          <w:sz w:val="24"/>
          <w:szCs w:val="24"/>
        </w:rPr>
        <w:t>ave kot tudi tiste, ki bi jih bilo mogoče rešiti šele sčasoma. Dokument vsebuje več možnosti za vsako težavo in poziva k razmisleku o primernem ravnotežju med skupnimi dolgoročnimi koristmi zaradi krožne uporabe teh materialov na eni strani ter splošnimi d</w:t>
      </w:r>
      <w:r>
        <w:rPr>
          <w:rFonts w:ascii="Times New Roman" w:hAnsi="Times New Roman"/>
          <w:iCs/>
          <w:noProof/>
          <w:sz w:val="24"/>
          <w:szCs w:val="24"/>
        </w:rPr>
        <w:t>olgoročnimi zdravstvenimi in okoljskimi pomisleki v zvezi s snovmi, ki jih vsebuje ta material, na drugi strani.</w:t>
      </w:r>
    </w:p>
    <w:p w:rsidR="003236CA" w:rsidRDefault="00CC6E96">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V Uniji moramo utreti pot krožnemu gospodarstvu. Na razpolago imamo že nekaj orodij, s katerim je mogoče ublažiti nekatera trenja, a potrebujemo več izsledkov in odgovorov iz celotne EU, da bi lahko ugotovili, kako bi najlaže reševali nekatere obsežnejše t</w:t>
      </w:r>
      <w:r>
        <w:rPr>
          <w:rFonts w:ascii="Times New Roman" w:hAnsi="Times New Roman"/>
          <w:iCs/>
          <w:noProof/>
          <w:sz w:val="24"/>
          <w:szCs w:val="24"/>
        </w:rPr>
        <w:t xml:space="preserve">ežave. </w:t>
      </w:r>
    </w:p>
    <w:p w:rsidR="003236CA" w:rsidRDefault="00CC6E96">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Pozivamo Evropski parlament, Svet, Odbor regij in zainteresirane strani, da sodelujejo v razpravi in zavzamejo stališče o ugotovljenih izzivih, da bomo lahko opredelili pot naprej v zares krožno gospodarstvo.</w:t>
      </w:r>
    </w:p>
    <w:p w:rsidR="003236CA" w:rsidRDefault="00CC6E96">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 xml:space="preserve">Naš cilj je, da bi do konca mandata te </w:t>
      </w:r>
      <w:r>
        <w:rPr>
          <w:rFonts w:ascii="Times New Roman" w:hAnsi="Times New Roman"/>
          <w:iCs/>
          <w:noProof/>
          <w:sz w:val="24"/>
          <w:szCs w:val="24"/>
        </w:rPr>
        <w:t xml:space="preserve">Komisije leta 2019 že potekalo izvajanje obljubljenih ukrepov, ki bi temeljili na zanesljivih izsledkih. Pomembno vlogo pri napredku našega dela bodo imele nove študije, ki jih začenjamo, ter posvetovanje, h kateremu zdaj vabimo vse zainteresirane strani. </w:t>
      </w:r>
    </w:p>
    <w:sectPr w:rsidR="003236C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CA" w:rsidRDefault="00CC6E96">
      <w:pPr>
        <w:spacing w:after="0" w:line="240" w:lineRule="auto"/>
      </w:pPr>
      <w:r>
        <w:separator/>
      </w:r>
    </w:p>
  </w:endnote>
  <w:endnote w:type="continuationSeparator" w:id="0">
    <w:p w:rsidR="003236CA" w:rsidRDefault="00CC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CC6E96">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CC6E96">
    <w:pPr>
      <w:pStyle w:val="Footer"/>
      <w:jc w:val="center"/>
    </w:pPr>
    <w:r>
      <w:fldChar w:fldCharType="begin"/>
    </w:r>
    <w:r>
      <w:instrText xml:space="preserve"> PAGE   \* MERGEFORMAT </w:instrText>
    </w:r>
    <w:r>
      <w:fldChar w:fldCharType="separate"/>
    </w:r>
    <w:r>
      <w:rPr>
        <w:noProof/>
      </w:rPr>
      <w:t>5</w:t>
    </w:r>
    <w:r>
      <w:fldChar w:fldCharType="end"/>
    </w:r>
  </w:p>
  <w:p w:rsidR="003236CA" w:rsidRDefault="003236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CA" w:rsidRDefault="00CC6E96">
      <w:pPr>
        <w:spacing w:after="0" w:line="240" w:lineRule="auto"/>
      </w:pPr>
      <w:r>
        <w:separator/>
      </w:r>
    </w:p>
  </w:footnote>
  <w:footnote w:type="continuationSeparator" w:id="0">
    <w:p w:rsidR="003236CA" w:rsidRDefault="00CC6E96">
      <w:pPr>
        <w:spacing w:after="0" w:line="240" w:lineRule="auto"/>
      </w:pPr>
      <w:r>
        <w:continuationSeparator/>
      </w:r>
    </w:p>
  </w:footnote>
  <w:footnote w:id="1">
    <w:p w:rsidR="003236CA" w:rsidRDefault="00CC6E96">
      <w:pPr>
        <w:pStyle w:val="FootnoteText"/>
      </w:pPr>
      <w:r>
        <w:rPr>
          <w:rStyle w:val="FootnoteReference"/>
        </w:rPr>
        <w:footnoteRef/>
      </w:r>
      <w:r>
        <w:t xml:space="preserve"> To bi lahko veljalo za uporabo predelanih materialov kot novega materiala, namenjenega za stik z živili.</w:t>
      </w:r>
    </w:p>
  </w:footnote>
  <w:footnote w:id="2">
    <w:p w:rsidR="003236CA" w:rsidRDefault="00CC6E96">
      <w:pPr>
        <w:pStyle w:val="FootnoteText"/>
      </w:pPr>
      <w:r>
        <w:rPr>
          <w:rStyle w:val="FootnoteReference"/>
        </w:rPr>
        <w:footnoteRef/>
      </w:r>
      <w:r>
        <w:t xml:space="preserve"> Po informacijah, ki jih je dala Evropska konfederacija proizvajalcev papirne industrije (CEPI) v usmerjenem posvetovanju.</w:t>
      </w:r>
    </w:p>
  </w:footnote>
  <w:footnote w:id="3">
    <w:p w:rsidR="003236CA" w:rsidRDefault="00CC6E96">
      <w:pPr>
        <w:pStyle w:val="FootnoteText"/>
      </w:pPr>
      <w:r>
        <w:rPr>
          <w:rStyle w:val="FootnoteReference"/>
        </w:rPr>
        <w:footnoteRef/>
      </w:r>
      <w:r>
        <w:t xml:space="preserve"> Glej na primer </w:t>
      </w:r>
      <w:hyperlink r:id="rId1" w:history="1">
        <w:r>
          <w:rPr>
            <w:rStyle w:val="Hyperlink"/>
          </w:rPr>
          <w:t>https://chemic</w:t>
        </w:r>
        <w:r>
          <w:rPr>
            <w:rStyle w:val="Hyperlink"/>
          </w:rPr>
          <w:t>alwatch.com/7210/mineral-oils-health-scare-sparks-food-packaging-debate</w:t>
        </w:r>
      </w:hyperlink>
      <w:r>
        <w:t xml:space="preserve"> ali dokument o stališču Evropske potrošniške organizacije (BEUC) (gl. str. 5) </w:t>
      </w:r>
      <w:hyperlink r:id="rId2" w:history="1">
        <w:r>
          <w:rPr>
            <w:rStyle w:val="Hyperlink"/>
          </w:rPr>
          <w:t>https://www.anec.eu/images/Publications/position-papers/Sustainability/ANEC-PT-2017-CEG-017.pdf</w:t>
        </w:r>
      </w:hyperlink>
      <w:r>
        <w:t xml:space="preserve">. </w:t>
      </w:r>
    </w:p>
  </w:footnote>
  <w:footnote w:id="4">
    <w:p w:rsidR="003236CA" w:rsidRDefault="00CC6E96">
      <w:pPr>
        <w:pStyle w:val="FootnoteText"/>
      </w:pPr>
      <w:r>
        <w:rPr>
          <w:rStyle w:val="FootnoteReference"/>
        </w:rPr>
        <w:footnoteRef/>
      </w:r>
      <w:r>
        <w:t xml:space="preserve"> Vir: prispevek švedske Agencije za varstvo okolja in Francije. Študiji: Goodpoint, Information on Hazardous Substances in Waste (Informacije o nevarni</w:t>
      </w:r>
      <w:r>
        <w:t>h snoveh v odpadkih, v angleščni), 2016 in Goodpoint, Information Transfer on Hazardous Substances (Prenos informacij o nevarnih odpadkih, v angleščini), 2017.</w:t>
      </w:r>
    </w:p>
  </w:footnote>
  <w:footnote w:id="5">
    <w:p w:rsidR="003236CA" w:rsidRDefault="00CC6E96">
      <w:pPr>
        <w:pStyle w:val="FootnoteText"/>
      </w:pPr>
      <w:r>
        <w:rPr>
          <w:rStyle w:val="FootnoteReference"/>
        </w:rPr>
        <w:footnoteRef/>
      </w:r>
      <w:r>
        <w:t xml:space="preserve"> Snovi, ki povzročajo raka, mutacije ali škodljivo vplivajo na reprodukcijo. </w:t>
      </w:r>
    </w:p>
  </w:footnote>
  <w:footnote w:id="6">
    <w:p w:rsidR="003236CA" w:rsidRDefault="00CC6E96">
      <w:pPr>
        <w:pStyle w:val="FootnoteText"/>
      </w:pPr>
      <w:r>
        <w:rPr>
          <w:rStyle w:val="FootnoteReference"/>
        </w:rPr>
        <w:footnoteRef/>
      </w:r>
      <w:r>
        <w:t xml:space="preserve"> Glej navedbo ve</w:t>
      </w:r>
      <w:r>
        <w:t xml:space="preserve">č študij v sodelovanju z Evropskim okoljskim uradom (EEB) in BEUC. Glej npr. str. 4 na naslovu </w:t>
      </w:r>
      <w:hyperlink r:id="rId3" w:history="1">
        <w:r>
          <w:rPr>
            <w:rStyle w:val="Hyperlink"/>
          </w:rPr>
          <w:t>http://eeb.org/publications/81/circular-economy/33789/pops</w:t>
        </w:r>
        <w:r>
          <w:rPr>
            <w:rStyle w:val="Hyperlink"/>
          </w:rPr>
          <w:t>-in-the-circular-economy.pdf</w:t>
        </w:r>
      </w:hyperlink>
      <w:r>
        <w:t xml:space="preserve">. </w:t>
      </w:r>
    </w:p>
  </w:footnote>
  <w:footnote w:id="7">
    <w:p w:rsidR="003236CA" w:rsidRDefault="00CC6E96">
      <w:pPr>
        <w:pStyle w:val="FootnoteText"/>
      </w:pPr>
      <w:r>
        <w:rPr>
          <w:rStyle w:val="FootnoteReference"/>
        </w:rPr>
        <w:footnoteRef/>
      </w:r>
      <w:r>
        <w:t xml:space="preserve"> Glej Eurometaux </w:t>
      </w:r>
      <w:hyperlink r:id="rId4" w:history="1">
        <w:r>
          <w:rPr>
            <w:rStyle w:val="Hyperlink"/>
          </w:rPr>
          <w:t>https://www.eurometaux.eu/media/1634/eurometaux-response-chemicals-products-waste</w:t>
        </w:r>
        <w:r>
          <w:rPr>
            <w:rStyle w:val="Hyperlink"/>
          </w:rPr>
          <w:t>-interface-stakeholder-c.pdf</w:t>
        </w:r>
      </w:hyperlink>
      <w:r>
        <w:t xml:space="preserve"> in Eurelectric </w:t>
      </w:r>
      <w:hyperlink r:id="rId5" w:history="1">
        <w:r>
          <w:rPr>
            <w:rStyle w:val="Hyperlink"/>
          </w:rPr>
          <w:t>http://www.eurelectric.org/media/340047/eurelectric-interface_consultation-final_0</w:t>
        </w:r>
        <w:r>
          <w:rPr>
            <w:rStyle w:val="Hyperlink"/>
          </w:rPr>
          <w:t>7072017-2017-2430-0001-01-e.pdf</w:t>
        </w:r>
      </w:hyperlink>
      <w:r>
        <w:t xml:space="preserve">. </w:t>
      </w:r>
    </w:p>
  </w:footnote>
  <w:footnote w:id="8">
    <w:p w:rsidR="003236CA" w:rsidRDefault="00CC6E96">
      <w:pPr>
        <w:pStyle w:val="FootnoteText"/>
      </w:pPr>
      <w:r>
        <w:rPr>
          <w:rStyle w:val="FootnoteReference"/>
        </w:rPr>
        <w:footnoteRef/>
      </w:r>
      <w:r>
        <w:t xml:space="preserve"> </w:t>
      </w:r>
      <w:r>
        <w:rPr>
          <w:sz w:val="16"/>
          <w:szCs w:val="16"/>
        </w:rPr>
        <w:t>Direktiva 89/391/EGS o uvajanju ukrepov za spodbujanje izboljšav varnosti in zdravja delavcev pri delu; Direktiva 98/24/ES o varovanju zdravja in zagotavljanju varnosti delavcev pred tveganji zaradi izpostavljenosti kemi</w:t>
      </w:r>
      <w:r>
        <w:rPr>
          <w:sz w:val="16"/>
          <w:szCs w:val="16"/>
        </w:rPr>
        <w:t>čnim dejavnikom pri delu; Direktiva 2004/37/ES o varovanju delavcev pred tveganji zaradi izpostavljenosti rakotvornim ali mutagenim snovem pri delu.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A" w:rsidRDefault="00323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B60A60"/>
    <w:lvl w:ilvl="0">
      <w:start w:val="1"/>
      <w:numFmt w:val="decimal"/>
      <w:lvlText w:val="%1."/>
      <w:lvlJc w:val="left"/>
      <w:pPr>
        <w:tabs>
          <w:tab w:val="num" w:pos="1492"/>
        </w:tabs>
        <w:ind w:left="1492" w:hanging="360"/>
      </w:pPr>
    </w:lvl>
  </w:abstractNum>
  <w:abstractNum w:abstractNumId="1">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3">
    <w:nsid w:val="FFFFFF80"/>
    <w:multiLevelType w:val="singleLevel"/>
    <w:tmpl w:val="5EAA11DC"/>
    <w:lvl w:ilvl="0">
      <w:start w:val="1"/>
      <w:numFmt w:val="bullet"/>
      <w:lvlText w:val=""/>
      <w:lvlJc w:val="left"/>
      <w:pPr>
        <w:tabs>
          <w:tab w:val="num" w:pos="1492"/>
        </w:tabs>
        <w:ind w:left="1492" w:hanging="360"/>
      </w:pPr>
      <w:rPr>
        <w:rFonts w:ascii="Symbol" w:hAnsi="Symbol" w:hint="default"/>
      </w:rPr>
    </w:lvl>
  </w:abstractNum>
  <w:abstractNum w:abstractNumId="4">
    <w:nsid w:val="03353EEC"/>
    <w:multiLevelType w:val="hybridMultilevel"/>
    <w:tmpl w:val="83D8741C"/>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05694990"/>
    <w:multiLevelType w:val="hybridMultilevel"/>
    <w:tmpl w:val="BBA40E00"/>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nsid w:val="0C042BB8"/>
    <w:multiLevelType w:val="hybridMultilevel"/>
    <w:tmpl w:val="DB0AAF0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0F212747"/>
    <w:multiLevelType w:val="multilevel"/>
    <w:tmpl w:val="FBD0F488"/>
    <w:name w:val="NumPar22"/>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7457808"/>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2">
    <w:nsid w:val="179264B1"/>
    <w:multiLevelType w:val="hybridMultilevel"/>
    <w:tmpl w:val="3ADA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036BB"/>
    <w:multiLevelType w:val="hybridMultilevel"/>
    <w:tmpl w:val="D4D8F3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827F3"/>
    <w:multiLevelType w:val="hybridMultilevel"/>
    <w:tmpl w:val="B316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E233B6"/>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nsid w:val="1B9679CF"/>
    <w:multiLevelType w:val="hybridMultilevel"/>
    <w:tmpl w:val="B4D6F35E"/>
    <w:lvl w:ilvl="0" w:tplc="6D6E99E4">
      <w:numFmt w:val="bullet"/>
      <w:lvlText w:val=""/>
      <w:lvlJc w:val="left"/>
      <w:pPr>
        <w:ind w:left="1202" w:hanging="360"/>
      </w:pPr>
      <w:rPr>
        <w:rFonts w:ascii="Wingdings" w:eastAsia="Calibri" w:hAnsi="Wingdings" w:cs="Times New Roman"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7">
    <w:nsid w:val="1D405D0B"/>
    <w:multiLevelType w:val="hybridMultilevel"/>
    <w:tmpl w:val="4F76D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5A4522"/>
    <w:multiLevelType w:val="hybridMultilevel"/>
    <w:tmpl w:val="F43C3E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0">
    <w:nsid w:val="25C11FD4"/>
    <w:multiLevelType w:val="hybridMultilevel"/>
    <w:tmpl w:val="9E0A5F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Garamond"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Garamond"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Garamond"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25DF0603"/>
    <w:multiLevelType w:val="hybridMultilevel"/>
    <w:tmpl w:val="3E6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2F12C5"/>
    <w:multiLevelType w:val="hybridMultilevel"/>
    <w:tmpl w:val="487E764A"/>
    <w:lvl w:ilvl="0" w:tplc="501482D8">
      <w:start w:val="1"/>
      <w:numFmt w:val="upperRoman"/>
      <w:lvlText w:val="Objective %1."/>
      <w:lvlJc w:val="left"/>
      <w:pPr>
        <w:ind w:left="1778"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3">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4">
    <w:nsid w:val="3037651F"/>
    <w:multiLevelType w:val="hybridMultilevel"/>
    <w:tmpl w:val="49E40E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892688"/>
    <w:multiLevelType w:val="hybridMultilevel"/>
    <w:tmpl w:val="CCCC2E7A"/>
    <w:name w:val="NumPar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9F4908"/>
    <w:multiLevelType w:val="hybridMultilevel"/>
    <w:tmpl w:val="109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433143"/>
    <w:multiLevelType w:val="hybridMultilevel"/>
    <w:tmpl w:val="3C4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57280"/>
    <w:multiLevelType w:val="hybridMultilevel"/>
    <w:tmpl w:val="62C47CFC"/>
    <w:lvl w:ilvl="0" w:tplc="DAE630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49D47C56"/>
    <w:multiLevelType w:val="multilevel"/>
    <w:tmpl w:val="90381812"/>
    <w:lvl w:ilvl="0">
      <w:start w:val="1"/>
      <w:numFmt w:val="decimal"/>
      <w:lvlRestart w:val="0"/>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C692410"/>
    <w:multiLevelType w:val="hybridMultilevel"/>
    <w:tmpl w:val="B3D6D008"/>
    <w:lvl w:ilvl="0" w:tplc="0809000F">
      <w:start w:val="1"/>
      <w:numFmt w:val="decimal"/>
      <w:lvlText w:val="%1."/>
      <w:lvlJc w:val="left"/>
      <w:pPr>
        <w:ind w:left="1202" w:hanging="360"/>
      </w:pPr>
    </w:lvl>
    <w:lvl w:ilvl="1" w:tplc="128CDD24">
      <w:numFmt w:val="bullet"/>
      <w:lvlText w:val="•"/>
      <w:lvlJc w:val="left"/>
      <w:pPr>
        <w:ind w:left="1922" w:hanging="360"/>
      </w:pPr>
      <w:rPr>
        <w:rFonts w:ascii="Times New Roman" w:eastAsia="Times New Roman" w:hAnsi="Times New Roman" w:cs="Times New Roman" w:hint="default"/>
      </w:r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32">
    <w:nsid w:val="4E416729"/>
    <w:multiLevelType w:val="hybridMultilevel"/>
    <w:tmpl w:val="A0AED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4E5F6728"/>
    <w:multiLevelType w:val="hybridMultilevel"/>
    <w:tmpl w:val="4B5EAB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2E62A3"/>
    <w:multiLevelType w:val="hybridMultilevel"/>
    <w:tmpl w:val="A02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74383"/>
    <w:multiLevelType w:val="hybridMultilevel"/>
    <w:tmpl w:val="6D8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8">
    <w:nsid w:val="6CF95061"/>
    <w:multiLevelType w:val="hybridMultilevel"/>
    <w:tmpl w:val="C10E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048BB"/>
    <w:multiLevelType w:val="hybridMultilevel"/>
    <w:tmpl w:val="DC321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2">
    <w:nsid w:val="71E82089"/>
    <w:multiLevelType w:val="hybridMultilevel"/>
    <w:tmpl w:val="DE3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4">
    <w:nsid w:val="734A1C8A"/>
    <w:multiLevelType w:val="hybridMultilevel"/>
    <w:tmpl w:val="34E820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B552A"/>
    <w:multiLevelType w:val="hybridMultilevel"/>
    <w:tmpl w:val="487E764A"/>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6">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47">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abstractNum w:abstractNumId="48">
    <w:nsid w:val="7E9B467C"/>
    <w:multiLevelType w:val="hybridMultilevel"/>
    <w:tmpl w:val="B13A9D06"/>
    <w:lvl w:ilvl="0" w:tplc="6D6E99E4">
      <w:numFmt w:val="bullet"/>
      <w:lvlText w:val=""/>
      <w:lvlJc w:val="left"/>
      <w:pPr>
        <w:ind w:left="1202" w:hanging="360"/>
      </w:pPr>
      <w:rPr>
        <w:rFonts w:ascii="Wingdings" w:eastAsia="Calibri" w:hAnsi="Wingdings"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2"/>
  </w:num>
  <w:num w:numId="2">
    <w:abstractNumId w:val="1"/>
  </w:num>
  <w:num w:numId="3">
    <w:abstractNumId w:val="47"/>
  </w:num>
  <w:num w:numId="4">
    <w:abstractNumId w:val="8"/>
  </w:num>
  <w:num w:numId="5">
    <w:abstractNumId w:val="19"/>
  </w:num>
  <w:num w:numId="6">
    <w:abstractNumId w:val="41"/>
  </w:num>
  <w:num w:numId="7">
    <w:abstractNumId w:val="46"/>
  </w:num>
  <w:num w:numId="8">
    <w:abstractNumId w:val="7"/>
  </w:num>
  <w:num w:numId="9">
    <w:abstractNumId w:val="30"/>
  </w:num>
  <w:num w:numId="10">
    <w:abstractNumId w:val="23"/>
  </w:num>
  <w:num w:numId="11">
    <w:abstractNumId w:val="9"/>
  </w:num>
  <w:num w:numId="12">
    <w:abstractNumId w:val="29"/>
  </w:num>
  <w:num w:numId="13">
    <w:abstractNumId w:val="10"/>
  </w:num>
  <w:num w:numId="14">
    <w:abstractNumId w:val="43"/>
  </w:num>
  <w:num w:numId="15">
    <w:abstractNumId w:val="40"/>
  </w:num>
  <w:num w:numId="16">
    <w:abstractNumId w:val="37"/>
  </w:num>
  <w:num w:numId="17">
    <w:abstractNumId w:val="15"/>
  </w:num>
  <w:num w:numId="18">
    <w:abstractNumId w:val="6"/>
  </w:num>
  <w:num w:numId="19">
    <w:abstractNumId w:val="5"/>
  </w:num>
  <w:num w:numId="20">
    <w:abstractNumId w:val="4"/>
  </w:num>
  <w:num w:numId="21">
    <w:abstractNumId w:val="45"/>
  </w:num>
  <w:num w:numId="22">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3">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4">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5">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6">
    <w:abstractNumId w:val="22"/>
  </w:num>
  <w:num w:numId="27">
    <w:abstractNumId w:val="20"/>
  </w:num>
  <w:num w:numId="28">
    <w:abstractNumId w:val="35"/>
  </w:num>
  <w:num w:numId="29">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0">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1">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2">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3">
    <w:abstractNumId w:val="34"/>
  </w:num>
  <w:num w:numId="34">
    <w:abstractNumId w:val="14"/>
  </w:num>
  <w:num w:numId="35">
    <w:abstractNumId w:val="21"/>
  </w:num>
  <w:num w:numId="36">
    <w:abstractNumId w:val="11"/>
  </w:num>
  <w:num w:numId="37">
    <w:abstractNumId w:val="3"/>
  </w:num>
  <w:num w:numId="38">
    <w:abstractNumId w:val="0"/>
  </w:num>
  <w:num w:numId="39">
    <w:abstractNumId w:val="16"/>
  </w:num>
  <w:num w:numId="40">
    <w:abstractNumId w:val="48"/>
  </w:num>
  <w:num w:numId="41">
    <w:abstractNumId w:val="31"/>
  </w:num>
  <w:num w:numId="42">
    <w:abstractNumId w:val="42"/>
  </w:num>
  <w:num w:numId="43">
    <w:abstractNumId w:val="26"/>
  </w:num>
  <w:num w:numId="44">
    <w:abstractNumId w:val="7"/>
    <w:lvlOverride w:ilvl="0">
      <w:lvl w:ilvl="0">
        <w:start w:val="1"/>
        <w:numFmt w:val="decimal"/>
        <w:lvlRestart w:val="0"/>
        <w:pStyle w:val="NumPar1"/>
        <w:lvlText w:val="%1."/>
        <w:lvlJc w:val="left"/>
        <w:pPr>
          <w:tabs>
            <w:tab w:val="num" w:pos="850"/>
          </w:tabs>
          <w:ind w:left="850" w:hanging="850"/>
        </w:pPr>
        <w:rPr>
          <w:rFonts w:cs="Times New Roman" w:hint="default"/>
        </w:rPr>
      </w:lvl>
    </w:lvlOverride>
    <w:lvlOverride w:ilvl="1">
      <w:lvl w:ilvl="1">
        <w:start w:val="1"/>
        <w:numFmt w:val="decimal"/>
        <w:pStyle w:val="NumPar2"/>
        <w:lvlText w:val="%1.%2."/>
        <w:lvlJc w:val="left"/>
        <w:pPr>
          <w:tabs>
            <w:tab w:val="num" w:pos="850"/>
          </w:tabs>
          <w:ind w:left="850" w:hanging="850"/>
        </w:pPr>
        <w:rPr>
          <w:rFonts w:cs="Times New Roman" w:hint="default"/>
        </w:rPr>
      </w:lvl>
    </w:lvlOverride>
    <w:lvlOverride w:ilvl="2">
      <w:lvl w:ilvl="2">
        <w:start w:val="1"/>
        <w:numFmt w:val="decimal"/>
        <w:pStyle w:val="NumPar3"/>
        <w:lvlText w:val="%1.%2.%3."/>
        <w:lvlJc w:val="left"/>
        <w:pPr>
          <w:tabs>
            <w:tab w:val="num" w:pos="850"/>
          </w:tabs>
          <w:ind w:left="850" w:hanging="850"/>
        </w:pPr>
        <w:rPr>
          <w:rFonts w:cs="Times New Roman" w:hint="default"/>
        </w:rPr>
      </w:lvl>
    </w:lvlOverride>
    <w:lvlOverride w:ilvl="3">
      <w:lvl w:ilvl="3">
        <w:start w:val="1"/>
        <w:numFmt w:val="decimal"/>
        <w:pStyle w:val="NumPar4"/>
        <w:lvlText w:val="%1.%2.%3.%4."/>
        <w:lvlJc w:val="left"/>
        <w:pPr>
          <w:tabs>
            <w:tab w:val="num" w:pos="850"/>
          </w:tabs>
          <w:ind w:left="850" w:hanging="85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5">
    <w:abstractNumId w:val="7"/>
    <w:lvlOverride w:ilvl="0">
      <w:startOverride w:val="1"/>
      <w:lvl w:ilvl="0">
        <w:start w:val="1"/>
        <w:numFmt w:val="decimal"/>
        <w:lvlRestart w:val="0"/>
        <w:pStyle w:val="NumPar1"/>
        <w:lvlText w:val="%1."/>
        <w:lvlJc w:val="left"/>
        <w:pPr>
          <w:tabs>
            <w:tab w:val="num" w:pos="850"/>
          </w:tabs>
          <w:ind w:left="850" w:hanging="850"/>
        </w:pPr>
        <w:rPr>
          <w:rFonts w:cs="Times New Roman" w:hint="default"/>
        </w:rPr>
      </w:lvl>
    </w:lvlOverride>
    <w:lvlOverride w:ilvl="1">
      <w:startOverride w:val="1"/>
      <w:lvl w:ilvl="1">
        <w:start w:val="1"/>
        <w:numFmt w:val="decimal"/>
        <w:pStyle w:val="NumPar2"/>
        <w:lvlText w:val="%1.%2."/>
        <w:lvlJc w:val="left"/>
        <w:pPr>
          <w:tabs>
            <w:tab w:val="num" w:pos="850"/>
          </w:tabs>
          <w:ind w:left="850" w:hanging="850"/>
        </w:pPr>
        <w:rPr>
          <w:rFonts w:cs="Times New Roman" w:hint="default"/>
        </w:rPr>
      </w:lvl>
    </w:lvlOverride>
    <w:lvlOverride w:ilvl="2">
      <w:startOverride w:val="1"/>
      <w:lvl w:ilvl="2">
        <w:start w:val="1"/>
        <w:numFmt w:val="decimal"/>
        <w:pStyle w:val="NumPar3"/>
        <w:lvlText w:val="%1.%2.%3."/>
        <w:lvlJc w:val="left"/>
        <w:pPr>
          <w:tabs>
            <w:tab w:val="num" w:pos="850"/>
          </w:tabs>
          <w:ind w:left="850" w:hanging="850"/>
        </w:pPr>
        <w:rPr>
          <w:rFonts w:cs="Times New Roman" w:hint="default"/>
        </w:rPr>
      </w:lvl>
    </w:lvlOverride>
    <w:lvlOverride w:ilvl="3">
      <w:startOverride w:val="1"/>
      <w:lvl w:ilvl="3">
        <w:start w:val="1"/>
        <w:numFmt w:val="decimal"/>
        <w:pStyle w:val="NumPar4"/>
        <w:lvlText w:val="%1.%2.%3.%4."/>
        <w:lvlJc w:val="left"/>
        <w:pPr>
          <w:tabs>
            <w:tab w:val="num" w:pos="850"/>
          </w:tabs>
          <w:ind w:left="850" w:hanging="850"/>
        </w:pPr>
        <w:rPr>
          <w:rFonts w:cs="Times New Roman" w:hint="default"/>
        </w:rPr>
      </w:lvl>
    </w:lvlOverride>
    <w:lvlOverride w:ilvl="4">
      <w:startOverride w:val="1"/>
      <w:lvl w:ilvl="4">
        <w:start w:val="1"/>
        <w:numFmt w:val="lowerLetter"/>
        <w:lvlText w:val="(%5)"/>
        <w:lvlJc w:val="left"/>
        <w:pPr>
          <w:tabs>
            <w:tab w:val="num" w:pos="1800"/>
          </w:tabs>
          <w:ind w:left="1800" w:hanging="360"/>
        </w:pPr>
        <w:rPr>
          <w:rFonts w:cs="Times New Roman" w:hint="default"/>
        </w:rPr>
      </w:lvl>
    </w:lvlOverride>
    <w:lvlOverride w:ilvl="5">
      <w:startOverride w:val="1"/>
      <w:lvl w:ilvl="5">
        <w:start w:val="1"/>
        <w:numFmt w:val="lowerRoman"/>
        <w:lvlText w:val="(%6)"/>
        <w:lvlJc w:val="left"/>
        <w:pPr>
          <w:tabs>
            <w:tab w:val="num" w:pos="2160"/>
          </w:tabs>
          <w:ind w:left="2160" w:hanging="360"/>
        </w:pPr>
        <w:rPr>
          <w:rFonts w:cs="Times New Roman" w:hint="default"/>
        </w:rPr>
      </w:lvl>
    </w:lvlOverride>
    <w:lvlOverride w:ilvl="6">
      <w:startOverride w:val="1"/>
      <w:lvl w:ilvl="6">
        <w:start w:val="1"/>
        <w:numFmt w:val="decimal"/>
        <w:lvlText w:val="%7."/>
        <w:lvlJc w:val="left"/>
        <w:pPr>
          <w:tabs>
            <w:tab w:val="num" w:pos="2520"/>
          </w:tabs>
          <w:ind w:left="2520" w:hanging="360"/>
        </w:pPr>
        <w:rPr>
          <w:rFonts w:cs="Times New Roman" w:hint="default"/>
        </w:rPr>
      </w:lvl>
    </w:lvlOverride>
    <w:lvlOverride w:ilvl="7">
      <w:startOverride w:val="1"/>
      <w:lvl w:ilvl="7">
        <w:start w:val="1"/>
        <w:numFmt w:val="lowerLetter"/>
        <w:lvlText w:val="%8."/>
        <w:lvlJc w:val="left"/>
        <w:pPr>
          <w:tabs>
            <w:tab w:val="num" w:pos="2880"/>
          </w:tabs>
          <w:ind w:left="2880" w:hanging="360"/>
        </w:pPr>
        <w:rPr>
          <w:rFonts w:cs="Times New Roman" w:hint="default"/>
        </w:rPr>
      </w:lvl>
    </w:lvlOverride>
    <w:lvlOverride w:ilvl="8">
      <w:startOverride w:val="1"/>
      <w:lvl w:ilvl="8">
        <w:start w:val="1"/>
        <w:numFmt w:val="lowerRoman"/>
        <w:lvlText w:val="%9."/>
        <w:lvlJc w:val="left"/>
        <w:pPr>
          <w:tabs>
            <w:tab w:val="num" w:pos="3240"/>
          </w:tabs>
          <w:ind w:left="3240" w:hanging="360"/>
        </w:pPr>
        <w:rPr>
          <w:rFonts w:cs="Times New Roman" w:hint="default"/>
        </w:rPr>
      </w:lvl>
    </w:lvlOverride>
  </w:num>
  <w:num w:numId="46">
    <w:abstractNumId w:val="25"/>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4"/>
  </w:num>
  <w:num w:numId="53">
    <w:abstractNumId w:val="36"/>
  </w:num>
  <w:num w:numId="54">
    <w:abstractNumId w:val="28"/>
  </w:num>
  <w:num w:numId="55">
    <w:abstractNumId w:val="32"/>
  </w:num>
  <w:num w:numId="56">
    <w:abstractNumId w:val="13"/>
  </w:num>
  <w:num w:numId="57">
    <w:abstractNumId w:val="18"/>
  </w:num>
  <w:num w:numId="58">
    <w:abstractNumId w:val="17"/>
  </w:num>
  <w:num w:numId="59">
    <w:abstractNumId w:val="33"/>
  </w:num>
  <w:num w:numId="60">
    <w:abstractNumId w:val="12"/>
  </w:num>
  <w:num w:numId="61">
    <w:abstractNumId w:val="27"/>
  </w:num>
  <w:num w:numId="62">
    <w:abstractNumId w:val="39"/>
  </w:num>
  <w:num w:numId="63">
    <w:abstractNumId w:val="44"/>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oNotTrackMove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6E2BD707-1955-4235-85C1-1DCBFE328FF8"/>
    <w:docVar w:name="LW_COVERPAGE_TYPE" w:val="1"/>
    <w:docVar w:name="LW_CROSSREFERENCE" w:val="{SWD(2018) 20 final}"/>
    <w:docVar w:name="LW_DocType" w:val="NORMAL"/>
    <w:docVar w:name="LW_EMISSION" w:val="16.1.2018"/>
    <w:docVar w:name="LW_EMISSION_ISODATE" w:val="2018-01-16"/>
    <w:docVar w:name="LW_EMISSION_LOCATION" w:val="STR"/>
    <w:docVar w:name="LW_EMISSION_PREFIX" w:val="Strasbourg, "/>
    <w:docVar w:name="LW_EMISSION_SUFFIX" w:val="&lt;EMPTY&gt;"/>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options to address the interface between chemical, product and waste legislation"/>
    <w:docVar w:name="LW_SOUS.TITRE.OBJ.CP" w:val="options to address the interface between chemical, product and waste legislation"/>
    <w:docVar w:name="LW_SUPERTITRE" w:val="&lt;UNUSED&gt;"/>
    <w:docVar w:name="LW_TITRE.OBJ.CP" w:val="o izvajanju sve\u382?nja o kro\u382?nem gospodarstvu:_x000b_mo\u382?nosti za re\u353?itev vpra\u353?anja sti\u269?i\u353?\u269?a med zakonodajo o kemikalijah, proizvodih in odpadkih_x000b__x000b_(Besedilo velja za EGP)_x000b_"/>
    <w:docVar w:name="LW_TYPE.DOC.CP" w:val="SPORO\u268?ILO KOMISIJE EVROPSKEMU PARLAMENTU, SVETU, EVROPSKEMU EKONOMSKO-SOCIALNEMU ODBORU IN ODBORU REGIJ"/>
    <w:docVar w:name="LW_TYPE.DOC.CP.USERTEXT" w:val="&lt;EMPTY&gt;"/>
  </w:docVars>
  <w:rsids>
    <w:rsidRoot w:val="003236CA"/>
    <w:rsid w:val="003236CA"/>
    <w:rsid w:val="00CC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val="sl-SI" w:eastAsia="en-US"/>
    </w:rPr>
  </w:style>
  <w:style w:type="character" w:customStyle="1" w:styleId="Heading2Char">
    <w:name w:val="Heading 2 Char"/>
    <w:link w:val="Heading2"/>
    <w:uiPriority w:val="99"/>
    <w:rPr>
      <w:rFonts w:ascii="Times New Roman" w:eastAsia="Times New Roman" w:hAnsi="Times New Roman"/>
      <w:b/>
      <w:bCs/>
      <w:iCs/>
      <w:sz w:val="24"/>
      <w:szCs w:val="28"/>
      <w:lang w:val="sl-SI" w:eastAsia="en-US"/>
    </w:rPr>
  </w:style>
  <w:style w:type="character" w:customStyle="1" w:styleId="Heading3Char">
    <w:name w:val="Heading 3 Char"/>
    <w:link w:val="Heading3"/>
    <w:uiPriority w:val="99"/>
    <w:rPr>
      <w:rFonts w:ascii="Times New Roman" w:eastAsia="Times New Roman" w:hAnsi="Times New Roman"/>
      <w:bCs/>
      <w:i/>
      <w:sz w:val="24"/>
      <w:szCs w:val="26"/>
      <w:lang w:val="sl-SI" w:eastAsia="en-US"/>
    </w:rPr>
  </w:style>
  <w:style w:type="character" w:customStyle="1" w:styleId="Heading4Char">
    <w:name w:val="Heading 4 Char"/>
    <w:link w:val="Heading4"/>
    <w:uiPriority w:val="99"/>
    <w:rPr>
      <w:rFonts w:ascii="Times New Roman" w:eastAsia="Times New Roman" w:hAnsi="Times New Roman"/>
      <w:bCs/>
      <w:sz w:val="24"/>
      <w:szCs w:val="28"/>
      <w:lang w:val="sl-SI" w:eastAsia="en-US"/>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sz w:val="24"/>
      <w:szCs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customStyle="1" w:styleId="TOCHeading1">
    <w:name w:val="TOC Heading1"/>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customStyle="1" w:styleId="MediumGrid1-Accent21">
    <w:name w:val="Medium Grid 1 - Accent 21"/>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customStyle="1" w:styleId="MediumList2-Accent21">
    <w:name w:val="Medium List 2 - Accent 21"/>
    <w:hidden/>
    <w:uiPriority w:val="99"/>
    <w:semiHidden/>
    <w:rPr>
      <w:rFonts w:ascii="Times New Roman" w:eastAsia="Times New Roman" w:hAnsi="Times New Roman"/>
      <w:sz w:val="24"/>
      <w:szCs w:val="24"/>
      <w:lang w:eastAsia="en-US"/>
    </w:rPr>
  </w:style>
  <w:style w:type="character" w:customStyle="1" w:styleId="FollowedHyperlink1">
    <w:name w:val="FollowedHyperlink1"/>
    <w:uiPriority w:val="99"/>
    <w:semiHidden/>
    <w:unhideWhenUsed/>
    <w:rPr>
      <w:color w:val="800080"/>
      <w:u w:val="single"/>
    </w:rPr>
  </w:style>
  <w:style w:type="character" w:customStyle="1" w:styleId="FootnoteTextChar1">
    <w:name w:val="Footnote Text Char1"/>
    <w:aliases w:val="Footnote Text Char Char"/>
    <w:uiPriority w:val="99"/>
    <w:rPr>
      <w:lang w:val="sl-SI" w:eastAsia="en-US"/>
    </w:rPr>
  </w:style>
  <w:style w:type="character" w:styleId="FollowedHyperlink">
    <w:name w:val="FollowedHyperlink"/>
    <w:uiPriority w:val="99"/>
    <w:semiHidden/>
    <w:unhideWhenUsed/>
    <w:rPr>
      <w:color w:val="800080"/>
      <w:u w:val="single"/>
    </w:rPr>
  </w:style>
  <w:style w:type="paragraph" w:styleId="Revision">
    <w:name w:val="Revision"/>
    <w:hidden/>
    <w:rPr>
      <w:sz w:val="22"/>
      <w:szCs w:val="22"/>
      <w:lang w:eastAsia="en-US"/>
    </w:rPr>
  </w:style>
  <w:style w:type="paragraph" w:styleId="NormalWeb">
    <w:name w:val="Normal (Web)"/>
    <w:basedOn w:val="Normal"/>
    <w:rPr>
      <w:rFonts w:ascii="Times New Roman" w:hAnsi="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rPr>
  </w:style>
  <w:style w:type="table" w:customStyle="1" w:styleId="TableGrid1">
    <w:name w:val="Table Grid1"/>
    <w:basedOn w:val="TableNormal"/>
    <w:next w:val="TableGrid"/>
    <w:uiPriority w:val="99"/>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935">
      <w:bodyDiv w:val="1"/>
      <w:marLeft w:val="0"/>
      <w:marRight w:val="0"/>
      <w:marTop w:val="0"/>
      <w:marBottom w:val="0"/>
      <w:divBdr>
        <w:top w:val="none" w:sz="0" w:space="0" w:color="auto"/>
        <w:left w:val="none" w:sz="0" w:space="0" w:color="auto"/>
        <w:bottom w:val="none" w:sz="0" w:space="0" w:color="auto"/>
        <w:right w:val="none" w:sz="0" w:space="0" w:color="auto"/>
      </w:divBdr>
    </w:div>
    <w:div w:id="1297301793">
      <w:bodyDiv w:val="1"/>
      <w:marLeft w:val="0"/>
      <w:marRight w:val="0"/>
      <w:marTop w:val="0"/>
      <w:marBottom w:val="0"/>
      <w:divBdr>
        <w:top w:val="none" w:sz="0" w:space="0" w:color="auto"/>
        <w:left w:val="none" w:sz="0" w:space="0" w:color="auto"/>
        <w:bottom w:val="none" w:sz="0" w:space="0" w:color="auto"/>
        <w:right w:val="none" w:sz="0" w:space="0" w:color="auto"/>
      </w:divBdr>
    </w:div>
    <w:div w:id="1693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eb.org/publications/81/circular-economy/33789/pops-in-the-circular-economy.pdf" TargetMode="External"/><Relationship Id="rId2" Type="http://schemas.openxmlformats.org/officeDocument/2006/relationships/hyperlink" Target="https://www.anec.eu/images/Publications/position-papers/Sustainability/ANEC-PT-2017-CEG-017.pdf" TargetMode="External"/><Relationship Id="rId1" Type="http://schemas.openxmlformats.org/officeDocument/2006/relationships/hyperlink" Target="https://chemicalwatch.com/7210/mineral-oils-health-scare-sparks-food-packaging-debate" TargetMode="External"/><Relationship Id="rId5" Type="http://schemas.openxmlformats.org/officeDocument/2006/relationships/hyperlink" Target="http://www.eurelectric.org/media/340047/eurelectric-interface_consultation-final_07072017-2017-2430-0001-01-e.pdf" TargetMode="External"/><Relationship Id="rId4" Type="http://schemas.openxmlformats.org/officeDocument/2006/relationships/hyperlink" Target="https://www.eurometaux.eu/media/1634/eurometaux-response-chemicals-products-waste-interface-stakeholde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63DD-872F-4B8C-BD32-FE913234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2742</Words>
  <Characters>15631</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18337</CharactersWithSpaces>
  <SharedDoc>false</SharedDoc>
  <HLinks>
    <vt:vector size="30" baseType="variant">
      <vt:variant>
        <vt:i4>7274608</vt:i4>
      </vt:variant>
      <vt:variant>
        <vt:i4>12</vt:i4>
      </vt:variant>
      <vt:variant>
        <vt:i4>0</vt:i4>
      </vt:variant>
      <vt:variant>
        <vt:i4>5</vt:i4>
      </vt:variant>
      <vt:variant>
        <vt:lpwstr>http://www.eurelectric.org/media/340047/eurelectric-interface_consultation-final_07072017-2017-2430-0001-01-e.pdf</vt:lpwstr>
      </vt:variant>
      <vt:variant>
        <vt:lpwstr/>
      </vt:variant>
      <vt:variant>
        <vt:i4>4259909</vt:i4>
      </vt:variant>
      <vt:variant>
        <vt:i4>9</vt:i4>
      </vt:variant>
      <vt:variant>
        <vt:i4>0</vt:i4>
      </vt:variant>
      <vt:variant>
        <vt:i4>5</vt:i4>
      </vt:variant>
      <vt:variant>
        <vt:lpwstr>https://www.eurometaux.eu/media/1634/eurometaux-response-chemicals-products-waste-interface-stakeholder-c.pdf</vt:lpwstr>
      </vt:variant>
      <vt:variant>
        <vt:lpwstr/>
      </vt:variant>
      <vt:variant>
        <vt:i4>6750335</vt:i4>
      </vt:variant>
      <vt:variant>
        <vt:i4>6</vt:i4>
      </vt:variant>
      <vt:variant>
        <vt:i4>0</vt:i4>
      </vt:variant>
      <vt:variant>
        <vt:i4>5</vt:i4>
      </vt:variant>
      <vt:variant>
        <vt:lpwstr>http://eeb.org/publications/81/circular-economy/33789/pops-in-the-circular-economy.pdf</vt:lpwstr>
      </vt:variant>
      <vt:variant>
        <vt:lpwstr/>
      </vt:variant>
      <vt:variant>
        <vt:i4>2621555</vt:i4>
      </vt:variant>
      <vt:variant>
        <vt:i4>3</vt:i4>
      </vt:variant>
      <vt:variant>
        <vt:i4>0</vt:i4>
      </vt:variant>
      <vt:variant>
        <vt:i4>5</vt:i4>
      </vt:variant>
      <vt:variant>
        <vt:lpwstr>https://www.anec.eu/images/Publications/position-papers/Sustainability/ANEC-PT-2017-CEG-017.pdf</vt:lpwstr>
      </vt:variant>
      <vt:variant>
        <vt:lpwstr/>
      </vt:variant>
      <vt:variant>
        <vt:i4>65611</vt:i4>
      </vt:variant>
      <vt:variant>
        <vt:i4>0</vt:i4>
      </vt:variant>
      <vt:variant>
        <vt:i4>0</vt:i4>
      </vt:variant>
      <vt:variant>
        <vt:i4>5</vt:i4>
      </vt:variant>
      <vt:variant>
        <vt:lpwstr>https://chemicalwatch.com/7210/mineral-oils-health-scare-sparks-food-packaging-debate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Stefanie Heilemann</cp:lastModifiedBy>
  <cp:revision>21</cp:revision>
  <cp:lastPrinted>2018-01-09T15:49:00Z</cp:lastPrinted>
  <dcterms:created xsi:type="dcterms:W3CDTF">2018-01-15T15:12:00Z</dcterms:created>
  <dcterms:modified xsi:type="dcterms:W3CDTF">2018-01-19T09:33:00Z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ies>
</file>