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84A61485-A7A1-45C1-A259-3633E1F4C720" style="width:450.75pt;height:351.7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spacing w:before="120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KONTEXT NÁVRHU</w:t>
      </w:r>
    </w:p>
    <w:p>
      <w:pPr>
        <w:pStyle w:val="ManualHeading2"/>
        <w:rPr>
          <w:rFonts w:eastAsia="Arial Unicode MS"/>
          <w:noProof/>
          <w:szCs w:val="24"/>
        </w:rPr>
      </w:pPr>
      <w:r>
        <w:rPr>
          <w:noProof/>
          <w:color w:val="000000"/>
          <w:szCs w:val="24"/>
          <w:u w:color="000000"/>
          <w:bdr w:val="nil"/>
        </w:rPr>
        <w:t>•</w:t>
      </w:r>
      <w:r>
        <w:rPr>
          <w:noProof/>
          <w:color w:val="000000"/>
          <w:szCs w:val="24"/>
          <w:u w:color="000000"/>
          <w:bdr w:val="nil"/>
        </w:rPr>
        <w:tab/>
      </w:r>
      <w:r>
        <w:rPr>
          <w:noProof/>
        </w:rPr>
        <w:t>Dôvody a ciele návrhu</w:t>
      </w:r>
    </w:p>
    <w:p>
      <w:pPr>
        <w:rPr>
          <w:noProof/>
        </w:rPr>
      </w:pPr>
      <w:r>
        <w:rPr>
          <w:noProof/>
        </w:rPr>
        <w:t xml:space="preserve">Ako predseda Juncker zdôraznil vo svojom prejave o stave Únie za rok 2017: </w:t>
      </w:r>
      <w:r>
        <w:rPr>
          <w:i/>
          <w:noProof/>
        </w:rPr>
        <w:t>„V mojich očiach je Európa viac než len jednotný trh.</w:t>
      </w:r>
      <w:r>
        <w:rPr>
          <w:i/>
          <w:noProof/>
          <w:szCs w:val="24"/>
        </w:rPr>
        <w:t xml:space="preserve"> Viac ako peniaze, viac ako euro. Vždy bola o hodnotách</w:t>
      </w:r>
      <w:r>
        <w:rPr>
          <w:i/>
          <w:noProof/>
        </w:rPr>
        <w:t>“</w:t>
      </w:r>
      <w:r>
        <w:rPr>
          <w:rStyle w:val="FootnoteReference"/>
          <w:rFonts w:eastAsia="Times New Roman"/>
          <w:bCs/>
          <w:noProof/>
          <w:szCs w:val="24"/>
          <w:lang w:eastAsia="en-GB"/>
        </w:rPr>
        <w:footnoteReference w:id="2"/>
      </w:r>
      <w:r>
        <w:rPr>
          <w:noProof/>
        </w:rPr>
        <w:t>. Ako sa uvádza v článku 2 Zmluvy o Európskej únii: „Únia je založená na hodnotách úcty k ľudskej dôstojnosti, slobody, demokracie, rovnosti, právneho štátu a rešpektovania ľudských práv vrátane práv osôb patriacich k menšinám.</w:t>
      </w:r>
      <w:r>
        <w:rPr>
          <w:i/>
          <w:noProof/>
          <w:szCs w:val="24"/>
        </w:rPr>
        <w:t xml:space="preserve"> Tieto hodnoty sú spoločné členským štátom v spoločnosti, v ktorej prevláda pluralizmus, nediskriminácia, tolerancia, spravodlivosť, solidarita a rovnosť medzi ženami a mužmi.“</w:t>
      </w:r>
      <w:r>
        <w:rPr>
          <w:noProof/>
        </w:rPr>
        <w:t xml:space="preserve"> </w:t>
      </w:r>
    </w:p>
    <w:p>
      <w:pPr>
        <w:rPr>
          <w:i/>
          <w:noProof/>
          <w:szCs w:val="24"/>
        </w:rPr>
      </w:pPr>
      <w:r>
        <w:rPr>
          <w:noProof/>
        </w:rPr>
        <w:t xml:space="preserve">Tieto spoločné hodnoty sú základom našich vnútroštátnych demokracií a vyjadrujú, kto sme. Okrem toho tvoria štruktúru našej Únie, ktorá spojila krajiny, komunity a ľudí v jedinečnom politickom projekte, vďaka ktorému Európa poznala najdlhšie obdobie mieru. Tieto prínosy siahajú od preklenutia najhlbších rozporov Európy bezprostredne po druhej svetovej vojne po zjednotenie Európy s krajinami strednej a východnej Európy po roku 1989. Pokojná, sociálna a demokratická Únia je postavená na týchto hodnotách, ktoré platia nielen v Európe, ale sú to hodnoty, ktoré Úniu zastupujú vo svete. </w:t>
      </w:r>
    </w:p>
    <w:p>
      <w:pPr>
        <w:autoSpaceDE w:val="0"/>
        <w:autoSpaceDN w:val="0"/>
        <w:adjustRightInd w:val="0"/>
        <w:spacing w:before="0" w:after="0"/>
        <w:rPr>
          <w:rFonts w:cs="Garamond"/>
          <w:noProof/>
          <w:color w:val="000000"/>
          <w:szCs w:val="24"/>
        </w:rPr>
      </w:pPr>
      <w:r>
        <w:rPr>
          <w:noProof/>
          <w:color w:val="000000"/>
          <w:szCs w:val="24"/>
        </w:rPr>
        <w:t>Ako sa zdôrazňuje v Diskusnom dokumente Komisie o sociálnom rozmere Európy: „európske spoločnosti sú v porovnaní so zvyškom sveta prosperujúce a žijú si v hojnosti.</w:t>
      </w:r>
      <w:r>
        <w:rPr>
          <w:i/>
          <w:noProof/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t>Majú najvyššie úrovne sociálnej ochrany na svete a pokiaľ ide o blahobyt, ľudský rozvoj a kvalitu života, radia sa na najvyššie priečky“</w:t>
      </w:r>
      <w:r>
        <w:rPr>
          <w:rStyle w:val="FootnoteReference"/>
          <w:rFonts w:cs="Garamond"/>
          <w:noProof/>
          <w:color w:val="000000"/>
          <w:szCs w:val="24"/>
        </w:rPr>
        <w:footnoteReference w:id="3"/>
      </w:r>
      <w:r>
        <w:rPr>
          <w:noProof/>
          <w:color w:val="000000"/>
          <w:szCs w:val="24"/>
        </w:rPr>
        <w:t xml:space="preserve">. Napriek tomu, že Únia zažíva výrazný rast a nezamestnanosť je na najnižšej úrovni od roku 2009, keď sa opýtate na budúcnosť, mnohí vyjadrujú znepokojenie a obavy, najmä pokiaľ ide o budúce generácie. </w:t>
      </w:r>
      <w:r>
        <w:rPr>
          <w:noProof/>
        </w:rPr>
        <w:t>Únia a jej členské štáty čelia rôznym výzvam vrátane populizmu, xenofóbie, rozdeľujúceho nacionalizmu, diskriminácie, šírenia falošných správ a dezinformovania, ako aj výzve týkajúcej sa radikalizácie. Tento fenomén by mohol vážne narušiť základy našich demokracií, mohol by narušiť dôveru v právny štát a demokratické inštitúcie a brániť pocitu spolupatričnosti v rámci európskych spoločností a medzi nimi.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Naša demokracia môže fungovať, len ak bude legitímna v očiach občanov, ktorým slúži, na vnútroštátnej úrovni, ako aj v rámci celej Únie. Existujú znepokojivé znaky, že potrebné znalosti o našich spoločných hodnotách a úlohe vnútroštátnej a európskej demokracie nie sú dostatočne zakorenené, z čoho vyplýva riziko ich erózie a spochybnenia súdržnosti našich spoločností v členských štátoch a aj na úrovni EÚ. Presadzovanie týchto spoločných hodnôt zakotvených v článku 2 Zmluvy o Európskej únii je rozhodujúce pre posilnenie našich vnútroštátnych demokracií a upevnenie našej Únie.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Cs/>
          <w:noProof/>
        </w:rPr>
      </w:pPr>
      <w:r>
        <w:rPr>
          <w:noProof/>
        </w:rPr>
        <w:t xml:space="preserve">Kvalitné a inkluzívne vzdelávanie a odborná príprava na všetkých úrovniach sú nevyhnutné na zabezpečenie sociálnej mobility a sociálneho začlenenia, poskytovanie znalostí a zručností našim občanom, aby uspeli na pracovnom trhu, ale aj presadzovanie kompetencií pre kritické myslenie a hlbšie pochopenie našich spoločných hodnôt.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lastRenderedPageBreak/>
        <w:t>V niektorých členských štátoch vzdelávanie zahŕňa vyučovanie občianskej náuky. Môže ísť o vyučovanie dôvodov, prečo sa členské štáty rozhodli dobrovoľne spolupracovať a integrovať sa v Európskej únii. Nedostatočná informovanosť o základoch EÚ, dôvodoch jej vzniku a jej základnom fungovaní napomáha dezinformáciám a zabraňuje tvorbe informovaných názorov o jej konaní. Znalosti o sociálnej, náboženskej a kultúrnej rozmanitosti, dedičstve, tradíciách a politických reáliách vlastnej krajiny, iných členských štátov a ostatných krajín na svete sú navyše nevyhnutné pre vzájomný rešpekt, porozumenie a spoluprácu v rámci členských štátov a medzi nimi a všeobecne so svetom.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Cs/>
          <w:noProof/>
        </w:rPr>
      </w:pPr>
      <w:r>
        <w:rPr>
          <w:noProof/>
        </w:rPr>
        <w:t>Pomôže to chrániť demokraciu na všetkých úrovniach, a tým prispieť k všeobecnému pocitu spolupatričnosti na európskej úrovni.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Cs/>
          <w:noProof/>
        </w:rPr>
      </w:pPr>
      <w:r>
        <w:rPr>
          <w:noProof/>
        </w:rPr>
        <w:t xml:space="preserve">Toto odporúčanie vychádza z našich štyroch cieľov: podporovanie spoločných hodnôt na všetkých úrovniach vzdelávania, uľahčovanie inkluzívnejšieho vzdelávania, podporovanie európskeho rozmeru vyučovania bez toho, aby boli dotknuté vnútroštátne výsady v tejto oblasti, ako aj podporovanie učiteľov a vyučovania. </w:t>
      </w:r>
      <w:r>
        <w:rPr>
          <w:bCs/>
          <w:noProof/>
          <w:color w:val="000000" w:themeColor="text1"/>
          <w:szCs w:val="24"/>
        </w:rPr>
        <w:t xml:space="preserve">Nabáda </w:t>
      </w:r>
      <w:r>
        <w:rPr>
          <w:noProof/>
          <w:color w:val="000000" w:themeColor="text1"/>
          <w:szCs w:val="24"/>
        </w:rPr>
        <w:t xml:space="preserve">členské štáty a Komisiu, aby si vymieňali osvedčené postupy a informácie a vypracúvali politiky </w:t>
      </w:r>
      <w:r>
        <w:rPr>
          <w:noProof/>
        </w:rPr>
        <w:t>na vnútroštátnej úrovni a aj na úrovni EÚ. Záväzky členských štátov sú dobrovoľné a každý členský štát rozhoduje o prístupe, ktorý zaujme pri ich vykonávaní.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Komisia na dosiahnutie týchto cieľov a podporenie členských štátov v ich úsilí podnikne kroky na zvýšenie virtuálnych výmen medzi školami, najmä prostredníctvom siete eTwinning, a podporenie školskej mobility v rámci programu Erasmus+. Európske štrukturálne a investičné fondy môžu pomôcť podporiť odbornú prípravu učiteľov alebo financovať infraštruktúru, ktorá umožňuje inkluzívne vzdelávanie. </w:t>
      </w:r>
    </w:p>
    <w:p>
      <w:pPr>
        <w:rPr>
          <w:rFonts w:eastAsia="Arial Unicode MS"/>
          <w:b/>
          <w:noProof/>
          <w:szCs w:val="24"/>
        </w:rPr>
      </w:pPr>
      <w:r>
        <w:rPr>
          <w:b/>
          <w:noProof/>
          <w:szCs w:val="24"/>
        </w:rPr>
        <w:t>•</w:t>
      </w:r>
      <w:r>
        <w:rPr>
          <w:b/>
          <w:noProof/>
          <w:szCs w:val="24"/>
        </w:rPr>
        <w:tab/>
        <w:t>Kontext</w:t>
      </w:r>
    </w:p>
    <w:p>
      <w:pPr>
        <w:suppressAutoHyphens/>
        <w:rPr>
          <w:rFonts w:eastAsia="Times New Roman"/>
          <w:noProof/>
          <w:szCs w:val="24"/>
        </w:rPr>
      </w:pPr>
      <w:r>
        <w:rPr>
          <w:noProof/>
        </w:rPr>
        <w:t xml:space="preserve">Toto odporúčanie vychádza z </w:t>
      </w:r>
      <w:hyperlink r:id="rId16" w:history="1">
        <w:r>
          <w:rPr>
            <w:rStyle w:val="Hyperlink"/>
            <w:i/>
            <w:iCs/>
            <w:noProof/>
            <w:szCs w:val="24"/>
            <w:u w:color="000000"/>
            <w:bdr w:val="nil"/>
          </w:rPr>
          <w:t>Parížskej deklarácie o podpore občianstva a spoločných hodnôt slobody, tolerancie a nediskriminácie prostredníctvom vzdelávania</w:t>
        </w:r>
      </w:hyperlink>
      <w:r>
        <w:rPr>
          <w:noProof/>
        </w:rPr>
        <w:t>, ktorá bola prijatá na neformálnom zasadnutí ministrov školstva 17. marca 2015 v Paríži. Ministri vzdelávania v Parížskej deklarácii požadovali opatrenia na všetkých úrovniach vlády na posilnenie úlohy vzdelávania pri presadzovaní občianstva a spoločných hodnôt, posilnení sociálnej súdržnosti a pomoci mladým ľuďom, aby sa stali zodpovednými, otvorenými a aktívnymi členmi našich rôznorodých a inkluzívnych spoločností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>. Identifikovali aj štyri prierezové ciele pre spoluprácu na úrovni EÚ:</w:t>
      </w:r>
    </w:p>
    <w:p>
      <w:pPr>
        <w:pStyle w:val="Bullet1"/>
        <w:numPr>
          <w:ilvl w:val="0"/>
          <w:numId w:val="9"/>
        </w:numPr>
        <w:rPr>
          <w:noProof/>
        </w:rPr>
      </w:pPr>
      <w:r>
        <w:rPr>
          <w:noProof/>
        </w:rPr>
        <w:t>zabezpečiť, aby deti a mladí ľudia získali sociálne, občianske a medzikultúrne zručnosti prostredníctvom presadzovania demokratických hodnôt a základných práv, sociálneho začlenenia a nediskriminácie, ako aj aktívneho občianstva,</w:t>
      </w:r>
    </w:p>
    <w:p>
      <w:pPr>
        <w:pStyle w:val="Bullet1"/>
        <w:numPr>
          <w:ilvl w:val="0"/>
          <w:numId w:val="9"/>
        </w:numPr>
        <w:rPr>
          <w:noProof/>
        </w:rPr>
      </w:pPr>
      <w:r>
        <w:rPr>
          <w:noProof/>
        </w:rPr>
        <w:t>posilňovať kritické myslenie a mediálnu gramotnosť, najmä používanie internetu a sociálnych médií, na vytvorenie odolnosti proti rozkladným tvrdeniam, polarizácii a indoktrinácii,</w:t>
      </w:r>
    </w:p>
    <w:p>
      <w:pPr>
        <w:pStyle w:val="Bullet1"/>
        <w:numPr>
          <w:ilvl w:val="0"/>
          <w:numId w:val="9"/>
        </w:numPr>
        <w:rPr>
          <w:noProof/>
        </w:rPr>
      </w:pPr>
      <w:r>
        <w:rPr>
          <w:noProof/>
        </w:rPr>
        <w:t>podporovať rozvoj vzdelávania znevýhodnených detí a mladých ľudí zabezpečením toho, že naše systémy vzdelávania a odbornej prípravy budú vychádzať v ústrety ich potrebám,</w:t>
      </w:r>
    </w:p>
    <w:p>
      <w:pPr>
        <w:pStyle w:val="Bullet1"/>
        <w:numPr>
          <w:ilvl w:val="0"/>
          <w:numId w:val="9"/>
        </w:numPr>
        <w:rPr>
          <w:noProof/>
        </w:rPr>
      </w:pPr>
      <w:r>
        <w:rPr>
          <w:noProof/>
        </w:rPr>
        <w:lastRenderedPageBreak/>
        <w:t>podporovať medzikultúrny dialóg prostredníctvom všetkých foriem vzdelávania v spolupráci s inými relevantnými politikami a zainteresovanými stranami.</w:t>
      </w:r>
    </w:p>
    <w:p>
      <w:pPr>
        <w:spacing w:before="100" w:beforeAutospacing="1" w:afterAutospacing="1" w:line="312" w:lineRule="atLeast"/>
        <w:ind w:right="225"/>
        <w:outlineLvl w:val="3"/>
        <w:rPr>
          <w:noProof/>
          <w:szCs w:val="24"/>
        </w:rPr>
      </w:pPr>
      <w:r>
        <w:rPr>
          <w:noProof/>
        </w:rPr>
        <w:t xml:space="preserve">Toto odporúčanie takisto nadväzuje na činnosti stanovené v </w:t>
      </w:r>
      <w:r>
        <w:rPr>
          <w:i/>
          <w:noProof/>
        </w:rPr>
        <w:t>Oznámení Komisie o podpore predchádzania radikalizácii vedúcej k násilnému extrémizmu</w:t>
      </w:r>
      <w:r>
        <w:rPr>
          <w:rStyle w:val="FootnoteReference"/>
          <w:i/>
          <w:noProof/>
          <w:szCs w:val="24"/>
        </w:rPr>
        <w:footnoteReference w:id="5"/>
      </w:r>
      <w:r>
        <w:rPr>
          <w:noProof/>
        </w:rPr>
        <w:t>, ktoré bolo prijaté po teroristických útokoch v Európe. Zdôraznila sa v ňom významná úloha, ktorú vzdelávanie zohráva pri identifikácii a ochrane mladých ľudí vystavených riziku radikalizácie a riešení základných príčin radikalizácie.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Okrem toho v </w:t>
      </w:r>
      <w:hyperlink r:id="rId17" w:history="1">
        <w:r>
          <w:rPr>
            <w:rStyle w:val="Hyperlink"/>
            <w:noProof/>
          </w:rPr>
          <w:t>Rímskej deklarácii</w:t>
        </w:r>
      </w:hyperlink>
      <w:r>
        <w:rPr>
          <w:rStyle w:val="FootnoteReference"/>
        </w:rPr>
        <w:footnoteReference w:id="6"/>
      </w:r>
      <w:r>
        <w:rPr>
          <w:noProof/>
        </w:rPr>
        <w:t xml:space="preserve"> z 25. marca 2017 sa vyhlasuje, že Únia by mala byť „Únia, v ktorej dostanú mladí ľudia najlepšie vzdelanie a najlepšiu odbornú prípravu, v ktorej môžu študovať a nájsť pracovné príležitosti na celom kontinente; Únia, ktorá chráni naše kultúrne dedičstvo a podporuje kultúrnu rôznorodosť.“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V </w:t>
      </w:r>
      <w:hyperlink r:id="rId18" w:history="1">
        <w:r>
          <w:rPr>
            <w:rStyle w:val="Hyperlink"/>
            <w:noProof/>
          </w:rPr>
          <w:t>bielej knihe o budúcnosti Európy</w:t>
        </w:r>
      </w:hyperlink>
      <w:r>
        <w:rPr>
          <w:rStyle w:val="FootnoteReference"/>
        </w:rPr>
        <w:footnoteReference w:id="7"/>
      </w:r>
      <w:r>
        <w:rPr>
          <w:noProof/>
        </w:rPr>
        <w:t xml:space="preserve"> Komisia zdôrazňuje úlohu, ktorú hodnoty zohrávajú pri prispievaní k tvorbe spoločnej histórie tak, že „obeť, ktorú priniesli predchádzajúce generácie, by nikdy nemala byť zabudnutá.</w:t>
      </w:r>
      <w:r>
        <w:rPr>
          <w:i/>
          <w:noProof/>
          <w:szCs w:val="24"/>
        </w:rPr>
        <w:t xml:space="preserve"> Hodnoty ako ľudská dôstojnosť, sloboda a demokracia boli ťažko vykúpené. </w:t>
      </w:r>
      <w:r>
        <w:rPr>
          <w:noProof/>
        </w:rPr>
        <w:t>Nikdy sa ich nemôžeme zriecť. Hoci vzťah dnešných Európanov k mieru nie je rovnaký, aký mali ich rodičia alebo starí rodičia, tieto základné hodnoty nás naďalej spájajú.“ Túto predstavu ďalej podčiarkuje myšlienka, že mier trvajúci 70 rokov svedčí o našich spoločných hodnotách a vzájomnom porozumení.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Komisia vo svojom </w:t>
      </w:r>
      <w:hyperlink r:id="rId19" w:history="1">
        <w:r>
          <w:rPr>
            <w:rStyle w:val="Hyperlink"/>
            <w:noProof/>
          </w:rPr>
          <w:t>diskusnom dokumente o využití globalizácie</w:t>
        </w:r>
      </w:hyperlink>
      <w:r>
        <w:rPr>
          <w:rStyle w:val="FootnoteReference"/>
          <w:noProof/>
          <w:szCs w:val="24"/>
        </w:rPr>
        <w:footnoteReference w:id="8"/>
      </w:r>
      <w:r>
        <w:rPr>
          <w:noProof/>
        </w:rPr>
        <w:t xml:space="preserve"> pripomenula, že „rovnaký prístup ku kvalitnému vzdelávaniu a odbornej príprave je účinným spôsobom prerozdelenia bohatstva v spoločnosti.</w:t>
      </w:r>
      <w:r>
        <w:rPr>
          <w:i/>
          <w:noProof/>
          <w:szCs w:val="24"/>
        </w:rPr>
        <w:t xml:space="preserve"> </w:t>
      </w:r>
      <w:r>
        <w:rPr>
          <w:noProof/>
        </w:rPr>
        <w:t>Začať pritom treba vysokým štandardom základného vzdelania a prístupom k odbornej príprave a rozvoju zručností pre všetky vekové kategórie.“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bCs/>
          <w:i/>
          <w:noProof/>
        </w:rPr>
      </w:pPr>
      <w:r>
        <w:rPr>
          <w:noProof/>
        </w:rPr>
        <w:t xml:space="preserve">Komisia pred diskusiou v rámci programu vedúcich predstaviteľov o vzdelávaní a kultúre, ktorá sa konala v novembri 2017 v Göteborgu, zverejnila ako svoj príspevok do diskusie oznámenie o </w:t>
      </w:r>
      <w:hyperlink r:id="rId20" w:history="1">
        <w:r>
          <w:rPr>
            <w:rStyle w:val="Hyperlink"/>
            <w:noProof/>
          </w:rPr>
          <w:t>posilňovaní európskej identity vzdelávaním a kultúrou</w:t>
        </w:r>
      </w:hyperlink>
      <w:r>
        <w:rPr>
          <w:rStyle w:val="FootnoteReference"/>
        </w:rPr>
        <w:footnoteReference w:id="9"/>
      </w:r>
      <w:r>
        <w:rPr>
          <w:noProof/>
        </w:rPr>
        <w:t>. V texte sa zdôrazňuje, že je „v spoločnom záujme všetkých členských štátov, aby využili plný potenciál vzdelávania a kultúry ako hybných síl pre tvorbu pracovných miest, sociálnu spravodlivosť či aktívne občianstvo a príležitosti na zažívanie európskej identity v celej jej rozmanitosti.“</w:t>
      </w:r>
    </w:p>
    <w:p>
      <w:pPr>
        <w:pStyle w:val="ManualHeading2"/>
        <w:rPr>
          <w:rFonts w:eastAsia="Arial Unicode MS"/>
          <w:noProof/>
          <w:color w:val="000000"/>
          <w:szCs w:val="24"/>
          <w:u w:color="000000"/>
          <w:bdr w:val="nil"/>
        </w:rPr>
      </w:pPr>
      <w:r>
        <w:rPr>
          <w:noProof/>
          <w:color w:val="000000"/>
          <w:szCs w:val="24"/>
          <w:u w:color="000000"/>
          <w:bdr w:val="nil"/>
        </w:rPr>
        <w:t>•</w:t>
      </w:r>
      <w:r>
        <w:rPr>
          <w:noProof/>
          <w:color w:val="000000"/>
          <w:szCs w:val="24"/>
          <w:u w:color="000000"/>
          <w:bdr w:val="nil"/>
        </w:rPr>
        <w:tab/>
      </w:r>
      <w:r>
        <w:rPr>
          <w:noProof/>
        </w:rPr>
        <w:t xml:space="preserve">Súlad s existujúcimi ustanoveniami v tejto oblasti politiky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Okrem uvedených iniciatív sa v </w:t>
      </w:r>
      <w:hyperlink r:id="rId21" w:history="1">
        <w:r>
          <w:rPr>
            <w:rStyle w:val="Hyperlink"/>
            <w:noProof/>
            <w:color w:val="auto"/>
            <w:szCs w:val="24"/>
          </w:rPr>
          <w:t>spoločnej správe</w:t>
        </w:r>
      </w:hyperlink>
      <w:r>
        <w:rPr>
          <w:noProof/>
        </w:rPr>
        <w:t xml:space="preserve"> Rady a Komisie z roku 2015 o vykonávaní strategického rámca pre európsku spoluprácu vo vzdelávaní a odbornej príprave (ET 2020)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uvádza, že „Vzdelávanie a odborná príprava zohrávajú dôležitú úlohu pri zabezpečovaní toho, aby sa naše spoločné občianske a humanistické hodnoty zachovali a odovzdali budúcim generáciám s cieľom podporovať slobodu myslenia a prejavu, sociálne začleňovanie a rešpekt voči ostatným, ako aj zabrániť diskriminácii vo všetkých jej formách a bojovať proti nej“ a ďalej sa v nej navrhlo „inkluzívne vzdelávanie, rovnosť, spravodlivosť, nediskriminácia a podpora občianskych kompetencií“ ako nová prioritná oblasť pre európsku spoluprácu vo vzdelávaní a odbornej príprave.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 xml:space="preserve">Komisia vykonala široký súbor špecifických opatrení a činností. Medzi nimi je zriadenie pracovnej skupiny ET 2020 pre podporovanie občianstva a spoločných hodnôt; organizácia iniciatívy </w:t>
      </w:r>
      <w:r>
        <w:rPr>
          <w:noProof/>
          <w:color w:val="000000"/>
          <w:szCs w:val="24"/>
        </w:rPr>
        <w:t>vzorov ľudí, ktorí sa angažujú v činnostiach na podporu sociálneho začleňovania a zamedzenie vylúčeniu a radikalizácie</w:t>
      </w:r>
      <w:r>
        <w:rPr>
          <w:noProof/>
        </w:rPr>
        <w:t>; súbor nástrojov pre mladých pracovníkov a mládežnícke organizácie pracujúce s mladými ľuďmi ohrozenými marginalizáciou; Európske ocenenie pre sociálne začleňovanie prostredníctvom športu; a sprístupnenie vyše 400 miliónov EUR na každoročné financovanie nadnárodných partnerstiev prostredníctvom programu Erasmus+ na rozvoj inovačných politických prístupov a postupov na miestnej úrovni s dôrazom na sociálne začleňovanie, podporu spoločných hodnôt a medzikultúrne porozumenie.</w:t>
      </w:r>
    </w:p>
    <w:p>
      <w:pPr>
        <w:suppressAutoHyphens/>
        <w:rPr>
          <w:noProof/>
          <w:szCs w:val="24"/>
        </w:rPr>
      </w:pPr>
      <w:r>
        <w:rPr>
          <w:noProof/>
        </w:rPr>
        <w:t xml:space="preserve">Komisia okrem toho v balíku o investovaní do európskej mládeže </w:t>
      </w:r>
      <w:r>
        <w:rPr>
          <w:rStyle w:val="FootnoteReference"/>
          <w:rFonts w:eastAsia="Times New Roman"/>
          <w:noProof/>
          <w:szCs w:val="24"/>
          <w:lang w:eastAsia="en-GB"/>
        </w:rPr>
        <w:footnoteReference w:id="11"/>
      </w:r>
      <w:r>
        <w:rPr>
          <w:rStyle w:val="A2"/>
          <w:noProof/>
          <w:sz w:val="24"/>
          <w:szCs w:val="24"/>
        </w:rPr>
        <w:t xml:space="preserve"> uviedla svoju stratégiu pre kvalitné, inkluzívne vzdelávanie zamerané na budúcnosť s konkrétnymi iniciatívami.</w:t>
      </w:r>
      <w:r>
        <w:rPr>
          <w:noProof/>
        </w:rPr>
        <w:t xml:space="preserve"> Komisia v tejto súvislosti navrhla opatrenia týkajúce sa inkluzívneho vzdelávania a podporovania spoločných hodnôt vrátane trvalého rozvoja učiteľov, ďalšieho rozvoja európskeho súboru nástrojov pre školy, ako aj využívania prostriedkov programov Erasmus+ a Horizont 2020 na presadzovanie osvedčených postupov v oblasti inkluzívneho vzdelávania.</w:t>
      </w:r>
    </w:p>
    <w:p>
      <w:pPr>
        <w:suppressAutoHyphens/>
        <w:rPr>
          <w:rFonts w:eastAsia="Times New Roman"/>
          <w:noProof/>
          <w:szCs w:val="24"/>
        </w:rPr>
      </w:pPr>
      <w:r>
        <w:rPr>
          <w:noProof/>
        </w:rPr>
        <w:t>Ďalšie iniciatívy súvisiace s týmto odporúčaním sú:</w:t>
      </w:r>
    </w:p>
    <w:p>
      <w:pPr>
        <w:pStyle w:val="Bullet1"/>
        <w:numPr>
          <w:ilvl w:val="0"/>
          <w:numId w:val="10"/>
        </w:numPr>
        <w:rPr>
          <w:noProof/>
        </w:rPr>
      </w:pPr>
      <w:r>
        <w:rPr>
          <w:noProof/>
        </w:rPr>
        <w:t xml:space="preserve">odporúčanie Komisie z roku 2013 o </w:t>
      </w:r>
      <w:hyperlink r:id="rId22">
        <w:r>
          <w:rPr>
            <w:rStyle w:val="Hyperlink"/>
            <w:noProof/>
          </w:rPr>
          <w:t>investovaní do detí: východisko z bludného kruhu znevýhodnenia</w:t>
        </w:r>
      </w:hyperlink>
      <w:r>
        <w:rPr>
          <w:rStyle w:val="FootnoteReference"/>
          <w:noProof/>
        </w:rPr>
        <w:footnoteReference w:id="12"/>
      </w:r>
      <w:r>
        <w:rPr>
          <w:rStyle w:val="Hyperlink"/>
          <w:noProof/>
          <w:color w:val="auto"/>
          <w:u w:val="none"/>
        </w:rPr>
        <w:t xml:space="preserve">, v ktorom </w:t>
      </w:r>
      <w:r>
        <w:rPr>
          <w:noProof/>
        </w:rPr>
        <w:t xml:space="preserve">zdôraznila, že je potrebné zabezpečiť kvalitné vzdelávanie a starostlivosť v ranom detstve a zlepšiť vplyv systémov vzdelávania na rovnaké príležitosti, </w:t>
      </w:r>
    </w:p>
    <w:p>
      <w:pPr>
        <w:pStyle w:val="Bullet1"/>
        <w:numPr>
          <w:ilvl w:val="0"/>
          <w:numId w:val="11"/>
        </w:numPr>
        <w:rPr>
          <w:b/>
          <w:noProof/>
        </w:rPr>
      </w:pPr>
      <w:r>
        <w:rPr>
          <w:noProof/>
          <w:u w:val="single"/>
        </w:rPr>
        <w:t>závery Rady</w:t>
      </w:r>
      <w:r>
        <w:rPr>
          <w:noProof/>
        </w:rPr>
        <w:t xml:space="preserve"> z roku 2014 </w:t>
      </w:r>
      <w:r>
        <w:rPr>
          <w:noProof/>
          <w:u w:val="single"/>
        </w:rPr>
        <w:t>o pracovnom pláne pre kultúru na obdobie 2015 – 2018</w:t>
      </w:r>
      <w:r>
        <w:rPr>
          <w:noProof/>
        </w:rPr>
        <w:t>, v ktorom sa kladie priorita na politickú spoluprácu EÚ na príspevku kultúry k sociálnemu začleneniu, vychádzajúc zo záväzkov voči kultúrnej rozmanitosti a medzikultúrneho dialógu v európskom pláne pre kultúru,</w:t>
      </w:r>
    </w:p>
    <w:p>
      <w:pPr>
        <w:pStyle w:val="Bullet1"/>
        <w:numPr>
          <w:ilvl w:val="0"/>
          <w:numId w:val="12"/>
        </w:numPr>
        <w:rPr>
          <w:noProof/>
        </w:rPr>
      </w:pPr>
      <w:hyperlink r:id="rId23" w:history="1">
        <w:r>
          <w:rPr>
            <w:rStyle w:val="Hyperlink"/>
            <w:noProof/>
            <w:color w:val="auto"/>
            <w:u w:val="none"/>
          </w:rPr>
          <w:t>závery Rady o rozvoji mediálnej gramotnosti a kritického myslenia prostredníctvom vzdelávania a odbornej prípravy</w:t>
        </w:r>
      </w:hyperlink>
      <w:r>
        <w:rPr>
          <w:noProof/>
        </w:rPr>
        <w:t xml:space="preserve"> z roku 2016, v ktorých sa členské štáty zhodli, že mediálna gramotnosť, kritické myslenie a digitálne schopnosti sú zručnosti, ktoré sú </w:t>
      </w:r>
      <w:r>
        <w:rPr>
          <w:noProof/>
        </w:rPr>
        <w:lastRenderedPageBreak/>
        <w:t>základnými podmienkami aktívnej účasti na demokratickom živote a zlepšenia zamestnateľnosti, ktoré by preto mali získať učiaci sa každého veku,</w:t>
      </w:r>
    </w:p>
    <w:p>
      <w:pPr>
        <w:pStyle w:val="Bullet1"/>
        <w:numPr>
          <w:ilvl w:val="0"/>
          <w:numId w:val="13"/>
        </w:numPr>
        <w:rPr>
          <w:noProof/>
        </w:rPr>
      </w:pPr>
      <w:hyperlink r:id="rId24">
        <w:r>
          <w:rPr>
            <w:rStyle w:val="Hyperlink"/>
            <w:noProof/>
            <w:color w:val="auto"/>
            <w:u w:val="none"/>
          </w:rPr>
          <w:t xml:space="preserve">v záveroch Rady z roku 2017 o </w:t>
        </w:r>
        <w:r>
          <w:rPr>
            <w:rStyle w:val="Hyperlink"/>
            <w:noProof/>
            <w:color w:val="auto"/>
          </w:rPr>
          <w:t>úlohe práce s mládežou pri podpore rozvoja mladých ľudí</w:t>
        </w:r>
      </w:hyperlink>
      <w:r>
        <w:rPr>
          <w:noProof/>
        </w:rPr>
        <w:t xml:space="preserve"> sa členské štáty dohodli posilniť spoluprácu, partnerské učenie a výmenu, pokiaľ ide o podporu a rozvoj životných zručností u mladých ľudí,</w:t>
      </w:r>
    </w:p>
    <w:p>
      <w:pPr>
        <w:pStyle w:val="Bullet1"/>
        <w:numPr>
          <w:ilvl w:val="0"/>
          <w:numId w:val="14"/>
        </w:numPr>
        <w:rPr>
          <w:noProof/>
        </w:rPr>
      </w:pPr>
      <w:r>
        <w:rPr>
          <w:noProof/>
        </w:rPr>
        <w:t>vynovený rámec kľúčových zručností pre celoživotné vzdelávanie z roku 2018</w:t>
      </w:r>
      <w:r>
        <w:rPr>
          <w:rStyle w:val="FootnoteReference"/>
          <w:noProof/>
        </w:rPr>
        <w:footnoteReference w:id="13"/>
      </w:r>
      <w:r>
        <w:rPr>
          <w:noProof/>
        </w:rPr>
        <w:t>, v ktorom sa opisujú občianske zručnosti ako schopnosť konať ako zodpovední ľudia a plne sa zúčastňovať na občianskom a sociálnom živote, založené na pochopení sociálnych, ekonomických a politických koncepcií a štruktúr, ako aj na globálnom rozvoji a udržateľnosti. Väčší význam, ktorý sa v tejto revízii rámca kľúčových zručností prikladá občianskym zručnostiam, vyzdvihuje úlohu občianstva, demokratických hodnôt a ľudských práv v dnešnej čoraz prepojenejšej globálnej spoločnosti. Uznáva význam posilnenia postavenia jednotlivcov, aby konali ako zodpovední, aktívni občania schopní prispievať k pokojným, tolerantným, inkluzívnym a bezpečným spoločnostiam. V tejto súvislosti sa ďalej posilňuje mediálna gramotnosť a medzikultúrne zručnosti,</w:t>
      </w:r>
    </w:p>
    <w:p>
      <w:pPr>
        <w:pStyle w:val="Bullet1"/>
        <w:numPr>
          <w:ilvl w:val="0"/>
          <w:numId w:val="15"/>
        </w:numPr>
        <w:rPr>
          <w:noProof/>
        </w:rPr>
      </w:pPr>
      <w:hyperlink r:id="rId25" w:history="1">
        <w:r>
          <w:rPr>
            <w:rStyle w:val="Hyperlink"/>
            <w:noProof/>
            <w:color w:val="auto"/>
          </w:rPr>
          <w:t>Európsky rok kultúrneho dedičstva 2018</w:t>
        </w:r>
      </w:hyperlink>
      <w:r>
        <w:rPr>
          <w:noProof/>
        </w:rPr>
        <w:t>, ktorého cieľom je zvýšiť informovanosť o spoločnej histórii a hodnotách a povzbudiť ľudí, aby skúmali bohaté a rôznorodé kultúrne dedičstvo Európy,</w:t>
      </w:r>
    </w:p>
    <w:p>
      <w:pPr>
        <w:pStyle w:val="Bullet1"/>
        <w:numPr>
          <w:ilvl w:val="0"/>
          <w:numId w:val="21"/>
        </w:numPr>
        <w:rPr>
          <w:noProof/>
        </w:rPr>
      </w:pPr>
      <w:hyperlink r:id="rId26">
        <w:r>
          <w:rPr>
            <w:rStyle w:val="Hyperlink"/>
            <w:noProof/>
            <w:color w:val="auto"/>
          </w:rPr>
          <w:t>Akčný plán Komisie pre integráciu štátnych príslušníkov tretích krajín</w:t>
        </w:r>
      </w:hyperlink>
      <w:r>
        <w:rPr>
          <w:rStyle w:val="FootnoteReference"/>
          <w:noProof/>
        </w:rPr>
        <w:footnoteReference w:id="14"/>
      </w:r>
      <w:r>
        <w:rPr>
          <w:noProof/>
        </w:rPr>
        <w:t xml:space="preserve"> z roku 2016, v ktorom sa zdôrazňuje, že integrácia je základnou podmienkou pre blahobyt, prosperitu a súdržnosť európskych spoločností v budúcnosti a je spoločným záujmom všetkých členských štátov,</w:t>
      </w:r>
    </w:p>
    <w:p>
      <w:pPr>
        <w:pStyle w:val="Bullet1"/>
        <w:numPr>
          <w:ilvl w:val="0"/>
          <w:numId w:val="20"/>
        </w:numPr>
        <w:rPr>
          <w:noProof/>
        </w:rPr>
      </w:pPr>
      <w:r>
        <w:rPr>
          <w:noProof/>
        </w:rPr>
        <w:t xml:space="preserve">závery Rady z roku 2017 o opatreniach nadväzujúcich na </w:t>
      </w:r>
      <w:hyperlink r:id="rId27">
        <w:r>
          <w:rPr>
            <w:rStyle w:val="Hyperlink"/>
            <w:noProof/>
            <w:color w:val="auto"/>
          </w:rPr>
          <w:t>oznámenie Komisie z 12. apríla 2017 o ochrane migrujúcich detí</w:t>
        </w:r>
      </w:hyperlink>
      <w:r>
        <w:rPr>
          <w:noProof/>
        </w:rPr>
        <w:t>, v ktorom sa zdôrazňuje význam rovnakého, včasného prístupu k formálnemu, inkluzívnemu vzdelávaniu vrátane vzdelávania a starostlivosti v ranom detstve,</w:t>
      </w:r>
    </w:p>
    <w:p>
      <w:pPr>
        <w:pStyle w:val="Bullet1"/>
        <w:numPr>
          <w:ilvl w:val="0"/>
          <w:numId w:val="19"/>
        </w:numPr>
        <w:rPr>
          <w:noProof/>
        </w:rPr>
      </w:pPr>
      <w:hyperlink r:id="rId28" w:history="1">
        <w:r>
          <w:rPr>
            <w:rStyle w:val="Hyperlink"/>
            <w:noProof/>
          </w:rPr>
          <w:t>závery Rady o urýchlení procesu integrácie Rómov</w:t>
        </w:r>
      </w:hyperlink>
      <w:r>
        <w:rPr>
          <w:noProof/>
        </w:rPr>
        <w:t xml:space="preserve"> z roku 2016, v ktorých sa členské štáty vyzývajú zvýšiť úsilie o presadenie rovnakého prístupu k inkluzívnemu všeobecnému kvalitnému vzdelávaniu,</w:t>
      </w:r>
    </w:p>
    <w:p>
      <w:pPr>
        <w:pStyle w:val="Bullet1"/>
        <w:numPr>
          <w:ilvl w:val="0"/>
          <w:numId w:val="17"/>
        </w:numPr>
        <w:rPr>
          <w:noProof/>
        </w:rPr>
      </w:pPr>
      <w:r>
        <w:rPr>
          <w:noProof/>
        </w:rPr>
        <w:lastRenderedPageBreak/>
        <w:tab/>
        <w:t xml:space="preserve">závery Rady z roku 2017 </w:t>
      </w:r>
      <w:hyperlink r:id="rId29" w:history="1">
        <w:r>
          <w:rPr>
            <w:rStyle w:val="Hyperlink"/>
            <w:noProof/>
            <w:color w:val="auto"/>
          </w:rPr>
          <w:t>o začleňovaní v rozmanitosti s cieľom dosiahnuť vysokú kvalitu vzdelávania pre všetkých</w:t>
        </w:r>
      </w:hyperlink>
      <w:r>
        <w:rPr>
          <w:noProof/>
        </w:rPr>
        <w:t>, v ktorých sa členské štáty dohodli na zriadení opatrení na podporu demokratickej a inkluzívnej školskej kultúry, vývoji opatrení, ktoré umožnia včasnú identifikáciu a prevenciu sociálneho vylúčenia a povzbudia užšiu spoluprácu medzi vzdelávaním a inými relevantnými oblasťami, ako sú kultúra, mládež, šport, zamestnanosť, sociálne zabezpečenie, bezpečnosť a iné kanály práce na sociálnom začleňovaní,</w:t>
      </w:r>
    </w:p>
    <w:p>
      <w:pPr>
        <w:pStyle w:val="Bullet1"/>
        <w:numPr>
          <w:ilvl w:val="0"/>
          <w:numId w:val="18"/>
        </w:numPr>
        <w:rPr>
          <w:noProof/>
        </w:rPr>
      </w:pPr>
      <w:hyperlink r:id="rId30" w:history="1">
        <w:r>
          <w:rPr>
            <w:rStyle w:val="Hyperlink"/>
            <w:noProof/>
          </w:rPr>
          <w:t>Európsky zbor solidarity</w:t>
        </w:r>
      </w:hyperlink>
      <w:r>
        <w:rPr>
          <w:rStyle w:val="Hyperlink"/>
          <w:noProof/>
        </w:rPr>
        <w:t>,</w:t>
      </w:r>
      <w:r>
        <w:rPr>
          <w:noProof/>
        </w:rPr>
        <w:t xml:space="preserve"> ktorý mladým ľuďom poskytuje príležitosť vykonávať dobrovoľnícku prácu alebo pracovať vo svojej vlastnej krajine či v zahraničí na projektoch, z ktorých majú prospech komunity a ľudia v celej Európe Spája mladých ľudí, aby budovali inkluzívnejšiu spoločnosť, pričom sa podporujú zraniteľní ľudia a reaguje na spoločenské výzvy,</w:t>
      </w:r>
    </w:p>
    <w:p>
      <w:pPr>
        <w:pStyle w:val="Bullet1"/>
        <w:numPr>
          <w:ilvl w:val="0"/>
          <w:numId w:val="16"/>
        </w:numPr>
        <w:rPr>
          <w:noProof/>
        </w:rPr>
      </w:pPr>
      <w:hyperlink r:id="rId31" w:history="1">
        <w:r>
          <w:rPr>
            <w:rStyle w:val="Hyperlink"/>
            <w:noProof/>
          </w:rPr>
          <w:t>Referenčný rámec zručností pre demokratickú kultúru</w:t>
        </w:r>
      </w:hyperlink>
      <w:r>
        <w:rPr>
          <w:noProof/>
        </w:rPr>
        <w:t xml:space="preserve"> Rady Európy z roku 2016.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noProof/>
        </w:rPr>
      </w:pPr>
      <w:r>
        <w:rPr>
          <w:b/>
          <w:noProof/>
        </w:rPr>
        <w:t>Súlad s ostatnými politikami Únie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Hlavným cieľom tohto odporúčania je presadzovať spoločné hodnoty, inkluzívne vzdelávanie a európsky rozmer výučby. Odporúčanie dopĺňa prebiehajúcu prácu Komisie na vykonávaní </w:t>
      </w:r>
      <w:hyperlink r:id="rId32" w:history="1">
        <w:r>
          <w:rPr>
            <w:rStyle w:val="Hyperlink"/>
            <w:noProof/>
          </w:rPr>
          <w:t>Európskeho piliera sociálnych práv</w:t>
        </w:r>
      </w:hyperlink>
      <w:r>
        <w:rPr>
          <w:rStyle w:val="FootnoteReference"/>
        </w:rPr>
        <w:footnoteReference w:id="15"/>
      </w:r>
      <w:r>
        <w:rPr>
          <w:noProof/>
        </w:rPr>
        <w:t xml:space="preserve"> tým, že ďalej podporuje „právo na kvalitné a inkluzívne vzdelávanie, odbornú prípravu a celoživotné vzdelávanie, aby si jednotlivec udržal a získal zručnosti, ktoré mu umožnia plne sa zapojiť do života spoločnosti a úspešne zvládať zmeny postavenia na trhu práce.“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  <w:r>
        <w:rPr>
          <w:noProof/>
        </w:rPr>
        <w:t xml:space="preserve">Toto odporúčanie je tiež v súlade s cieľmi vyjadrenými v </w:t>
      </w:r>
      <w:r>
        <w:rPr>
          <w:rStyle w:val="Hyperlink"/>
          <w:noProof/>
        </w:rPr>
        <w:t>správe o občianstve EÚ za rok 2017</w:t>
      </w:r>
      <w:r>
        <w:rPr>
          <w:rStyle w:val="FootnoteReference"/>
        </w:rPr>
        <w:footnoteReference w:id="16"/>
      </w:r>
      <w:r>
        <w:rPr>
          <w:noProof/>
        </w:rPr>
        <w:t>, kde Komisia uznala, že je potrebné pretrvávajúce úsilie na zabezpečenie, aby všetci občania EÚ poznali svoje práva a mohli sa plne zúčastňovať na európskom demokratickom procese. Zdôraznila, že zvyšovanie povedomia o občianstve EÚ a hodnotách, ktoré sú s ním spojené, medzi mladými Európanmi, ktorí dosiahli vek oprávňujúci na účasť vo voľbách, a medzi tými, ktorí nadobúdajú štátnu príslušnosť členského štátu, ako aj v spoločnosti ako celku si vyžaduje spoločné úsilie všetkých zúčastnených strán na všetkých úrovniach – členských štátov vrátane ich miestnych a regionálnych orgánov, inštitúcií EÚ a občianskej spoločnosti.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  <w:szCs w:val="24"/>
        </w:rPr>
      </w:pPr>
    </w:p>
    <w:p>
      <w:pPr>
        <w:pStyle w:val="ManualHeading1"/>
        <w:spacing w:before="12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PRÁVNY ZÁKLAD, SUBSIDIARITA A PROPORCIONALITA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Právny základ</w:t>
      </w:r>
    </w:p>
    <w:p>
      <w:pPr>
        <w:rPr>
          <w:noProof/>
          <w:szCs w:val="24"/>
        </w:rPr>
      </w:pPr>
      <w:r>
        <w:rPr>
          <w:noProof/>
        </w:rPr>
        <w:t>Táto iniciatíva je v súlade s článkami 165 a 166 Zmluvy o fungovaní Európskej únie (ZFEÚ). V článku 165 sa stanovuje, že Únia prispieva k rozvoju kvalitného vzdelávania podporovaním spolupráce medzi členskými štátmi, a ak je to potrebné, podporovaním a doplňovaním činnosti členských štátov pri plnom rešpektovaní ich zodpovednosti za obsah a organizáciu ich vzdelávacích systémov. V článku 166 sa stanovuje, že Únia uskutočňuje politiku odborného vzdelávania, ktorá podporuje a dopĺňa činnosť členských štátov pri plnom rešpektovaní ich zodpovednosti za obsah a organizáciu odborného vzdelávania.</w:t>
      </w:r>
    </w:p>
    <w:p>
      <w:pPr>
        <w:rPr>
          <w:noProof/>
          <w:szCs w:val="24"/>
        </w:rPr>
      </w:pPr>
      <w:r>
        <w:rPr>
          <w:noProof/>
        </w:rPr>
        <w:lastRenderedPageBreak/>
        <w:t xml:space="preserve">Touto iniciatívou sa nenavrhuje rozšírenie regulačnej právomoci EÚ, ani povinných záväzkov členských štátov. Členské štáty sa na základe svojej vnútroštátnej situácie rozhodnú, ako budú toto odporúčanie Rady vykonávať. 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Subsidiarita (v prípade inej ako výlučnej právomoci)</w:t>
      </w:r>
    </w:p>
    <w:p>
      <w:pPr>
        <w:rPr>
          <w:noProof/>
        </w:rPr>
      </w:pPr>
      <w:r>
        <w:rPr>
          <w:noProof/>
        </w:rPr>
        <w:t xml:space="preserve">Hoci mnohé členské štáty zaviedli do praxe viaceré opatrenia na podporu inkluzívnych vzdelávacích systémov a presadzovanie spoločných hodnôt na vnútroštátnej úrovni, je potrebná väčšia spolupráca na európskej úrovni. </w:t>
      </w:r>
    </w:p>
    <w:p>
      <w:pPr>
        <w:rPr>
          <w:noProof/>
        </w:rPr>
      </w:pPr>
      <w:r>
        <w:rPr>
          <w:noProof/>
        </w:rPr>
        <w:t>Pridaná hodnota opatrení na úrovni EÚ spočíva v schopnosti EÚ:</w:t>
      </w:r>
    </w:p>
    <w:p>
      <w:pPr>
        <w:pStyle w:val="Bullet1"/>
        <w:rPr>
          <w:noProof/>
        </w:rPr>
      </w:pPr>
      <w:r>
        <w:rPr>
          <w:noProof/>
        </w:rPr>
        <w:t>podporovať spoločné chápanie významu spoločných hodnôt,</w:t>
      </w:r>
    </w:p>
    <w:p>
      <w:pPr>
        <w:pStyle w:val="Bullet1"/>
        <w:rPr>
          <w:noProof/>
        </w:rPr>
      </w:pPr>
      <w:r>
        <w:rPr>
          <w:noProof/>
        </w:rPr>
        <w:t>podporovať prácu členských štátov na vykonávaní opatrení na vnútroštátnej a regionálnej úrovni s cieľom presadzovať spoločné hodnoty,</w:t>
      </w:r>
    </w:p>
    <w:p>
      <w:pPr>
        <w:pStyle w:val="Bullet1"/>
        <w:rPr>
          <w:noProof/>
        </w:rPr>
      </w:pPr>
      <w:r>
        <w:rPr>
          <w:noProof/>
        </w:rPr>
        <w:t>financovať iniciatívy v oblasti mobility a twinningu a iné nadnárodné projekty,</w:t>
      </w:r>
    </w:p>
    <w:p>
      <w:pPr>
        <w:pStyle w:val="Bullet1"/>
        <w:rPr>
          <w:noProof/>
        </w:rPr>
      </w:pPr>
      <w:r>
        <w:rPr>
          <w:noProof/>
        </w:rPr>
        <w:t>uľahčiť spoločné využívanie vedomostí, odborných znalostí a osvedčených postupov.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Proporcionalita</w:t>
      </w:r>
    </w:p>
    <w:p>
      <w:pPr>
        <w:rPr>
          <w:noProof/>
          <w:szCs w:val="24"/>
        </w:rPr>
      </w:pPr>
      <w:r>
        <w:rPr>
          <w:noProof/>
        </w:rPr>
        <w:t xml:space="preserve">Návrhom sa posilňuje spoločné chápanie hodnôt, inkluzívneho vzdelávania a európskeho rozmeru výučby tým, že demonštruje, ako ich možno presadzovať prostredníctvom vzdelávania. Členským štátom a Komisii uľahčuje výmenu osvedčených postupov a informácií a vypracúvanie politík na vnútroštátnej úrovni a na úrovni EÚ. Keďže záväzky, ktoré prijmú členské štáty, budú dobrovoľné a každý členský štát rozhoduje o prístupe, ktorý zaujme pri vykonávaní opatrení zameraných na presadzovanie spoločných hodnôt, inkluzívneho vzdelávania a európskeho rozmeru vo výučbe, opatrenie sa považuje za proporcionálne. 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Výber nástroja</w:t>
      </w:r>
    </w:p>
    <w:p>
      <w:pPr>
        <w:rPr>
          <w:noProof/>
          <w:szCs w:val="24"/>
        </w:rPr>
      </w:pPr>
      <w:r>
        <w:rPr>
          <w:noProof/>
        </w:rPr>
        <w:t xml:space="preserve">Odporúčanie Rady je vhodným nástrojom v oblasti vzdelávania a odbornej prípravy, kde má EÚ podpornú právomoc, pričom ide o nástroj, ktorý sa často využíva v rámci európskych opatrení v oblastiach vzdelávania a odbornej prípravy. Týmto právnym nástrojom sa preukazuje záväzok členských štátov voči opatreniam uvedeným v texte a poskytuje sa silnejší politický základ pre spoluprácu v tejto oblasti, pričom sa plne rešpektuje právomoc členských štátov, pokiaľ ide o vzdelávanie a odbornú prípravu. </w:t>
      </w:r>
    </w:p>
    <w:p>
      <w:pPr>
        <w:rPr>
          <w:noProof/>
          <w:szCs w:val="24"/>
        </w:rPr>
      </w:pPr>
    </w:p>
    <w:p>
      <w:pPr>
        <w:pStyle w:val="ManualHeading1"/>
        <w:spacing w:before="120"/>
        <w:rPr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 xml:space="preserve">VÝSLEDKY HODNOTENÍ </w:t>
      </w:r>
      <w:r>
        <w:rPr>
          <w:i/>
          <w:noProof/>
        </w:rPr>
        <w:t>EX POST</w:t>
      </w:r>
      <w:r>
        <w:rPr>
          <w:noProof/>
        </w:rPr>
        <w:t>, KONZULTÁCIÍ SO ZAINTERESOVANÝMI STRANAMI A POSÚDENÍ VPLYVU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 xml:space="preserve">Hodnotenia </w:t>
      </w:r>
      <w:r>
        <w:rPr>
          <w:i/>
          <w:noProof/>
        </w:rPr>
        <w:t>ex post</w:t>
      </w:r>
      <w:r>
        <w:rPr>
          <w:noProof/>
        </w:rPr>
        <w:t>/kontroly vhodnosti existujúcich právnych predpisov</w:t>
      </w:r>
    </w:p>
    <w:p>
      <w:pPr>
        <w:rPr>
          <w:noProof/>
          <w:szCs w:val="24"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Konzultácie so zainteresovanými stranami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Online verejná konzultácia sa začala 19. mája 2017 a skončila sa 11. augusta 2017. Celkovo prišlo </w:t>
      </w:r>
      <w:r>
        <w:rPr>
          <w:b/>
          <w:noProof/>
        </w:rPr>
        <w:t>1 124 odpovedí</w:t>
      </w:r>
      <w:r>
        <w:rPr>
          <w:noProof/>
        </w:rPr>
        <w:t xml:space="preserve"> vrátane vyše 200 pozičných dokumentov, čo dokazuje veľký záujem o túto iniciatívu. Odpovede odhalili prakticky jednomyseľnú zhodu (95 %), pokiaľ ide o úlohu vzdelávania pri pomáhaní mladým ľuďom „pochopiť význam spoločných hodnôt a dodržiavať tieto hodnoty“ a pokiaľ ide o to, že EÚ by mala členským štátom pomôcť v tejto úlohe (98 %). Výsledky týchto konzultácií sú k dispozícii </w:t>
      </w:r>
      <w:hyperlink r:id="rId33" w:history="1">
        <w:r>
          <w:rPr>
            <w:rStyle w:val="Hyperlink"/>
            <w:noProof/>
          </w:rPr>
          <w:t>online</w:t>
        </w:r>
      </w:hyperlink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lastRenderedPageBreak/>
        <w:t>Hlavné závery konzultácie sú tieto:</w:t>
      </w:r>
    </w:p>
    <w:p>
      <w:pPr>
        <w:pStyle w:val="Bullet1"/>
        <w:rPr>
          <w:rFonts w:eastAsiaTheme="minorEastAsia"/>
          <w:noProof/>
        </w:rPr>
      </w:pPr>
      <w:r>
        <w:rPr>
          <w:noProof/>
        </w:rPr>
        <w:t xml:space="preserve">väčšina </w:t>
      </w:r>
      <w:r>
        <w:rPr>
          <w:b/>
          <w:bCs/>
          <w:noProof/>
        </w:rPr>
        <w:t>respondentov (62,6 %) sa domnieva, že vzdelávanie už zohráva silnú úlohu</w:t>
      </w:r>
      <w:r>
        <w:rPr>
          <w:noProof/>
        </w:rPr>
        <w:t>, keď pomáha mladým ľuďom pochopiť význam spoločných hodnôt a dodržiavať ich, ale značný podiel, takmer 40 % respondentov, si myslí, že vzdelávanie by mohlo dokázať viac,</w:t>
      </w:r>
    </w:p>
    <w:p>
      <w:pPr>
        <w:pStyle w:val="Bullet1"/>
        <w:rPr>
          <w:rFonts w:eastAsiaTheme="minorEastAsia"/>
          <w:noProof/>
        </w:rPr>
      </w:pPr>
      <w:r>
        <w:rPr>
          <w:noProof/>
        </w:rPr>
        <w:t xml:space="preserve">takmer všetci respondenti (98 %) súhlasia s tým, že je </w:t>
      </w:r>
      <w:r>
        <w:rPr>
          <w:b/>
          <w:bCs/>
          <w:noProof/>
        </w:rPr>
        <w:t>potrebné presadzovať inkluzívne vzdelávanie</w:t>
      </w:r>
      <w:r>
        <w:rPr>
          <w:noProof/>
        </w:rPr>
        <w:t xml:space="preserve"> zamerané na potreby všetkých učiacich sa, a 16 % sa domnieva, že vzdelávanie to v súčasnosti robí. Veľká celková podpora bola vyjadrená pre nástroje EÚ. Financovanie EÚ (93,3 %), podpora spolupráce medzi školami a univerzitami na podporenie inovácií a modernizácie (91,6 %), vzdelávacej mobility študentov (91,5 %) a krátkodobých výmen žiakov v školách (88,2 %) sa vnímajú ako najúčinnejšie,</w:t>
      </w:r>
    </w:p>
    <w:p>
      <w:pPr>
        <w:pStyle w:val="Bullet1"/>
        <w:rPr>
          <w:rFonts w:eastAsiaTheme="minorEastAsia"/>
          <w:noProof/>
        </w:rPr>
      </w:pPr>
      <w:r>
        <w:rPr>
          <w:noProof/>
        </w:rPr>
        <w:t xml:space="preserve">takmer všetci respondenti (93,2 %) považujú za dôležité alebo veľmi dôležité, aby ľudia </w:t>
      </w:r>
      <w:r>
        <w:rPr>
          <w:b/>
          <w:bCs/>
          <w:noProof/>
        </w:rPr>
        <w:t>zvýšili svoje porozumenie histórie, kultúry a hodnôt EÚ</w:t>
      </w:r>
      <w:r>
        <w:rPr>
          <w:noProof/>
        </w:rPr>
        <w:t xml:space="preserve"> a ostatných členských štátov, aby úplne pochopili svoju úlohu ako zodpovedného a aktívneho člena európskych spoločností.</w:t>
      </w:r>
    </w:p>
    <w:p>
      <w:pPr>
        <w:rPr>
          <w:rFonts w:eastAsiaTheme="minorEastAsia"/>
          <w:noProof/>
          <w:szCs w:val="24"/>
        </w:rPr>
      </w:pPr>
      <w:r>
        <w:rPr>
          <w:noProof/>
        </w:rPr>
        <w:t>Okrem toho sa konali mnohé rôzne konzultačné stretnutia a podujatia.</w:t>
      </w:r>
    </w:p>
    <w:p>
      <w:pPr>
        <w:autoSpaceDE w:val="0"/>
        <w:autoSpaceDN w:val="0"/>
        <w:adjustRightInd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Stretnutia, kde sa zhromaždili príspevky členských štátov, sú: stretnutie skupiny na vysokej úrovni (vedúci pracovníci ministerstiev vzdelávania) 15. – 16. júna 2017 (Estónsko); a tri stretnutia generálnych riaditeľov: </w:t>
      </w:r>
      <w:r>
        <w:rPr>
          <w:noProof/>
        </w:rPr>
        <w:t>stretnutie zástupcov vysokoškolského vzdelávania, 13. – 14. marca 2016; a stretnutie zástupcov škôl, 10. – 11. apríla 2016 (Malta) a 18. – 19. septembra 2017 (Estónsko).</w:t>
      </w:r>
    </w:p>
    <w:p>
      <w:pPr>
        <w:rPr>
          <w:noProof/>
          <w:szCs w:val="24"/>
        </w:rPr>
      </w:pPr>
      <w:r>
        <w:rPr>
          <w:noProof/>
        </w:rPr>
        <w:t xml:space="preserve">Medzi podujatiami, kde boli zhromaždené príspevky od zainteresovaných strán, boli: konferencia </w:t>
      </w:r>
      <w:r>
        <w:rPr>
          <w:i/>
          <w:noProof/>
        </w:rPr>
        <w:t>Jean Monnet</w:t>
      </w:r>
      <w:r>
        <w:rPr>
          <w:noProof/>
        </w:rPr>
        <w:t>, 15. novembra 2015</w:t>
      </w:r>
      <w:r>
        <w:rPr>
          <w:rStyle w:val="FootnoteReference"/>
          <w:noProof/>
        </w:rPr>
        <w:footnoteReference w:id="17"/>
      </w:r>
      <w:r>
        <w:rPr>
          <w:noProof/>
        </w:rPr>
        <w:t>; kolokvium, ktoré uvádzal prvý podpredseda Timmermans v spolupráci s komisárkou Jourovou a komisárom Oettingerom, o médiách a demokracii vrátane úlohy etického žurnalizmu a mediálnej gramotnosti pre demokraciu a pluralistické spoločnosti</w:t>
      </w:r>
      <w:r>
        <w:rPr>
          <w:rStyle w:val="FootnoteReference"/>
          <w:noProof/>
        </w:rPr>
        <w:footnoteReference w:id="18"/>
      </w:r>
      <w:r>
        <w:rPr>
          <w:noProof/>
        </w:rPr>
        <w:t>; dialógy Komisie na vysokej úrovni s náboženskými a nekonfesionálnymi organizáciami venované v roku 2016 integrácii a európskym hodnotám; kolokvium, ktoré uvádzal komisár Navracsics o podporovaní integrácie a základných hodnôt prostredníctvom vzdelávania, 26. mája 2016</w:t>
      </w:r>
      <w:r>
        <w:rPr>
          <w:rStyle w:val="FootnoteReference"/>
          <w:noProof/>
        </w:rPr>
        <w:footnoteReference w:id="19"/>
      </w:r>
      <w:r>
        <w:rPr>
          <w:noProof/>
        </w:rPr>
        <w:t>; Európske fórum vzdelávania, odbornej prípravy a mládeže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 a tematické stretnutie s občianskou spoločnosťou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, 19. – 21. októbra 2016; uskutočnili sa aj konzultácie s organizáciami občianskej spoločnosti na osobitnom participatívnom seminári v decembri 2015 a so sociálnymi partnermi a mládežníckymi organizáciami v januári 2016. Napokon, odporúčanie nadväzuje na závery z kolokvia Komisie </w:t>
      </w:r>
      <w:r>
        <w:rPr>
          <w:noProof/>
        </w:rPr>
        <w:lastRenderedPageBreak/>
        <w:t>o základných právach z roku 2015 venovaného predchádzaniu antisemitskej a protimoslimskej nenávisti a boju proti nej, a to aj prostredníctvom vzdelávania</w:t>
      </w:r>
      <w:r>
        <w:rPr>
          <w:rStyle w:val="FootnoteReference"/>
          <w:noProof/>
        </w:rPr>
        <w:footnoteReference w:id="22"/>
      </w:r>
      <w:r>
        <w:rPr>
          <w:noProof/>
        </w:rPr>
        <w:t xml:space="preserve">. </w:t>
      </w:r>
    </w:p>
    <w:p>
      <w:pPr>
        <w:autoSpaceDE w:val="0"/>
        <w:autoSpaceDN w:val="0"/>
        <w:adjustRightInd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 xml:space="preserve">Účastníci uvedených stretnutí vyjadrili silnú podporu a záujem o skúmanie toho, ako môže inkluzívne vzdelávanie pomôcť presadzovať spoločné hodnoty a úlohu, ktorú môže v tomto ohľade zohrávať Európska únia. </w:t>
      </w:r>
    </w:p>
    <w:p>
      <w:pPr>
        <w:autoSpaceDE w:val="0"/>
        <w:autoSpaceDN w:val="0"/>
        <w:adjustRightInd w:val="0"/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Pracovná skupina ET 2020 pre podporu občianstva a spoločných hodnôt slobody, tolerancie a nediskriminácie prostredníctvom vzdelávania zorganizovala viaceré aktivity partnerského učenia o týchto otázkach. Hlavné posolstvá z týchto aktivít partnerského učenia zahŕňali</w:t>
      </w:r>
      <w:r>
        <w:rPr>
          <w:rStyle w:val="FootnoteReference"/>
          <w:noProof/>
          <w:color w:val="000000" w:themeColor="text1"/>
        </w:rPr>
        <w:footnoteReference w:id="23"/>
      </w:r>
      <w:r>
        <w:rPr>
          <w:noProof/>
          <w:color w:val="000000" w:themeColor="text1"/>
        </w:rPr>
        <w:t>:</w:t>
      </w:r>
    </w:p>
    <w:p>
      <w:pPr>
        <w:pStyle w:val="Bullet1"/>
        <w:rPr>
          <w:noProof/>
        </w:rPr>
      </w:pPr>
      <w:r>
        <w:rPr>
          <w:noProof/>
        </w:rPr>
        <w:t>vzdelávanie by malo presahovať rámec rovných príležitostí, aby sa zaistilo začlenenie širokej škály účastníkov vzdelávania a smerovanie k skutočnej rovnosti vo vzdelávaní,</w:t>
      </w:r>
    </w:p>
    <w:p>
      <w:pPr>
        <w:pStyle w:val="Bullet1"/>
        <w:rPr>
          <w:noProof/>
        </w:rPr>
      </w:pPr>
      <w:r>
        <w:rPr>
          <w:noProof/>
        </w:rPr>
        <w:t>študenti a pedagógovia musia zažiť hodnoty. Hodnoty sa musia zažiť, nie vyučovať; demokratické hodnoty sa musia odohrávať v učebni napríklad prostredníctvom učenia sa prostredníctvom projektov a školy musia podporovať aktívnu účasť študentov, rodičov, učiteľov a širšej komunity, v rámci prístupu, ktorý sa nazýva celoškolský prístup,</w:t>
      </w:r>
    </w:p>
    <w:p>
      <w:pPr>
        <w:pStyle w:val="Bullet1"/>
        <w:rPr>
          <w:noProof/>
        </w:rPr>
      </w:pPr>
      <w:r>
        <w:rPr>
          <w:noProof/>
        </w:rPr>
        <w:t>malo by sa viac zamerať na aktivity založené na hodnotách v spoločenstve pre deti ohrozené vylúčením; t. j. nielen pre osoby, ktoré predčasne ukončili školskú dochádzku, ale aj pre tých, ktorí boli suspendovaní alebo vylúčení z jednej alebo viacerých škôl a marginalizovaní. Odzneli aj žiadosti o väčšiu podporu vrátane finančnej podpory pre iniciatívy druhej/tretej šance, individuálne učenie prispôsobené individuálnym potrebám a mentorstvo pre marginalizované a vylúčené deti.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Získavanie a využívanie expertízy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Tento návrh je založený na širokom súbore správ a štúdií, ako aj na odborných znalostiach získaných prostredníctvom aktivít partnerského učenia a stretnutí pracovnej skupiny ET 2020 pre podporu občianstva a spoločných hodnôt slobody, tolerancie a nediskriminácie prostredníctvom vzdelávania.</w:t>
      </w:r>
    </w:p>
    <w:p>
      <w:pPr>
        <w:jc w:val="left"/>
        <w:rPr>
          <w:rFonts w:eastAsia="Times New Roman"/>
          <w:noProof/>
          <w:szCs w:val="24"/>
        </w:rPr>
      </w:pPr>
    </w:p>
    <w:p>
      <w:pPr>
        <w:rPr>
          <w:noProof/>
        </w:rPr>
      </w:pPr>
      <w:r>
        <w:rPr>
          <w:noProof/>
          <w:color w:val="000000"/>
        </w:rPr>
        <w:t xml:space="preserve">Práca </w:t>
      </w:r>
      <w:hyperlink r:id="rId34" w:history="1">
        <w:r>
          <w:rPr>
            <w:rStyle w:val="Hyperlink"/>
            <w:noProof/>
          </w:rPr>
          <w:t>Európskej agentúry pre rozvoj špeciálneho a inkluzívneho vzdelávania</w:t>
        </w:r>
      </w:hyperlink>
      <w:r>
        <w:rPr>
          <w:rStyle w:val="FootnoteReference"/>
        </w:rPr>
        <w:footnoteReference w:id="24"/>
      </w:r>
      <w:r>
        <w:rPr>
          <w:noProof/>
          <w:color w:val="000000"/>
        </w:rPr>
        <w:t xml:space="preserve"> sa zameriava na zabezpečenie rovnosti, rovnakých príležitostí a práv pre všetkých učiacich sa, najmä pre tých, ktorým hrozí riziko marginalizácie a vylúčenia, ako sú študenti so zdravotným postihnutím a/alebo špeciálnymi výchovno-vzdelávacími potrebami. Táto agentúra prispieva k tvorbe politiky EÚ pomocou svojich správ a publikácií, a to aj o vzdelávaní v ranom detstve, predčasnom </w:t>
      </w:r>
      <w:r>
        <w:rPr>
          <w:noProof/>
          <w:color w:val="000000"/>
        </w:rPr>
        <w:lastRenderedPageBreak/>
        <w:t>ukončení školskej dochádzky učiacich sa so špeciálnymi výchovno-vzdelávacími potrebami a posilnení postavenia učiteľov na presadzovanie inkluzívneho vzdelávania</w:t>
      </w:r>
      <w:r>
        <w:rPr>
          <w:noProof/>
        </w:rPr>
        <w:t>.</w:t>
      </w:r>
    </w:p>
    <w:p>
      <w:pPr>
        <w:jc w:val="left"/>
        <w:rPr>
          <w:rFonts w:eastAsia="Times New Roman"/>
          <w:noProof/>
          <w:szCs w:val="24"/>
        </w:rPr>
      </w:pPr>
    </w:p>
    <w:p>
      <w:pPr>
        <w:rPr>
          <w:noProof/>
        </w:rPr>
      </w:pPr>
      <w:r>
        <w:rPr>
          <w:noProof/>
        </w:rPr>
        <w:t xml:space="preserve">Práca </w:t>
      </w:r>
      <w:hyperlink r:id="rId35" w:history="1">
        <w:r>
          <w:rPr>
            <w:rStyle w:val="Hyperlink"/>
            <w:noProof/>
          </w:rPr>
          <w:t>Agentúry Európskej únie pre základné práva</w:t>
        </w:r>
      </w:hyperlink>
      <w:r>
        <w:rPr>
          <w:noProof/>
        </w:rPr>
        <w:t xml:space="preserve">, ktorá má osobitnú úlohu poskytovať nezávislé poradenstvo založené na dôkazoch o základných právach a komunikovať a zvyšovať informovanosť o základných právach s cieľom zabezpečiť, aby boli práva ľudí žijúcich v EÚ chránené. </w:t>
      </w:r>
    </w:p>
    <w:p>
      <w:pPr>
        <w:jc w:val="left"/>
        <w:rPr>
          <w:rFonts w:eastAsia="Times New Roman"/>
          <w:noProof/>
          <w:szCs w:val="24"/>
        </w:rPr>
      </w:pPr>
    </w:p>
    <w:p>
      <w:pPr>
        <w:rPr>
          <w:noProof/>
          <w:color w:val="00B150"/>
        </w:rPr>
      </w:pPr>
      <w:r>
        <w:rPr>
          <w:noProof/>
        </w:rPr>
        <w:t>Záverom dôkazov získaných z analytických správ akademickej siete NESET II (Sieť expertov na sociálne aspekty vzdelávania a odbornej prípravy)</w:t>
      </w:r>
      <w:r>
        <w:rPr>
          <w:rStyle w:val="FootnoteReference"/>
          <w:noProof/>
        </w:rPr>
        <w:footnoteReference w:id="25"/>
      </w:r>
      <w:r>
        <w:rPr>
          <w:noProof/>
        </w:rPr>
        <w:t xml:space="preserve"> bolo, že systémy vzdelávania a odbornej prípravy, ktoré spĺňajú vysoké normy kvality pre všetkých, podporujú personalizované, inkluzívne prístupy, ktoré zapájajú rodičov, podporujú včasnú intervenciu a zameriavajú sa na znevýhodnených učiacich sa, najmä v hlavnom vzdelávacom prúde, môžu byť silnou hybnou silou sociálneho začleňovania.</w:t>
      </w:r>
      <w:r>
        <w:rPr>
          <w:noProof/>
          <w:color w:val="23151F"/>
        </w:rPr>
        <w:t xml:space="preserve"> </w:t>
      </w:r>
      <w:r>
        <w:rPr>
          <w:noProof/>
        </w:rPr>
        <w:t>Sieť NESET II podobne zdôraznila, že šikanovanie je urážkou spoločných hodnôt slobody, tolerancie a nediskriminácie, a poskytla prehľad najúčinnejších stratégií a postupov na zamedzenie šikanovaniu a násiliu v školách v celej EÚ</w:t>
      </w:r>
      <w:r>
        <w:rPr>
          <w:rStyle w:val="FootnoteReference"/>
          <w:noProof/>
        </w:rPr>
        <w:footnoteReference w:id="26"/>
      </w:r>
      <w:r>
        <w:rPr>
          <w:noProof/>
        </w:rPr>
        <w:t>.</w:t>
      </w:r>
    </w:p>
    <w:p>
      <w:pPr>
        <w:autoSpaceDE w:val="0"/>
        <w:autoSpaceDN w:val="0"/>
        <w:adjustRightInd w:val="0"/>
        <w:rPr>
          <w:noProof/>
          <w:szCs w:val="24"/>
        </w:rPr>
      </w:pPr>
      <w:r>
        <w:rPr>
          <w:noProof/>
        </w:rPr>
        <w:t xml:space="preserve">V správe siete EURYDICE o </w:t>
      </w:r>
      <w:hyperlink r:id="rId36" w:history="1">
        <w:r>
          <w:rPr>
            <w:rStyle w:val="Hyperlink"/>
            <w:noProof/>
          </w:rPr>
          <w:t>občianskej výchove v škole v Európe</w:t>
        </w:r>
      </w:hyperlink>
      <w:r>
        <w:rPr>
          <w:noProof/>
        </w:rPr>
        <w:t xml:space="preserve"> (2017), ktorú vypracovala pre Komisiu, sa skúmalo, ako možno občiansku výchovu použiť na vytvorenie príťažlivých a interaktívnych vzdelávacích prostredí prostredníctvom využívania inovačnej pedagogiky na rozvoj znalostí, zručností a prístupov, ktoré mladí ľudia potrebujú, aby sa stali aktívnymi občanmi.</w:t>
      </w:r>
    </w:p>
    <w:p>
      <w:pPr>
        <w:rPr>
          <w:noProof/>
        </w:rPr>
      </w:pPr>
      <w:r>
        <w:rPr>
          <w:noProof/>
        </w:rPr>
        <w:t xml:space="preserve">V </w:t>
      </w:r>
      <w:hyperlink r:id="rId37" w:history="1">
        <w:r>
          <w:rPr>
            <w:rStyle w:val="Hyperlink"/>
            <w:noProof/>
          </w:rPr>
          <w:t>Monitore vzdelávania a odbornej prípravy</w:t>
        </w:r>
      </w:hyperlink>
      <w:r>
        <w:rPr>
          <w:noProof/>
        </w:rPr>
        <w:t xml:space="preserve"> (2017) bola vyzdvihnutá aj potreba zvýšiť inkluzívnosť vzdelávacích systémov, lebo vzdelávacie výsledky študentov vo veľkej miere závisia od ich sociálno-ekonomického prostredia.</w:t>
      </w:r>
    </w:p>
    <w:p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</w:rPr>
        <w:t>Pokiaľ ide o pracovnú skupinu ET 2020 a jej špecializované aktivity partnerského učenia, medzi hlavné posolstvá, ktoré treba uviesť v rámci tohto odporúčania, patria tieto:</w:t>
      </w:r>
    </w:p>
    <w:p>
      <w:pPr>
        <w:pStyle w:val="Bullet2"/>
        <w:numPr>
          <w:ilvl w:val="0"/>
          <w:numId w:val="36"/>
        </w:numPr>
        <w:rPr>
          <w:noProof/>
        </w:rPr>
      </w:pPr>
      <w:r>
        <w:rPr>
          <w:noProof/>
        </w:rPr>
        <w:t>vzdelávacie inštitúcie by sa mali stať neoddeliteľnou súčasťou miestneho spoločenstva a mali by podporovať užšiu spoluprácu s občianskou spoločnosťou, mládežníckymi organizáciami, miestnymi orgánmi a podnikateľským sektorom, aby pomohli vzdelávať mladých ľudí,</w:t>
      </w:r>
    </w:p>
    <w:p>
      <w:pPr>
        <w:pStyle w:val="Bullet2"/>
        <w:rPr>
          <w:noProof/>
        </w:rPr>
      </w:pPr>
      <w:r>
        <w:rPr>
          <w:noProof/>
        </w:rPr>
        <w:lastRenderedPageBreak/>
        <w:t>demokratická a inkluzívna kultúra učenia sa, ktorá si cení rozmanitosť a umožňuje priestor na dialóg a diskusiu o kontroverzných otázkach, je nevyhnutná na sociálno-ekonomické učenie a získanie sociálnych a občianskych zručností,</w:t>
      </w:r>
    </w:p>
    <w:p>
      <w:pPr>
        <w:pStyle w:val="Bullet2"/>
        <w:rPr>
          <w:noProof/>
        </w:rPr>
      </w:pPr>
      <w:r>
        <w:rPr>
          <w:noProof/>
        </w:rPr>
        <w:t>učitelia sa musia podporovať a musí sa posilniť ich postavenie, aby riadili rozmanitosť a rozvíjali sociálne a občianske zručnosti učiacich sa, prostredníctvom počiatočného vzdelávania učiteľov, trvalého profesijného rozvoja, praktických nástrojov a pretrvávajúcej podpory a usmerňovania.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Posúdenia vplyvu</w:t>
      </w:r>
    </w:p>
    <w:p>
      <w:pPr>
        <w:rPr>
          <w:noProof/>
          <w:szCs w:val="24"/>
        </w:rPr>
      </w:pPr>
      <w:r>
        <w:rPr>
          <w:noProof/>
        </w:rPr>
        <w:t>So zreteľom na to, že navrhnuté činnosti dopĺňajú iniciatívy členských štátov, a so zreteľom na ich dobrovoľnú povahu a rozsah očakávaných vplyvov nebolo potrebné vykonať posúdenie vplyvu. Pri vypracúvaní návrhu sa vychádzalo z predchádzajúcich štúdií, z konzultácie s členskými štátmi a z verejnej konzultácie.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Regulačná vhodnosť a zjednodušenie</w:t>
      </w:r>
    </w:p>
    <w:p>
      <w:pPr>
        <w:rPr>
          <w:rFonts w:eastAsia="Arial Unicode MS"/>
          <w:noProof/>
          <w:szCs w:val="24"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Základné práva</w:t>
      </w:r>
    </w:p>
    <w:p>
      <w:pPr>
        <w:pStyle w:val="ManualHeading1"/>
        <w:tabs>
          <w:tab w:val="left" w:pos="0"/>
        </w:tabs>
        <w:spacing w:before="120"/>
        <w:ind w:left="0" w:firstLine="0"/>
        <w:jc w:val="left"/>
        <w:rPr>
          <w:b w:val="0"/>
          <w:noProof/>
          <w:szCs w:val="24"/>
        </w:rPr>
      </w:pPr>
      <w:r>
        <w:rPr>
          <w:b w:val="0"/>
          <w:bCs/>
          <w:smallCaps w:val="0"/>
          <w:noProof/>
        </w:rPr>
        <w:t>Cieľom tohto odporúčania je podporiť členské štáty v ich úsilí presadzovať základné práva.</w:t>
      </w:r>
    </w:p>
    <w:p>
      <w:pPr>
        <w:pStyle w:val="ManualHeading1"/>
        <w:spacing w:before="120"/>
        <w:jc w:val="left"/>
        <w:rPr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VPLYV NA ROZPOČET</w:t>
      </w:r>
    </w:p>
    <w:p>
      <w:pPr>
        <w:rPr>
          <w:noProof/>
          <w:bdr w:val="none" w:sz="0" w:space="0" w:color="auto" w:frame="1"/>
        </w:rPr>
      </w:pPr>
      <w:r>
        <w:rPr>
          <w:noProof/>
        </w:rPr>
        <w:t>Pre túto iniciatívu nie sú potrebné ďalšie zdroje z rozpočtu EÚ.</w:t>
      </w:r>
    </w:p>
    <w:p>
      <w:pPr>
        <w:rPr>
          <w:noProof/>
          <w:bdr w:val="none" w:sz="0" w:space="0" w:color="auto" w:frame="1"/>
        </w:rPr>
      </w:pPr>
      <w:r>
        <w:rPr>
          <w:noProof/>
        </w:rPr>
        <w:t xml:space="preserve">V náležitých prípadoch sa bude podporovať využívanie programov financovania EÚ, ako sú Erasmus+, Kreatívna Európa a Európa pre občanov, s cieľom podporovať financovanie individuálnej vzdelávacej mobility, virtuálne výmeny, projekty spolupráce a dobrovoľnícke činnosti, ktoré slúžia na presadzovanie spoločných hodnôt, začleňovania a porozumenia Európy. Vykoná sa to v súlade s ich príslušným právnym základom, pričom sa zoberie do úvahy ich príslušná finančná kapacita. </w:t>
      </w:r>
    </w:p>
    <w:p>
      <w:pPr>
        <w:pStyle w:val="ManualHeading1"/>
        <w:spacing w:before="120"/>
        <w:rPr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>ĎALŠIE PRVKY</w:t>
      </w:r>
    </w:p>
    <w:p>
      <w:pPr>
        <w:pStyle w:val="ManualHeading2"/>
        <w:rPr>
          <w:rFonts w:eastAsia="Arial Unicode MS"/>
          <w:noProof/>
          <w:szCs w:val="24"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Plány vykonávania, spôsob monitorovania, hodnotenia a podávania správ</w:t>
      </w:r>
    </w:p>
    <w:p>
      <w:pPr>
        <w:rPr>
          <w:noProof/>
        </w:rPr>
      </w:pPr>
      <w:r>
        <w:rPr>
          <w:noProof/>
        </w:rPr>
        <w:t>Toto odporúčanie sa bude vykonávať prostredníctvom stálej spolupráce v strategickom rámci pre európsku spoluprácu vo vzdelávaní a odbornej príprave (ET 2020) a v prípadnom následnom rámci. Opatrenia prijaté v reakcii na toto odporúčanie budú podliehať pravidelnému preskúmaniu prostredníctvom týchto rámcov vrátane Monitora vzdelávania a odbornej prípravy.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Vysvetľujúce dokumenty (v prípade smerníc)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Neuplatňuje sa.</w:t>
      </w:r>
    </w:p>
    <w:p>
      <w:pPr>
        <w:pStyle w:val="ManualHeading2"/>
        <w:rPr>
          <w:rFonts w:eastAsia="Arial Unicode MS"/>
          <w:noProof/>
          <w:bdr w:val="none" w:sz="0" w:space="0" w:color="auto" w:frame="1"/>
        </w:rPr>
      </w:pPr>
      <w:r>
        <w:rPr>
          <w:noProof/>
        </w:rPr>
        <w:t>•</w:t>
      </w:r>
      <w:r>
        <w:rPr>
          <w:noProof/>
        </w:rPr>
        <w:tab/>
        <w:t>Podrobné vysvetlenie konkrétnych ustanovení návrhu</w:t>
      </w:r>
    </w:p>
    <w:p>
      <w:pPr>
        <w:rPr>
          <w:noProof/>
        </w:rPr>
      </w:pPr>
      <w:r>
        <w:rPr>
          <w:noProof/>
        </w:rPr>
        <w:t>So zreteľom na veľkú rôznorodosť vzdelávacích systémov a na dodržiavanie zásady subsidiarity sa v návrhu identifikujú viaceré odporúčania, ktorými sa členské štáty majú riadiť pri navrhovaní najúčinnejších opatrení na presadzovanie spoločných hodnôt, poskytovanie inkluzívneho vzdelávania a začlenenie európskeho rozmeru do výučby v ich konkrétnom prostredí.</w:t>
      </w:r>
    </w:p>
    <w:p>
      <w:pPr>
        <w:rPr>
          <w:noProof/>
        </w:rPr>
      </w:pPr>
      <w:r>
        <w:rPr>
          <w:noProof/>
        </w:rPr>
        <w:t xml:space="preserve">Pokiaľ ide o </w:t>
      </w:r>
      <w:r>
        <w:rPr>
          <w:b/>
          <w:noProof/>
        </w:rPr>
        <w:t>presadzovanie spoločných hodnôt</w:t>
      </w:r>
      <w:r>
        <w:rPr>
          <w:noProof/>
        </w:rPr>
        <w:t>, v návrhu sa odporúča, aby členské štáty</w:t>
      </w:r>
    </w:p>
    <w:p>
      <w:pPr>
        <w:pStyle w:val="Bullet2"/>
        <w:rPr>
          <w:noProof/>
        </w:rPr>
      </w:pPr>
      <w:r>
        <w:rPr>
          <w:noProof/>
        </w:rPr>
        <w:lastRenderedPageBreak/>
        <w:t>podporovali poskytovanie osobitnej občianskej a etickej výchovy,</w:t>
      </w:r>
    </w:p>
    <w:p>
      <w:pPr>
        <w:pStyle w:val="Bullet2"/>
        <w:rPr>
          <w:noProof/>
        </w:rPr>
      </w:pPr>
      <w:r>
        <w:rPr>
          <w:noProof/>
        </w:rPr>
        <w:t>zlepšovali kritické myslenie a mediálnu gramotnosť,</w:t>
      </w:r>
    </w:p>
    <w:p>
      <w:pPr>
        <w:pStyle w:val="Bullet2"/>
        <w:rPr>
          <w:noProof/>
        </w:rPr>
      </w:pPr>
      <w:r>
        <w:rPr>
          <w:noProof/>
        </w:rPr>
        <w:t>povzbudzovali aktívnu účasť študentov, rodičov a učiteľov na riadení školy a aktívnu účasť mladých ľudí v ich miestnych spoločenstvách,</w:t>
      </w:r>
    </w:p>
    <w:p>
      <w:pPr>
        <w:pStyle w:val="Bullet2"/>
        <w:rPr>
          <w:noProof/>
        </w:rPr>
      </w:pPr>
      <w:r>
        <w:rPr>
          <w:noProof/>
        </w:rPr>
        <w:t xml:space="preserve">presadzovali najlepšie postupy, ako sú postupy stanovené v zručnostiach Rady Európy pre demokratickú kultúru. </w:t>
      </w:r>
    </w:p>
    <w:p>
      <w:pPr>
        <w:rPr>
          <w:noProof/>
        </w:rPr>
      </w:pPr>
      <w:r>
        <w:rPr>
          <w:noProof/>
        </w:rPr>
        <w:t xml:space="preserve">Pokiaľ ide o </w:t>
      </w:r>
      <w:r>
        <w:rPr>
          <w:b/>
          <w:noProof/>
        </w:rPr>
        <w:t>inkluzívne vzdelávanie</w:t>
      </w:r>
      <w:r>
        <w:rPr>
          <w:noProof/>
        </w:rPr>
        <w:t xml:space="preserve"> pre všetkých učiacich sa, v návrhu sa odporúča</w:t>
      </w:r>
    </w:p>
    <w:p>
      <w:pPr>
        <w:pStyle w:val="Bullet2"/>
        <w:rPr>
          <w:noProof/>
        </w:rPr>
      </w:pPr>
      <w:r>
        <w:rPr>
          <w:noProof/>
        </w:rPr>
        <w:t>začlenenie všetkých detí do vzdelávania od raného veku a zároveň poskytovanie podpory pre študentov so špeciálnymi výchovno-vzdelávacími potrebami, pričom je potrebné poskytovať pružnosť pri prechodoch medzi rôznymi úrovňami vzdelávania; a zabezpečenie dostatočného vzdelávacieho a profesijného poradenstva,</w:t>
      </w:r>
    </w:p>
    <w:p>
      <w:pPr>
        <w:pStyle w:val="Bullet2"/>
        <w:rPr>
          <w:noProof/>
        </w:rPr>
      </w:pPr>
      <w:r>
        <w:rPr>
          <w:noProof/>
        </w:rPr>
        <w:t>budovanie na odborných znalostiach a podpore Európskej agentúry pre rozvoj špeciálneho a inkluzívneho vzdelávania.</w:t>
      </w:r>
    </w:p>
    <w:p>
      <w:pPr>
        <w:rPr>
          <w:noProof/>
        </w:rPr>
      </w:pPr>
      <w:r>
        <w:rPr>
          <w:noProof/>
        </w:rPr>
        <w:t xml:space="preserve">Pokiaľ ide o </w:t>
      </w:r>
      <w:r>
        <w:rPr>
          <w:b/>
          <w:noProof/>
        </w:rPr>
        <w:t>európsky rozmer výučby</w:t>
      </w:r>
      <w:r>
        <w:rPr>
          <w:noProof/>
        </w:rPr>
        <w:t>, v návrhu sa odporúča</w:t>
      </w:r>
    </w:p>
    <w:p>
      <w:pPr>
        <w:pStyle w:val="Bullet2"/>
        <w:rPr>
          <w:noProof/>
        </w:rPr>
      </w:pPr>
      <w:r>
        <w:rPr>
          <w:noProof/>
        </w:rPr>
        <w:t>uľahčenie učenia o EÚ a jej členských štátoch a podporovanie účasti na iniciatívach mobility a eTwinningu a na projektoch v praxi.</w:t>
      </w:r>
    </w:p>
    <w:p>
      <w:pPr>
        <w:rPr>
          <w:noProof/>
        </w:rPr>
      </w:pPr>
      <w:r>
        <w:rPr>
          <w:noProof/>
        </w:rPr>
        <w:t>S cieľom dosiahnuť vyššie uvedené sa v návrhu odporúča, aby sa učitelia podporovali dostatočnou počiatočnou a ďalšou odbornou prípravou v oblasti občianskeho vzdelávania a inkluzívnej pedagogiky a podporovali sa pri účasti na výmenách a vzdelávacích programoch.</w:t>
      </w:r>
    </w:p>
    <w:p>
      <w:pPr>
        <w:rPr>
          <w:noProof/>
        </w:rPr>
      </w:pPr>
      <w:r>
        <w:rPr>
          <w:noProof/>
        </w:rPr>
        <w:t xml:space="preserve">V texte sa navrhujú konkrétne vykonávacie opatrenia, ktoré môžu orgánom členských štátov pomôcť dosiahnuť tieto ciele. </w:t>
      </w:r>
    </w:p>
    <w:p>
      <w:pPr>
        <w:spacing w:before="0" w:after="0"/>
        <w:rPr>
          <w:noProof/>
        </w:rPr>
        <w:sectPr>
          <w:footerReference w:type="default" r:id="rId38"/>
          <w:footerReference w:type="first" r:id="rId39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Návrh víta aj zámer Komisie podporovať členské štáty pri plnení uvedených odporúčaní, a to aj prostredníctvom financovania vzdelávacej mobility, vzájomných výmen, projektov spolupráce, dobrovoľníctva a práce s mládežou; partnerského učenia a výmen osvedčených postupov prostredníctvom rámca ET 2020; a pri rozvoji základne dôkazov pre politické reformy.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2018/0007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ODPORÚČANIE RADY</w:t>
      </w:r>
    </w:p>
    <w:p>
      <w:pPr>
        <w:pStyle w:val="Titreobjet"/>
        <w:rPr>
          <w:noProof/>
        </w:rPr>
      </w:pPr>
      <w:r>
        <w:rPr>
          <w:noProof/>
        </w:rPr>
        <w:t>o podpore spoločných hodnôt, inkluzívneho vzdelávania a európskeho rozmeru výučby</w:t>
      </w:r>
    </w:p>
    <w:p>
      <w:pPr>
        <w:pStyle w:val="Institutionquiagit"/>
        <w:rPr>
          <w:noProof/>
        </w:rPr>
      </w:pPr>
      <w:r>
        <w:rPr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 a najmä na jej články 165 a 166,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V článku 2 Zmluvy o Európskej únii sa stanovuje, že „Únia je založená na hodnotách úcty k ľudskej dôstojnosti, slobody, demokracie, rovnosti, právneho štátu a rešpektovania ľudských práv vrátane práv osôb patriacich k menšinám. Tieto hodnoty sú spoločné členským štátom v spoločnosti, v ktorej prevláda pluralizmus, nediskriminácia, tolerancia, spravodlivosť, solidarita a rovnosť medzi ženami a mužmi.“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Únia, ktorá sa inšpiruje týmito hodnotami, dokázala spojiť krajiny, komunity a ľudí v jedinečnom politickom projekte, vďaka ktorému Európa poznala najdlhšie obdobie mieru, čo zároveň prinieslo sociálnu stabilitu a hospodársku prosperitu. Prijatie hodnôt, ktoré sú stanovené v zmluve, členskými štátmi vytvára spoločný základ, ktorý tvorí osobitnú črtu európskeho spôsobu života a identity a vďaka ktorému má Únia svoje miesto na svetovej scéne.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Únia a jej členské štáty čelia rôznym výzvam vrátane populizmu, xenofóbie, rozdeľujúceho nacionalizmu, diskriminácie, šírenia falošných správ a dezinformovania, ako aj výzve týkajúcej sa radikalizácie. Tieto javy by mohli vážnym spôsobom ohroziť základy našej demokracie, narušiť dôveru v právny štát a demokratické inštitúcie a oslabovať pocit spolupatričnosti v rámci európskych spoločností a medzi nimi.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Nedostatočná informovanosť o základoch Únie, dôvodoch jej vzniku a jej základnom fungovaní podporuje dezinformovanie a bráni vytváraniu informovaných názorov na jej činnosti. Znalosti o rozmanitosti Únie a jej členských štátov podporujú vzájomný rešpekt, porozumenie a spoluprácu v rámci členských štátov a medzi nimi.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Vzdelávanie na všetkých úrovniach a od raného veku zohráva kľúčovú úlohu pri propagácii a výučbe spoločných hodnôt. Pomáha zabezpečiť sociálne začlenenie tým, že každému dieťaťu poskytuje rovnakú príležitosť uspieť. Poskytuje príležitosti na to, aby sa z detí stali aktívni a kriticky uvedomelí občania, a prispieva k lepšiemu pochopeniu európskej identity.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Európski lídri v rámci Agendy lídrov diskutovali v novembri 2017 v Göteborgu o význame vzdelávania a kultúry pre budúcnosť Európy. V rámci poskytnutia podkladov pre túto diskusiu Komisia predložila svoju víziu pre európsky vzdelávací priestor a navrhla niekoľko iniciatív vo svojom oznámení s názvom „Posilňovanie </w:t>
      </w:r>
      <w:r>
        <w:rPr>
          <w:noProof/>
        </w:rPr>
        <w:lastRenderedPageBreak/>
        <w:t>európskej identity vzdelávaním a kultúrou“</w:t>
      </w:r>
      <w:r>
        <w:rPr>
          <w:rStyle w:val="FootnoteReference"/>
          <w:noProof/>
        </w:rPr>
        <w:footnoteReference w:id="27"/>
      </w:r>
      <w:r>
        <w:rPr>
          <w:noProof/>
        </w:rPr>
        <w:t>, v ktorom sa uvádza, že „posilňovanie európskej identity má zásadný význam a vzdelávanie a kultúra sú jeho najlepšou hybnou silou“.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Jeden z cieľov rámca ET 2020 pre európsku spoluprácu vo vzdelávaní a odbornej príprave</w:t>
      </w:r>
      <w:r>
        <w:rPr>
          <w:rStyle w:val="FootnoteReference"/>
          <w:noProof/>
        </w:rPr>
        <w:footnoteReference w:id="28"/>
      </w:r>
      <w:r>
        <w:rPr>
          <w:noProof/>
        </w:rPr>
        <w:t>, konkrétne podpora rovnosti, sociálnej súdržnosti a aktívneho občianstva, bol stanovený na základe toho, že v rámci vzdelávania by sa mali podporovať medzikultúrne zručnosti, demokratické hodnoty a rešpektovanie základných práv, malo by sa ním bojovať proti všetkým formám diskriminácie a rasizmu a malo by vybaviť mladých ľudí schopnosťami pozitívnej interakcie s rovesníkmi z rozmanitých prostredí.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V Parížskej deklarácii</w:t>
      </w:r>
      <w:r>
        <w:rPr>
          <w:rStyle w:val="FootnoteReference"/>
          <w:noProof/>
        </w:rPr>
        <w:footnoteReference w:id="29"/>
      </w:r>
      <w:r>
        <w:rPr>
          <w:noProof/>
        </w:rPr>
        <w:t>, ktorú 17. marca 2015 prijali európski ministri školstva, sa stanovil záväzok členských štátov presadzovať spoločné hodnoty, posilňovať kritické myslenie a mediálnu gramotnosť, inkluzívne vzdelávanie a medzikultúrny dialóg. Reakcie na verejnú konzultáciu v rámci celej EÚ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 jasne ukazujú, že inkluzívne vzdelávanie by sa malo podporovať. Iba 16 % respondentov sa domnieva, že v súvislosti so vzdelávaním sa tento cieľ v súčasnosti naozaj realizuje; 95 % sa domnieva, že vzdelávanie by malo pomôcť mladým ľuďom pochopiť význam spoločných hodnôt a že Únia by mala členským štátom pomáhať pri plnení tejto úlohy (98 %).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Prieskum siete Eurydice z roku 2017 o výchove k občianstvu na školách v Európe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 ukazuje, že výchova k občianstvu je v súčasnosti v centre pozornosti vo viacerých európskych krajinách. Približne polovica krajín však ešte stále nemá vypracované politiky na zahrnutie výchovy k občianstvu do počiatočnej odbornej prípravy učiteľov. Preto by sa učitelia mali podporovať a malo by sa posilniť ich postavenie prostredníctvom opatrení na vytvorenie kultúry otvoreného vzdelávania a zabezpečenie efektívneho vyučovania v rôznorodých učebných skupinách s cieľom vyučovať občianske kompetencie, odovzdávať spoločné dedičstvo Európy, vštepovať spoločné hodnoty a pôsobiť ako vzor pre učiacich sa.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V niekoľkých členských štátoch je aj naďalej naliehavým problémom radikalizácia vedúca k násilnému extrémizmu. Presadzovanie spoločných hodnôt ako vektora sociálnej súdržnosti a integrácie, a to aj prostredníctvom politík v oblasti vzdelávania, je neoddeliteľnou súčasťou riešenia tejto otázky. S cieľom podporovať členské štáty v ich úsilí zriadila Európska komisia v júli 2017 expertnú skupinu na vysokej úrovni pre oblasť radikalizácie</w:t>
      </w:r>
      <w:r>
        <w:rPr>
          <w:rStyle w:val="FootnoteReference"/>
          <w:noProof/>
        </w:rPr>
        <w:footnoteReference w:id="32"/>
      </w:r>
      <w:r>
        <w:rPr>
          <w:noProof/>
        </w:rPr>
        <w:t>, ktorá má identifikovať podporné opatrenia vrátane opatrení v oblasti vzdelávania.</w:t>
      </w:r>
    </w:p>
    <w:p>
      <w:pPr>
        <w:pStyle w:val="ManualConsidrant"/>
        <w:rPr>
          <w:noProof/>
        </w:rPr>
      </w:pPr>
      <w:r>
        <w:lastRenderedPageBreak/>
        <w:t>(11)</w:t>
      </w:r>
      <w:r>
        <w:tab/>
      </w:r>
      <w:r>
        <w:rPr>
          <w:noProof/>
        </w:rPr>
        <w:t>V najnovších výsledkoch prieskumu PISA</w:t>
      </w:r>
      <w:r>
        <w:rPr>
          <w:rStyle w:val="FootnoteReference"/>
          <w:noProof/>
        </w:rPr>
        <w:footnoteReference w:id="33"/>
      </w:r>
      <w:r>
        <w:rPr>
          <w:noProof/>
        </w:rPr>
        <w:t xml:space="preserve"> a Monitoru vzdelávania a odbornej prípravy z roku 2017</w:t>
      </w:r>
      <w:r>
        <w:rPr>
          <w:rStyle w:val="FootnoteReference"/>
          <w:noProof/>
        </w:rPr>
        <w:footnoteReference w:id="34"/>
      </w:r>
      <w:r>
        <w:rPr>
          <w:noProof/>
        </w:rPr>
        <w:t xml:space="preserve"> sa zdôrazňuje prepojenie medzi nerovnosťami vo vzdelávaní a sociálno-ekonomickým zázemím študentov. Údaje z Programu pre medzinárodné hodnotenie žiakov (PISA) poukazujú na to, že študenti z chudobnejších domácností dosahujú trikrát častejšie horšie výsledky ako ich spolužiaci z ekonomicky silnejších domácností a že u študentov z prisťahovaleckého prostredia je pravdepodobnosť, že budú dosahovať slabšie výsledky ako iní študenti, dvakrát vyššia. S cieľom zabrániť marginalizácii mladých ľudí je dôležité zabezpečiť inkluzívne a spravodlivé systémy vzdelávania, ktoré podporujú súdržné spoločnosti, kladú základy pre aktívne občianstvo a posilňujú zamestnateľnosť.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Prieskumy Eurobarometra zdôrazňujú pozoruhodne nízku úroveň znalostí o Únii. Podľa prieskumu z roku 2014 sa 44 % ľudí domnieva, že iba málo rozumejú tomu, ako Únia funguje</w:t>
      </w:r>
      <w:r>
        <w:rPr>
          <w:rStyle w:val="FootnoteReference"/>
          <w:noProof/>
        </w:rPr>
        <w:footnoteReference w:id="35"/>
      </w:r>
      <w:r>
        <w:rPr>
          <w:noProof/>
        </w:rPr>
        <w:t>, pričom prieskum z roku 2011 ukazuje, že relatívna väčšina má pocit, že nie sú dostatočne informovaní o Európskej únii</w:t>
      </w:r>
      <w:r>
        <w:rPr>
          <w:rStyle w:val="FootnoteReference"/>
          <w:noProof/>
        </w:rPr>
        <w:footnoteReference w:id="36"/>
      </w:r>
      <w:r>
        <w:rPr>
          <w:noProof/>
        </w:rPr>
        <w:t>. V tej istej štúdii sa takisto zistilo, že tretina ľudí nevie presne, koľko členských štátov má Únia</w:t>
      </w:r>
      <w:r>
        <w:rPr>
          <w:rStyle w:val="FootnoteReference"/>
          <w:noProof/>
        </w:rPr>
        <w:footnoteReference w:id="37"/>
      </w:r>
      <w:r>
        <w:rPr>
          <w:noProof/>
        </w:rPr>
        <w:t>. Napokon podľa najnovšieho prieskumu Eurobarometra</w:t>
      </w:r>
      <w:r>
        <w:rPr>
          <w:rStyle w:val="FootnoteReference"/>
          <w:noProof/>
        </w:rPr>
        <w:footnoteReference w:id="38"/>
      </w:r>
      <w:r>
        <w:rPr>
          <w:noProof/>
        </w:rPr>
        <w:t xml:space="preserve"> 35 % respondentov považuje porovnateľné vzdelávacie normy za veľmi užitočné pre budúcnosť Európy. 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V tejto súvislosti má zásadný význam, aby členské štáty zintenzívnili svoje úsilie pri ďalšom plnení všetkých cieľov Parížskej deklarácie z roku 2015. Je osobitne dôležité ďalej podporovať spoločné hodnoty ako hybné sily súdržnosti a začleňovania, podporovať zavádzanie prostredí participatívneho učenia na všetkých úrovniach vzdelávania, zlepšovať odbornú prípravu učiteľov v oblasti občianstva a rozmanitosti a zlepšovať mediálnu gramotnosť a schopnosti kritického myslenia u všetkých učiacich sa.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Na dosiahnutie súdržnejších spoločností je nevyhnutné zabezpečiť účinný rovnaký prístup ku kvalitnému inkluzívnemu vzdelávaniu pre všetkých učiacich sa vrátane osôb s prisťahovaleckým pôvodom, osôb zo znevýhodnených sociálno-ekonomických prostredí a osôb s osobitnými potrebami. Členské štáty by pri svojom úsilí mohli využívať existujúce nástroje Únie, najmä program Erasmus+, európske štrukturálne a investičné fondy, program Kreatívna Európa, program Európa pre občanov, program Práva, rovnosť a občianstvo, Európsky zbor solidarity a program Horizont 2020, ako aj usmernenia a odborné znalosti Európskej agentúry pre rozvoj špeciálneho a inkluzívneho vzdelávania. </w:t>
      </w:r>
    </w:p>
    <w:p>
      <w:pPr>
        <w:pStyle w:val="ManualConsidrant"/>
        <w:rPr>
          <w:noProof/>
        </w:rPr>
      </w:pPr>
      <w:r>
        <w:lastRenderedPageBreak/>
        <w:t>(15)</w:t>
      </w:r>
      <w:r>
        <w:tab/>
      </w:r>
      <w:r>
        <w:rPr>
          <w:noProof/>
        </w:rPr>
        <w:t>Program Erasmus+ je dôkazom, že mobilita a cezhraničné kontakty sú najúčinnejším spôsobom, ako zažiť európsku identitu. Je nevyhnutné, aby všetky kategórie študentov mohli rovnocenným spôsobom využívať možnosti, ktoré ponúka tento program, a to najmä prostredníctvom školských výmen medzi členskými štátmi. Virtuálna mobilita, najmä prostredníctvom siete eTwinning, je výborným nástrojom, ktorý umožňuje priamy kontakt medzi žiakmi, a v nadchádzajúcich rokoch sa bude využívať vo väčšom meradle a v kombinácii s fyzickou mobilitou.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Zavedenie európskeho rozmeru do vzdelávania by malo napomáhať učiacim sa, aby zažívali európsku identitu v celej jej rozmanitosti, a malo by posilňovať pocit európskej spolupatričnosti ako doplnku k ich miestnym, regionálnym a národným identitám a tradíciám. Rovnako je to dôležité v záujme podpory lepšieho chápania Únie, ako aj jej členských štátov.</w:t>
      </w:r>
    </w:p>
    <w:p>
      <w:pPr>
        <w:pStyle w:val="ManualConsidrant"/>
        <w:rPr>
          <w:noProof/>
        </w:rPr>
      </w:pPr>
      <w:r>
        <w:t>(17)</w:t>
      </w:r>
      <w:r>
        <w:tab/>
      </w:r>
      <w:r>
        <w:rPr>
          <w:noProof/>
        </w:rPr>
        <w:t xml:space="preserve">Toto odporúčanie plne rešpektuje zásady subsidiarity a proporcionality. Obsahom tohto odporúčania nie sú dotknuté existujúce vnútroštátne iniciatívy v týchto oblastiach, a najmä v oblasti vnútroštátneho občianskeho vzdelávania, 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Formuledadoption"/>
        <w:rPr>
          <w:b/>
          <w:noProof/>
        </w:rPr>
      </w:pPr>
      <w:r>
        <w:rPr>
          <w:b/>
          <w:noProof/>
        </w:rPr>
        <w:lastRenderedPageBreak/>
        <w:t>PRIJALA TOTO ODPORÚČANIE</w:t>
      </w:r>
    </w:p>
    <w:p>
      <w:pPr>
        <w:rPr>
          <w:b/>
          <w:noProof/>
        </w:rPr>
      </w:pPr>
      <w:r>
        <w:rPr>
          <w:b/>
          <w:noProof/>
        </w:rPr>
        <w:t>Členské štáty by mali:</w:t>
      </w:r>
    </w:p>
    <w:p>
      <w:pPr>
        <w:rPr>
          <w:b/>
          <w:noProof/>
        </w:rPr>
      </w:pPr>
      <w:r>
        <w:rPr>
          <w:b/>
          <w:noProof/>
        </w:rPr>
        <w:t>Presadzovanie spoločných hodnôt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Posilňovať uznávanie spoločných hodnôt stanovených v článku 2 Zmluvy o Európskej únii už od raného veku a na všetkých úrovniach vzdelávania s cieľom posilniť sociálnu súdržnosť a pocit spolupatričnosti na miestnej, regionálnej a vnútroštátnej úrovni a na úrovni Únie.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Pokračovať v plnení záväzkov stanovených v Parížskej deklarácii, najmä prostredníctvom: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podpory vzdelávania zameraného na občianstvo a etiku, ako aj otvoreného vzdelávacieho prostredia v záujme podpory tolerantných a demokratických postojov;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ab/>
        <w:t>posilňovania kritického myslenia a mediálnej gramotnosti, najmä pokiaľ ide o používanie internetu a sociálnych médií s cieľom zvyšovať informovanosť o rizikách súvisiacich so spoľahlivosťou informačných zdrojov a pomáhať pri vytváraní si zdravého úsudku;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ab/>
        <w:t>rozvoja štruktúr, ktoré podporujú aktívnu účasť učiteľov, rodičov, študentov a širšej komunity na riadení školy, a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</w:r>
      <w:r>
        <w:rPr>
          <w:noProof/>
        </w:rPr>
        <w:tab/>
        <w:t>podpory príležitostí na demokratickú účasť mladých ľudí a aktívnu a zodpovednú komunitnú účasť.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Účinne využívať existujúce nástroje na podporu občianskeho vzdelávania, najmä v súvislosti s Rámcom Rady Európy pre kompetencie pre demokratickú kultúru</w:t>
      </w:r>
      <w:r>
        <w:rPr>
          <w:rStyle w:val="FootnoteReference"/>
          <w:noProof/>
        </w:rPr>
        <w:footnoteReference w:id="39"/>
      </w:r>
      <w:r>
        <w:rPr>
          <w:noProof/>
        </w:rPr>
        <w:t>.</w:t>
      </w:r>
    </w:p>
    <w:p>
      <w:pPr>
        <w:rPr>
          <w:b/>
          <w:noProof/>
        </w:rPr>
      </w:pPr>
      <w:r>
        <w:rPr>
          <w:b/>
          <w:noProof/>
        </w:rPr>
        <w:t>Poskytovanie inkluzívneho vzdelávania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Presadzovať inkluzívne vzdelávanie pre všetkých učiacich sa, a to najmä: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ab/>
        <w:t>zapojením všetkých žiakov do kvalitného vzdelávania od raného veku;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ab/>
        <w:t>poskytovaním potrebnej podpory žiakom a študentom v súlade s ich potrebami vrátane žiakov a študentov zo znevýhodnených sociálno-ekonomických prostredí, z prisťahovaleckého prostredia, s osobitnými vzdelávacími potrebami a najtalentovanejších študentov;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ab/>
        <w:t>uľahčovaním prechodu medzi rôznymi stupňami vzdelávania a umožňovaním poskytovania vhodného vzdelávacieho a profesijného poradenstva.</w:t>
      </w:r>
    </w:p>
    <w:p>
      <w:pPr>
        <w:pStyle w:val="ManualNumPar1"/>
        <w:rPr>
          <w:noProof/>
        </w:rPr>
      </w:pPr>
      <w:r>
        <w:t>5.</w:t>
      </w:r>
      <w:r>
        <w:tab/>
      </w:r>
      <w:r>
        <w:rPr>
          <w:noProof/>
        </w:rPr>
        <w:t>Účinne využívať Európsku agentúru pre rozvoj špeciálneho a inkluzívneho vzdelávania</w:t>
      </w:r>
      <w:r>
        <w:rPr>
          <w:rStyle w:val="FootnoteReference"/>
          <w:noProof/>
        </w:rPr>
        <w:footnoteReference w:id="40"/>
      </w:r>
      <w:r>
        <w:rPr>
          <w:noProof/>
        </w:rPr>
        <w:t xml:space="preserve"> s cieľom vykonávať a monitorovať úspešné prístupy k začleňovaniu vo svojich vzdelávacích systémoch.</w:t>
      </w:r>
    </w:p>
    <w:p>
      <w:pPr>
        <w:rPr>
          <w:b/>
          <w:noProof/>
        </w:rPr>
      </w:pPr>
      <w:r>
        <w:rPr>
          <w:b/>
          <w:noProof/>
        </w:rPr>
        <w:t>Podpora európskeho rozmeru vo výučbe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 xml:space="preserve">Podporovať európsky rozmer vyučovania posilňovaním: </w:t>
      </w:r>
    </w:p>
    <w:p>
      <w:pPr>
        <w:pStyle w:val="Point1"/>
        <w:rPr>
          <w:noProof/>
        </w:rPr>
      </w:pPr>
      <w:r>
        <w:rPr>
          <w:noProof/>
        </w:rPr>
        <w:lastRenderedPageBreak/>
        <w:t>a)</w:t>
      </w:r>
      <w:r>
        <w:rPr>
          <w:noProof/>
        </w:rPr>
        <w:tab/>
      </w:r>
      <w:r>
        <w:rPr>
          <w:noProof/>
        </w:rPr>
        <w:tab/>
        <w:t>chápania európskeho kontextu a spoločného dedičstva a informovanosti o rozmanitosti členských štátov Únie;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ab/>
        <w:t>chápania základov a fungovania Únie;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ab/>
        <w:t>účasti študentov a učiteľov v sieti eTwinning a na cezhraničnej mobilite, najmä v školách;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</w:r>
      <w:r>
        <w:rPr>
          <w:noProof/>
        </w:rPr>
        <w:tab/>
        <w:t>projektov v praxi zameraných na zvyšovanie povedomia o Európskej únii vo vzdelávacích strediskách, a to najmä prostredníctvom priamej interakcie s mladými ľuďmi.</w:t>
      </w:r>
    </w:p>
    <w:p>
      <w:pPr>
        <w:rPr>
          <w:b/>
          <w:noProof/>
        </w:rPr>
      </w:pPr>
      <w:r>
        <w:rPr>
          <w:b/>
          <w:noProof/>
        </w:rPr>
        <w:t>Podpora učiteľov a výučby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Umožňovať učiteľom, vedúcim pracovníkom škôl a akademickým pracovníkom presadzovanie spoločných hodnôt a poskytovanie inkluzívneho vzdelávania prostredníctvom: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</w:r>
      <w:r>
        <w:rPr>
          <w:noProof/>
        </w:rPr>
        <w:tab/>
        <w:t>opatrení na posilnenie postavenia učiteľov, vedúcich pracovníkov škôl a akademických pracovníkov, ktoré im pomôžu sprostredkúvať spoločné hodnoty a presadzovať aktívne občianstvo a zároveň prenášať pocit spolupatričnosti a reagovať na rôzne potreby učiacich sa, a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</w:r>
      <w:r>
        <w:rPr>
          <w:noProof/>
        </w:rPr>
        <w:tab/>
        <w:t>presadzovania výmenných programov a programov partnerského učenia, ako aj poradenstva a mentorstva pre učiteľov a akademických pracovníkov.</w:t>
      </w:r>
    </w:p>
    <w:p>
      <w:pPr>
        <w:rPr>
          <w:b/>
          <w:noProof/>
        </w:rPr>
      </w:pPr>
      <w:r>
        <w:rPr>
          <w:b/>
          <w:noProof/>
        </w:rPr>
        <w:t>Vykonávanie opatrení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Preskúmať a podľa potreby zmeniť existujúce politiky a postupy v oblasti vzdelávania, odbornej prípravy a neformálneho vzdelávania s cieľom postupovať podľa týchto odporúčaní.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Identifikovať nedostatky a posilňovať zapojenie verejnosti, konzultáciu a zber údajov s cieľom zlepšiť tvorbu politík založených na dôkazoch v oblasti sociálneho a občianskeho rozmeru vzdelávania a odbornej prípravy.</w:t>
      </w:r>
    </w:p>
    <w:p>
      <w:pPr>
        <w:pStyle w:val="ManualNumPar1"/>
        <w:rPr>
          <w:noProof/>
        </w:rPr>
      </w:pPr>
      <w:r>
        <w:t>10.</w:t>
      </w:r>
      <w:r>
        <w:tab/>
      </w:r>
      <w:r>
        <w:rPr>
          <w:noProof/>
        </w:rPr>
        <w:t>Naďalej spolupracovať v strategických rámcoch EÚ pre spoluprácu v oblasti vzdelávania a odbornej prípravy, mládeže, športu a kultúry prostredníctvom partnerského učenia a výmeny osvedčených postupov s cieľom podporovať spoločné hodnoty.</w:t>
      </w:r>
    </w:p>
    <w:p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Efektívne využívať finančné nástroje EÚ, najmä program Erasmus+, európske štrukturálne a investičné fondy, program Kreatívna Európa, program Európa pre občanov, program Práva, rovnosť a občianstvo a program Horizont 2020 v záujme vykonávania týchto odporúčaní.</w:t>
      </w:r>
    </w:p>
    <w:p>
      <w:pPr>
        <w:spacing w:before="0" w:after="200" w:line="276" w:lineRule="auto"/>
        <w:jc w:val="left"/>
        <w:rPr>
          <w:rFonts w:eastAsiaTheme="minorEastAsia"/>
          <w:noProof/>
        </w:rPr>
      </w:pPr>
      <w:r>
        <w:rPr>
          <w:noProof/>
        </w:rPr>
        <w:br w:type="page"/>
      </w:r>
    </w:p>
    <w:p>
      <w:pPr>
        <w:spacing w:after="240"/>
        <w:ind w:left="360"/>
        <w:rPr>
          <w:noProof/>
        </w:rPr>
      </w:pPr>
      <w:r>
        <w:rPr>
          <w:b/>
          <w:noProof/>
        </w:rPr>
        <w:lastRenderedPageBreak/>
        <w:t>VÍTA ZÁMER KOMISIE:</w:t>
      </w:r>
    </w:p>
    <w:p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 xml:space="preserve">Podporovať členské štáty pri vykonávaní ustanovení tohto odporúčania prostredníctvom dostupných nástrojov a finančných nástrojov, najmä prostredníctvom školskej mobility a siete eTwinning. </w:t>
      </w:r>
    </w:p>
    <w:p>
      <w:pPr>
        <w:pStyle w:val="ManualNumPar1"/>
        <w:rPr>
          <w:noProof/>
        </w:rPr>
      </w:pPr>
      <w:r>
        <w:t>13.</w:t>
      </w:r>
      <w:r>
        <w:tab/>
      </w:r>
      <w:r>
        <w:rPr>
          <w:noProof/>
        </w:rPr>
        <w:t>Podporovať národné a regionálne reformy politík a zlepšovanie praxe prostredníctvom rámca ET 2020 pre európsku spoluprácu v oblasti vzdelávania a odbornej prípravy a akéhokoľvek následného rámca.</w:t>
      </w:r>
    </w:p>
    <w:p>
      <w:pPr>
        <w:pStyle w:val="ManualNumPar1"/>
        <w:rPr>
          <w:noProof/>
        </w:rPr>
      </w:pPr>
      <w:r>
        <w:t>14.</w:t>
      </w:r>
      <w:r>
        <w:tab/>
      </w:r>
      <w:r>
        <w:rPr>
          <w:noProof/>
        </w:rPr>
        <w:t>Vypracúvať a pravidelne prehodnocovať praktické referenčné nástroje a usmerňovacie dokumenty pre tvorcov politík a odborníkov z praxe a podporovať výskum a zapojenie zainteresovaných strán s cieľom odstrániť nedostatky vo vedomostiach.</w:t>
      </w:r>
    </w:p>
    <w:p>
      <w:pPr>
        <w:pStyle w:val="ManualNumPar1"/>
        <w:rPr>
          <w:noProof/>
        </w:rPr>
      </w:pPr>
      <w:r>
        <w:t>15.</w:t>
      </w:r>
      <w:r>
        <w:tab/>
      </w:r>
      <w:r>
        <w:rPr>
          <w:noProof/>
        </w:rPr>
        <w:t>Posudzovať a vyhodnocovať opatrenia prijaté v nadväznosti na toto odporúčanie, najmä prostredníctvom rámca ET 2020 vrátane Monitora vzdelávania a odbornej prípravy.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Prejav o stave Únie, 13. septembra 2017, — </w:t>
      </w:r>
      <w:hyperlink r:id="rId1" w:history="1">
        <w:r>
          <w:rPr>
            <w:rStyle w:val="Hyperlink"/>
          </w:rPr>
          <w:t>https://ec.europa.eu/commission/state-union-2017_sk</w:t>
        </w:r>
      </w:hyperlink>
      <w:r>
        <w:rPr>
          <w:rStyle w:val="Hyperlink"/>
        </w:rPr>
        <w:t>.</w:t>
      </w:r>
    </w:p>
  </w:footnote>
  <w:footnote w:id="3">
    <w:p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ab/>
        <w:t xml:space="preserve">Pozri Diskusný dokument Komisie o sociálnom rozmere Európy, COM/2017/0206 final, </w:t>
      </w:r>
      <w:r>
        <w:rPr>
          <w:rStyle w:val="Hyperlink"/>
        </w:rPr>
        <w:t>https://ec.europa.eu/commission/sites/beta-political/files/reflection-paper-social-dimension-europe_sk.pdf.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 xml:space="preserve">Parížska deklarácia, 17. marca 2015 – </w:t>
      </w:r>
      <w:hyperlink r:id="rId2" w:history="1">
        <w:r>
          <w:rPr>
            <w:rStyle w:val="Hyperlink"/>
          </w:rPr>
          <w:t>http://ec.europa.eu/education/news/20150316-paris-education_en</w:t>
        </w:r>
      </w:hyperlink>
      <w:r>
        <w:rPr>
          <w:rStyle w:val="Hyperlink"/>
          <w:color w:val="auto"/>
          <w:u w:val="none"/>
        </w:rPr>
        <w:t>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Oznámenie Komisie: Podpora predchádzania radikalizácii vedúcej k násilnému extrémizmu; COM(2016) 379 final.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http://www.consilium.europa.eu/sk/press/press-releases/2017/03/25/rome-declaration/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Biela kniha o budúcnosti Európy: Úvahy a scenáre pre štáty EÚ-27 k vývoju do roku 2025; COM 2017(2025) final.</w:t>
      </w:r>
    </w:p>
  </w:footnote>
  <w:footnote w:id="8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Diskusný dokument o využití globalizácie, 10. mája 2017 – </w:t>
      </w:r>
      <w:hyperlink r:id="rId3" w:history="1">
        <w:r>
          <w:rPr>
            <w:rStyle w:val="Hyperlink"/>
          </w:rPr>
          <w:t>https://ec.europa.eu/commission/publications/reflection-paper-harnessing-globalisation_en</w:t>
        </w:r>
      </w:hyperlink>
      <w:r>
        <w:rPr>
          <w:rStyle w:val="Hyperlink"/>
          <w:color w:val="auto"/>
          <w:u w:val="none"/>
        </w:rPr>
        <w:t>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Oznámenie Komisie: Posilňovanie európskej identity vzdelávaním a kultúrou; COM(2017) 673 final.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Spoločná správa Rady a Komisie o vykonávaní strategického rámca pre európsku spoluprácu vo vzdelávaní a odbornej príprave (ET 2020): Nové priority pre európsku spoluprácu v oblasti vzdelávania a odbornej prípravy, (Ú. v. EÚ C 417, 15.12.2015).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Oznámenie Komisie: Zlepšiť a zmodernizovať vzdelávanie, COM(2016) 941; Oznámenie Komisie: Rozvoj škôl a excelentná výučba: kľúč pre výborný štart do života, COM(2017) 248; Oznámenie Komisie o novom programe EÚ pre vysokoškolské vzdelávanie, COM(2017) 247.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Odporúčanie Komisie z 20. Februára 2013: Investovať do detí: východisko z bludného kruhu znevýhodnenia; 2013/112/EÚ.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[</w:t>
      </w:r>
      <w:r>
        <w:rPr>
          <w:i/>
        </w:rPr>
        <w:t>ODKAZ BUDE PRIDANÝ PO PRIJATÍ</w:t>
      </w:r>
      <w:r>
        <w:t>]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Oznámenie Komisie: Akčný plán pre integráciu štátnych príslušníkov tretích krajín; COM(2016) 377 final.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Oznámenie Komisie: Vytvorenie Európskeho piliera sociálnych práv; COM/2017/0250 final.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Správa Komisie: Posilnenie práv občanov v Únii demokratickej zmeny – Správa o občianstve EÚ na rok 2017; COM/2017/030 final.</w:t>
      </w:r>
    </w:p>
  </w:footnote>
  <w:footnote w:id="17">
    <w:p>
      <w:pPr>
        <w:pStyle w:val="FootnoteText"/>
        <w:rPr>
          <w:lang w:eastAsia="sk-SK" w:bidi="sk-SK"/>
        </w:rPr>
      </w:pPr>
      <w:r>
        <w:rPr>
          <w:rStyle w:val="FootnoteReference"/>
        </w:rPr>
        <w:footnoteRef/>
      </w:r>
      <w:r>
        <w:tab/>
        <w:t xml:space="preserve">Pozri bližšie informácie na sídle </w:t>
      </w:r>
      <w:hyperlink r:id="rId4" w:history="1">
        <w:r>
          <w:rPr>
            <w:rStyle w:val="Hyperlink"/>
          </w:rPr>
          <w:t>http://ec.europa.eu/education/events/20151109-jean-monnet-conference_sk</w:t>
        </w:r>
      </w:hyperlink>
      <w:r>
        <w:rPr>
          <w:rStyle w:val="Hyperlink"/>
          <w:color w:val="auto"/>
          <w:u w:val="none"/>
        </w:rPr>
        <w:t>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závery na </w:t>
      </w:r>
      <w:hyperlink r:id="rId5" w:history="1">
        <w:r>
          <w:rPr>
            <w:rStyle w:val="Hyperlink"/>
            <w:rFonts w:eastAsia="Times New Roman"/>
            <w:szCs w:val="24"/>
            <w:lang w:eastAsia="en-GB"/>
          </w:rPr>
          <w:t>http://ec.europa.eu/information_society/newsroom/image/document/2016-50/2016-fundamental-colloquium-conclusions_40602.pdf</w:t>
        </w:r>
      </w:hyperlink>
      <w:r>
        <w:rPr>
          <w:rStyle w:val="Hyperlink"/>
          <w:rFonts w:eastAsia="Times New Roman"/>
          <w:color w:val="auto"/>
          <w:szCs w:val="24"/>
          <w:u w:val="none"/>
          <w:lang w:eastAsia="en-GB"/>
        </w:rPr>
        <w:t>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správu na sídle </w:t>
      </w:r>
      <w:hyperlink r:id="rId6" w:history="1">
        <w:r>
          <w:rPr>
            <w:rStyle w:val="Hyperlink"/>
          </w:rPr>
          <w:t>http://ec.europa.eu/education/sites/education/files/201605-colloquium-report-radicalisation_en.pdf</w:t>
        </w:r>
      </w:hyperlink>
      <w:r>
        <w:rPr>
          <w:rStyle w:val="Hyperlink"/>
        </w:rPr>
        <w:t>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správu na sídle </w:t>
      </w:r>
      <w:hyperlink r:id="rId7" w:history="1">
        <w:r>
          <w:rPr>
            <w:rStyle w:val="Hyperlink"/>
          </w:rPr>
          <w:t>https://ec.europa.eu/education/sites/education/files/flash-report-ety-forum-2016_en.pdf</w:t>
        </w:r>
      </w:hyperlink>
      <w:r>
        <w:rPr>
          <w:rStyle w:val="Hyperlink"/>
          <w:color w:val="auto"/>
          <w:u w:val="none"/>
        </w:rPr>
        <w:t>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správu na sídle </w:t>
      </w:r>
      <w:hyperlink r:id="rId8" w:history="1">
        <w:r>
          <w:rPr>
            <w:rStyle w:val="Hyperlink"/>
          </w:rPr>
          <w:t>https://ec.europa.eu/education/sites/education/files/flash-report-cso-day-2016_en.pdf</w:t>
        </w:r>
      </w:hyperlink>
      <w:r>
        <w:rPr>
          <w:rStyle w:val="Hyperlink"/>
          <w:color w:val="auto"/>
          <w:u w:val="none"/>
        </w:rPr>
        <w:t>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závery na sídle </w:t>
      </w:r>
      <w:hyperlink r:id="rId9" w:history="1">
        <w:r>
          <w:rPr>
            <w:rStyle w:val="Hyperlink"/>
          </w:rPr>
          <w:t>http://ec.europa.eu/justice/events/colloquium-fundamental-rights-2015/files/fundamental_rights_colloquium_conclusions_sk.pdf</w:t>
        </w:r>
      </w:hyperlink>
      <w:r>
        <w:rPr>
          <w:rStyle w:val="Hyperlink"/>
          <w:color w:val="auto"/>
          <w:u w:val="none"/>
        </w:rPr>
        <w:t>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 xml:space="preserve">Pozri hlavné posolstvá z aktivít partnerského učenia o kritickom myslení a mediálnej gramotnosti, sociálnych a občianskych zručnostiach, inkluzívnom vzdelávaní a vzdelávaní učiteľov na sídle </w:t>
      </w:r>
      <w:hyperlink r:id="rId10" w:history="1">
        <w:r>
          <w:rPr>
            <w:rStyle w:val="Hyperlink"/>
          </w:rPr>
          <w:t>http://ec.europa.eu/education/policy/strategic-framework/expert-groups/citizenship-common-values_en</w:t>
        </w:r>
      </w:hyperlink>
      <w:r>
        <w:rPr>
          <w:rStyle w:val="Hyperlink"/>
          <w:color w:val="auto"/>
          <w:u w:val="none"/>
        </w:rPr>
        <w:t>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Táto agentúra je nezávislá organizácia, ktorá pôsobí ako platforma pre spoluprácu ministerstiev vzdelávania členských štátov EÚ. Jej hlavný cieľ je pomáhať im zlepšovať ich vzdelávacie politiky a postupy prostredníctvom informácií založených na dôkazoch a navrhovať vykonávanie inkluzívnych vzdelávacích politík. Agentúra je financovaná z prostriedkov programu Erasmus+ a príspevkov vnútroštátnych ministerstiev. Členmi agentúry je 27 členských štátov, ako aj Island, Nórsko a Švajčiarsko.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1" w:history="1">
        <w:r>
          <w:rPr>
            <w:rStyle w:val="Hyperlink"/>
          </w:rPr>
          <w:t>Politika a postupy pre rovnosť a začleňovanie vo vzdelávaní a prostredníctvom neho: dôkazy a politické usmernenie európskych výskumných projektov financovaných v rámci RP6 a RP7</w:t>
        </w:r>
      </w:hyperlink>
      <w:r>
        <w:t xml:space="preserve"> (2015) </w:t>
      </w:r>
      <w:hyperlink r:id="rId12" w:history="1">
        <w:r>
          <w:rPr>
            <w:rStyle w:val="Hyperlink"/>
          </w:rPr>
          <w:t>http://nesetweb.eu/wp-content/uploads/2015/08/AR1_2015.pdf</w:t>
        </w:r>
      </w:hyperlink>
      <w:r>
        <w:t xml:space="preserve">; </w:t>
      </w:r>
      <w:hyperlink r:id="rId13" w:history="1">
        <w:r>
          <w:rPr>
            <w:rStyle w:val="Hyperlink"/>
          </w:rPr>
          <w:t>Vzdelávacie politiky a postupy na podporu tolerancie, rešpektu rozmanitosti a občianskej zodpovednosti u detí a mladých ľudí v EÚ</w:t>
        </w:r>
      </w:hyperlink>
      <w:r>
        <w:t xml:space="preserve"> (2016) c </w:t>
      </w:r>
      <w:hyperlink r:id="rId14" w:history="1">
        <w:r>
          <w:rPr>
            <w:rStyle w:val="Hyperlink"/>
          </w:rPr>
          <w:t>http://nesetweb.eu/en/library/education-policies-and-practices-to-foster-tolerance-respect-for-diversity-and-civic-responsibility-in-children-and-young-people-in-the-eu/</w:t>
        </w:r>
      </w:hyperlink>
      <w:r>
        <w:t>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5" w:history="1">
        <w:r>
          <w:rPr>
            <w:rStyle w:val="Hyperlink"/>
          </w:rPr>
          <w:t>Ako zamedziť a bojovať proti šikanovaniu a násiliu v školách: dôkazy a postupy pre stratégie pre inkluzívne a bezpečné školy</w:t>
        </w:r>
      </w:hyperlink>
      <w:r>
        <w:rPr>
          <w:color w:val="23151F"/>
        </w:rPr>
        <w:t xml:space="preserve"> (2015), </w:t>
      </w:r>
      <w:hyperlink r:id="rId16" w:history="1">
        <w:r>
          <w:rPr>
            <w:rStyle w:val="Hyperlink"/>
          </w:rPr>
          <w:t>http://nesetweb.eu/wp-content/uploads/2015/08/AR2_2015.pdf</w:t>
        </w:r>
      </w:hyperlink>
      <w:r>
        <w:t>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7" w:history="1">
        <w:r>
          <w:rPr>
            <w:rStyle w:val="Hyperlink"/>
          </w:rPr>
          <w:t>https://ec.europa.eu/commission/sites/beta-political/files/communication-strengthening-european-identity-education-culture_en.pdf</w:t>
        </w:r>
      </w:hyperlink>
      <w:r>
        <w:t xml:space="preserve"> 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>Spoločná správa Rady a Komisie z roku 2015 o vykonávaní strategického rámca pre európsku spoluprácu vo vzdelávaní a odbornej príprave (ET 2020) – Nové priority pre európsku spoluprácu v oblasti vzdelávania a odbornej prípravy (Ú. v. EÚ C 417, 15.12.2015).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8" w:history="1">
        <w:r>
          <w:rPr>
            <w:rStyle w:val="Hyperlink"/>
          </w:rPr>
          <w:t>http://ec.europa.eu/dgs/education_culture/repository/education/news/2015/documents/citizenship-education-declaration_en.pdf</w:t>
        </w:r>
      </w:hyperlink>
      <w:r>
        <w:t xml:space="preserve"> 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9" w:history="1">
        <w:r>
          <w:rPr>
            <w:rStyle w:val="Hyperlink"/>
          </w:rPr>
          <w:t>https://ec.europa.eu/info/sites/info/files/results-citizenship-consultation_en.pdf</w:t>
        </w:r>
      </w:hyperlink>
      <w:r>
        <w:t xml:space="preserve"> 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0" w:history="1">
        <w:r>
          <w:rPr>
            <w:rStyle w:val="Hyperlink"/>
          </w:rPr>
          <w:t>https://webgate.ec.europa.eu/fpfis/mwikis/eurydice/images/6/68/215_EN_Citizenship_2017_N.pdf</w:t>
        </w:r>
      </w:hyperlink>
      <w:r>
        <w:t xml:space="preserve"> 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Rozhodnutie Komisie z 27. júla 2017, ktorým sa zriaďuje expertná skupina Komisie na vysokej úrovni pre oblasť radikalizácie. Ú. v. EÚ C 252/3, 3.8.2017.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1" w:history="1">
        <w:r>
          <w:rPr>
            <w:rStyle w:val="Hyperlink"/>
          </w:rPr>
          <w:t>https://www.oecd.org/pisa/pisa-2015-results-in-focus.pdf</w:t>
        </w:r>
      </w:hyperlink>
      <w:r>
        <w:t xml:space="preserve"> 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22" w:history="1">
        <w:r>
          <w:rPr>
            <w:rStyle w:val="Hyperlink"/>
          </w:rPr>
          <w:t>http://ec.europa.eu/education/policy/strategic-framework/et-monitor_sk</w:t>
        </w:r>
      </w:hyperlink>
    </w:p>
  </w:footnote>
  <w:footnote w:id="3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Štandardný Eurobarometer 81, jar 2014, s. 117, (</w:t>
      </w:r>
      <w:hyperlink r:id="rId23" w:history="1">
        <w:r>
          <w:rPr>
            <w:rStyle w:val="Hyperlink"/>
          </w:rPr>
          <w:t>http://ec.europa.eu/commfrontoffice/publicopinion/archives/eb/eb81/eb81_publ_en.pdf</w:t>
        </w:r>
      </w:hyperlink>
      <w:r>
        <w:t xml:space="preserve">). </w:t>
      </w:r>
    </w:p>
  </w:footnote>
  <w:footnote w:id="36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Štandardný Eurobarometer 75, jar 2011, s. 48, (</w:t>
      </w:r>
      <w:hyperlink r:id="rId24" w:history="1">
        <w:r>
          <w:rPr>
            <w:rStyle w:val="Hyperlink"/>
          </w:rPr>
          <w:t>http://ec.europa.eu/commfrontoffice/publicopinion/archives/eb/eb75/eb75_publ_en.pdf</w:t>
        </w:r>
      </w:hyperlink>
      <w:r>
        <w:t xml:space="preserve">). </w:t>
      </w:r>
    </w:p>
  </w:footnote>
  <w:footnote w:id="37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Štandardný Eurobarometer 75, jar 2011, s. 50, (</w:t>
      </w:r>
      <w:hyperlink r:id="rId25" w:history="1">
        <w:r>
          <w:rPr>
            <w:rStyle w:val="Hyperlink"/>
          </w:rPr>
          <w:t>http://ec.europa.eu/commfrontoffice/publicopinion/archives/eb/eb75/eb75_publ_en.pdf</w:t>
        </w:r>
      </w:hyperlink>
      <w:r>
        <w:t xml:space="preserve">). </w:t>
      </w:r>
    </w:p>
  </w:footnote>
  <w:footnote w:id="38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Osobitný Eurobarometer 467, jeseň 2017, s. 6: „Väčšina respondentov si myslí, že porovnateľná životná úroveň by bola veľmi užitočné pre budúcnosť Európy (52 %), a viac ako jedna tretina (35 %) uvádza porovnateľné vzdelávacie normy“, </w:t>
      </w:r>
      <w:hyperlink r:id="rId26" w:history="1">
        <w:r>
          <w:rPr>
            <w:rStyle w:val="Hyperlink"/>
          </w:rPr>
          <w:t>http://ec.europa.eu/commfrontoffice/publicopinion/index.cfm/Survey/getSurveyDetail/instruments/SPECIAL/surveyKy/2179</w:t>
        </w:r>
      </w:hyperlink>
      <w:r>
        <w:rPr>
          <w:rStyle w:val="Hyperlink"/>
        </w:rPr>
        <w:t>http://ec.europa.eu/commfrontoffice/publicopinion/index.cfm/Survey/getSurveyDetail/instruments/SPECIAL/surveyKy/2179</w:t>
      </w:r>
      <w:r>
        <w:t xml:space="preserve">). 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 xml:space="preserve">Kompetencie pre demokratickú kultúru – Žime spolu ako rovnocenní partneri v kultúrne rozmanitej demokratickej spoločnosti (2016), </w:t>
      </w:r>
      <w:hyperlink r:id="rId27" w:history="1">
        <w:r>
          <w:rPr>
            <w:rStyle w:val="Hyperlink"/>
          </w:rPr>
          <w:t>https://www.coe.int/en/web/education/competences-for-democratic-culture</w:t>
        </w:r>
      </w:hyperlink>
      <w:r>
        <w:t>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Ako sa stanovuje v článku 10 nariadenia (EÚ) č. 1288/2013, ktorým sa zriaďuje „Erasmus +“: program Únie pre vzdelávanie, odbornú prípravu, mládež a šport.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0FAB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C96242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FBA0A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96E6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850B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302A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4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5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9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6"/>
  </w:num>
  <w:num w:numId="23">
    <w:abstractNumId w:val="10"/>
  </w:num>
  <w:num w:numId="24">
    <w:abstractNumId w:val="18"/>
  </w:num>
  <w:num w:numId="25">
    <w:abstractNumId w:val="9"/>
  </w:num>
  <w:num w:numId="26">
    <w:abstractNumId w:val="11"/>
  </w:num>
  <w:num w:numId="27">
    <w:abstractNumId w:val="7"/>
  </w:num>
  <w:num w:numId="28">
    <w:abstractNumId w:val="17"/>
  </w:num>
  <w:num w:numId="29">
    <w:abstractNumId w:val="6"/>
  </w:num>
  <w:num w:numId="30">
    <w:abstractNumId w:val="12"/>
  </w:num>
  <w:num w:numId="31">
    <w:abstractNumId w:val="14"/>
  </w:num>
  <w:num w:numId="32">
    <w:abstractNumId w:val="15"/>
  </w:num>
  <w:num w:numId="33">
    <w:abstractNumId w:val="8"/>
  </w:num>
  <w:num w:numId="34">
    <w:abstractNumId w:val="13"/>
  </w:num>
  <w:num w:numId="35">
    <w:abstractNumId w:val="19"/>
  </w:num>
  <w:num w:numId="36">
    <w:abstractNumId w:val="15"/>
    <w:lvlOverride w:ilvl="0">
      <w:startOverride w:val="1"/>
    </w:lvlOverride>
  </w:num>
  <w:num w:numId="37">
    <w:abstractNumId w:val="16"/>
  </w:num>
  <w:num w:numId="38">
    <w:abstractNumId w:val="10"/>
  </w:num>
  <w:num w:numId="39">
    <w:abstractNumId w:val="18"/>
  </w:num>
  <w:num w:numId="40">
    <w:abstractNumId w:val="9"/>
  </w:num>
  <w:num w:numId="41">
    <w:abstractNumId w:val="11"/>
  </w:num>
  <w:num w:numId="42">
    <w:abstractNumId w:val="7"/>
  </w:num>
  <w:num w:numId="43">
    <w:abstractNumId w:val="17"/>
  </w:num>
  <w:num w:numId="44">
    <w:abstractNumId w:val="6"/>
  </w:num>
  <w:num w:numId="45">
    <w:abstractNumId w:val="12"/>
  </w:num>
  <w:num w:numId="46">
    <w:abstractNumId w:val="14"/>
  </w:num>
  <w:num w:numId="47">
    <w:abstractNumId w:val="15"/>
  </w:num>
  <w:num w:numId="48">
    <w:abstractNumId w:val="8"/>
  </w:num>
  <w:num w:numId="49">
    <w:abstractNumId w:val="13"/>
  </w:num>
  <w:num w:numId="5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19 14:47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4A61485-A7A1-45C1-A259-3633E1F4C720"/>
    <w:docVar w:name="LW_COVERPAGE_TYPE" w:val="1"/>
    <w:docVar w:name="LW_CROSSREFERENCE" w:val="{SWD(2018) 13 final}"/>
    <w:docVar w:name="LW_DocType" w:val="COM"/>
    <w:docVar w:name="LW_EMISSION" w:val="17. 1. 2018"/>
    <w:docVar w:name="LW_EMISSION_ISODATE" w:val="2018-01-17"/>
    <w:docVar w:name="LW_EMISSION_LOCATION" w:val="BRX"/>
    <w:docVar w:name="LW_EMISSION_PREFIX" w:val="V Bruseli"/>
    <w:docVar w:name="LW_EMISSION_SUFFIX" w:val="&lt;EMPTY&gt;"/>
    <w:docVar w:name="LW_ID_DOCMODEL" w:val="SJ-022"/>
    <w:docVar w:name="LW_ID_DOCSIGNATURE" w:val="SJ-022"/>
    <w:docVar w:name="LW_ID_DOCSTRUCTURE" w:val="COM/PL/ORG"/>
    <w:docVar w:name="LW_ID_DOCTYPE" w:val="SJ-022"/>
    <w:docVar w:name="LW_ID_EXP.MOTIFS.NEW" w:val="EM_PL_"/>
    <w:docVar w:name="LW_ID_STATUT" w:val="SJ-022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7"/>
    <w:docVar w:name="LW_REF.II.NEW.CP_YEAR" w:val="2018"/>
    <w:docVar w:name="LW_REF.INST.NEW" w:val="COM"/>
    <w:docVar w:name="LW_REF.INST.NEW_ADOPTED" w:val="final"/>
    <w:docVar w:name="LW_REF.INST.NEW_TEXT" w:val="(2018) 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podpore spolo\u269?ných hodnôt, inkluzívneho vzdelávania a európskeho rozmeru výu\u269?by"/>
    <w:docVar w:name="LW_TYPE.DOC.CP" w:val="ODPORÚ\u268?A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2">
    <w:name w:val="A2"/>
    <w:uiPriority w:val="99"/>
    <w:rPr>
      <w:rFonts w:cs="EC Square Sans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  <w:jc w:val="left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Pr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2">
    <w:name w:val="A2"/>
    <w:uiPriority w:val="99"/>
    <w:rPr>
      <w:rFonts w:cs="EC Square Sans Pro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p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52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88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2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c.europa.eu/commission/sites/beta-political/files/white_paper_on_the_future_of_europe_en.pdf" TargetMode="External"/><Relationship Id="rId26" Type="http://schemas.openxmlformats.org/officeDocument/2006/relationships/hyperlink" Target="file:///\\net1.cec.eu.int\EAC\A\A1\_From%20old%20A1%20to%20new%20A1\Post-Paris\Recommendation%20Social%20Inclusion%20and%20Common%20Values\Draft%20Outline\Commission%20Communication%20of%207%20June%202016:%20Ak%C4%8Dn%C3%BD%20pl%C3%A1n%20pre%20integr%C3%A1ciu%20%C5%A1t%C3%A1tnych%20pr%C3%ADslu%C5%A1n%C3%ADkov%20tret%C3%ADch%20kraj%C3%ADn%20COM(2016)%20377.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ec.europa.eu/dgs/education_culture/repository/education/documents/et-2020-draft-joint-report-408-2015_en.pdf" TargetMode="External"/><Relationship Id="rId34" Type="http://schemas.openxmlformats.org/officeDocument/2006/relationships/hyperlink" Target="https://www.european-agency.org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onsilium.europa.eu/sk/press/press-releases/2017/03/25/rome-declaration/" TargetMode="External"/><Relationship Id="rId25" Type="http://schemas.openxmlformats.org/officeDocument/2006/relationships/hyperlink" Target="https://ec.europa.eu/culture/european-year-cultural-heritage-2018_en" TargetMode="External"/><Relationship Id="rId33" Type="http://schemas.openxmlformats.org/officeDocument/2006/relationships/hyperlink" Target="https://ec.europa.eu/info/sites/info/files/results-citizenship-consultation_en.pdf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ec.europa.eu/dgs/education_culture/repository/education/news/2015/documents/citizenship-education-declaration_en.pdf" TargetMode="External"/><Relationship Id="rId20" Type="http://schemas.openxmlformats.org/officeDocument/2006/relationships/hyperlink" Target="https://ec.europa.eu/commission/sites/beta-political/files/communication-strengthening-european-identity-education-culture_en.pdf" TargetMode="External"/><Relationship Id="rId29" Type="http://schemas.openxmlformats.org/officeDocument/2006/relationships/hyperlink" Target="http://data.consilium.europa.eu/doc/document/ST-5741-2017-INIT/sk/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data.consilium.europa.eu/doc/document/ST-8033-2017-INIT/sk/pdf" TargetMode="External"/><Relationship Id="rId32" Type="http://schemas.openxmlformats.org/officeDocument/2006/relationships/hyperlink" Target="http://eur-lex.europa.eu/legal-content/SK/ALL/?uri=COM:2017:0250:FIN" TargetMode="External"/><Relationship Id="rId37" Type="http://schemas.openxmlformats.org/officeDocument/2006/relationships/hyperlink" Target="https://ec.europa.eu/education/sites/education/files/monitor2017_e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data.consilium.europa.eu/doc/document/ST-9641-2016-INIT/sk/pdf" TargetMode="External"/><Relationship Id="rId28" Type="http://schemas.openxmlformats.org/officeDocument/2006/relationships/hyperlink" Target="http://data.consilium.europa.eu/doc/document/ST-14294-2016-INIT/sk/pdf" TargetMode="External"/><Relationship Id="rId36" Type="http://schemas.openxmlformats.org/officeDocument/2006/relationships/hyperlink" Target="https://webgate.ec.europa.eu/fpfis/mwikis/eurydice/images/9/97/Citizenship_Study_EN_2017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c.europa.eu/commission/publications/reflection-paper-harnessing-globalisation_sk" TargetMode="External"/><Relationship Id="rId31" Type="http://schemas.openxmlformats.org/officeDocument/2006/relationships/hyperlink" Target="https://rm.coe.int/16806ccc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eur-lex.europa.eu/legal-content/SK/ALL/?uri=CELEX:32013H0112" TargetMode="External"/><Relationship Id="rId27" Type="http://schemas.openxmlformats.org/officeDocument/2006/relationships/hyperlink" Target="http://eur-lex.europa.eu/legal-content/SK/ALL/?uri=COM:2017:211:FIN" TargetMode="External"/><Relationship Id="rId30" Type="http://schemas.openxmlformats.org/officeDocument/2006/relationships/hyperlink" Target="https://europa.eu/youth/solidarity_sk" TargetMode="External"/><Relationship Id="rId35" Type="http://schemas.openxmlformats.org/officeDocument/2006/relationships/hyperlink" Target="http://fra.europa.eu/en/about-fra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ducation/sites/education/files/flash-report-cso-day-2016_en.pdf" TargetMode="External"/><Relationship Id="rId13" Type="http://schemas.openxmlformats.org/officeDocument/2006/relationships/hyperlink" Target="file:///C:\Users\Liebeth\Downloads\Education%20and%20training%20systems%20that%20uphold%20high%20standards%20of%20quality%20for%20all,%20foster%20personalised,%20inclusive%20approaches,%20support%20early%20intervention,%20and%20target%20disadvantaged%20learners,%20can%20be%20powerful%20drivers%20of%20social%20inclusion;" TargetMode="External"/><Relationship Id="rId18" Type="http://schemas.openxmlformats.org/officeDocument/2006/relationships/hyperlink" Target="http://ec.europa.eu/dgs/education_culture/repository/education/news/2015/documents/citizenship-education-declaration_en.pdf" TargetMode="External"/><Relationship Id="rId26" Type="http://schemas.openxmlformats.org/officeDocument/2006/relationships/hyperlink" Target="http://ec.europa.eu/commfrontoffice/publicopinion/index.cfm/Survey/getSurveyDetail/instruments/SPECIAL/surveyKy/2179" TargetMode="External"/><Relationship Id="rId3" Type="http://schemas.openxmlformats.org/officeDocument/2006/relationships/hyperlink" Target="https://ec.europa.eu/commission/publications/reflection-paper-harnessing-globalisation_sk" TargetMode="External"/><Relationship Id="rId21" Type="http://schemas.openxmlformats.org/officeDocument/2006/relationships/hyperlink" Target="https://www.oecd.org/pisa/pisa-2015-results-in-focus.pdf" TargetMode="External"/><Relationship Id="rId7" Type="http://schemas.openxmlformats.org/officeDocument/2006/relationships/hyperlink" Target="https://ec.europa.eu/education/sites/education/files/flash-report-ety-forum-2016_en.pdf" TargetMode="External"/><Relationship Id="rId12" Type="http://schemas.openxmlformats.org/officeDocument/2006/relationships/hyperlink" Target="http://nesetweb.eu/wp-content/uploads/2015/08/AR1_2015.pdf" TargetMode="External"/><Relationship Id="rId17" Type="http://schemas.openxmlformats.org/officeDocument/2006/relationships/hyperlink" Target="https://ec.europa.eu/commission/sites/beta-political/files/communication-strengthening-european-identity-education-culture_en.pdf" TargetMode="External"/><Relationship Id="rId25" Type="http://schemas.openxmlformats.org/officeDocument/2006/relationships/hyperlink" Target="http://ec.europa.eu/commfrontoffice/publicopinion/archives/eb/eb75/eb75_publ_en.pdf" TargetMode="External"/><Relationship Id="rId2" Type="http://schemas.openxmlformats.org/officeDocument/2006/relationships/hyperlink" Target="http://ec.europa.eu/education/news/20150316-paris-education_en" TargetMode="External"/><Relationship Id="rId16" Type="http://schemas.openxmlformats.org/officeDocument/2006/relationships/hyperlink" Target="http://nesetweb.eu/wp-content/uploads/2015/08/AR2_2015.pdf" TargetMode="External"/><Relationship Id="rId20" Type="http://schemas.openxmlformats.org/officeDocument/2006/relationships/hyperlink" Target="https://webgate.ec.europa.eu/fpfis/mwikis/eurydice/images/6/68/215_EN_Citizenship_2017_N.pdf" TargetMode="External"/><Relationship Id="rId1" Type="http://schemas.openxmlformats.org/officeDocument/2006/relationships/hyperlink" Target="https://ec.europa.eu/commission/state-union-2017_sk" TargetMode="External"/><Relationship Id="rId6" Type="http://schemas.openxmlformats.org/officeDocument/2006/relationships/hyperlink" Target="http://ec.europa.eu/education/sites/education/files/201605-colloquium-report-radicalisation_en.pdf" TargetMode="External"/><Relationship Id="rId11" Type="http://schemas.openxmlformats.org/officeDocument/2006/relationships/hyperlink" Target="http://nesetweb.eu/wp-content/uploads/2015/08/AR1_2015.pdf" TargetMode="External"/><Relationship Id="rId24" Type="http://schemas.openxmlformats.org/officeDocument/2006/relationships/hyperlink" Target="http://ec.europa.eu/commfrontoffice/publicopinion/archives/eb/eb75/eb75_publ_en.pdf" TargetMode="External"/><Relationship Id="rId5" Type="http://schemas.openxmlformats.org/officeDocument/2006/relationships/hyperlink" Target="http://ec.europa.eu/information_society/newsroom/image/document/2016-50/2016-fundamental-colloquium-conclusions_40602.pdf" TargetMode="External"/><Relationship Id="rId15" Type="http://schemas.openxmlformats.org/officeDocument/2006/relationships/hyperlink" Target="Ako%20zamedzi&#357;%20a%20bojova&#357;%20proti%20&#353;ikanovaniu%20a%20n&#225;siliu%20v%20&#353;kol&#225;ch:%20d&#244;kazy%20a%20postupy%20pre%20strat&#233;gie%20pre&#160;inkluz&#237;vne%20a%20bezpe&#269;n&#233;%20&#353;koly" TargetMode="External"/><Relationship Id="rId23" Type="http://schemas.openxmlformats.org/officeDocument/2006/relationships/hyperlink" Target="http://ec.europa.eu/commfrontoffice/publicopinion/archives/eb/eb81/eb81_publ_en.pdf" TargetMode="External"/><Relationship Id="rId10" Type="http://schemas.openxmlformats.org/officeDocument/2006/relationships/hyperlink" Target="http://ec.europa.eu/education/policy/strategic-framework/expert-groups/citizenship-common-values_en" TargetMode="External"/><Relationship Id="rId19" Type="http://schemas.openxmlformats.org/officeDocument/2006/relationships/hyperlink" Target="https://ec.europa.eu/info/sites/info/files/results-citizenship-consultation_en.pdf" TargetMode="External"/><Relationship Id="rId4" Type="http://schemas.openxmlformats.org/officeDocument/2006/relationships/hyperlink" Target="http://ec.europa.eu/education/events/20151109-jean-monnet-conference_sk" TargetMode="External"/><Relationship Id="rId9" Type="http://schemas.openxmlformats.org/officeDocument/2006/relationships/hyperlink" Target="http://ec.europa.eu/justice/events/colloquium-fundamental-rights-2015/files/fundamental_rights_colloquium_conclusions_sk.pdf" TargetMode="External"/><Relationship Id="rId14" Type="http://schemas.openxmlformats.org/officeDocument/2006/relationships/hyperlink" Target="http://nesetweb.eu/en/library/education-policies-and-practices-to-foster-tolerance-respect-for-diversity-and-civic-responsibility-in-children-and-young-people-in-the-eu/" TargetMode="External"/><Relationship Id="rId22" Type="http://schemas.openxmlformats.org/officeDocument/2006/relationships/hyperlink" Target="http://ec.europa.eu/education/policy/strategic-framework/et-monitor_sk." TargetMode="External"/><Relationship Id="rId27" Type="http://schemas.openxmlformats.org/officeDocument/2006/relationships/hyperlink" Target="https://www.coe.int/en/web/education/competences-for-democratic-cul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3F58-8E20-4A13-871F-B51A132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20</Pages>
  <Words>6295</Words>
  <Characters>40163</Characters>
  <Application>Microsoft Office Word</Application>
  <DocSecurity>0</DocSecurity>
  <Lines>680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2018-01-04T11:24:00Z</cp:lastPrinted>
  <dcterms:created xsi:type="dcterms:W3CDTF">2018-01-19T09:29:00Z</dcterms:created>
  <dcterms:modified xsi:type="dcterms:W3CDTF">2018-01-19T13:47:00Z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SJ-022</vt:lpwstr>
  </property>
  <property fmtid="{D5CDD505-2E9C-101B-9397-08002B2CF9AE}" pid="10" name="DQCStatus">
    <vt:lpwstr>Green (DQC version 03)</vt:lpwstr>
  </property>
</Properties>
</file>