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08" w:rsidRDefault="007D074F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5C6BCD2-A187-4230-A34D-559BF2D968F5" style="width:450pt;height:348pt">
            <v:imagedata r:id="rId9" o:title=""/>
          </v:shape>
        </w:pict>
      </w:r>
    </w:p>
    <w:bookmarkEnd w:id="0"/>
    <w:p w:rsidR="00486A08" w:rsidRDefault="00486A08">
      <w:pPr>
        <w:pStyle w:val="Pagedecouverture"/>
        <w:rPr>
          <w:noProof/>
        </w:rPr>
        <w:sectPr w:rsidR="00486A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86A08" w:rsidRDefault="007D074F">
      <w:pPr>
        <w:pStyle w:val="Heading1"/>
        <w:rPr>
          <w:rFonts w:cs="Times New Roman"/>
          <w:noProof/>
          <w:szCs w:val="24"/>
        </w:rPr>
      </w:pPr>
      <w:r>
        <w:rPr>
          <w:noProof/>
        </w:rPr>
        <w:lastRenderedPageBreak/>
        <w:t>Bevezetés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A </w:t>
      </w:r>
      <w:r>
        <w:rPr>
          <w:b/>
          <w:noProof/>
        </w:rPr>
        <w:t>körforgásos gazdaságra</w:t>
      </w:r>
      <w:r>
        <w:rPr>
          <w:noProof/>
        </w:rPr>
        <w:t xml:space="preserve"> való átállás óriási </w:t>
      </w:r>
      <w:r>
        <w:rPr>
          <w:b/>
          <w:noProof/>
        </w:rPr>
        <w:t>lehetőséget</w:t>
      </w:r>
      <w:r>
        <w:rPr>
          <w:noProof/>
        </w:rPr>
        <w:t xml:space="preserve"> kínál gazdaságunk átalakítására és </w:t>
      </w:r>
      <w:r>
        <w:rPr>
          <w:b/>
          <w:noProof/>
        </w:rPr>
        <w:t>fenntarthatóságának</w:t>
      </w:r>
      <w:r>
        <w:rPr>
          <w:noProof/>
        </w:rPr>
        <w:t xml:space="preserve"> javítására, hozzájárulhat az éghajlat-politikai célkitűzések megvalósításához, </w:t>
      </w:r>
      <w:r>
        <w:rPr>
          <w:b/>
          <w:noProof/>
        </w:rPr>
        <w:t>a világ erőforrásainak megőrzéséhez</w:t>
      </w:r>
      <w:r>
        <w:rPr>
          <w:noProof/>
        </w:rPr>
        <w:t xml:space="preserve">, a </w:t>
      </w:r>
      <w:r>
        <w:rPr>
          <w:b/>
          <w:noProof/>
        </w:rPr>
        <w:t>helyi szintű munkahelyteremtéshez</w:t>
      </w:r>
      <w:r>
        <w:rPr>
          <w:noProof/>
        </w:rPr>
        <w:t xml:space="preserve">, továbbá </w:t>
      </w:r>
      <w:r>
        <w:rPr>
          <w:b/>
          <w:noProof/>
        </w:rPr>
        <w:t>versenyelőnyhöz</w:t>
      </w:r>
      <w:r>
        <w:rPr>
          <w:noProof/>
        </w:rPr>
        <w:t xml:space="preserve"> juttathatja Európát világunkban, ahol jelenleg </w:t>
      </w:r>
      <w:r>
        <w:rPr>
          <w:b/>
          <w:noProof/>
        </w:rPr>
        <w:t>mélyreható változások</w:t>
      </w:r>
      <w:r>
        <w:rPr>
          <w:noProof/>
        </w:rPr>
        <w:t xml:space="preserve"> mennek vé</w:t>
      </w:r>
      <w:r>
        <w:rPr>
          <w:noProof/>
        </w:rPr>
        <w:t>gbe. A körforgásos gazdaság jelentőségét az európai ipar szempontjából nemrégiben az EU megújított iparpolitikai stratégiája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is kiemelte. A körforgásos gazdaságra való áttérés hozzájárul a 2030-ig tartó időszakra vonatkozó fenntartható fejlesztési menetre</w:t>
      </w:r>
      <w:r>
        <w:rPr>
          <w:noProof/>
        </w:rPr>
        <w:t>nd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célkitűzéseinek eléréséhez is.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körforgásos gazdaságra vonatkozó cselekvési terv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szerint a körforgásos gazdaság olyan gazdaság, </w:t>
      </w:r>
      <w:r>
        <w:rPr>
          <w:i/>
          <w:noProof/>
        </w:rPr>
        <w:t>amelyben a termékek, az anyagok és az erőforrások a lehető leghosszabb ideig megőrzik érté</w:t>
      </w:r>
      <w:bookmarkStart w:id="1" w:name="_GoBack"/>
      <w:bookmarkEnd w:id="1"/>
      <w:r>
        <w:rPr>
          <w:i/>
          <w:noProof/>
        </w:rPr>
        <w:t xml:space="preserve">küket, és minimálisra csökken a </w:t>
      </w:r>
      <w:r>
        <w:rPr>
          <w:i/>
          <w:noProof/>
        </w:rPr>
        <w:t>hulladékkeletkezés</w:t>
      </w:r>
      <w:r>
        <w:rPr>
          <w:noProof/>
        </w:rPr>
        <w:t>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A körforgásos gazdaságra való áttérés során a legfontosabb tendenciák és minták nyomon követése kulcsfontosságú annak </w:t>
      </w:r>
      <w:r>
        <w:rPr>
          <w:b/>
          <w:noProof/>
        </w:rPr>
        <w:t>megértéséhez</w:t>
      </w:r>
      <w:r>
        <w:rPr>
          <w:noProof/>
        </w:rPr>
        <w:t xml:space="preserve">, hogy a körforgásos gazdaság különböző elemei idővel hogyan fejlődnek, hogy segítséget lehessen nyújtani </w:t>
      </w:r>
      <w:r>
        <w:rPr>
          <w:noProof/>
        </w:rPr>
        <w:t xml:space="preserve">a tagállamoknak a </w:t>
      </w:r>
      <w:r>
        <w:rPr>
          <w:b/>
          <w:noProof/>
        </w:rPr>
        <w:t>sikertényezők azonosításához</w:t>
      </w:r>
      <w:r>
        <w:rPr>
          <w:noProof/>
        </w:rPr>
        <w:t xml:space="preserve">, valamint annak </w:t>
      </w:r>
      <w:r>
        <w:rPr>
          <w:b/>
          <w:noProof/>
        </w:rPr>
        <w:t>értékeléséhez</w:t>
      </w:r>
      <w:r>
        <w:rPr>
          <w:noProof/>
        </w:rPr>
        <w:t xml:space="preserve">, hogy megfelelő intézkedéseket hozott-e. A nyomon követés eredményei alapján </w:t>
      </w:r>
      <w:r>
        <w:rPr>
          <w:b/>
          <w:noProof/>
        </w:rPr>
        <w:t>új prioritásokat kell meghatározni a körforgásos gazdaság hosszú távú célkitűzésének eléréséhez</w:t>
      </w:r>
      <w:r>
        <w:rPr>
          <w:noProof/>
        </w:rPr>
        <w:t>. Nemcs</w:t>
      </w:r>
      <w:r>
        <w:rPr>
          <w:noProof/>
        </w:rPr>
        <w:t xml:space="preserve">ak a politikai döntéshozók számára relevánsak, mindenkit inspirálniuk kell, és új fellépésekre kell ösztönözniük. 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Bizottság ezért a körforgásos gazdaságra vonatkozó cselekvési tervben vállalta, hogy egyszerű és hatékony nyomonkövetési keretrendszert ter</w:t>
      </w:r>
      <w:r>
        <w:rPr>
          <w:noProof/>
        </w:rPr>
        <w:t>jeszt elő.  Ezt a Tanács is megerősítette a körforgásos gazdaságra vonatkozó cselekvési tervről szóló következtetéseiben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amelyekben hangsúlyozta, hogy </w:t>
      </w:r>
      <w:r>
        <w:rPr>
          <w:i/>
          <w:noProof/>
        </w:rPr>
        <w:t>a körforgásos gazdaság irányába tett lépések megerősítéséhez és értékeléséhez szükség van egy nyomonköv</w:t>
      </w:r>
      <w:r>
        <w:rPr>
          <w:i/>
          <w:noProof/>
        </w:rPr>
        <w:t>etési keretrendszerre, az adminisztratív teher lehető legkisebbre csökkentése mellett</w:t>
      </w:r>
      <w:r>
        <w:rPr>
          <w:noProof/>
        </w:rPr>
        <w:t>. Az Európai Parlament továbbá felkérte a Bizottságot, hogy a körforgásos gazdaság felé való haladás nyomon követése érdekében dolgozzon ki az erőforrás-hatékonyságra vona</w:t>
      </w:r>
      <w:r>
        <w:rPr>
          <w:noProof/>
        </w:rPr>
        <w:t>tkozó mutatókat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E kötelezettség teljesítéseként e közlemény a körforgásos gazdaság főbb elemeite irányuló kulcsfontosságú, érdemi mutatókból álló nyomonkövetési keretrendszert terjeszt elő. 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körforgásos gazdaság nyomonkövetési keretrendszere a Bizottsá</w:t>
      </w:r>
      <w:r>
        <w:rPr>
          <w:noProof/>
        </w:rPr>
        <w:t>g által az utóbbi években kidolgozott erőforrás-hatékonysági eredménytáblán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és nyersanyag-eredménytáblán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alapul és </w:t>
      </w:r>
      <w:r>
        <w:rPr>
          <w:noProof/>
        </w:rPr>
        <w:lastRenderedPageBreak/>
        <w:t xml:space="preserve">kiegészíti azokat. A keretrendszer egy olyan </w:t>
      </w:r>
      <w:r>
        <w:rPr>
          <w:b/>
          <w:noProof/>
        </w:rPr>
        <w:t>weboldalon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jelenik meg, ahol az összes mutató elérhető és naprakész lesz.</w:t>
      </w:r>
    </w:p>
    <w:p w:rsidR="00486A08" w:rsidRDefault="007D074F">
      <w:pPr>
        <w:pStyle w:val="Heading1"/>
        <w:rPr>
          <w:rFonts w:cs="Times New Roman"/>
          <w:noProof/>
          <w:szCs w:val="24"/>
        </w:rPr>
      </w:pPr>
      <w:r>
        <w:rPr>
          <w:noProof/>
        </w:rPr>
        <w:t xml:space="preserve">A körforgásos </w:t>
      </w:r>
      <w:r>
        <w:rPr>
          <w:noProof/>
        </w:rPr>
        <w:t>gazdaság felé tett előrehaladás nyomon követése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körforgásos gazdaság felé tett előrehaladás nyomon követése nem könnyű feladat. A körforgásos gazdaságra való átállás nem korlátozódhat bizonyos anyagokra vagy ágazatokra. Olyan rendszerszintű változásról v</w:t>
      </w:r>
      <w:r>
        <w:rPr>
          <w:noProof/>
        </w:rPr>
        <w:t>an szó, amely az egész gazdaságot érinti, és kiterjed valamennyi termékre és szolgáltatásra. Ideális esetben a mutatóknak elsősorban a termékek, az anyagok és az erőforrások gazdasági értékének megőrzésével kapcsolatos tendenciákat, valamint a hulladékkele</w:t>
      </w:r>
      <w:r>
        <w:rPr>
          <w:noProof/>
        </w:rPr>
        <w:t>tkezés tendenciáit kell megragadniuk.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Ahogy nem létezik általánosan elfogadott mutató a „körforgásos jelleg” tekintetében, a legfontosabb tendenciákat illusztráló, megbízható, azonnal használható mutatók is csak szűkösen állnak rendelkezésre. Egyetlen méré</w:t>
      </w:r>
      <w:r>
        <w:rPr>
          <w:noProof/>
        </w:rPr>
        <w:t>sel vagy pontszámmal nem lehetne megfelelően visszaadni a körforgásos gazdaságra való átállás összetettségét és számos aspektusát, ezért a nyomonkövetési keretrendszerben egy sor releváns mutató kerül kidolgozásra.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4286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A körforgásos gazdaságot vizsgálhatjuk </w:t>
      </w:r>
      <w:r>
        <w:rPr>
          <w:noProof/>
        </w:rPr>
        <w:t>abból a szempontból, hogy az anyagok hogyan lépnek be a gazdaságba, hogyan áramlanak a gazdaságon belül, és (végül) milyen módon hagyják el azt. Ilyen vizuális áttekintést egy anyagáramlási diagram nyújthat, amely az összes nyersanyagot – aggregált, illetv</w:t>
      </w:r>
      <w:r>
        <w:rPr>
          <w:noProof/>
        </w:rPr>
        <w:t>e anyagkategóriákba sorolt módon is – ábrázolja a gazdaság minden területén, a kitermeléstől kezdve a hulladékká válásig.</w:t>
      </w:r>
    </w:p>
    <w:p w:rsidR="00486A08" w:rsidRDefault="007D074F">
      <w:pPr>
        <w:pStyle w:val="Figurecaption"/>
        <w:spacing w:after="240"/>
        <w:rPr>
          <w:rFonts w:cs="Times New Roman"/>
          <w:i/>
          <w:noProof/>
          <w:sz w:val="24"/>
          <w:szCs w:val="24"/>
        </w:rPr>
      </w:pPr>
      <w:r>
        <w:rPr>
          <w:i/>
          <w:noProof/>
          <w:sz w:val="24"/>
        </w:rPr>
        <w:lastRenderedPageBreak/>
        <w:t>1. ábra: A gazdaságon belüli anyagáramlások (EU-28, 2014)</w:t>
      </w:r>
      <w:r>
        <w:rPr>
          <w:rStyle w:val="FootnoteReference"/>
          <w:i/>
          <w:noProof/>
        </w:rPr>
        <w:footnoteReference w:id="9"/>
      </w:r>
      <w:r>
        <w:rPr>
          <w:i/>
          <w:noProof/>
          <w:sz w:val="24"/>
          <w:vertAlign w:val="superscript"/>
        </w:rPr>
        <w:t xml:space="preserve">, </w:t>
      </w:r>
      <w:r>
        <w:rPr>
          <w:rStyle w:val="FootnoteReference"/>
          <w:i/>
          <w:noProof/>
        </w:rPr>
        <w:footnoteReference w:id="10"/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b/>
          <w:noProof/>
        </w:rPr>
        <w:t>Az 1. ábra a 2014-ben az Unióban végbement anyagáramlásokról nyújt áttek</w:t>
      </w:r>
      <w:r>
        <w:rPr>
          <w:b/>
          <w:noProof/>
        </w:rPr>
        <w:t>intést</w:t>
      </w:r>
      <w:r>
        <w:rPr>
          <w:noProof/>
        </w:rPr>
        <w:t>. Balra a bemeneti oldalon azt mutatja, hogy az EU-ban évente 8 milliárd tonna anyagból állítanak előenergiát vagy termékeket. Ebből mindössze 0,6 milliárd tonna származik újrahasznosításból. A kimeneti oldalon azt láthatjuk, hogy a keletkező 2,2 mil</w:t>
      </w:r>
      <w:r>
        <w:rPr>
          <w:noProof/>
        </w:rPr>
        <w:t xml:space="preserve">liárd tonna hulladékból csupán 0,6 milliárd tonna hulladék kerül be újra a rendszerbe újrafeldolgozott anyagként. A maradék 1,5 milliárd tonnát kitevő többi anyag hulladék. Mindebből kitűnik, hogy a helyzet </w:t>
      </w:r>
      <w:r>
        <w:rPr>
          <w:b/>
          <w:noProof/>
        </w:rPr>
        <w:t>nagymértékben javításra szorul</w:t>
      </w:r>
      <w:r>
        <w:rPr>
          <w:noProof/>
        </w:rPr>
        <w:t>, mégpedig a másodl</w:t>
      </w:r>
      <w:r>
        <w:rPr>
          <w:noProof/>
        </w:rPr>
        <w:t>agos nyersanyagként hasznosított anyagok arányának növelése és a hulladéktermelés csökkentése révén.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nyomonkövetési keretrendszer célja a körforgásos gazdaság felé való haladás mérése oly módon, hogy az kiterjedjen annak különböző dimenzióira az erőforrá</w:t>
      </w:r>
      <w:r>
        <w:rPr>
          <w:noProof/>
        </w:rPr>
        <w:t xml:space="preserve">sok, termékek és szolgáltatások életciklusának minden szakaszában. Ezért a nyomonkövetési keretrendszer </w:t>
      </w:r>
      <w:r>
        <w:rPr>
          <w:b/>
          <w:noProof/>
        </w:rPr>
        <w:t>tíz mutatóból</w:t>
      </w:r>
      <w:r>
        <w:rPr>
          <w:noProof/>
        </w:rPr>
        <w:t xml:space="preserve"> áll (lásd: 1. táblázat), amelyek a </w:t>
      </w:r>
      <w:r>
        <w:rPr>
          <w:b/>
          <w:noProof/>
        </w:rPr>
        <w:t>körforgásos gazdaság négy szakasza, illetve szempontja</w:t>
      </w:r>
      <w:r>
        <w:rPr>
          <w:noProof/>
        </w:rPr>
        <w:t xml:space="preserve"> szerint csoportosíthatók: (1) termelés és fogyas</w:t>
      </w:r>
      <w:r>
        <w:rPr>
          <w:noProof/>
        </w:rPr>
        <w:t>ztás, (2) hulladékgazdálkodás, (3) másodlagos nyersanyagok és (4) versenyképesség és innováció. Ez nagyjából követi a körforgásos gazdaságra vonatkozó cselekvési terv logikáját és szerkezetét.</w:t>
      </w:r>
    </w:p>
    <w:p w:rsidR="00486A08" w:rsidRDefault="007D074F">
      <w:pPr>
        <w:rPr>
          <w:rFonts w:cs="Times New Roman"/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36630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87"/>
        <w:gridCol w:w="1988"/>
        <w:gridCol w:w="3255"/>
        <w:gridCol w:w="3250"/>
      </w:tblGrid>
      <w:tr w:rsidR="00486A08">
        <w:trPr>
          <w:cantSplit/>
        </w:trPr>
        <w:tc>
          <w:tcPr>
            <w:tcW w:w="591" w:type="dxa"/>
            <w:shd w:val="clear" w:color="auto" w:fill="C4BC96" w:themeFill="background2" w:themeFillShade="BF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lastRenderedPageBreak/>
              <w:t xml:space="preserve">Szám </w:t>
            </w:r>
          </w:p>
        </w:tc>
        <w:tc>
          <w:tcPr>
            <w:tcW w:w="1995" w:type="dxa"/>
            <w:shd w:val="clear" w:color="auto" w:fill="C4BC96" w:themeFill="background2" w:themeFillShade="BF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Megnevezés</w:t>
            </w:r>
          </w:p>
        </w:tc>
        <w:tc>
          <w:tcPr>
            <w:tcW w:w="3297" w:type="dxa"/>
            <w:shd w:val="clear" w:color="auto" w:fill="C4BC96" w:themeFill="background2" w:themeFillShade="BF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Relevancia</w:t>
            </w:r>
          </w:p>
        </w:tc>
        <w:tc>
          <w:tcPr>
            <w:tcW w:w="3297" w:type="dxa"/>
            <w:shd w:val="clear" w:color="auto" w:fill="C4BC96" w:themeFill="background2" w:themeFillShade="BF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Uniós eszközök (példák)</w:t>
            </w:r>
          </w:p>
        </w:tc>
      </w:tr>
      <w:tr w:rsidR="00486A08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Termelé</w:t>
            </w:r>
            <w:r>
              <w:rPr>
                <w:rFonts w:ascii="EC Square Sans Cond Pro" w:hAnsi="EC Square Sans Cond Pro"/>
                <w:b/>
                <w:noProof/>
                <w:sz w:val="22"/>
              </w:rPr>
              <w:t>s és fogyasztás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1.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Az EU önellátó képessége a nyersanyagok tekintetében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körforgásos gazdaságnak elő kell segítenie a nyersanyagokkal, különösen a kritikus fontosságú nyersanyagokkal kapcsolatos ellátási kockázatok kezelését.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Nyersanyag-politikai </w:t>
            </w:r>
            <w:r>
              <w:rPr>
                <w:rFonts w:ascii="EC Square Sans Cond Pro" w:hAnsi="EC Square Sans Cond Pro"/>
                <w:noProof/>
                <w:sz w:val="22"/>
              </w:rPr>
              <w:t>kezdeményezés; Az erőforrás-hatékony Európa megvalósításának ütemterve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2.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Zöld közbeszerzés*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közbeszerzés a fogyasztásban jelentős arányt képvisel, és a körforgásos gazdaság hajtómotorja lehet.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Közbeszerzési stratégia; A zöld közbeszerzésre vonatkozó un</w:t>
            </w:r>
            <w:r>
              <w:rPr>
                <w:rFonts w:ascii="EC Square Sans Cond Pro" w:hAnsi="EC Square Sans Cond Pro"/>
                <w:noProof/>
                <w:sz w:val="22"/>
              </w:rPr>
              <w:t>iós támogatási rendszerek és önkéntes kritériumok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3a-c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Hulladékkeletkezés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körforgásos gazdaságban a hulladékkeletkezés minimálisra csökken.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hulladékokról szóló keretirányelv; konkrét hulladékáramokra vonatkozó irányelvek A műanyagokkal kapcsolatos str</w:t>
            </w:r>
            <w:r>
              <w:rPr>
                <w:rFonts w:ascii="EC Square Sans Cond Pro" w:hAnsi="EC Square Sans Cond Pro"/>
                <w:noProof/>
                <w:sz w:val="22"/>
              </w:rPr>
              <w:t>atégia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4.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Élelmiszer-hulladék*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Az élelmiszerek kidobása negatív környezeti, éghajlati és gazdasági hatásokkal jár.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Az élelmiszerjog általános elveiről szóló rendelet; A hulladékokról szóló keretirányelv; különböző kezdeményezések (pl. az </w:t>
            </w:r>
            <w:r>
              <w:rPr>
                <w:rFonts w:ascii="EC Square Sans Cond Pro" w:hAnsi="EC Square Sans Cond Pro"/>
                <w:noProof/>
                <w:sz w:val="22"/>
              </w:rPr>
              <w:t>élelmiszer-veszteséggel és élelmiszer-hulladékkal foglalkozó platform)</w:t>
            </w:r>
          </w:p>
        </w:tc>
      </w:tr>
      <w:tr w:rsidR="00486A08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Hulladékgazdálkodás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5a-b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Teljes újrafeldolgozási arány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Az újrahasznosítás arányának növelése a körforgásos gazdaságra való átállás része.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hulladékokról szóló keretirányelv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6a-f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Az </w:t>
            </w:r>
            <w:r>
              <w:rPr>
                <w:rFonts w:ascii="EC Square Sans Cond Pro" w:hAnsi="EC Square Sans Cond Pro"/>
                <w:noProof/>
                <w:sz w:val="22"/>
              </w:rPr>
              <w:t xml:space="preserve">egyes hulladékáramok újrafeldolgozási aránya 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Ez tükrözi a kulcsfontosságú hulladékáramok újrahasznosítása terén elért haladást.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hulladékokról szóló keretirányelv; A hulladéklerakókról szóló irányelv; konkrét hulladékáramokra vonatkozó irányelvek</w:t>
            </w:r>
          </w:p>
        </w:tc>
      </w:tr>
      <w:tr w:rsidR="00486A08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Másodlagos nyersanyagok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7a-b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Az újrahasznosított anyagok hozzájárulása a nyersanyagok iránti kereslethez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körforgásos gazdaságban általános, hogy a másodlagos nyersanyagokból állítanak elő új termékeket.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  <w:highlight w:val="yellow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hulladékokról szóló keretirányelv; A környezettu</w:t>
            </w:r>
            <w:r>
              <w:rPr>
                <w:rFonts w:ascii="EC Square Sans Cond Pro" w:hAnsi="EC Square Sans Cond Pro"/>
                <w:noProof/>
                <w:sz w:val="22"/>
              </w:rPr>
              <w:t>datos tervezésről szóló irányelv; Uniós ökocímke; A vegyi anyagok regisztrálása, értékelése, engedélyezése és korlátozása (REACH); a vegyi anyagokra, vegyipari termékekre és hulladékra vonatkozó politikák közötti érintkezési pontokkal kapcsolatos kezdemény</w:t>
            </w:r>
            <w:r>
              <w:rPr>
                <w:rFonts w:ascii="EC Square Sans Cond Pro" w:hAnsi="EC Square Sans Cond Pro"/>
                <w:noProof/>
                <w:sz w:val="22"/>
              </w:rPr>
              <w:t>ezés; A műanyagokkal kapcsolatos stratégia; a másodlagos nyersanyagokra vonatkozó minőségi standardok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8.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Az újrafeldolgozható nyersanyagok kereskedelme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Az újrafeldolgozható anyagok kereskedelme a belső piac jelentőségét és a körforgásos gazdaságban való </w:t>
            </w:r>
            <w:r>
              <w:rPr>
                <w:rFonts w:ascii="EC Square Sans Cond Pro" w:hAnsi="EC Square Sans Cond Pro"/>
                <w:noProof/>
                <w:sz w:val="22"/>
              </w:rPr>
              <w:t>globális részvétel fontosságát tükrözi.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Belső piaci politika; A hulladékszállításról szóló rendelet; Kereskedelempolitika</w:t>
            </w:r>
          </w:p>
        </w:tc>
      </w:tr>
      <w:tr w:rsidR="00486A08">
        <w:trPr>
          <w:cantSplit/>
        </w:trPr>
        <w:tc>
          <w:tcPr>
            <w:tcW w:w="9180" w:type="dxa"/>
            <w:gridSpan w:val="4"/>
            <w:shd w:val="clear" w:color="auto" w:fill="EEECE1" w:themeFill="background2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b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b/>
                <w:noProof/>
                <w:sz w:val="22"/>
              </w:rPr>
              <w:t>Versenyképesség és innováció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lastRenderedPageBreak/>
              <w:t>9a-c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Magánberuházások, munkahelyek és bruttó hozzáadott érték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Ez a körforgásos gazdaságnak a </w:t>
            </w:r>
            <w:r>
              <w:rPr>
                <w:rFonts w:ascii="EC Square Sans Cond Pro" w:hAnsi="EC Square Sans Cond Pro"/>
                <w:noProof/>
                <w:sz w:val="22"/>
              </w:rPr>
              <w:t>munkahelyteremtéshez és a növekedéshez való hozzájárulását tükrözi.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Európai beruházási terv; Strukturális és beruházási alapok; InnovFin - uniós finanszírozás innovátoroknak; A körforgásos gazdaság pénzügyi támogató platformja; Fenntartható pénzügyi straté</w:t>
            </w:r>
            <w:r>
              <w:rPr>
                <w:rFonts w:ascii="EC Square Sans Cond Pro" w:hAnsi="EC Square Sans Cond Pro"/>
                <w:noProof/>
                <w:sz w:val="22"/>
              </w:rPr>
              <w:t>gia; „Zöld foglalkoztatás” kezdeményezés; Új európai készségfejlesztési program; Belső piaci politika;</w:t>
            </w:r>
          </w:p>
        </w:tc>
      </w:tr>
      <w:tr w:rsidR="00486A08">
        <w:trPr>
          <w:cantSplit/>
        </w:trPr>
        <w:tc>
          <w:tcPr>
            <w:tcW w:w="591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10.</w:t>
            </w:r>
          </w:p>
        </w:tc>
        <w:tc>
          <w:tcPr>
            <w:tcW w:w="1995" w:type="dxa"/>
          </w:tcPr>
          <w:p w:rsidR="00486A08" w:rsidRDefault="007D074F">
            <w:pPr>
              <w:pStyle w:val="Body"/>
              <w:spacing w:before="40" w:after="40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 xml:space="preserve">Szabadalmak 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A körforgásos gazdasághoz kapcsolódó innovatív technológiák javítják az EU globális versenyképességét.</w:t>
            </w:r>
          </w:p>
        </w:tc>
        <w:tc>
          <w:tcPr>
            <w:tcW w:w="3297" w:type="dxa"/>
          </w:tcPr>
          <w:p w:rsidR="00486A08" w:rsidRDefault="007D074F">
            <w:pPr>
              <w:pStyle w:val="Body"/>
              <w:spacing w:before="40" w:after="40"/>
              <w:jc w:val="left"/>
              <w:rPr>
                <w:rFonts w:ascii="EC Square Sans Cond Pro" w:hAnsi="EC Square Sans Cond Pro" w:cs="Times New Roman"/>
                <w:noProof/>
                <w:sz w:val="22"/>
                <w:szCs w:val="24"/>
              </w:rPr>
            </w:pPr>
            <w:r>
              <w:rPr>
                <w:rFonts w:ascii="EC Square Sans Cond Pro" w:hAnsi="EC Square Sans Cond Pro"/>
                <w:noProof/>
                <w:sz w:val="22"/>
              </w:rPr>
              <w:t>Horizont 2020</w:t>
            </w:r>
          </w:p>
        </w:tc>
      </w:tr>
    </w:tbl>
    <w:p w:rsidR="00486A08" w:rsidRDefault="007D074F">
      <w:pPr>
        <w:jc w:val="both"/>
        <w:rPr>
          <w:noProof/>
        </w:rPr>
      </w:pPr>
      <w:r>
        <w:rPr>
          <w:noProof/>
        </w:rPr>
        <w:t>* fejlesztés alat</w:t>
      </w:r>
      <w:r>
        <w:rPr>
          <w:noProof/>
        </w:rPr>
        <w:t>t álló mutatók</w:t>
      </w:r>
    </w:p>
    <w:p w:rsidR="00486A08" w:rsidRDefault="007D074F">
      <w:pPr>
        <w:pStyle w:val="Figurecaption"/>
        <w:spacing w:before="120" w:after="240"/>
        <w:rPr>
          <w:rFonts w:cs="Times New Roman"/>
          <w:i/>
          <w:noProof/>
          <w:sz w:val="24"/>
          <w:szCs w:val="24"/>
        </w:rPr>
      </w:pPr>
      <w:r>
        <w:rPr>
          <w:i/>
          <w:noProof/>
          <w:sz w:val="24"/>
        </w:rPr>
        <w:t>1.táblázat: A körforgásos gazdaságra vonatkozó mutatók a nyomonkövetési keretrendszerben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Azért esett ezekre a mutatókra a választás, mert jól megragadják a körforgásos gazdaság főbb elemeit. Kiválasztásuk az erőforrás-hatékonysági </w:t>
      </w:r>
      <w:r>
        <w:rPr>
          <w:noProof/>
        </w:rPr>
        <w:t>eredménytábla és a nyersanyag-eredménytábla alapján történt, figyelemmel az adatok elérhetőségére. A mutatók a lehető legnagyobb mértékben már meglévő adatokon alapulnak, ezáltal csökkentve az adminisztratív terhet. A mutatók értékelésének egyéb kritériuma</w:t>
      </w:r>
      <w:r>
        <w:rPr>
          <w:noProof/>
        </w:rPr>
        <w:t>i közé tartozik a relevancia, az elfogadás, a hitelesség, a felhasználás egyszerűsége és a megbízhatóság.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mutatók kiválasztásakor figyelembe vették az ütemtervről folytatott nyilvános konzultációra adott válaszokat</w:t>
      </w:r>
      <w:r>
        <w:rPr>
          <w:rStyle w:val="FootnoteReference"/>
          <w:noProof/>
        </w:rPr>
        <w:footnoteReference w:id="11"/>
      </w:r>
      <w:r>
        <w:rPr>
          <w:noProof/>
        </w:rPr>
        <w:t>, valamint a tagállamok képviselőivel é</w:t>
      </w:r>
      <w:r>
        <w:rPr>
          <w:noProof/>
        </w:rPr>
        <w:t>s szakértői érdekeltjeivel folytatott megbeszélések eredményeit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is.</w:t>
      </w:r>
    </w:p>
    <w:p w:rsidR="00486A08" w:rsidRDefault="007D074F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A Bizottság javítani fogja a körforgásos gazdaság fejlődésének méréséhez szükséges tudásbázist és az </w:t>
      </w:r>
      <w:r>
        <w:rPr>
          <w:b/>
          <w:noProof/>
        </w:rPr>
        <w:t>adatok hozzáférhetőségét</w:t>
      </w:r>
      <w:r>
        <w:rPr>
          <w:noProof/>
        </w:rPr>
        <w:t>:</w:t>
      </w:r>
    </w:p>
    <w:p w:rsidR="00486A08" w:rsidRDefault="007D074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cs="Times New Roman"/>
          <w:noProof/>
          <w:szCs w:val="24"/>
        </w:rPr>
      </w:pPr>
      <w:r>
        <w:rPr>
          <w:noProof/>
        </w:rPr>
        <w:t>Folyamatban van a zöld közbeszerzésre és az élelmiszer-pazar</w:t>
      </w:r>
      <w:r>
        <w:rPr>
          <w:noProof/>
        </w:rPr>
        <w:t xml:space="preserve">lásra vonatkozó mutatókhoz felhasználható </w:t>
      </w:r>
      <w:r>
        <w:rPr>
          <w:b/>
          <w:noProof/>
        </w:rPr>
        <w:t>módszerek</w:t>
      </w:r>
      <w:r>
        <w:rPr>
          <w:noProof/>
        </w:rPr>
        <w:t xml:space="preserve"> és adatgyűjtés </w:t>
      </w:r>
      <w:r>
        <w:rPr>
          <w:b/>
          <w:noProof/>
        </w:rPr>
        <w:t>kidolgozása</w:t>
      </w:r>
      <w:r>
        <w:rPr>
          <w:noProof/>
        </w:rPr>
        <w:t xml:space="preserve"> azzal a céllal, hogy az adatok az elkövetkező években közzétételre kerüljenek. Időközben az Eurostat ideiglenes becsléseket készít az élelmiszer-pazarlásra vonatkozóan.</w:t>
      </w:r>
    </w:p>
    <w:p w:rsidR="00486A08" w:rsidRDefault="007D074F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cs="Times New Roman"/>
          <w:noProof/>
          <w:szCs w:val="24"/>
        </w:rPr>
      </w:pPr>
      <w:r>
        <w:rPr>
          <w:noProof/>
        </w:rPr>
        <w:t>A körfor</w:t>
      </w:r>
      <w:r>
        <w:rPr>
          <w:noProof/>
        </w:rPr>
        <w:t>gásos gazdaságról szóló 2015-ös csomag részeként és a hulladékra vonatkozó uniós statisztikák minőségének javítása érdekében tett széles körű erőfeszítések részeként a Bizottság javaslatot tett a települési hulladék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és a csomagolási hulladék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</w:t>
      </w:r>
      <w:r>
        <w:rPr>
          <w:b/>
          <w:noProof/>
        </w:rPr>
        <w:t>újrafeldolgozási arányának kiszámítására vonatkozó módszerek összehangolására</w:t>
      </w:r>
      <w:r>
        <w:rPr>
          <w:noProof/>
        </w:rPr>
        <w:t xml:space="preserve">. </w:t>
      </w:r>
      <w:r>
        <w:rPr>
          <w:noProof/>
        </w:rPr>
        <w:lastRenderedPageBreak/>
        <w:t>Amint a Tanács és az Európai Parlament elfogadja és a tagállamok végrehajtják e javaslatokat, megbízhatóbb és összehasonlíthatóbb statisztikák állnak majd rendelkezésre.</w:t>
      </w:r>
    </w:p>
    <w:p w:rsidR="00486A08" w:rsidRDefault="007D074F">
      <w:pPr>
        <w:pStyle w:val="ListParagraph"/>
        <w:numPr>
          <w:ilvl w:val="0"/>
          <w:numId w:val="3"/>
        </w:numPr>
        <w:ind w:left="426"/>
        <w:jc w:val="both"/>
        <w:rPr>
          <w:rFonts w:cs="Times New Roman"/>
          <w:noProof/>
          <w:szCs w:val="24"/>
        </w:rPr>
      </w:pPr>
      <w:r>
        <w:rPr>
          <w:noProof/>
        </w:rPr>
        <w:t>A „Hori</w:t>
      </w:r>
      <w:r>
        <w:rPr>
          <w:noProof/>
        </w:rPr>
        <w:t xml:space="preserve">zont 2020” keretprogramon keresztül a Bizottság számos olyan </w:t>
      </w:r>
      <w:r>
        <w:rPr>
          <w:b/>
          <w:noProof/>
        </w:rPr>
        <w:t>kutatási projektet</w:t>
      </w:r>
      <w:r>
        <w:rPr>
          <w:noProof/>
        </w:rPr>
        <w:t xml:space="preserve"> finanszíroz, amelyek a hivatalos statisztikák kiegészítése érdekében jobb adatokat biztosítanak, különösen az EU nyersanyag-információs rendszerén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keresztül. </w:t>
      </w:r>
    </w:p>
    <w:p w:rsidR="00486A08" w:rsidRDefault="007D074F">
      <w:pPr>
        <w:pStyle w:val="Heading1"/>
        <w:keepNext/>
        <w:rPr>
          <w:rFonts w:cs="Times New Roman"/>
          <w:noProof/>
          <w:szCs w:val="24"/>
        </w:rPr>
      </w:pPr>
      <w:r>
        <w:rPr>
          <w:noProof/>
        </w:rPr>
        <w:t>Első megállapítá</w:t>
      </w:r>
      <w:r>
        <w:rPr>
          <w:noProof/>
        </w:rPr>
        <w:t>sok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nyomonkövetési keretrendszer tíz mutatója átfogó képet nyújt az uniós gazdaság körforgásos modelljének előmozdítása érdekében alkalmazható legfontosabb ösztönző eszközökről. Ahhoz, hogy a körforgásos gazdaságra vonatkozó intézkedések eredményei a sta</w:t>
      </w:r>
      <w:r>
        <w:rPr>
          <w:noProof/>
        </w:rPr>
        <w:t xml:space="preserve">tisztikákban is megmutatkozzanak, el kell telnie valamennyi időnek, ezért észszerű a munkát egy </w:t>
      </w:r>
      <w:r>
        <w:rPr>
          <w:b/>
          <w:noProof/>
        </w:rPr>
        <w:t>referenciaalap létrehozásával</w:t>
      </w:r>
      <w:r>
        <w:rPr>
          <w:noProof/>
        </w:rPr>
        <w:t xml:space="preserve"> kezdeni. Ez lehetővé teszi a jövőbeli fejlemények nyomon követését és információk nyújtását a szakpolitikai döntéshozatal folyamat</w:t>
      </w:r>
      <w:r>
        <w:rPr>
          <w:noProof/>
        </w:rPr>
        <w:t>aihoz.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Az Unió és tagállamai teljesítményének további javítása egyszerre jelent komoly szükséget és nagy lehetőségeket. Az EU szerepe egyes területeken (például az újrahasznosítható nyersanyagok kereskedelmében) nagyobb, mint máshol (ilyen a zöld közbeszer</w:t>
      </w:r>
      <w:r>
        <w:rPr>
          <w:noProof/>
        </w:rPr>
        <w:t>zés).</w:t>
      </w:r>
    </w:p>
    <w:p w:rsidR="00486A08" w:rsidRDefault="007D074F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Termelés és fogyasztás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86A08">
        <w:tc>
          <w:tcPr>
            <w:tcW w:w="9072" w:type="dxa"/>
            <w:shd w:val="clear" w:color="auto" w:fill="F2F2F2" w:themeFill="background1" w:themeFillShade="F2"/>
          </w:tcPr>
          <w:p w:rsidR="00486A08" w:rsidRDefault="007D074F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Némi előrelépés figyelhető meg a termelés és a fogyasztás terén a körforgásos tendenciák irányába, például a hulladékkeletkezés tekintetében. Ugyanakkor még mindig jelentős mozgástér áll rendelkezésre a tagállamok teljesítménye</w:t>
            </w:r>
            <w:r>
              <w:rPr>
                <w:rFonts w:ascii="Times New Roman" w:hAnsi="Times New Roman"/>
                <w:noProof/>
                <w:sz w:val="24"/>
              </w:rPr>
              <w:t xml:space="preserve"> közötti és az anyagok terén mutatkozó különbségek csökkentésére.</w:t>
            </w:r>
          </w:p>
        </w:tc>
      </w:tr>
    </w:tbl>
    <w:p w:rsidR="00486A08" w:rsidRDefault="00486A08">
      <w:pPr>
        <w:spacing w:after="0"/>
        <w:jc w:val="both"/>
        <w:rPr>
          <w:rFonts w:cs="Times New Roman"/>
          <w:noProof/>
          <w:szCs w:val="24"/>
        </w:rPr>
      </w:pPr>
    </w:p>
    <w:p w:rsidR="00486A08" w:rsidRDefault="007D074F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A nyersanyagellátás terén az </w:t>
      </w:r>
      <w:r>
        <w:rPr>
          <w:b/>
          <w:noProof/>
        </w:rPr>
        <w:t>önellátás</w:t>
      </w:r>
      <w:r>
        <w:rPr>
          <w:noProof/>
        </w:rPr>
        <w:t xml:space="preserve"> mutatója azt mutatja, hogy az EU </w:t>
      </w:r>
      <w:r>
        <w:rPr>
          <w:b/>
          <w:noProof/>
        </w:rPr>
        <w:t>nagyrészt önellátó</w:t>
      </w:r>
      <w:r>
        <w:rPr>
          <w:noProof/>
        </w:rPr>
        <w:t xml:space="preserve"> a legtöbb nemfém ásvány, mint például az építőanyagok és az ipari ásványok tekintetében. A mutató</w:t>
      </w:r>
      <w:r>
        <w:rPr>
          <w:noProof/>
        </w:rPr>
        <w:t xml:space="preserve"> ugyanakkor azt is megerősíti, hogy az Unió számára </w:t>
      </w:r>
      <w:r>
        <w:rPr>
          <w:b/>
          <w:noProof/>
        </w:rPr>
        <w:t>kritikus fontosságú nyersanyagok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esetében az EU nagymértékben támaszkodik az importra, ami rávilágít a biztonságos hozzáférésnek és az ellátás diverzifikálásának szükségességére. Számos ilyen anyagra van</w:t>
      </w:r>
      <w:r>
        <w:rPr>
          <w:noProof/>
        </w:rPr>
        <w:t xml:space="preserve"> szükség ahhoz, hogy az Unió elérje a fenntartható, karbonszegény, erőforrás-hatékony és versenyképes gazdaságra vonatkozó célkitűzését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 w:rsidR="00486A08" w:rsidRDefault="00486A08">
      <w:pPr>
        <w:spacing w:after="0"/>
        <w:jc w:val="both"/>
        <w:rPr>
          <w:rFonts w:cs="Times New Roman"/>
          <w:noProof/>
          <w:szCs w:val="24"/>
        </w:rPr>
      </w:pPr>
    </w:p>
    <w:p w:rsidR="00486A08" w:rsidRDefault="007D074F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A közbeszerzés a GDP-ben jelentős részt képvisel, ezért a </w:t>
      </w:r>
      <w:r>
        <w:rPr>
          <w:b/>
          <w:noProof/>
        </w:rPr>
        <w:t>zöld közbeszerzés</w:t>
      </w:r>
      <w:r>
        <w:rPr>
          <w:noProof/>
        </w:rPr>
        <w:t xml:space="preserve"> – amikor a hatóságok vásárlóerejüket környezetbarát áruk, szolgáltatások beszerzésére és zöld építési beruházásokra használják ki – a körforgásos gazdaság és az innováció motorja lehet</w:t>
      </w:r>
      <w:r>
        <w:rPr>
          <w:rStyle w:val="FootnoteReference"/>
          <w:noProof/>
        </w:rPr>
        <w:footnoteReference w:id="18"/>
      </w:r>
      <w:r>
        <w:rPr>
          <w:noProof/>
        </w:rPr>
        <w:t>. A mutató kidolgozásához szükséges adatok még hiányoznak</w:t>
      </w:r>
      <w:r>
        <w:rPr>
          <w:noProof/>
          <w:color w:val="000000"/>
          <w:position w:val="-2"/>
        </w:rPr>
        <w:t>.</w:t>
      </w:r>
      <w:r>
        <w:rPr>
          <w:noProof/>
        </w:rPr>
        <w:t xml:space="preserve"> </w:t>
      </w:r>
    </w:p>
    <w:p w:rsidR="00486A08" w:rsidRDefault="00486A08">
      <w:pPr>
        <w:spacing w:after="0"/>
        <w:jc w:val="both"/>
        <w:rPr>
          <w:rFonts w:cs="Times New Roman"/>
          <w:noProof/>
          <w:szCs w:val="24"/>
        </w:rPr>
      </w:pPr>
    </w:p>
    <w:p w:rsidR="00486A08" w:rsidRDefault="007D074F">
      <w:pPr>
        <w:spacing w:after="0"/>
        <w:jc w:val="both"/>
        <w:rPr>
          <w:rFonts w:cs="Times New Roman"/>
          <w:noProof/>
          <w:szCs w:val="24"/>
        </w:rPr>
      </w:pPr>
      <w:r>
        <w:rPr>
          <w:noProof/>
        </w:rPr>
        <w:t>Az EU-ban</w:t>
      </w:r>
      <w:r>
        <w:rPr>
          <w:noProof/>
        </w:rPr>
        <w:t xml:space="preserve"> az egy főre jutó </w:t>
      </w:r>
      <w:r>
        <w:rPr>
          <w:b/>
          <w:noProof/>
        </w:rPr>
        <w:t>települési hulladék</w:t>
      </w:r>
      <w:r>
        <w:rPr>
          <w:rStyle w:val="FootnoteReference"/>
          <w:b/>
          <w:noProof/>
        </w:rPr>
        <w:footnoteReference w:id="19"/>
      </w:r>
      <w:r>
        <w:rPr>
          <w:noProof/>
        </w:rPr>
        <w:t xml:space="preserve"> termelése 2006 és 2016 között 8 %-kal, évente átlagosan 480 kg/fő értékre </w:t>
      </w:r>
      <w:r>
        <w:rPr>
          <w:b/>
          <w:noProof/>
        </w:rPr>
        <w:t>csökkent</w:t>
      </w:r>
      <w:r>
        <w:rPr>
          <w:noProof/>
        </w:rPr>
        <w:t xml:space="preserve">. Ez világos példája egy olyan területnek, </w:t>
      </w:r>
      <w:r>
        <w:rPr>
          <w:noProof/>
        </w:rPr>
        <w:lastRenderedPageBreak/>
        <w:t>amelyen minden polgár tud valamit tenni. A tagállamok között azonban nagy eltérések figyelhe</w:t>
      </w:r>
      <w:r>
        <w:rPr>
          <w:noProof/>
        </w:rPr>
        <w:t>tők meg (250 és 750 kg/fő/év között)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, és a települési hulladék keletkezése több tagállamban még mindig növekszik. A keletkező hulladék mennyisége bizonyos mértékig továbbra is korrelál az egy főre jutó GDP-vel. Ezért kedvezőnek tekinthető, hogy a </w:t>
      </w:r>
      <w:r>
        <w:rPr>
          <w:b/>
          <w:noProof/>
        </w:rPr>
        <w:t>teljes h</w:t>
      </w:r>
      <w:r>
        <w:rPr>
          <w:b/>
          <w:noProof/>
        </w:rPr>
        <w:t>ulladéktermelés</w:t>
      </w:r>
      <w:r>
        <w:rPr>
          <w:noProof/>
        </w:rPr>
        <w:t xml:space="preserve">(beleértve az ipari és kereskedelmi hulladékot, de kivéve a fő ásványi hulladékokat) az egységnyi GDP-re vetített adatok alapján 2006 óta 11 %-os </w:t>
      </w:r>
      <w:r>
        <w:rPr>
          <w:b/>
          <w:noProof/>
        </w:rPr>
        <w:t>csökkenést</w:t>
      </w:r>
      <w:r>
        <w:rPr>
          <w:noProof/>
        </w:rPr>
        <w:t xml:space="preserve"> mutat. </w:t>
      </w:r>
    </w:p>
    <w:p w:rsidR="00486A08" w:rsidRDefault="00486A08">
      <w:pPr>
        <w:spacing w:after="0"/>
        <w:jc w:val="both"/>
        <w:rPr>
          <w:rFonts w:cs="Times New Roman"/>
          <w:noProof/>
          <w:szCs w:val="24"/>
        </w:rPr>
      </w:pPr>
    </w:p>
    <w:p w:rsidR="00486A08" w:rsidRDefault="007D074F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</w:rPr>
        <w:t xml:space="preserve">Az </w:t>
      </w:r>
      <w:r>
        <w:rPr>
          <w:b/>
          <w:noProof/>
        </w:rPr>
        <w:t>élelmiszer-pazarlás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csökkentése hatalmas lehetőségeket rejt magában az élelmiszerek előállításához felhasznált források megtakarítása szempontjából. Élelmiszer-hulladék az értéklánc minden pontján keletkezik: az előállítás és a forgalmazás során, a boltokban, éttermekben, ve</w:t>
      </w:r>
      <w:r>
        <w:rPr>
          <w:noProof/>
        </w:rPr>
        <w:t>ndéglátóipari létesítményekben és a háztartásokban. Ez különösen nehézzé teszi annak számszerűsítését. Az Eurostat előzetes becslései szerint az EU-ban keletkező élelmiszer-hulladék mennyisége 2012 és 2014 között 81 tonnáról 76 millió tonnára (azaz mintegy</w:t>
      </w:r>
      <w:r>
        <w:rPr>
          <w:noProof/>
        </w:rPr>
        <w:t xml:space="preserve"> 7 %-kal) </w:t>
      </w:r>
      <w:r>
        <w:rPr>
          <w:b/>
          <w:noProof/>
        </w:rPr>
        <w:t>csökkent</w:t>
      </w:r>
      <w:r>
        <w:rPr>
          <w:noProof/>
        </w:rPr>
        <w:t>, ami egy főre nézve 161-ről 149 kg-ra való csökkenésnek felel meg.</w:t>
      </w:r>
    </w:p>
    <w:p w:rsidR="00486A08" w:rsidRDefault="00486A08">
      <w:pPr>
        <w:spacing w:after="0"/>
        <w:jc w:val="both"/>
        <w:rPr>
          <w:rFonts w:cs="Times New Roman"/>
          <w:noProof/>
          <w:szCs w:val="24"/>
        </w:rPr>
      </w:pPr>
    </w:p>
    <w:p w:rsidR="00486A08" w:rsidRDefault="007D074F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Hulladékgazdálkodás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86A08">
        <w:tc>
          <w:tcPr>
            <w:tcW w:w="9072" w:type="dxa"/>
            <w:shd w:val="clear" w:color="auto" w:fill="F2F2F2" w:themeFill="background1" w:themeFillShade="F2"/>
          </w:tcPr>
          <w:p w:rsidR="00486A08" w:rsidRDefault="007D074F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 hulladékgazdálkodás terén általában pozitív tendenciák tapasztalhatók, azonban még mindig jelentős javulásra van szükség, valamint továbbra is külö</w:t>
            </w:r>
            <w:r>
              <w:rPr>
                <w:rFonts w:ascii="Times New Roman" w:hAnsi="Times New Roman"/>
                <w:noProof/>
                <w:sz w:val="24"/>
              </w:rPr>
              <w:t xml:space="preserve">nbségek mutatkoznak a tagállamok és a hulladékáramok között. </w:t>
            </w:r>
          </w:p>
        </w:tc>
      </w:tr>
    </w:tbl>
    <w:p w:rsidR="00486A08" w:rsidRDefault="00486A08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2008 és 2016 között a </w:t>
      </w:r>
      <w:r>
        <w:rPr>
          <w:b/>
          <w:noProof/>
          <w:color w:val="000000"/>
          <w:position w:val="-2"/>
        </w:rPr>
        <w:t>települési hulladék újrafeldolgozási aránya</w:t>
      </w:r>
      <w:r>
        <w:rPr>
          <w:noProof/>
          <w:color w:val="000000"/>
          <w:position w:val="-2"/>
        </w:rPr>
        <w:t xml:space="preserve"> 37 %-ról 46 %-ra nőtt az Unióban. Öt tagállam a települési hulladéka több mint felét hasznosítja újra, miközben más tagállamok</w:t>
      </w:r>
      <w:r>
        <w:rPr>
          <w:noProof/>
          <w:color w:val="000000"/>
          <w:position w:val="-2"/>
        </w:rPr>
        <w:t xml:space="preserve"> már megközelítik a Bizottság által javasolt 2030-as 65 %-os újrafeldolgozási célértéket</w:t>
      </w:r>
      <w:r>
        <w:rPr>
          <w:rStyle w:val="FootnoteReference"/>
          <w:noProof/>
        </w:rPr>
        <w:footnoteReference w:id="22"/>
      </w:r>
      <w:r>
        <w:rPr>
          <w:noProof/>
          <w:color w:val="000000"/>
          <w:position w:val="-2"/>
        </w:rPr>
        <w:t>; öt tagállam azonban még a 25 %-os aránytól is elmarad</w:t>
      </w:r>
      <w:r>
        <w:rPr>
          <w:rStyle w:val="FootnoteReference"/>
          <w:noProof/>
          <w:color w:val="000000"/>
          <w:position w:val="-2"/>
        </w:rPr>
        <w:footnoteReference w:id="23"/>
      </w:r>
      <w:r>
        <w:rPr>
          <w:noProof/>
        </w:rPr>
        <w:t>.</w:t>
      </w:r>
      <w:r>
        <w:rPr>
          <w:noProof/>
          <w:color w:val="000000"/>
          <w:position w:val="-2"/>
        </w:rPr>
        <w:t xml:space="preserve"> </w:t>
      </w:r>
    </w:p>
    <w:p w:rsidR="00486A08" w:rsidRDefault="007D074F">
      <w:pPr>
        <w:jc w:val="both"/>
        <w:rPr>
          <w:rFonts w:cs="Times New Roman"/>
          <w:noProof/>
          <w:szCs w:val="24"/>
          <w:highlight w:val="yellow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2974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08" w:rsidRDefault="007D074F">
      <w:pPr>
        <w:jc w:val="both"/>
        <w:rPr>
          <w:rFonts w:eastAsia="Cambria" w:cs="Times New Roman"/>
          <w:noProof/>
          <w:color w:val="000000"/>
          <w:position w:val="-2"/>
          <w:sz w:val="22"/>
        </w:rPr>
      </w:pPr>
      <w:r>
        <w:rPr>
          <w:noProof/>
          <w:color w:val="000000"/>
          <w:position w:val="-2"/>
          <w:sz w:val="22"/>
        </w:rPr>
        <w:t>Forrás: Eurostat</w:t>
      </w: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2008 és 2015 között a </w:t>
      </w:r>
      <w:r>
        <w:rPr>
          <w:b/>
          <w:noProof/>
          <w:color w:val="000000"/>
          <w:position w:val="-2"/>
        </w:rPr>
        <w:t>csomagolási hulladék újrafeldolgozási aránya is nőtt</w:t>
      </w:r>
      <w:r>
        <w:rPr>
          <w:noProof/>
          <w:color w:val="000000"/>
          <w:position w:val="-2"/>
        </w:rPr>
        <w:t xml:space="preserve"> az Unióban, 62 %-ról 66 %-ra. Szinte minden tagállamban emelkedett az arány, </w:t>
      </w:r>
      <w:r>
        <w:rPr>
          <w:b/>
          <w:noProof/>
          <w:color w:val="000000"/>
          <w:position w:val="-2"/>
        </w:rPr>
        <w:t>2015-re pedig szinte az összes tagállam teljesítette a 2008-ra kitűzött 55 %-os célértéket</w:t>
      </w:r>
      <w:r>
        <w:rPr>
          <w:noProof/>
          <w:color w:val="000000"/>
          <w:position w:val="-2"/>
        </w:rPr>
        <w:t xml:space="preserve"> (a Bizottság 2025-re 65 %-os és 2030-ra 75 %-os célértéket javasolt</w:t>
      </w:r>
      <w:r>
        <w:rPr>
          <w:rStyle w:val="FootnoteReference"/>
          <w:noProof/>
        </w:rPr>
        <w:footnoteReference w:id="24"/>
      </w:r>
      <w:r>
        <w:rPr>
          <w:noProof/>
          <w:color w:val="000000"/>
          <w:position w:val="-2"/>
        </w:rPr>
        <w:t xml:space="preserve">). A </w:t>
      </w:r>
      <w:r>
        <w:rPr>
          <w:b/>
          <w:noProof/>
          <w:color w:val="000000"/>
          <w:position w:val="-2"/>
        </w:rPr>
        <w:t>műanyag csomag</w:t>
      </w:r>
      <w:r>
        <w:rPr>
          <w:b/>
          <w:noProof/>
          <w:color w:val="000000"/>
          <w:position w:val="-2"/>
        </w:rPr>
        <w:t>olás</w:t>
      </w:r>
      <w:r>
        <w:rPr>
          <w:noProof/>
          <w:color w:val="000000"/>
          <w:position w:val="-2"/>
        </w:rPr>
        <w:t xml:space="preserve"> esetében az átlagos újrahasznosítási arány az EU-ban jelentősen alacsonyabb, </w:t>
      </w:r>
      <w:r>
        <w:rPr>
          <w:b/>
          <w:noProof/>
          <w:color w:val="000000"/>
          <w:position w:val="-2"/>
        </w:rPr>
        <w:t>40 %</w:t>
      </w:r>
      <w:r>
        <w:rPr>
          <w:noProof/>
          <w:color w:val="000000"/>
          <w:position w:val="-2"/>
        </w:rPr>
        <w:t xml:space="preserve">, bár az elmúlt években javult a helyzet. </w:t>
      </w:r>
    </w:p>
    <w:p w:rsidR="00486A08" w:rsidRDefault="007D074F">
      <w:pPr>
        <w:jc w:val="both"/>
        <w:rPr>
          <w:rFonts w:eastAsia="Cambria" w:cs="Times New Roman"/>
          <w:noProof/>
          <w:color w:val="000000"/>
          <w:position w:val="-2"/>
          <w:szCs w:val="24"/>
        </w:rPr>
      </w:pPr>
      <w:r>
        <w:rPr>
          <w:noProof/>
        </w:rPr>
        <w:t xml:space="preserve">A települési </w:t>
      </w:r>
      <w:r>
        <w:rPr>
          <w:b/>
          <w:noProof/>
        </w:rPr>
        <w:t>biohulladék</w:t>
      </w:r>
      <w:r>
        <w:rPr>
          <w:noProof/>
        </w:rPr>
        <w:t xml:space="preserve"> </w:t>
      </w:r>
      <w:r>
        <w:rPr>
          <w:b/>
          <w:noProof/>
        </w:rPr>
        <w:t>újrahasznosítása</w:t>
      </w:r>
      <w:r>
        <w:rPr>
          <w:noProof/>
        </w:rPr>
        <w:t xml:space="preserve"> 2016-ban 79 kg/fő volt az EU-ban, ami 2007-hez képest 23 %-os növekedést jelent.</w:t>
      </w: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Az </w:t>
      </w:r>
      <w:r>
        <w:rPr>
          <w:b/>
          <w:noProof/>
          <w:color w:val="000000"/>
          <w:position w:val="-2"/>
        </w:rPr>
        <w:t>e</w:t>
      </w:r>
      <w:r>
        <w:rPr>
          <w:b/>
          <w:noProof/>
          <w:color w:val="000000"/>
          <w:position w:val="-2"/>
        </w:rPr>
        <w:t>lektromos és elektronikus berendezések hulladékainak újrafeldolgozásával</w:t>
      </w:r>
      <w:r>
        <w:rPr>
          <w:noProof/>
          <w:color w:val="000000"/>
          <w:position w:val="-2"/>
        </w:rPr>
        <w:t xml:space="preserve"> kapcsolatos adatok azt mutatják, hogy a begyűjtés és az újrafeldolgozás szintje jelentősen eltér az egyes tagállamokban, és nagy lehetőségek mutatkoznak az erőforrás-hatékonyság javít</w:t>
      </w:r>
      <w:r>
        <w:rPr>
          <w:noProof/>
          <w:color w:val="000000"/>
          <w:position w:val="-2"/>
        </w:rPr>
        <w:t xml:space="preserve">ására, valamint az illegális gyűjtés, kezelés és szállítás csökkentésére. 2015-ben </w:t>
      </w:r>
      <w:r>
        <w:rPr>
          <w:b/>
          <w:noProof/>
          <w:color w:val="000000"/>
          <w:position w:val="-2"/>
        </w:rPr>
        <w:t>mindössze négy tagállam</w:t>
      </w:r>
      <w:r>
        <w:rPr>
          <w:noProof/>
          <w:color w:val="000000"/>
          <w:position w:val="-2"/>
        </w:rPr>
        <w:t xml:space="preserve"> dolgozta fel újra</w:t>
      </w:r>
      <w:r>
        <w:rPr>
          <w:rStyle w:val="FootnoteReference"/>
          <w:noProof/>
          <w:color w:val="000000"/>
          <w:position w:val="-2"/>
        </w:rPr>
        <w:footnoteReference w:id="25"/>
      </w:r>
      <w:r>
        <w:rPr>
          <w:noProof/>
          <w:color w:val="000000"/>
          <w:position w:val="-2"/>
        </w:rPr>
        <w:t xml:space="preserve"> a forgalomba hozott elektromos és elektronikus berendezések több mint felét. </w:t>
      </w: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Végül az </w:t>
      </w:r>
      <w:r>
        <w:rPr>
          <w:b/>
          <w:noProof/>
          <w:color w:val="000000"/>
          <w:position w:val="-2"/>
        </w:rPr>
        <w:t>építési és bontási hulladék</w:t>
      </w:r>
      <w:r>
        <w:rPr>
          <w:noProof/>
          <w:color w:val="000000"/>
          <w:position w:val="-2"/>
        </w:rPr>
        <w:t xml:space="preserve"> esetében 20 tag</w:t>
      </w:r>
      <w:r>
        <w:rPr>
          <w:noProof/>
          <w:color w:val="000000"/>
          <w:position w:val="-2"/>
        </w:rPr>
        <w:t>állam számolt be arról, hogy már elérte a 2020-ra megállapított 70 %-os hasznosítási célkitűzést</w:t>
      </w:r>
      <w:r>
        <w:rPr>
          <w:rStyle w:val="FootnoteReference"/>
          <w:noProof/>
          <w:color w:val="000000"/>
          <w:position w:val="-2"/>
        </w:rPr>
        <w:footnoteReference w:id="26"/>
      </w:r>
      <w:r>
        <w:rPr>
          <w:noProof/>
          <w:color w:val="000000"/>
          <w:position w:val="-2"/>
        </w:rPr>
        <w:t xml:space="preserve">. Figyelemmel arra, hogy a tömeg tekintetében ez messze a legnagyobb hulladékáram az Unióban, ez </w:t>
      </w:r>
      <w:r>
        <w:rPr>
          <w:b/>
          <w:noProof/>
          <w:color w:val="000000"/>
          <w:position w:val="-2"/>
        </w:rPr>
        <w:t>pozitív eredménynek</w:t>
      </w:r>
      <w:r>
        <w:rPr>
          <w:noProof/>
          <w:color w:val="000000"/>
          <w:position w:val="-2"/>
        </w:rPr>
        <w:t xml:space="preserve"> tekinthető. Meg kell jegyezni ugyanakkor, </w:t>
      </w:r>
      <w:r>
        <w:rPr>
          <w:noProof/>
          <w:color w:val="000000"/>
          <w:position w:val="-2"/>
        </w:rPr>
        <w:t>hogy a célérték a feltöltést</w:t>
      </w:r>
      <w:r>
        <w:rPr>
          <w:rStyle w:val="FootnoteReference"/>
          <w:noProof/>
          <w:color w:val="000000"/>
          <w:position w:val="-2"/>
        </w:rPr>
        <w:footnoteReference w:id="27"/>
      </w:r>
      <w:r>
        <w:rPr>
          <w:noProof/>
          <w:color w:val="000000"/>
          <w:position w:val="-2"/>
        </w:rPr>
        <w:t xml:space="preserve"> is magában foglalja, amely gyakorlat során az anyagok nem őrzik meg értéküket, tehát a körforgásos gazdaság fejlődését nem segítik elő. Emellett a tagállamok között jelentős különbségek mutatkoznak az adatszolgáltatás terén.</w:t>
      </w:r>
    </w:p>
    <w:p w:rsidR="00486A08" w:rsidRDefault="007D074F">
      <w:pPr>
        <w:jc w:val="both"/>
        <w:rPr>
          <w:rFonts w:cs="Times New Roman"/>
          <w:noProof/>
          <w:szCs w:val="24"/>
          <w:highlight w:val="yellow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33764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08" w:rsidRDefault="007D074F">
      <w:pPr>
        <w:spacing w:after="120"/>
        <w:contextualSpacing/>
        <w:jc w:val="both"/>
        <w:rPr>
          <w:rFonts w:cs="Times New Roman"/>
          <w:noProof/>
          <w:sz w:val="22"/>
        </w:rPr>
      </w:pPr>
      <w:r>
        <w:rPr>
          <w:noProof/>
          <w:sz w:val="22"/>
        </w:rPr>
        <w:t>Forrás: Eurostat</w:t>
      </w:r>
    </w:p>
    <w:p w:rsidR="00486A08" w:rsidRDefault="00486A08">
      <w:pPr>
        <w:spacing w:after="120"/>
        <w:contextualSpacing/>
        <w:jc w:val="both"/>
        <w:rPr>
          <w:rFonts w:cs="Times New Roman"/>
          <w:b/>
          <w:i/>
          <w:noProof/>
          <w:szCs w:val="24"/>
        </w:rPr>
      </w:pPr>
    </w:p>
    <w:p w:rsidR="00486A08" w:rsidRDefault="007D074F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Másodlagos nyersanyagok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86A08">
        <w:tc>
          <w:tcPr>
            <w:tcW w:w="9072" w:type="dxa"/>
            <w:shd w:val="clear" w:color="auto" w:fill="F2F2F2" w:themeFill="background1" w:themeFillShade="F2"/>
          </w:tcPr>
          <w:p w:rsidR="00486A08" w:rsidRDefault="007D074F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Az újrafeldolgozott anyagok aránya viszonylag alacsony a teljes anyagkereslethez viszonyítva. A másodlagos nyersanyagok kereskedelme mind az Unióban, mind pedig a harmadik országokban fellendülőben van.</w:t>
            </w:r>
          </w:p>
        </w:tc>
      </w:tr>
    </w:tbl>
    <w:p w:rsidR="00486A08" w:rsidRDefault="00486A08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86A08" w:rsidRDefault="007D074F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>A körforgásos gazdaságban a termékekbe és alkotóelemekbe ágyazott anyagokat akkor dolgozzák fel újra, amikor elérik élettartamuk végét, majd másodlagos nyersanyagként visszajutnak a gazdaságba. Ez csökkenti a termelés és fogyasztás környezeti lábnyomát, és</w:t>
      </w:r>
      <w:r>
        <w:rPr>
          <w:noProof/>
          <w:color w:val="000000"/>
          <w:position w:val="-2"/>
        </w:rPr>
        <w:t xml:space="preserve"> növeli a nyersanyagellátás biztonságát. Az EU-ban a nyersanyagok iránti kereslet szintje még azt a szintet is meghaladja, amelyet akkor lehetne elérni, ha az összes hulladékot másodlagos nyersanyaggá alakítanánk. Ezért az elsődlegesnyersanyag-ellátásra to</w:t>
      </w:r>
      <w:r>
        <w:rPr>
          <w:noProof/>
          <w:color w:val="000000"/>
          <w:position w:val="-2"/>
        </w:rPr>
        <w:t xml:space="preserve">vábbra is szükség lesz. </w:t>
      </w:r>
    </w:p>
    <w:p w:rsidR="00486A08" w:rsidRDefault="00486A08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86A08" w:rsidRDefault="007D074F">
      <w:pPr>
        <w:spacing w:after="0"/>
        <w:jc w:val="both"/>
        <w:rPr>
          <w:rFonts w:eastAsia="Cambria"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Az </w:t>
      </w:r>
      <w:r>
        <w:rPr>
          <w:b/>
          <w:noProof/>
          <w:color w:val="000000"/>
          <w:position w:val="-2"/>
        </w:rPr>
        <w:t>újrafeldolgozott anyagok</w:t>
      </w:r>
      <w:r>
        <w:rPr>
          <w:noProof/>
          <w:color w:val="000000"/>
          <w:position w:val="-2"/>
        </w:rPr>
        <w:t xml:space="preserve"> aránya átlagosan csak </w:t>
      </w:r>
      <w:r>
        <w:rPr>
          <w:b/>
          <w:noProof/>
          <w:color w:val="000000"/>
          <w:position w:val="-2"/>
        </w:rPr>
        <w:t>mintegy 10 %-át teszi ki az EU nyersanyagigényének</w:t>
      </w:r>
      <w:r>
        <w:rPr>
          <w:noProof/>
          <w:color w:val="000000"/>
          <w:position w:val="-2"/>
        </w:rPr>
        <w:t>, annak ellenére, hogy 2004 óta folyamatosan javul. Számos ömlesztett anyag esetében a másodlagos nyersanyagok a teljes kereslet t</w:t>
      </w:r>
      <w:r>
        <w:rPr>
          <w:noProof/>
          <w:color w:val="000000"/>
          <w:position w:val="-2"/>
        </w:rPr>
        <w:t>öbb mint 30 %-át kielégítik (pl. réz és nikkel). Számos anyag, köztük csaknem minden kritikus fontosságú nyersanyag esetében azonban az újrafeldolgozott anyagok hozzájárulása a nyersanyagok iránti kereslet kielégítéséhez még mindig alacsony vagy elhanyagol</w:t>
      </w:r>
      <w:r>
        <w:rPr>
          <w:noProof/>
          <w:color w:val="000000"/>
          <w:position w:val="-2"/>
        </w:rPr>
        <w:t xml:space="preserve">ható. Ennek oka az lehet, hogy újrafeldolgozásuk nem nyereséges, hiányoznak az ahhoz szükséges technológiák, vagy az anyagok olyan termékekbe vannak ágyazva, amelyeket hosszú ideig használnak (például a szélturbinákban használt ritkaföldfémek). </w:t>
      </w:r>
    </w:p>
    <w:p w:rsidR="00486A08" w:rsidRDefault="00486A08">
      <w:pPr>
        <w:spacing w:after="0"/>
        <w:jc w:val="both"/>
        <w:rPr>
          <w:rFonts w:eastAsia="Cambria" w:cs="Times New Roman"/>
          <w:noProof/>
          <w:color w:val="000000"/>
          <w:position w:val="-2"/>
          <w:szCs w:val="24"/>
        </w:rPr>
      </w:pPr>
    </w:p>
    <w:p w:rsidR="00486A08" w:rsidRDefault="007D074F">
      <w:pPr>
        <w:contextualSpacing/>
        <w:jc w:val="both"/>
        <w:rPr>
          <w:rFonts w:eastAsia="Cambria"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>Ezenkívül</w:t>
      </w:r>
      <w:r>
        <w:rPr>
          <w:noProof/>
          <w:color w:val="000000"/>
          <w:position w:val="-2"/>
        </w:rPr>
        <w:t xml:space="preserve"> az újrafeldolgozható hulladékok kereskedelmére vonatkozó mutató azt jelzi, hogy </w:t>
      </w:r>
      <w:r>
        <w:rPr>
          <w:b/>
          <w:noProof/>
          <w:color w:val="000000"/>
          <w:position w:val="-2"/>
        </w:rPr>
        <w:t>az EU több jelentős újrahasznosítható hulladékáram</w:t>
      </w:r>
      <w:r>
        <w:rPr>
          <w:noProof/>
          <w:color w:val="000000"/>
          <w:position w:val="-2"/>
        </w:rPr>
        <w:t xml:space="preserve"> – például a műanyag, a papír és a karton, a vas és az acél, a réz, az alumínium és a nikkel – esetében </w:t>
      </w:r>
      <w:r>
        <w:rPr>
          <w:b/>
          <w:noProof/>
          <w:color w:val="000000"/>
          <w:position w:val="-2"/>
        </w:rPr>
        <w:t>nettó exportőr</w:t>
      </w:r>
      <w:r>
        <w:rPr>
          <w:noProof/>
          <w:color w:val="000000"/>
          <w:position w:val="-2"/>
        </w:rPr>
        <w:t>. A műa</w:t>
      </w:r>
      <w:r>
        <w:rPr>
          <w:noProof/>
          <w:color w:val="000000"/>
          <w:position w:val="-2"/>
        </w:rPr>
        <w:t xml:space="preserve">nyag-, a papír- és kartonpapír-, réz-, alumínium-, nikkel- és a nemesfémhulladék </w:t>
      </w:r>
      <w:r>
        <w:rPr>
          <w:b/>
          <w:noProof/>
          <w:color w:val="000000"/>
          <w:position w:val="-2"/>
        </w:rPr>
        <w:t>Unión belüli kereskedelme</w:t>
      </w:r>
      <w:r>
        <w:rPr>
          <w:noProof/>
          <w:color w:val="000000"/>
          <w:position w:val="-2"/>
        </w:rPr>
        <w:t xml:space="preserve"> 2004 és 2016 között jelentősen nőtt, lehetővé téve a gazdasági szereplők számára, hogy kihasználják a másodlagos nyersanyagok uniós belső piacának el</w:t>
      </w:r>
      <w:r>
        <w:rPr>
          <w:noProof/>
          <w:color w:val="000000"/>
          <w:position w:val="-2"/>
        </w:rPr>
        <w:t>őnyeit.</w:t>
      </w:r>
    </w:p>
    <w:p w:rsidR="00486A08" w:rsidRDefault="00486A08">
      <w:pPr>
        <w:spacing w:after="120"/>
        <w:contextualSpacing/>
        <w:jc w:val="both"/>
        <w:rPr>
          <w:rFonts w:cs="Times New Roman"/>
          <w:b/>
          <w:i/>
          <w:noProof/>
          <w:szCs w:val="24"/>
        </w:rPr>
      </w:pPr>
    </w:p>
    <w:p w:rsidR="00486A08" w:rsidRDefault="007D074F">
      <w:pPr>
        <w:spacing w:after="120"/>
        <w:jc w:val="both"/>
        <w:rPr>
          <w:rFonts w:cs="Times New Roman"/>
          <w:b/>
          <w:i/>
          <w:noProof/>
          <w:szCs w:val="24"/>
        </w:rPr>
      </w:pPr>
      <w:r>
        <w:rPr>
          <w:b/>
          <w:i/>
          <w:noProof/>
        </w:rPr>
        <w:t>Versenyképesség és innováció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486A08">
        <w:tc>
          <w:tcPr>
            <w:tcW w:w="9072" w:type="dxa"/>
            <w:shd w:val="clear" w:color="auto" w:fill="F2F2F2" w:themeFill="background1" w:themeFillShade="F2"/>
          </w:tcPr>
          <w:p w:rsidR="00486A08" w:rsidRDefault="007D074F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A körforgásos gazdaságra való áttérés fokozza a beruházásokat és a munkahelyteremtést, növeli a hozzáadott értéket, és ösztönzi az innovációt. </w:t>
            </w:r>
          </w:p>
        </w:tc>
      </w:tr>
    </w:tbl>
    <w:p w:rsidR="00486A08" w:rsidRDefault="00486A08">
      <w:pPr>
        <w:spacing w:after="0"/>
        <w:jc w:val="both"/>
        <w:rPr>
          <w:rFonts w:cs="Times New Roman"/>
          <w:noProof/>
          <w:color w:val="000000"/>
          <w:position w:val="-2"/>
          <w:szCs w:val="24"/>
        </w:rPr>
      </w:pP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15299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 w:val="22"/>
        </w:rPr>
      </w:pPr>
      <w:r>
        <w:rPr>
          <w:noProof/>
          <w:color w:val="000000"/>
          <w:position w:val="-2"/>
          <w:sz w:val="22"/>
        </w:rPr>
        <w:t>Forrás: Eurostat</w:t>
      </w: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>2014-ben a körforgásos gazdaság</w:t>
      </w:r>
      <w:r>
        <w:rPr>
          <w:rStyle w:val="FootnoteReference"/>
          <w:noProof/>
          <w:color w:val="000000"/>
          <w:position w:val="-2"/>
        </w:rPr>
        <w:footnoteReference w:id="28"/>
      </w:r>
      <w:r>
        <w:rPr>
          <w:noProof/>
          <w:color w:val="000000"/>
          <w:position w:val="-2"/>
        </w:rPr>
        <w:t xml:space="preserve"> szempontjából releváns gazdasági ágazatok egy csoportjába irányuló </w:t>
      </w:r>
      <w:r>
        <w:rPr>
          <w:b/>
          <w:noProof/>
          <w:color w:val="000000"/>
          <w:position w:val="-2"/>
        </w:rPr>
        <w:t>magánberuházások</w:t>
      </w:r>
      <w:r>
        <w:rPr>
          <w:noProof/>
          <w:color w:val="000000"/>
          <w:position w:val="-2"/>
        </w:rPr>
        <w:t xml:space="preserve"> az Unióban a becslések szerint mintegy </w:t>
      </w:r>
      <w:r>
        <w:rPr>
          <w:b/>
          <w:noProof/>
          <w:color w:val="000000"/>
          <w:position w:val="-2"/>
        </w:rPr>
        <w:t>15 milliárd eurót</w:t>
      </w:r>
      <w:r>
        <w:rPr>
          <w:noProof/>
          <w:color w:val="000000"/>
          <w:position w:val="-2"/>
        </w:rPr>
        <w:t xml:space="preserve"> tettek ki (GDP 0,1 %-a). Ugyanebben az évben ezekben az ágazatokban több mint 3,9 millió </w:t>
      </w:r>
      <w:r>
        <w:rPr>
          <w:b/>
          <w:noProof/>
          <w:color w:val="000000"/>
          <w:position w:val="-2"/>
        </w:rPr>
        <w:t>álláshely</w:t>
      </w:r>
      <w:r>
        <w:rPr>
          <w:noProof/>
          <w:color w:val="000000"/>
          <w:position w:val="-2"/>
        </w:rPr>
        <w:t xml:space="preserve"> állt rendelkezé</w:t>
      </w:r>
      <w:r>
        <w:rPr>
          <w:noProof/>
          <w:color w:val="000000"/>
          <w:position w:val="-2"/>
        </w:rPr>
        <w:t xml:space="preserve">sre, ami 2012-höz képest </w:t>
      </w:r>
      <w:r>
        <w:rPr>
          <w:b/>
          <w:noProof/>
          <w:color w:val="000000"/>
          <w:position w:val="-2"/>
        </w:rPr>
        <w:t>2,3 %-os növekedést</w:t>
      </w:r>
      <w:r>
        <w:rPr>
          <w:noProof/>
          <w:color w:val="000000"/>
          <w:position w:val="-2"/>
        </w:rPr>
        <w:t xml:space="preserve"> jelent. A gazdasági és pénzügyi válság ellenére a körforgásos gazdaság ezen ágazatai 2014-ben mintegy 141 milliárd euró </w:t>
      </w:r>
      <w:r>
        <w:rPr>
          <w:b/>
          <w:noProof/>
          <w:color w:val="000000"/>
          <w:position w:val="-2"/>
        </w:rPr>
        <w:t>hozzáadott értéket</w:t>
      </w:r>
      <w:r>
        <w:rPr>
          <w:noProof/>
          <w:color w:val="000000"/>
          <w:position w:val="-2"/>
        </w:rPr>
        <w:t xml:space="preserve"> hoztak létre, ami 2012-höz képest 6,1 %-os növekedésnek felel meg. A kör</w:t>
      </w:r>
      <w:r>
        <w:rPr>
          <w:noProof/>
          <w:color w:val="000000"/>
          <w:position w:val="-2"/>
        </w:rPr>
        <w:t>forgásos gazdaságra való átállást számos uniós finanszírozási program támogatja, például az Európai Stratégiai Beruházási Alap, az európai strukturális és beruházási alapok, a Horizont 2020 és a LIFE program. Emellett 2017 januárjában elindult a körforgáso</w:t>
      </w:r>
      <w:r>
        <w:rPr>
          <w:noProof/>
          <w:color w:val="000000"/>
          <w:position w:val="-2"/>
        </w:rPr>
        <w:t xml:space="preserve">s gazdaság pénzügyi támogató platformja. </w:t>
      </w:r>
    </w:p>
    <w:p w:rsidR="00486A08" w:rsidRDefault="007D074F">
      <w:pPr>
        <w:jc w:val="both"/>
        <w:rPr>
          <w:rFonts w:cs="Times New Roman"/>
          <w:noProof/>
          <w:color w:val="000000"/>
          <w:position w:val="-2"/>
          <w:szCs w:val="24"/>
        </w:rPr>
      </w:pPr>
      <w:r>
        <w:rPr>
          <w:noProof/>
          <w:color w:val="000000"/>
          <w:position w:val="-2"/>
        </w:rPr>
        <w:t xml:space="preserve">Az újrafeldolgozásra és a másodlagos nyersanyagokra vonatkozó </w:t>
      </w:r>
      <w:r>
        <w:rPr>
          <w:b/>
          <w:noProof/>
          <w:color w:val="000000"/>
          <w:position w:val="-2"/>
        </w:rPr>
        <w:t>szabadalmak</w:t>
      </w:r>
      <w:r>
        <w:rPr>
          <w:noProof/>
          <w:color w:val="000000"/>
          <w:position w:val="-2"/>
        </w:rPr>
        <w:t xml:space="preserve"> esetében az adatok 2000 és 2013 között 35 %-os növekedést mutatnak. Az uniós üveg-újrafeldolgozási szabadalmak 44 %-át teszik ki a világon a</w:t>
      </w:r>
      <w:r>
        <w:rPr>
          <w:noProof/>
          <w:color w:val="000000"/>
          <w:position w:val="-2"/>
        </w:rPr>
        <w:t>z összes ilyen szabadalomnak, míg az uniós részesedés a műanyagok esetében 18 %, a papír esetében pedig 23 %.</w:t>
      </w:r>
    </w:p>
    <w:p w:rsidR="00486A08" w:rsidRDefault="007D074F">
      <w:pPr>
        <w:pStyle w:val="Heading1"/>
        <w:keepNext/>
        <w:rPr>
          <w:rFonts w:cs="Times New Roman"/>
          <w:noProof/>
          <w:szCs w:val="24"/>
        </w:rPr>
      </w:pPr>
      <w:r>
        <w:rPr>
          <w:noProof/>
        </w:rPr>
        <w:t>Következtetések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E nyomonkövetési keretrendszer egy sor megbízható, alapvető mutatóra alapozva a körforgásos gazdaság fő elemeire irányul – beleért</w:t>
      </w:r>
      <w:r>
        <w:rPr>
          <w:noProof/>
        </w:rPr>
        <w:t>ve a termékek és anyagok életciklusát, a kiemelt területeket és ágazatokat, valamint a versenyképességre, az innovációra és a munkahelyteremtésre gyakorolt hatásokat. Lehetővé válik általa az átmenet kulcstendenciáinak nyomon követése, az intézkedések megf</w:t>
      </w:r>
      <w:r>
        <w:rPr>
          <w:noProof/>
        </w:rPr>
        <w:t>elelőségének és a szereplők eredményességének értékelése, valamint a tagállamok legjobb, terjesztésre érdemes módszereinek meghatározása.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mutatókat folyamatosan frissíteni fogják a nyomonkövetési keretrendszer honlapján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. Ezen a weboldalon megtalálhatók </w:t>
      </w:r>
      <w:r>
        <w:rPr>
          <w:noProof/>
        </w:rPr>
        <w:t>lesznek a haladás nyomon követésére szolgáló eszközök, valamint a mutatókra, adatforrásokra, meghatározásokra és szabványokra vonatkozó módszereket tartalmazó dokumetumok is. A Bizottság folytatja a további fejlesztést igénylő mutatók kidolgozását, különös</w:t>
      </w:r>
      <w:r>
        <w:rPr>
          <w:noProof/>
        </w:rPr>
        <w:t xml:space="preserve"> tekintettel az élelmiszer-pazarlásra és a zöld közbeszerzésre.</w:t>
      </w:r>
    </w:p>
    <w:p w:rsidR="00486A08" w:rsidRDefault="007D074F">
      <w:pPr>
        <w:jc w:val="both"/>
        <w:rPr>
          <w:rFonts w:cs="Times New Roman"/>
          <w:noProof/>
          <w:szCs w:val="24"/>
        </w:rPr>
      </w:pPr>
      <w:r>
        <w:rPr>
          <w:noProof/>
        </w:rPr>
        <w:t>A tagállamokkal és az érdekelt felekkel folytatott párbeszéd elő fogja segíteni a keretrendszer további javítását. A keretrendszer nagymértékben támaszkodik a tagállamok által az Eurostat rend</w:t>
      </w:r>
      <w:r>
        <w:rPr>
          <w:noProof/>
        </w:rPr>
        <w:t>elkezésére bocsátott kiváló minőségű statisztikákra. A Bizottság örülne a többi uniós intézmény részvételének is.</w:t>
      </w:r>
    </w:p>
    <w:p w:rsidR="00486A08" w:rsidRDefault="00486A08">
      <w:pPr>
        <w:rPr>
          <w:noProof/>
        </w:rPr>
      </w:pPr>
    </w:p>
    <w:sectPr w:rsidR="00486A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74710" w15:done="0"/>
  <w15:commentEx w15:paraId="3F7E23D4" w15:done="0"/>
  <w15:commentEx w15:paraId="65314EF6" w15:done="0"/>
  <w15:commentEx w15:paraId="2FAF1021" w15:done="0"/>
  <w15:commentEx w15:paraId="6A0A96E1" w15:done="0"/>
  <w15:commentEx w15:paraId="334B2E39" w15:done="0"/>
  <w15:commentEx w15:paraId="66391D8B" w15:done="0"/>
  <w15:commentEx w15:paraId="2A96B26A" w15:done="0"/>
  <w15:commentEx w15:paraId="382F395C" w15:done="0"/>
  <w15:commentEx w15:paraId="06B84C6D" w15:done="0"/>
  <w15:commentEx w15:paraId="6758A871" w15:done="0"/>
  <w15:commentEx w15:paraId="4F42F5C1" w15:done="0"/>
  <w15:commentEx w15:paraId="56DACCDF" w15:done="0"/>
  <w15:commentEx w15:paraId="22F26619" w15:done="0"/>
  <w15:commentEx w15:paraId="484393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74710" w16cid:durableId="1DCACE53"/>
  <w16cid:commentId w16cid:paraId="3F7E23D4" w16cid:durableId="1DCACE54"/>
  <w16cid:commentId w16cid:paraId="65314EF6" w16cid:durableId="1DCACE55"/>
  <w16cid:commentId w16cid:paraId="2FAF1021" w16cid:durableId="1DCACE56"/>
  <w16cid:commentId w16cid:paraId="6A0A96E1" w16cid:durableId="1DCACE57"/>
  <w16cid:commentId w16cid:paraId="334B2E39" w16cid:durableId="1DCACE58"/>
  <w16cid:commentId w16cid:paraId="66391D8B" w16cid:durableId="1DCACE59"/>
  <w16cid:commentId w16cid:paraId="2A96B26A" w16cid:durableId="1DCAD2DD"/>
  <w16cid:commentId w16cid:paraId="382F395C" w16cid:durableId="1DCACE5A"/>
  <w16cid:commentId w16cid:paraId="06B84C6D" w16cid:durableId="1DCACE5B"/>
  <w16cid:commentId w16cid:paraId="6758A871" w16cid:durableId="1DCACE5C"/>
  <w16cid:commentId w16cid:paraId="4F42F5C1" w16cid:durableId="1DCACE5D"/>
  <w16cid:commentId w16cid:paraId="56DACCDF" w16cid:durableId="1DCACE5E"/>
  <w16cid:commentId w16cid:paraId="22F26619" w16cid:durableId="1DCACE5F"/>
  <w16cid:commentId w16cid:paraId="484393D0" w16cid:durableId="1DCAC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08" w:rsidRDefault="007D074F">
      <w:pPr>
        <w:spacing w:after="0" w:line="240" w:lineRule="auto"/>
      </w:pPr>
      <w:r>
        <w:separator/>
      </w:r>
    </w:p>
  </w:endnote>
  <w:endnote w:type="continuationSeparator" w:id="0">
    <w:p w:rsidR="00486A08" w:rsidRDefault="007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Cond Pro">
    <w:altName w:val="Calibri"/>
    <w:panose1 w:val="020B0506040000020004"/>
    <w:charset w:val="00"/>
    <w:family w:val="swiss"/>
    <w:pitch w:val="variable"/>
    <w:sig w:usb0="A00002BF" w:usb1="500000D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7D074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7340"/>
      <w:docPartObj>
        <w:docPartGallery w:val="Page Numbers (Bottom of Page)"/>
        <w:docPartUnique/>
      </w:docPartObj>
    </w:sdtPr>
    <w:sdtEndPr/>
    <w:sdtContent>
      <w:p w:rsidR="00486A08" w:rsidRDefault="007D0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86A08" w:rsidRDefault="00486A0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08" w:rsidRDefault="007D074F">
      <w:pPr>
        <w:spacing w:after="0" w:line="240" w:lineRule="auto"/>
      </w:pPr>
      <w:r>
        <w:separator/>
      </w:r>
    </w:p>
  </w:footnote>
  <w:footnote w:type="continuationSeparator" w:id="0">
    <w:p w:rsidR="00486A08" w:rsidRDefault="007D074F">
      <w:pPr>
        <w:spacing w:after="0" w:line="240" w:lineRule="auto"/>
      </w:pPr>
      <w:r>
        <w:continuationSeparator/>
      </w:r>
    </w:p>
  </w:footnote>
  <w:footnote w:id="1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COM(2017) 479.</w:t>
      </w:r>
    </w:p>
  </w:footnote>
  <w:footnote w:id="2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https://ec.europa.eu/info/strategy/international-strategies/global-topics/sustainable-development-goals/eu-approach-sustainable-development_hu</w:t>
        </w:r>
      </w:hyperlink>
      <w:r>
        <w:t xml:space="preserve"> </w:t>
      </w:r>
    </w:p>
  </w:footnote>
  <w:footnote w:id="3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COM(2015) 614.</w:t>
      </w:r>
    </w:p>
  </w:footnote>
  <w:footnote w:id="4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  <w:lang w:val="sl-SI"/>
          </w:rPr>
          <w:t>http://www.consilium.europa.eu/en/press/press-releases/2016/06/20/envi-conclusions-circular-economy/pdf</w:t>
        </w:r>
      </w:hyperlink>
    </w:p>
  </w:footnote>
  <w:footnote w:id="5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Az Európai Parlament „Erőforrás-hatékonyság: elmozdulás a körforgásos gazdaság felé” című 2015. július 9-i állásfoglalása </w:t>
      </w:r>
      <w:hyperlink r:id="rId3">
        <w:r>
          <w:rPr>
            <w:rStyle w:val="Hyperlink"/>
          </w:rPr>
          <w:t>(2014/2208(INI)</w:t>
        </w:r>
      </w:hyperlink>
      <w:r>
        <w:t>)</w:t>
      </w:r>
    </w:p>
  </w:footnote>
  <w:footnote w:id="6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>
        <w:r>
          <w:rPr>
            <w:rStyle w:val="Hyperlink"/>
          </w:rPr>
          <w:t>http://ec.europa.eu/environment/resource_efficiency/targets_indicators/scoreboard/index_en.htm</w:t>
        </w:r>
      </w:hyperlink>
      <w:r>
        <w:t>.</w:t>
      </w:r>
    </w:p>
  </w:footnote>
  <w:footnote w:id="7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>
        <w:r>
          <w:rPr>
            <w:rStyle w:val="Hyperlink"/>
          </w:rPr>
          <w:t>https://publications.europa.eu/en/publication-detail/-/publication/1ee65e21-9ac4-11e6-868c-01aa75ed71a1</w:t>
        </w:r>
      </w:hyperlink>
      <w:r>
        <w:t>.</w:t>
      </w:r>
    </w:p>
  </w:footnote>
  <w:footnote w:id="8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>
        <w:r>
          <w:rPr>
            <w:rStyle w:val="Hyperlink"/>
          </w:rPr>
          <w:t>htt</w:t>
        </w:r>
        <w:r>
          <w:rPr>
            <w:rStyle w:val="Hyperlink"/>
          </w:rPr>
          <w:t>p://ec.europa.eu/eurostat/web/circular-economy</w:t>
        </w:r>
      </w:hyperlink>
      <w:r>
        <w:t xml:space="preserve"> </w:t>
      </w:r>
    </w:p>
  </w:footnote>
  <w:footnote w:id="9">
    <w:p w:rsidR="00486A08" w:rsidRDefault="007D074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t>Forrás: Andreas Mayer, Willi Haas, Dominik Wiedenhofer, Fridolin Krausmann, Philip Nuss, Gian Andrea Blengini (hamarosan): A körforgásos gazdaság nyomon követése az EU-28 területén – a gazdaság egészéből sz</w:t>
      </w:r>
      <w:r>
        <w:t>ármazó anyagáramlások, hulladék és kibocsátások anyagmérleg szerinti értékelése hivatalos statisztikák alapján. In: Journal of Industrial Ecology</w:t>
      </w:r>
    </w:p>
  </w:footnote>
  <w:footnote w:id="10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Az energetikai felhasználás az elégetett vagy takarmányok és élelmiszerek előállítására használt nyersanyago</w:t>
      </w:r>
      <w:r>
        <w:t>kra vonatkozik.</w:t>
      </w:r>
    </w:p>
  </w:footnote>
  <w:footnote w:id="11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>
        <w:r>
          <w:rPr>
            <w:rStyle w:val="Hyperlink"/>
          </w:rPr>
          <w:t>https://ec.europa.eu/info/law/better-regulation/initiatives/ares-2017-1830357_en</w:t>
        </w:r>
      </w:hyperlink>
      <w:r>
        <w:t>.</w:t>
      </w:r>
    </w:p>
  </w:footnote>
  <w:footnote w:id="12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 környezeti számlákhoz kapcsolódó hivatalos statisztikák előállítói és erőforrás-hatékonysági/integrált termékpolitikai és nyersanyag-politikai szakértők: </w:t>
      </w:r>
      <w:hyperlink r:id="rId8">
        <w:r>
          <w:rPr>
            <w:rStyle w:val="Hyperlink"/>
          </w:rPr>
          <w:t>http://ec.europa.eu/transparency/regexpert/index.cfm?do=groupDetail.groupDetail&amp;groupID=2673&amp;Lang=HU</w:t>
        </w:r>
      </w:hyperlink>
      <w:r>
        <w:t xml:space="preserve">, </w:t>
      </w:r>
      <w:hyperlink r:id="rId9">
        <w:r>
          <w:rPr>
            <w:rStyle w:val="Hyperlink"/>
          </w:rPr>
          <w:t>http://ec.euro</w:t>
        </w:r>
        <w:r>
          <w:rPr>
            <w:rStyle w:val="Hyperlink"/>
          </w:rPr>
          <w:t>pa.eu/transparency/regexpert/index.cfm?do=groupDetail.groupDetail&amp;groupID=470&amp;Lang=HU</w:t>
        </w:r>
      </w:hyperlink>
      <w:r>
        <w:t xml:space="preserve">, </w:t>
      </w:r>
      <w:hyperlink r:id="rId10">
        <w:r>
          <w:rPr>
            <w:rStyle w:val="Hyperlink"/>
          </w:rPr>
          <w:t>http://ec.europa.eu/transparency/regexpert/index.</w:t>
        </w:r>
        <w:r>
          <w:rPr>
            <w:rStyle w:val="Hyperlink"/>
          </w:rPr>
          <w:t>cfm?do=groupDetail.groupDetail&amp;groupID=2812&amp;Lang=HU</w:t>
        </w:r>
      </w:hyperlink>
      <w:r>
        <w:t xml:space="preserve">, </w:t>
      </w:r>
      <w:hyperlink r:id="rId11">
        <w:r>
          <w:rPr>
            <w:rStyle w:val="Hyperlink"/>
          </w:rPr>
          <w:t>http://ec.europa.eu/transparency/regexpert/index.cfm?do=groupDetail.groupDetail&amp;gro</w:t>
        </w:r>
        <w:r>
          <w:rPr>
            <w:rStyle w:val="Hyperlink"/>
          </w:rPr>
          <w:t>upID=1353&amp;Lang=HU</w:t>
        </w:r>
      </w:hyperlink>
      <w:r>
        <w:t>.</w:t>
      </w:r>
    </w:p>
  </w:footnote>
  <w:footnote w:id="13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COM(2015) 595 final.</w:t>
      </w:r>
    </w:p>
  </w:footnote>
  <w:footnote w:id="14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12">
        <w:r>
          <w:rPr>
            <w:rStyle w:val="Hyperlink"/>
          </w:rPr>
          <w:t>COM(2015) 596 final</w:t>
        </w:r>
      </w:hyperlink>
      <w:r>
        <w:rPr>
          <w:rStyle w:val="Hyperlink"/>
        </w:rPr>
        <w:t>.</w:t>
      </w:r>
    </w:p>
  </w:footnote>
  <w:footnote w:id="15">
    <w:p w:rsidR="00486A08" w:rsidRDefault="007D074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13">
        <w:r>
          <w:rPr>
            <w:rStyle w:val="Hyperlink"/>
          </w:rPr>
          <w:t>http://rmis.jrc.ec.europa.eu/</w:t>
        </w:r>
      </w:hyperlink>
    </w:p>
  </w:footnote>
  <w:footnote w:id="16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COM(2017) 490.</w:t>
      </w:r>
    </w:p>
  </w:footnote>
  <w:footnote w:id="17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Pl. az elektromos autók akkumulátoraihoz használt kobalt, a napelemek esetében a szilícium. </w:t>
      </w:r>
    </w:p>
  </w:footnote>
  <w:footnote w:id="18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>
        <w:r>
          <w:rPr>
            <w:rStyle w:val="Hyperlink"/>
          </w:rPr>
          <w:t>http://ec.europa.eu/environment/gpp/index_en.htm</w:t>
        </w:r>
      </w:hyperlink>
      <w:r>
        <w:t xml:space="preserve"> </w:t>
      </w:r>
    </w:p>
  </w:footnote>
  <w:footnote w:id="19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Háztartásokban és közterületen keletkező</w:t>
      </w:r>
      <w:r>
        <w:t>, valamint más forrásokból származó hasonló hulladék.</w:t>
      </w:r>
    </w:p>
  </w:footnote>
  <w:footnote w:id="20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Az egyes tagállamokban a hulladékkeletkezés mérésében mutatkozó eltérések magyarázattal szolgálhatnak egyes különbségekre.</w:t>
      </w:r>
    </w:p>
  </w:footnote>
  <w:footnote w:id="21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>
        <w:r>
          <w:rPr>
            <w:rStyle w:val="Hyperlink"/>
          </w:rPr>
          <w:t>https://ec.europa.eu/food/safety/food_waste/eu_actions_en</w:t>
        </w:r>
      </w:hyperlink>
      <w:r>
        <w:t xml:space="preserve"> </w:t>
      </w:r>
    </w:p>
  </w:footnote>
  <w:footnote w:id="22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COM(2015) 595 final.</w:t>
      </w:r>
    </w:p>
  </w:footnote>
  <w:footnote w:id="23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 tagállamok eltérő módszereket alkalmaznak az újrahasznosítási ráták számítására, ami magyarázatot adhat a különbségekre. A Bizottság a hulladékról szóló jogalkotási jav</w:t>
      </w:r>
      <w:r>
        <w:t>aslatában közös módszert javasolt.</w:t>
      </w:r>
    </w:p>
  </w:footnote>
  <w:footnote w:id="24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>
        <w:r>
          <w:rPr>
            <w:rStyle w:val="Hyperlink"/>
          </w:rPr>
          <w:t>COM(2015) 596 final</w:t>
        </w:r>
      </w:hyperlink>
      <w:r>
        <w:rPr>
          <w:rStyle w:val="Hyperlink"/>
        </w:rPr>
        <w:t>.</w:t>
      </w:r>
    </w:p>
  </w:footnote>
  <w:footnote w:id="25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vagy készítette elő újrahasználatra</w:t>
      </w:r>
    </w:p>
  </w:footnote>
  <w:footnote w:id="26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 cél nemcsak az újrahasznosításra, hanem az újrahasználatra és más an</w:t>
      </w:r>
      <w:r>
        <w:t>yagvisszanyerésre is vonatkozik, beleértve a nem veszélyes építési és bontási hulladék feltöltését is, kivéve a természetben előforduló anyagokat</w:t>
      </w:r>
    </w:p>
  </w:footnote>
  <w:footnote w:id="27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Olyan hasznosítási művelet, amely során hulladékot használnak talajkiemeléssel érintett területek helyreállí</w:t>
      </w:r>
      <w:r>
        <w:t>tására, vagy tereprendezési célokra.</w:t>
      </w:r>
    </w:p>
  </w:footnote>
  <w:footnote w:id="28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Azaz az újrahasználati és az újrahasznosítási tevékenységek. A bérleti és lízinggel kapcsolatos tevékenységek szintén hozzájárulhatnak a körforgásos gazdasághoz, de egyelőre nem tartoznak ide, mivel a jelenlegi statis</w:t>
      </w:r>
      <w:r>
        <w:t>ztikák alapján nem lehet megfelelő részletezettséggel megkülönböztetni egymástól azokat a tevékenységeket, amelyek egyértelműen hozzájárulnak a körforgásos gazdasághoz, és azokat, amelyek nem. További részletekért lásd a bizottsági szolgálati munkadokument</w:t>
      </w:r>
      <w:r>
        <w:t>umot.</w:t>
      </w:r>
    </w:p>
  </w:footnote>
  <w:footnote w:id="29">
    <w:p w:rsidR="00486A08" w:rsidRDefault="007D07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>
        <w:r>
          <w:rPr>
            <w:rStyle w:val="Hyperlink"/>
          </w:rPr>
          <w:t>http://ec.europa.eu/eurostat/web/circular-economy</w:t>
        </w:r>
      </w:hyperlink>
      <w:r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08" w:rsidRDefault="00486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868"/>
    <w:multiLevelType w:val="hybridMultilevel"/>
    <w:tmpl w:val="0250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9D5"/>
    <w:multiLevelType w:val="hybridMultilevel"/>
    <w:tmpl w:val="882810D6"/>
    <w:lvl w:ilvl="0" w:tplc="640A2BD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B9D"/>
    <w:multiLevelType w:val="hybridMultilevel"/>
    <w:tmpl w:val="064CD4BA"/>
    <w:lvl w:ilvl="0" w:tplc="4BA2E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nus Gislev">
    <w15:presenceInfo w15:providerId="None" w15:userId="Magnus Gisl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ocStatus" w:val="Green"/>
    <w:docVar w:name="LW_CORRIGENDUM" w:val="&lt;UNUSED&gt;"/>
    <w:docVar w:name="LW_COVERPAGE_EXISTS" w:val="True"/>
    <w:docVar w:name="LW_COVERPAGE_GUID" w:val="55C6BCD2-A187-4230-A34D-559BF2D968F5"/>
    <w:docVar w:name="LW_COVERPAGE_TYPE" w:val="1"/>
    <w:docVar w:name="LW_CROSSREFERENCE" w:val="{SWD(2018) 17 final}"/>
    <w:docVar w:name="LW_DocType" w:val="NORMAL"/>
    <w:docVar w:name="LW_EMISSION" w:val="2018.1.16."/>
    <w:docVar w:name="LW_EMISSION_ISODATE" w:val="2018-01-16"/>
    <w:docVar w:name="LW_EMISSION_LOCATION" w:val="STR"/>
    <w:docVar w:name="LW_EMISSION_PREFIX" w:val="Strasbourg, "/>
    <w:docVar w:name="LW_EMISSION_SUFFIX" w:val="&lt;EMPTY&gt;"/>
    <w:docVar w:name="LW_ID_DOCTYPE_NONLW" w:val="CP-014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Font=Calibri CE,Bold&gt;a körforgásos gazdaság nyomonkövetési keretrendszerér\u337?l&lt;/FMT&gt;_x000b_"/>
    <w:docVar w:name="LW_TYPE.DOC.CP" w:val="A BIZOTTSÁG KÖZLEMÉNYE AZ EURÓPAI PARLAMENTNEK, A TANÁCSNAK, AZ EURÓPAI GAZDASÁGI ÉS SZOCIÁLIS BIZOTTSÁGNAK ÉS A RÉGIÓK BIZOTTSÁGÁNAK"/>
    <w:docVar w:name="LW_TYPE.DOC.CP.USERTEXT" w:val="&lt;EMPTY&gt;"/>
    <w:docVar w:name="Stamp" w:val="\\dossiers.dgt.cec.eu.int\dossiers\ENV\ENV-2017-00787\ENV-2017-00787-00-00-EN-REV-00.201710201550353413389.DOCX"/>
  </w:docVars>
  <w:rsids>
    <w:rsidRoot w:val="00486A08"/>
    <w:rsid w:val="00486A08"/>
    <w:rsid w:val="007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1"/>
      </w:numPr>
      <w:spacing w:after="120"/>
      <w:ind w:left="425" w:hanging="357"/>
      <w:contextualSpacing w:val="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styleId="FootnoteText">
    <w:name w:val="footnote text"/>
    <w:aliases w:val="footnote,Footnote text,fn,Schriftart: 9 pt,Schriftart: 10 pt,Schriftart: 8 pt,WB-Fußnotentext,Footnote Text_EP-LCA,Text_EP-LCA,Char5,Text,Reference,Fußnote,Footnote Text Char Char,Footnote Text Char Char Char Char,Footnote Text1,o,Fußn,f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ootnote text Char,fn Char,Schriftart: 9 pt Char,Schriftart: 10 pt Char,Schriftart: 8 pt Char,WB-Fußnotentext Char,Footnote Text_EP-LCA Char,Text_EP-LCA Char,Char5 Char,Text Char,Reference Char,Fußnote Char,o Char,f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number,no...,(Footnote Reference),Footnote Reference_EP-LCA"/>
    <w:basedOn w:val="DefaultParagraphFont"/>
    <w:unhideWhenUsed/>
    <w:rPr>
      <w:vertAlign w:val="superscript"/>
    </w:rPr>
  </w:style>
  <w:style w:type="paragraph" w:customStyle="1" w:styleId="Figurecaption">
    <w:name w:val="Figure caption"/>
    <w:basedOn w:val="Normal"/>
    <w:link w:val="FigurecaptionChar"/>
    <w:qFormat/>
    <w:pPr>
      <w:spacing w:after="120"/>
    </w:pPr>
    <w:rPr>
      <w:rFonts w:cs="Arial"/>
      <w:b/>
      <w:sz w:val="20"/>
      <w:szCs w:val="20"/>
    </w:rPr>
  </w:style>
  <w:style w:type="character" w:customStyle="1" w:styleId="FigurecaptionChar">
    <w:name w:val="Figure caption Char"/>
    <w:basedOn w:val="DefaultParagraphFont"/>
    <w:link w:val="Figurecaption"/>
    <w:rPr>
      <w:rFonts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pPr>
      <w:widowControl w:val="0"/>
      <w:autoSpaceDE w:val="0"/>
      <w:autoSpaceDN w:val="0"/>
      <w:adjustRightInd w:val="0"/>
      <w:spacing w:after="113" w:line="236" w:lineRule="atLeast"/>
      <w:jc w:val="both"/>
      <w:textAlignment w:val="center"/>
    </w:pPr>
    <w:rPr>
      <w:rFonts w:ascii="Arial" w:eastAsia="Cambria" w:hAnsi="Arial" w:cs="Times-Roman"/>
      <w:color w:val="000000"/>
      <w:sz w:val="19"/>
      <w:szCs w:val="16"/>
    </w:rPr>
  </w:style>
  <w:style w:type="character" w:customStyle="1" w:styleId="BodyChar">
    <w:name w:val="Body Char"/>
    <w:link w:val="Body"/>
    <w:rPr>
      <w:rFonts w:ascii="Arial" w:eastAsia="Cambria" w:hAnsi="Arial" w:cs="Times-Roman"/>
      <w:color w:val="000000"/>
      <w:sz w:val="19"/>
      <w:szCs w:val="16"/>
      <w:lang w:eastAsia="hu-HU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1"/>
      </w:numPr>
      <w:spacing w:after="120"/>
      <w:ind w:left="425" w:hanging="357"/>
      <w:contextualSpacing w:val="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styleId="FootnoteText">
    <w:name w:val="footnote text"/>
    <w:aliases w:val="footnote,Footnote text,fn,Schriftart: 9 pt,Schriftart: 10 pt,Schriftart: 8 pt,WB-Fußnotentext,Footnote Text_EP-LCA,Text_EP-LCA,Char5,Text,Reference,Fußnote,Footnote Text Char Char,Footnote Text Char Char Char Char,Footnote Text1,o,Fußn,f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ootnote text Char,fn Char,Schriftart: 9 pt Char,Schriftart: 10 pt Char,Schriftart: 8 pt Char,WB-Fußnotentext Char,Footnote Text_EP-LCA Char,Text_EP-LCA Char,Char5 Char,Text Char,Reference Char,Fußnote Char,o Char,f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number,no...,(Footnote Reference),Footnote Reference_EP-LCA"/>
    <w:basedOn w:val="DefaultParagraphFont"/>
    <w:unhideWhenUsed/>
    <w:rPr>
      <w:vertAlign w:val="superscript"/>
    </w:rPr>
  </w:style>
  <w:style w:type="paragraph" w:customStyle="1" w:styleId="Figurecaption">
    <w:name w:val="Figure caption"/>
    <w:basedOn w:val="Normal"/>
    <w:link w:val="FigurecaptionChar"/>
    <w:qFormat/>
    <w:pPr>
      <w:spacing w:after="120"/>
    </w:pPr>
    <w:rPr>
      <w:rFonts w:cs="Arial"/>
      <w:b/>
      <w:sz w:val="20"/>
      <w:szCs w:val="20"/>
    </w:rPr>
  </w:style>
  <w:style w:type="character" w:customStyle="1" w:styleId="FigurecaptionChar">
    <w:name w:val="Figure caption Char"/>
    <w:basedOn w:val="DefaultParagraphFont"/>
    <w:link w:val="Figurecaption"/>
    <w:rPr>
      <w:rFonts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pPr>
      <w:widowControl w:val="0"/>
      <w:autoSpaceDE w:val="0"/>
      <w:autoSpaceDN w:val="0"/>
      <w:adjustRightInd w:val="0"/>
      <w:spacing w:after="113" w:line="236" w:lineRule="atLeast"/>
      <w:jc w:val="both"/>
      <w:textAlignment w:val="center"/>
    </w:pPr>
    <w:rPr>
      <w:rFonts w:ascii="Arial" w:eastAsia="Cambria" w:hAnsi="Arial" w:cs="Times-Roman"/>
      <w:color w:val="000000"/>
      <w:sz w:val="19"/>
      <w:szCs w:val="16"/>
    </w:rPr>
  </w:style>
  <w:style w:type="character" w:customStyle="1" w:styleId="BodyChar">
    <w:name w:val="Body Char"/>
    <w:link w:val="Body"/>
    <w:rPr>
      <w:rFonts w:ascii="Arial" w:eastAsia="Cambria" w:hAnsi="Arial" w:cs="Times-Roman"/>
      <w:color w:val="000000"/>
      <w:sz w:val="19"/>
      <w:szCs w:val="16"/>
      <w:lang w:eastAsia="hu-HU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Heading1Char"/>
    <w:link w:val="FooterSensitivity"/>
    <w:rPr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Heading1Char"/>
    <w:link w:val="HeaderSensitivity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nsparency/regexpert/index.cfm?do=groupDetail.groupDetail&amp;groupID=2673&amp;Lang=HU" TargetMode="External"/><Relationship Id="rId13" Type="http://schemas.openxmlformats.org/officeDocument/2006/relationships/hyperlink" Target="http://rmis.jrc.ec.europa.eu/" TargetMode="External"/><Relationship Id="rId3" Type="http://schemas.openxmlformats.org/officeDocument/2006/relationships/hyperlink" Target="http://www.europarl.europa.eu/oeil/popups/ficheprocedure.do?lang=en&amp;reference=2014/2208(INI)" TargetMode="External"/><Relationship Id="rId7" Type="http://schemas.openxmlformats.org/officeDocument/2006/relationships/hyperlink" Target="https://ec.europa.eu/info/law/better-regulation/initiatives/ares-2017-1830357_en" TargetMode="External"/><Relationship Id="rId12" Type="http://schemas.openxmlformats.org/officeDocument/2006/relationships/hyperlink" Target="http://eur-lex.europa.eu/legal-content/HU/TXT/?uri=CELEX:52015PC0596" TargetMode="External"/><Relationship Id="rId17" Type="http://schemas.openxmlformats.org/officeDocument/2006/relationships/hyperlink" Target="http://ec.europa.eu/eurostat/web/circular-economy" TargetMode="External"/><Relationship Id="rId2" Type="http://schemas.openxmlformats.org/officeDocument/2006/relationships/hyperlink" Target="http://www.consilium.europa.eu/en/press/press-releases/2016/06/20/envi-conclusions-circular-economy/pdf" TargetMode="External"/><Relationship Id="rId16" Type="http://schemas.openxmlformats.org/officeDocument/2006/relationships/hyperlink" Target="http://eur-lex.europa.eu/legal-content/HU/TXT/?uri=CELEX:52015PC0596" TargetMode="External"/><Relationship Id="rId1" Type="http://schemas.openxmlformats.org/officeDocument/2006/relationships/hyperlink" Target="https://ec.europa.eu/info/strategy/international-strategies/global-topics/sustainable-development-goals/eu-approach-sustainable-development_hu" TargetMode="External"/><Relationship Id="rId6" Type="http://schemas.openxmlformats.org/officeDocument/2006/relationships/hyperlink" Target="http://ec.europa.eu/eurostat/web/circular-economy" TargetMode="External"/><Relationship Id="rId11" Type="http://schemas.openxmlformats.org/officeDocument/2006/relationships/hyperlink" Target="http://ec.europa.eu/transparency/regexpert/index.cfm?do=groupDetail.groupDetail&amp;groupID=1353&amp;Lang=HU" TargetMode="External"/><Relationship Id="rId5" Type="http://schemas.openxmlformats.org/officeDocument/2006/relationships/hyperlink" Target="https://publications.europa.eu/en/publication-detail/-/publication/1ee65e21-9ac4-11e6-868c-01aa75ed71a1" TargetMode="External"/><Relationship Id="rId15" Type="http://schemas.openxmlformats.org/officeDocument/2006/relationships/hyperlink" Target="https://ec.europa.eu/food/safety/food_waste/eu_actions_en" TargetMode="External"/><Relationship Id="rId10" Type="http://schemas.openxmlformats.org/officeDocument/2006/relationships/hyperlink" Target="http://ec.europa.eu/transparency/regexpert/index.cfm?do=groupDetail.groupDetail&amp;groupID=2812&amp;Lang=HU" TargetMode="External"/><Relationship Id="rId4" Type="http://schemas.openxmlformats.org/officeDocument/2006/relationships/hyperlink" Target="http://ec.europa.eu/environment/resource_efficiency/targets_indicators/scoreboard/index_en.htm" TargetMode="External"/><Relationship Id="rId9" Type="http://schemas.openxmlformats.org/officeDocument/2006/relationships/hyperlink" Target="http://ec.europa.eu/transparency/regexpert/index.cfm?do=groupDetail.groupDetail&amp;groupID=470&amp;Lang=HU" TargetMode="External"/><Relationship Id="rId14" Type="http://schemas.openxmlformats.org/officeDocument/2006/relationships/hyperlink" Target="http://ec.europa.eu/environment/gpp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CA9-60DF-4D4D-AF63-C56165E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3109</Words>
  <Characters>17660</Characters>
  <Application>Microsoft Office Word</Application>
  <DocSecurity>0</DocSecurity>
  <Lines>252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Stefanie Heilemann</cp:lastModifiedBy>
  <cp:revision>2</cp:revision>
  <cp:lastPrinted>2018-01-08T15:21:00Z</cp:lastPrinted>
  <dcterms:created xsi:type="dcterms:W3CDTF">2018-01-19T16:41:00Z</dcterms:created>
  <dcterms:modified xsi:type="dcterms:W3CDTF">2018-01-19T16:41:00Z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