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5D" w:rsidRDefault="007E38D9">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4C5252D-48CE-4B49-AABE-8521EB7C0A28" style="width:451.65pt;height:408.6pt">
            <v:imagedata r:id="rId12" o:title=""/>
          </v:shape>
        </w:pict>
      </w:r>
    </w:p>
    <w:bookmarkEnd w:id="0"/>
    <w:p w:rsidR="0009705D" w:rsidRDefault="0009705D">
      <w:pPr>
        <w:rPr>
          <w:noProof/>
        </w:rPr>
        <w:sectPr w:rsidR="0009705D">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0"/>
          <w:cols w:space="720"/>
          <w:docGrid w:linePitch="360"/>
        </w:sectPr>
      </w:pPr>
    </w:p>
    <w:p w:rsidR="0009705D" w:rsidRDefault="0009705D">
      <w:pPr>
        <w:rPr>
          <w:noProof/>
        </w:rPr>
      </w:pPr>
    </w:p>
    <w:tbl>
      <w:tblPr>
        <w:tblStyle w:val="TableGrid"/>
        <w:tblW w:w="10196" w:type="dxa"/>
        <w:tblLook w:val="01E0" w:firstRow="1" w:lastRow="1" w:firstColumn="1" w:lastColumn="1" w:noHBand="0" w:noVBand="0"/>
      </w:tblPr>
      <w:tblGrid>
        <w:gridCol w:w="10196"/>
      </w:tblGrid>
      <w:tr w:rsidR="0009705D">
        <w:trPr>
          <w:trHeight w:val="194"/>
        </w:trPr>
        <w:tc>
          <w:tcPr>
            <w:tcW w:w="10196" w:type="dxa"/>
            <w:tcBorders>
              <w:bottom w:val="single" w:sz="4" w:space="0" w:color="auto"/>
            </w:tcBorders>
            <w:shd w:val="clear" w:color="auto" w:fill="CCCCCC"/>
          </w:tcPr>
          <w:p w:rsidR="0009705D" w:rsidRDefault="007E38D9">
            <w:pPr>
              <w:spacing w:before="60" w:after="60"/>
              <w:rPr>
                <w:rFonts w:ascii="Tahoma" w:hAnsi="Tahoma" w:cs="Tahoma"/>
                <w:b/>
                <w:noProof/>
                <w:sz w:val="20"/>
                <w:szCs w:val="20"/>
              </w:rPr>
            </w:pPr>
            <w:r>
              <w:rPr>
                <w:rFonts w:ascii="Tahoma" w:hAnsi="Tahoma"/>
                <w:b/>
                <w:noProof/>
                <w:sz w:val="20"/>
              </w:rPr>
              <w:t>Sammanfattning (högst 2 sidor)</w:t>
            </w:r>
          </w:p>
        </w:tc>
      </w:tr>
      <w:tr w:rsidR="0009705D">
        <w:trPr>
          <w:trHeight w:val="397"/>
        </w:trPr>
        <w:tc>
          <w:tcPr>
            <w:tcW w:w="10196" w:type="dxa"/>
            <w:tcBorders>
              <w:top w:val="single" w:sz="4" w:space="0" w:color="auto"/>
              <w:left w:val="single" w:sz="4" w:space="0" w:color="auto"/>
              <w:bottom w:val="single" w:sz="4" w:space="0" w:color="auto"/>
              <w:right w:val="single" w:sz="4" w:space="0" w:color="auto"/>
            </w:tcBorders>
            <w:shd w:val="clear" w:color="auto" w:fill="4F81BD" w:themeFill="accent1"/>
          </w:tcPr>
          <w:p w:rsidR="0009705D" w:rsidRDefault="007E38D9">
            <w:pPr>
              <w:spacing w:before="120" w:after="120"/>
              <w:jc w:val="both"/>
              <w:rPr>
                <w:rFonts w:ascii="Tahoma" w:hAnsi="Tahoma" w:cs="Tahoma"/>
                <w:noProof/>
                <w:sz w:val="20"/>
                <w:szCs w:val="20"/>
              </w:rPr>
            </w:pPr>
            <w:r>
              <w:rPr>
                <w:rFonts w:ascii="Tahoma" w:hAnsi="Tahoma"/>
                <w:noProof/>
                <w:sz w:val="20"/>
              </w:rPr>
              <w:t>Konsekvensbedömning för översynen av direktiv 2000/59/EG om mottagningsanordningar i hamn för fartygsgenererat avfall</w:t>
            </w:r>
            <w:r>
              <w:rPr>
                <w:rFonts w:ascii="Tahoma" w:hAnsi="Tahoma"/>
                <w:noProof/>
                <w:sz w:val="20"/>
              </w:rPr>
              <w:t xml:space="preserve"> och lastrester</w:t>
            </w:r>
          </w:p>
        </w:tc>
      </w:tr>
      <w:tr w:rsidR="0009705D">
        <w:trPr>
          <w:trHeight w:val="194"/>
        </w:trPr>
        <w:tc>
          <w:tcPr>
            <w:tcW w:w="10196" w:type="dxa"/>
            <w:tcBorders>
              <w:bottom w:val="single" w:sz="4" w:space="0" w:color="auto"/>
            </w:tcBorders>
            <w:shd w:val="clear" w:color="auto" w:fill="CCCCCC"/>
          </w:tcPr>
          <w:p w:rsidR="0009705D" w:rsidRDefault="007E38D9">
            <w:pPr>
              <w:spacing w:before="60" w:after="60"/>
              <w:rPr>
                <w:rFonts w:ascii="Tahoma" w:hAnsi="Tahoma" w:cs="Tahoma"/>
                <w:b/>
                <w:noProof/>
                <w:sz w:val="20"/>
                <w:szCs w:val="20"/>
              </w:rPr>
            </w:pPr>
            <w:r>
              <w:rPr>
                <w:rFonts w:ascii="Tahoma" w:hAnsi="Tahoma"/>
                <w:b/>
                <w:noProof/>
                <w:sz w:val="20"/>
              </w:rPr>
              <w:t>A. Behov av åtgärder</w:t>
            </w:r>
          </w:p>
        </w:tc>
      </w:tr>
      <w:tr w:rsidR="0009705D">
        <w:trPr>
          <w:trHeight w:val="129"/>
        </w:trPr>
        <w:tc>
          <w:tcPr>
            <w:tcW w:w="10196" w:type="dxa"/>
            <w:tcBorders>
              <w:bottom w:val="single" w:sz="4" w:space="0" w:color="auto"/>
            </w:tcBorders>
            <w:shd w:val="clear" w:color="auto" w:fill="E0E0E0"/>
          </w:tcPr>
          <w:p w:rsidR="0009705D" w:rsidRDefault="007E38D9">
            <w:pPr>
              <w:pStyle w:val="Default"/>
              <w:jc w:val="both"/>
              <w:rPr>
                <w:rFonts w:ascii="Tahoma" w:hAnsi="Tahoma" w:cs="Tahoma"/>
                <w:noProof/>
                <w:sz w:val="20"/>
                <w:szCs w:val="20"/>
              </w:rPr>
            </w:pPr>
            <w:r>
              <w:rPr>
                <w:rFonts w:ascii="Tahoma" w:hAnsi="Tahoma"/>
                <w:b/>
                <w:noProof/>
                <w:sz w:val="20"/>
              </w:rPr>
              <w:t xml:space="preserve">Vad är problemet och varför är det ett problem på EU-nivå? </w:t>
            </w:r>
          </w:p>
        </w:tc>
      </w:tr>
      <w:tr w:rsidR="0009705D">
        <w:trPr>
          <w:trHeight w:val="608"/>
        </w:trPr>
        <w:tc>
          <w:tcPr>
            <w:tcW w:w="10196" w:type="dxa"/>
            <w:tcBorders>
              <w:bottom w:val="single" w:sz="4" w:space="0" w:color="auto"/>
            </w:tcBorders>
            <w:shd w:val="clear" w:color="auto" w:fill="auto"/>
          </w:tcPr>
          <w:p w:rsidR="0009705D" w:rsidRDefault="007E38D9">
            <w:pPr>
              <w:jc w:val="both"/>
              <w:rPr>
                <w:rFonts w:ascii="Tahoma" w:hAnsi="Tahoma" w:cs="Tahoma"/>
                <w:noProof/>
                <w:sz w:val="20"/>
                <w:szCs w:val="20"/>
              </w:rPr>
            </w:pPr>
            <w:r>
              <w:rPr>
                <w:rFonts w:ascii="Tahoma" w:hAnsi="Tahoma"/>
                <w:noProof/>
                <w:sz w:val="20"/>
              </w:rPr>
              <w:t xml:space="preserve">1. </w:t>
            </w:r>
            <w:r>
              <w:rPr>
                <w:rFonts w:ascii="Tahoma" w:hAnsi="Tahoma"/>
                <w:b/>
                <w:noProof/>
                <w:sz w:val="20"/>
              </w:rPr>
              <w:t>Utsläpp av avfall i havet</w:t>
            </w:r>
            <w:r>
              <w:rPr>
                <w:rFonts w:ascii="Tahoma" w:hAnsi="Tahoma"/>
                <w:noProof/>
                <w:sz w:val="20"/>
              </w:rPr>
              <w:t xml:space="preserve">, vilket har en negativ inverkan på den marina miljön. Årliga uppskattningar: Oljehaltigt avfall 31 000 m³, toalettavfall: </w:t>
            </w:r>
            <w:r>
              <w:rPr>
                <w:rFonts w:ascii="Tahoma" w:hAnsi="Tahoma"/>
                <w:noProof/>
                <w:sz w:val="20"/>
              </w:rPr>
              <w:t>136 000 m³ och fast avfall: 60 000–300 000 ton.</w:t>
            </w:r>
          </w:p>
          <w:p w:rsidR="0009705D" w:rsidRDefault="007E38D9">
            <w:pPr>
              <w:jc w:val="both"/>
              <w:rPr>
                <w:rFonts w:ascii="Tahoma" w:hAnsi="Tahoma" w:cs="Tahoma"/>
                <w:noProof/>
                <w:sz w:val="20"/>
                <w:szCs w:val="20"/>
              </w:rPr>
            </w:pPr>
            <w:r>
              <w:rPr>
                <w:rFonts w:ascii="Tahoma" w:hAnsi="Tahoma"/>
                <w:noProof/>
                <w:sz w:val="20"/>
              </w:rPr>
              <w:t xml:space="preserve">2. </w:t>
            </w:r>
            <w:r>
              <w:rPr>
                <w:rFonts w:ascii="Tahoma" w:hAnsi="Tahoma"/>
                <w:b/>
                <w:noProof/>
                <w:sz w:val="20"/>
              </w:rPr>
              <w:t>Administrativ börda</w:t>
            </w:r>
            <w:r>
              <w:rPr>
                <w:rFonts w:ascii="Tahoma" w:hAnsi="Tahoma"/>
                <w:noProof/>
                <w:sz w:val="20"/>
              </w:rPr>
              <w:t xml:space="preserve"> (beräknad till 127 miljoner euro/år) förknippad med genomförandet av direktivet, vilket inverkar negativt på sjötransportverksamhet.</w:t>
            </w:r>
          </w:p>
        </w:tc>
      </w:tr>
      <w:tr w:rsidR="0009705D">
        <w:trPr>
          <w:trHeight w:val="12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Vad vill man uppnå? </w:t>
            </w:r>
          </w:p>
        </w:tc>
      </w:tr>
      <w:tr w:rsidR="0009705D">
        <w:trPr>
          <w:trHeight w:val="556"/>
        </w:trPr>
        <w:tc>
          <w:tcPr>
            <w:tcW w:w="10196" w:type="dxa"/>
            <w:tcBorders>
              <w:bottom w:val="single" w:sz="4" w:space="0" w:color="auto"/>
            </w:tcBorders>
            <w:shd w:val="clear" w:color="auto" w:fill="auto"/>
          </w:tcPr>
          <w:p w:rsidR="0009705D" w:rsidRDefault="007E38D9">
            <w:pPr>
              <w:jc w:val="both"/>
              <w:rPr>
                <w:rFonts w:ascii="Tahoma" w:hAnsi="Tahoma" w:cs="Tahoma"/>
                <w:noProof/>
                <w:sz w:val="20"/>
                <w:szCs w:val="20"/>
              </w:rPr>
            </w:pPr>
            <w:r>
              <w:rPr>
                <w:rFonts w:ascii="Tahoma" w:hAnsi="Tahoma"/>
                <w:noProof/>
                <w:sz w:val="20"/>
              </w:rPr>
              <w:t>1. Skydd av den marina miljön</w:t>
            </w:r>
            <w:r>
              <w:rPr>
                <w:rFonts w:ascii="Tahoma" w:hAnsi="Tahoma"/>
                <w:noProof/>
                <w:sz w:val="20"/>
              </w:rPr>
              <w:t xml:space="preserve"> genom att minska utsläppen av fartygsgenererat avfall till havs och bidra till de övergripande målen för den cirkulära ekonomin.</w:t>
            </w:r>
          </w:p>
          <w:p w:rsidR="0009705D" w:rsidRDefault="007E38D9">
            <w:pPr>
              <w:jc w:val="both"/>
              <w:rPr>
                <w:rFonts w:ascii="Tahoma" w:hAnsi="Tahoma" w:cs="Tahoma"/>
                <w:noProof/>
                <w:sz w:val="20"/>
                <w:szCs w:val="20"/>
              </w:rPr>
            </w:pPr>
            <w:r>
              <w:rPr>
                <w:rFonts w:ascii="Tahoma" w:hAnsi="Tahoma"/>
                <w:noProof/>
                <w:sz w:val="20"/>
              </w:rPr>
              <w:t>2. Underlättande av sjöfartsverksamhet genom minskning av den administrativa bördan.</w:t>
            </w:r>
          </w:p>
        </w:tc>
      </w:tr>
      <w:tr w:rsidR="0009705D">
        <w:trPr>
          <w:trHeight w:val="12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Vad är mervärdet med åtgärder på EU-nivå</w:t>
            </w:r>
            <w:r>
              <w:rPr>
                <w:rFonts w:ascii="Tahoma" w:hAnsi="Tahoma"/>
                <w:b/>
                <w:noProof/>
                <w:sz w:val="20"/>
              </w:rPr>
              <w:t xml:space="preserve"> (subsidiaritet)? </w:t>
            </w:r>
          </w:p>
        </w:tc>
      </w:tr>
      <w:tr w:rsidR="0009705D">
        <w:trPr>
          <w:trHeight w:val="872"/>
        </w:trPr>
        <w:tc>
          <w:tcPr>
            <w:tcW w:w="10196" w:type="dxa"/>
            <w:tcBorders>
              <w:bottom w:val="single" w:sz="4" w:space="0" w:color="auto"/>
            </w:tcBorders>
            <w:shd w:val="clear" w:color="auto" w:fill="auto"/>
          </w:tcPr>
          <w:p w:rsidR="0009705D" w:rsidRDefault="007E38D9">
            <w:pPr>
              <w:jc w:val="both"/>
              <w:rPr>
                <w:rFonts w:ascii="Tahoma" w:hAnsi="Tahoma" w:cs="Tahoma"/>
                <w:noProof/>
                <w:sz w:val="20"/>
                <w:szCs w:val="20"/>
              </w:rPr>
            </w:pPr>
            <w:r>
              <w:rPr>
                <w:rFonts w:ascii="Tahoma" w:hAnsi="Tahoma"/>
                <w:noProof/>
                <w:sz w:val="20"/>
              </w:rPr>
              <w:t>Åtgärder på EU-nivå är nödvändiga för att</w:t>
            </w:r>
          </w:p>
          <w:p w:rsidR="0009705D" w:rsidRDefault="007E38D9">
            <w:pPr>
              <w:pStyle w:val="ListParagraph"/>
              <w:numPr>
                <w:ilvl w:val="0"/>
                <w:numId w:val="6"/>
              </w:numPr>
              <w:jc w:val="both"/>
              <w:rPr>
                <w:rFonts w:ascii="Tahoma" w:hAnsi="Tahoma" w:cs="Tahoma"/>
                <w:noProof/>
                <w:sz w:val="20"/>
                <w:szCs w:val="20"/>
              </w:rPr>
            </w:pPr>
            <w:r>
              <w:rPr>
                <w:rFonts w:ascii="Tahoma" w:hAnsi="Tahoma"/>
                <w:noProof/>
                <w:sz w:val="20"/>
              </w:rPr>
              <w:t>åstadkomma ett harmoniserat genomförande av internationellt överenskomna regler (Marpol) för att lösa problemet med föroreningar förorsakade av fartyg,</w:t>
            </w:r>
          </w:p>
          <w:p w:rsidR="0009705D" w:rsidRDefault="007E38D9">
            <w:pPr>
              <w:pStyle w:val="ListParagraph"/>
              <w:numPr>
                <w:ilvl w:val="0"/>
                <w:numId w:val="6"/>
              </w:numPr>
              <w:jc w:val="both"/>
              <w:rPr>
                <w:rFonts w:ascii="Tahoma" w:hAnsi="Tahoma" w:cs="Tahoma"/>
                <w:noProof/>
                <w:sz w:val="20"/>
                <w:szCs w:val="20"/>
              </w:rPr>
            </w:pPr>
            <w:r>
              <w:rPr>
                <w:rFonts w:ascii="Tahoma" w:hAnsi="Tahoma"/>
                <w:noProof/>
                <w:sz w:val="20"/>
              </w:rPr>
              <w:t xml:space="preserve">skapa lika villkor för hamnar och </w:t>
            </w:r>
            <w:r>
              <w:rPr>
                <w:rFonts w:ascii="Tahoma" w:hAnsi="Tahoma"/>
                <w:noProof/>
                <w:sz w:val="20"/>
              </w:rPr>
              <w:t>hamnanvändare i syfte att öka sektorns konkurrenskraft.</w:t>
            </w:r>
          </w:p>
        </w:tc>
      </w:tr>
      <w:tr w:rsidR="0009705D">
        <w:trPr>
          <w:trHeight w:val="194"/>
        </w:trPr>
        <w:tc>
          <w:tcPr>
            <w:tcW w:w="10196" w:type="dxa"/>
            <w:tcBorders>
              <w:bottom w:val="single" w:sz="4" w:space="0" w:color="auto"/>
            </w:tcBorders>
            <w:shd w:val="clear" w:color="auto" w:fill="CCCCCC"/>
          </w:tcPr>
          <w:p w:rsidR="0009705D" w:rsidRDefault="007E38D9">
            <w:pPr>
              <w:spacing w:before="60" w:after="60"/>
              <w:rPr>
                <w:rFonts w:ascii="Tahoma" w:hAnsi="Tahoma" w:cs="Tahoma"/>
                <w:b/>
                <w:noProof/>
                <w:sz w:val="20"/>
                <w:szCs w:val="20"/>
              </w:rPr>
            </w:pPr>
            <w:r>
              <w:rPr>
                <w:rFonts w:ascii="Tahoma" w:hAnsi="Tahoma"/>
                <w:b/>
                <w:noProof/>
                <w:sz w:val="20"/>
              </w:rPr>
              <w:t>B. Lösningar</w:t>
            </w:r>
          </w:p>
        </w:tc>
      </w:tr>
      <w:tr w:rsidR="0009705D">
        <w:trPr>
          <w:trHeight w:val="25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Vilka alternativ finns för att nå målen? Finns det ett rekommenderat alternativ? Om inte, varför? </w:t>
            </w:r>
          </w:p>
        </w:tc>
      </w:tr>
      <w:tr w:rsidR="0009705D">
        <w:trPr>
          <w:trHeight w:val="1502"/>
        </w:trPr>
        <w:tc>
          <w:tcPr>
            <w:tcW w:w="10196" w:type="dxa"/>
            <w:tcBorders>
              <w:bottom w:val="single" w:sz="4" w:space="0" w:color="auto"/>
            </w:tcBorders>
            <w:shd w:val="clear" w:color="auto" w:fill="auto"/>
          </w:tcPr>
          <w:p w:rsidR="0009705D" w:rsidRDefault="007E38D9">
            <w:pPr>
              <w:pStyle w:val="ListParagraph"/>
              <w:numPr>
                <w:ilvl w:val="0"/>
                <w:numId w:val="7"/>
              </w:numPr>
              <w:spacing w:before="120"/>
              <w:ind w:left="360"/>
              <w:jc w:val="both"/>
              <w:rPr>
                <w:rFonts w:ascii="Tahoma" w:hAnsi="Tahoma" w:cs="Tahoma"/>
                <w:noProof/>
                <w:sz w:val="20"/>
                <w:szCs w:val="20"/>
              </w:rPr>
            </w:pPr>
            <w:r>
              <w:rPr>
                <w:rFonts w:ascii="Tahoma" w:hAnsi="Tahoma"/>
                <w:b/>
                <w:noProof/>
                <w:sz w:val="20"/>
              </w:rPr>
              <w:t>Alternativ 1</w:t>
            </w:r>
            <w:r>
              <w:rPr>
                <w:rFonts w:ascii="Tahoma" w:hAnsi="Tahoma"/>
                <w:noProof/>
                <w:sz w:val="20"/>
              </w:rPr>
              <w:t xml:space="preserve">: </w:t>
            </w:r>
            <w:r>
              <w:rPr>
                <w:rFonts w:ascii="Tahoma" w:hAnsi="Tahoma"/>
                <w:b/>
                <w:noProof/>
                <w:sz w:val="20"/>
              </w:rPr>
              <w:t>Referensscenario</w:t>
            </w:r>
          </w:p>
          <w:p w:rsidR="0009705D" w:rsidRDefault="007E38D9">
            <w:pPr>
              <w:pStyle w:val="ListParagraph"/>
              <w:numPr>
                <w:ilvl w:val="0"/>
                <w:numId w:val="7"/>
              </w:numPr>
              <w:spacing w:before="120"/>
              <w:ind w:left="360"/>
              <w:jc w:val="both"/>
              <w:rPr>
                <w:rFonts w:ascii="Tahoma" w:hAnsi="Tahoma" w:cs="Tahoma"/>
                <w:noProof/>
                <w:sz w:val="20"/>
                <w:szCs w:val="20"/>
              </w:rPr>
            </w:pPr>
            <w:r>
              <w:rPr>
                <w:rFonts w:ascii="Tahoma" w:hAnsi="Tahoma"/>
                <w:b/>
                <w:noProof/>
                <w:sz w:val="20"/>
              </w:rPr>
              <w:t>Alternativ 2</w:t>
            </w:r>
            <w:r>
              <w:rPr>
                <w:rFonts w:ascii="Tahoma" w:hAnsi="Tahoma"/>
                <w:noProof/>
                <w:sz w:val="20"/>
              </w:rPr>
              <w:t xml:space="preserve">: </w:t>
            </w:r>
            <w:r>
              <w:rPr>
                <w:rFonts w:ascii="Tahoma" w:hAnsi="Tahoma"/>
                <w:b/>
                <w:noProof/>
                <w:sz w:val="20"/>
              </w:rPr>
              <w:t>Minimal revidering</w:t>
            </w:r>
            <w:r>
              <w:rPr>
                <w:rFonts w:ascii="Tahoma" w:hAnsi="Tahoma"/>
                <w:noProof/>
                <w:sz w:val="20"/>
              </w:rPr>
              <w:t xml:space="preserve">: Riktade initiativ </w:t>
            </w:r>
            <w:r>
              <w:rPr>
                <w:rFonts w:ascii="Tahoma" w:hAnsi="Tahoma"/>
                <w:noProof/>
                <w:sz w:val="20"/>
              </w:rPr>
              <w:t>och koncis rättslig anpassning.</w:t>
            </w:r>
          </w:p>
          <w:p w:rsidR="0009705D" w:rsidRDefault="007E38D9">
            <w:pPr>
              <w:pStyle w:val="ListParagraph"/>
              <w:numPr>
                <w:ilvl w:val="0"/>
                <w:numId w:val="7"/>
              </w:numPr>
              <w:spacing w:before="120"/>
              <w:ind w:left="360"/>
              <w:jc w:val="both"/>
              <w:rPr>
                <w:rFonts w:ascii="Tahoma" w:hAnsi="Tahoma" w:cs="Tahoma"/>
                <w:bCs/>
                <w:iCs/>
                <w:noProof/>
                <w:sz w:val="20"/>
                <w:szCs w:val="20"/>
              </w:rPr>
            </w:pPr>
            <w:r>
              <w:rPr>
                <w:rFonts w:ascii="Tahoma" w:hAnsi="Tahoma"/>
                <w:b/>
                <w:noProof/>
                <w:sz w:val="20"/>
              </w:rPr>
              <w:t>Alternativ 3</w:t>
            </w:r>
            <w:r>
              <w:rPr>
                <w:rFonts w:ascii="Tahoma" w:hAnsi="Tahoma"/>
                <w:noProof/>
                <w:sz w:val="20"/>
              </w:rPr>
              <w:t xml:space="preserve">: </w:t>
            </w:r>
            <w:r>
              <w:rPr>
                <w:rFonts w:ascii="Tahoma" w:hAnsi="Tahoma"/>
                <w:b/>
                <w:noProof/>
                <w:sz w:val="20"/>
              </w:rPr>
              <w:t xml:space="preserve">Anpassning till Marpol: </w:t>
            </w:r>
            <w:r>
              <w:rPr>
                <w:rFonts w:ascii="Tahoma" w:hAnsi="Tahoma"/>
                <w:noProof/>
                <w:sz w:val="20"/>
              </w:rPr>
              <w:t>Ytterligare anpassning till Marpol, med fokus på olagliga utsläpp av avfall i havet. Inspektionerna av mottagningsanordningar i hamn inkluderas i systemet för hamnstatskontroll.</w:t>
            </w:r>
          </w:p>
          <w:p w:rsidR="0009705D" w:rsidRDefault="007E38D9">
            <w:pPr>
              <w:pStyle w:val="ListParagraph"/>
              <w:numPr>
                <w:ilvl w:val="0"/>
                <w:numId w:val="7"/>
              </w:numPr>
              <w:spacing w:before="120"/>
              <w:ind w:left="360"/>
              <w:jc w:val="both"/>
              <w:rPr>
                <w:rFonts w:ascii="Tahoma" w:hAnsi="Tahoma" w:cs="Tahoma"/>
                <w:noProof/>
                <w:sz w:val="20"/>
                <w:szCs w:val="20"/>
              </w:rPr>
            </w:pPr>
            <w:r>
              <w:rPr>
                <w:rFonts w:ascii="Tahoma" w:hAnsi="Tahoma"/>
                <w:b/>
                <w:noProof/>
                <w:sz w:val="20"/>
              </w:rPr>
              <w:t>Alternat</w:t>
            </w:r>
            <w:r>
              <w:rPr>
                <w:rFonts w:ascii="Tahoma" w:hAnsi="Tahoma"/>
                <w:b/>
                <w:noProof/>
                <w:sz w:val="20"/>
              </w:rPr>
              <w:t>iv 4</w:t>
            </w:r>
            <w:r>
              <w:rPr>
                <w:rFonts w:ascii="Tahoma" w:hAnsi="Tahoma"/>
                <w:noProof/>
                <w:sz w:val="20"/>
              </w:rPr>
              <w:t xml:space="preserve">: </w:t>
            </w:r>
            <w:r>
              <w:rPr>
                <w:rFonts w:ascii="Tahoma" w:hAnsi="Tahoma"/>
                <w:b/>
                <w:noProof/>
                <w:sz w:val="20"/>
              </w:rPr>
              <w:t xml:space="preserve">EU:s system med mottagningsanordningar i hamn utöver Marpol: </w:t>
            </w:r>
            <w:r>
              <w:rPr>
                <w:rFonts w:ascii="Tahoma" w:hAnsi="Tahoma"/>
                <w:noProof/>
                <w:sz w:val="20"/>
              </w:rPr>
              <w:t xml:space="preserve">Förstärkning av systemet med mottagningsanordningar i hamn utöver Marpol. Obligatorisk avlämning av </w:t>
            </w:r>
            <w:r>
              <w:rPr>
                <w:rFonts w:ascii="Tahoma" w:hAnsi="Tahoma"/>
                <w:i/>
                <w:noProof/>
                <w:sz w:val="20"/>
              </w:rPr>
              <w:t>allt</w:t>
            </w:r>
            <w:r>
              <w:rPr>
                <w:rFonts w:ascii="Tahoma" w:hAnsi="Tahoma"/>
                <w:noProof/>
                <w:sz w:val="20"/>
              </w:rPr>
              <w:t xml:space="preserve"> avfall från fartyg.</w:t>
            </w:r>
          </w:p>
          <w:p w:rsidR="0009705D" w:rsidRDefault="007E38D9">
            <w:pPr>
              <w:pStyle w:val="list-bullet-color"/>
              <w:keepNext/>
              <w:numPr>
                <w:ilvl w:val="0"/>
                <w:numId w:val="7"/>
              </w:numPr>
              <w:ind w:left="360"/>
              <w:rPr>
                <w:rFonts w:ascii="Tahoma" w:hAnsi="Tahoma" w:cs="Tahoma"/>
                <w:noProof/>
                <w:sz w:val="20"/>
                <w:szCs w:val="20"/>
              </w:rPr>
            </w:pPr>
            <w:r>
              <w:rPr>
                <w:rFonts w:ascii="Tahoma" w:hAnsi="Tahoma"/>
                <w:b/>
                <w:noProof/>
                <w:sz w:val="20"/>
              </w:rPr>
              <w:t>Alternativa varianter 3B och 4B</w:t>
            </w:r>
            <w:r>
              <w:rPr>
                <w:rFonts w:ascii="Tahoma" w:hAnsi="Tahoma"/>
                <w:noProof/>
                <w:sz w:val="20"/>
              </w:rPr>
              <w:t xml:space="preserve">: </w:t>
            </w:r>
            <w:r>
              <w:rPr>
                <w:rFonts w:ascii="Tahoma" w:hAnsi="Tahoma"/>
                <w:b/>
                <w:noProof/>
                <w:sz w:val="20"/>
              </w:rPr>
              <w:t>Marint skräp</w:t>
            </w:r>
            <w:r>
              <w:rPr>
                <w:rFonts w:ascii="Tahoma" w:hAnsi="Tahoma"/>
                <w:noProof/>
                <w:sz w:val="20"/>
              </w:rPr>
              <w:t xml:space="preserve">: Särskilt angripa </w:t>
            </w:r>
            <w:r>
              <w:rPr>
                <w:rFonts w:ascii="Tahoma" w:hAnsi="Tahoma"/>
                <w:noProof/>
                <w:sz w:val="20"/>
              </w:rPr>
              <w:t>problemet med marint skräp från fartyg. Omdefiniera situationen för fiskefartyg och fritidsbåtar i direktivet.</w:t>
            </w:r>
          </w:p>
          <w:p w:rsidR="0009705D" w:rsidRDefault="007E38D9">
            <w:pPr>
              <w:rPr>
                <w:rFonts w:ascii="Tahoma" w:hAnsi="Tahoma" w:cs="Tahoma"/>
                <w:noProof/>
                <w:sz w:val="20"/>
                <w:szCs w:val="20"/>
              </w:rPr>
            </w:pPr>
            <w:r>
              <w:rPr>
                <w:rFonts w:ascii="Tahoma" w:hAnsi="Tahoma"/>
                <w:noProof/>
                <w:sz w:val="20"/>
              </w:rPr>
              <w:t xml:space="preserve">Det rekommenderande alternativet är </w:t>
            </w:r>
            <w:r>
              <w:rPr>
                <w:rFonts w:ascii="Tahoma" w:hAnsi="Tahoma"/>
                <w:b/>
                <w:noProof/>
                <w:sz w:val="20"/>
              </w:rPr>
              <w:t>alternativ 3B</w:t>
            </w:r>
            <w:r>
              <w:rPr>
                <w:rFonts w:ascii="Tahoma" w:hAnsi="Tahoma"/>
                <w:noProof/>
                <w:sz w:val="20"/>
              </w:rPr>
              <w:t xml:space="preserve"> (anpassning till Marpol med extra fokus på </w:t>
            </w:r>
            <w:r>
              <w:rPr>
                <w:rFonts w:ascii="Tahoma" w:hAnsi="Tahoma"/>
                <w:b/>
                <w:noProof/>
                <w:sz w:val="20"/>
              </w:rPr>
              <w:t>marint skräp</w:t>
            </w:r>
            <w:r>
              <w:rPr>
                <w:rFonts w:ascii="Tahoma" w:hAnsi="Tahoma"/>
                <w:noProof/>
                <w:sz w:val="20"/>
              </w:rPr>
              <w:t>).</w:t>
            </w:r>
          </w:p>
        </w:tc>
      </w:tr>
      <w:tr w:rsidR="0009705D">
        <w:trPr>
          <w:trHeight w:val="129"/>
        </w:trPr>
        <w:tc>
          <w:tcPr>
            <w:tcW w:w="10196" w:type="dxa"/>
            <w:shd w:val="clear" w:color="auto" w:fill="E6E6E6"/>
          </w:tcPr>
          <w:p w:rsidR="0009705D" w:rsidRDefault="007E38D9">
            <w:pPr>
              <w:pStyle w:val="Default"/>
              <w:jc w:val="both"/>
              <w:rPr>
                <w:rFonts w:ascii="Tahoma" w:hAnsi="Tahoma" w:cs="Tahoma"/>
                <w:b/>
                <w:bCs/>
                <w:noProof/>
                <w:sz w:val="20"/>
                <w:szCs w:val="20"/>
              </w:rPr>
            </w:pPr>
            <w:r>
              <w:rPr>
                <w:rFonts w:ascii="Tahoma" w:hAnsi="Tahoma"/>
                <w:b/>
                <w:noProof/>
                <w:sz w:val="20"/>
              </w:rPr>
              <w:t>Vad anser de berörda parterna? Vem s</w:t>
            </w:r>
            <w:r>
              <w:rPr>
                <w:rFonts w:ascii="Tahoma" w:hAnsi="Tahoma"/>
                <w:b/>
                <w:noProof/>
                <w:sz w:val="20"/>
              </w:rPr>
              <w:t xml:space="preserve">töder vilka alternativ? </w:t>
            </w:r>
          </w:p>
        </w:tc>
      </w:tr>
      <w:tr w:rsidR="0009705D">
        <w:trPr>
          <w:trHeight w:val="924"/>
        </w:trPr>
        <w:tc>
          <w:tcPr>
            <w:tcW w:w="10196" w:type="dxa"/>
            <w:shd w:val="clear" w:color="auto" w:fill="auto"/>
          </w:tcPr>
          <w:p w:rsidR="0009705D" w:rsidRDefault="007E38D9">
            <w:pPr>
              <w:jc w:val="both"/>
              <w:rPr>
                <w:rFonts w:ascii="Tahoma" w:hAnsi="Tahoma" w:cs="Tahoma"/>
                <w:noProof/>
                <w:sz w:val="20"/>
                <w:szCs w:val="20"/>
              </w:rPr>
            </w:pPr>
            <w:r>
              <w:rPr>
                <w:rFonts w:ascii="Tahoma" w:hAnsi="Tahoma"/>
                <w:noProof/>
                <w:sz w:val="20"/>
              </w:rPr>
              <w:t xml:space="preserve">Alla berörda parter välkomnar översynen och ställer sig bakom ytterligare harmonisering av reglerna på EU-nivå. </w:t>
            </w:r>
          </w:p>
          <w:p w:rsidR="0009705D" w:rsidRDefault="007E38D9">
            <w:pPr>
              <w:jc w:val="both"/>
              <w:rPr>
                <w:rFonts w:ascii="Tahoma" w:hAnsi="Tahoma" w:cs="Tahoma"/>
                <w:noProof/>
                <w:sz w:val="20"/>
                <w:szCs w:val="20"/>
              </w:rPr>
            </w:pPr>
            <w:r>
              <w:rPr>
                <w:rFonts w:ascii="Tahoma" w:hAnsi="Tahoma"/>
                <w:noProof/>
                <w:sz w:val="20"/>
              </w:rPr>
              <w:t xml:space="preserve">– Ett antal </w:t>
            </w:r>
            <w:r>
              <w:rPr>
                <w:rFonts w:ascii="Tahoma" w:hAnsi="Tahoma"/>
                <w:b/>
                <w:noProof/>
                <w:sz w:val="20"/>
              </w:rPr>
              <w:t>hamnar</w:t>
            </w:r>
            <w:r>
              <w:rPr>
                <w:rFonts w:ascii="Tahoma" w:hAnsi="Tahoma"/>
                <w:noProof/>
                <w:sz w:val="20"/>
              </w:rPr>
              <w:t xml:space="preserve"> motsätter sig den indirekta avgiften för fast avfall på 100 % och föredrar en förenkling av de viktigaste principerna för kostnadstäckning (alternativ 3 och 4).</w:t>
            </w:r>
          </w:p>
          <w:p w:rsidR="0009705D" w:rsidRDefault="007E38D9">
            <w:pPr>
              <w:jc w:val="both"/>
              <w:rPr>
                <w:rFonts w:ascii="Tahoma" w:hAnsi="Tahoma" w:cs="Tahoma"/>
                <w:noProof/>
                <w:sz w:val="20"/>
                <w:szCs w:val="20"/>
              </w:rPr>
            </w:pPr>
            <w:r>
              <w:rPr>
                <w:rFonts w:ascii="Tahoma" w:hAnsi="Tahoma"/>
                <w:noProof/>
                <w:sz w:val="20"/>
              </w:rPr>
              <w:t xml:space="preserve">– </w:t>
            </w:r>
            <w:r>
              <w:rPr>
                <w:rFonts w:ascii="Tahoma" w:hAnsi="Tahoma"/>
                <w:b/>
                <w:noProof/>
                <w:sz w:val="20"/>
              </w:rPr>
              <w:t>Hamnanvändare</w:t>
            </w:r>
            <w:r>
              <w:rPr>
                <w:rFonts w:ascii="Tahoma" w:hAnsi="Tahoma"/>
                <w:noProof/>
                <w:sz w:val="20"/>
              </w:rPr>
              <w:t xml:space="preserve"> efterlyser mer insyn i avfallsavgifterna, bättre samrådsförfaranden och harmon</w:t>
            </w:r>
            <w:r>
              <w:rPr>
                <w:rFonts w:ascii="Tahoma" w:hAnsi="Tahoma"/>
                <w:noProof/>
                <w:sz w:val="20"/>
              </w:rPr>
              <w:t xml:space="preserve">isering av systemet för undantag (alternativ 3 och 4). </w:t>
            </w:r>
          </w:p>
          <w:p w:rsidR="0009705D" w:rsidRDefault="007E38D9">
            <w:pPr>
              <w:jc w:val="both"/>
              <w:rPr>
                <w:rFonts w:ascii="Tahoma" w:hAnsi="Tahoma" w:cs="Tahoma"/>
                <w:noProof/>
                <w:sz w:val="20"/>
                <w:szCs w:val="20"/>
              </w:rPr>
            </w:pPr>
            <w:r>
              <w:rPr>
                <w:rFonts w:ascii="Tahoma" w:hAnsi="Tahoma"/>
                <w:noProof/>
                <w:sz w:val="20"/>
              </w:rPr>
              <w:t xml:space="preserve">– De flesta av parterna förordar fortsatt anpassning till Marpol (tillämpningsområde och definitioner) (alternativ 3). </w:t>
            </w:r>
          </w:p>
          <w:p w:rsidR="0009705D" w:rsidRDefault="007E38D9">
            <w:pPr>
              <w:jc w:val="both"/>
              <w:rPr>
                <w:rFonts w:ascii="Tahoma" w:hAnsi="Tahoma" w:cs="Tahoma"/>
                <w:noProof/>
                <w:sz w:val="20"/>
                <w:szCs w:val="20"/>
              </w:rPr>
            </w:pPr>
            <w:r>
              <w:rPr>
                <w:rFonts w:ascii="Tahoma" w:hAnsi="Tahoma"/>
                <w:noProof/>
                <w:sz w:val="20"/>
              </w:rPr>
              <w:t xml:space="preserve">Eftersom </w:t>
            </w:r>
            <w:r>
              <w:rPr>
                <w:rFonts w:ascii="Tahoma" w:hAnsi="Tahoma"/>
                <w:b/>
                <w:noProof/>
                <w:sz w:val="20"/>
              </w:rPr>
              <w:t>alternativ 3B</w:t>
            </w:r>
            <w:r>
              <w:rPr>
                <w:rFonts w:ascii="Tahoma" w:hAnsi="Tahoma"/>
                <w:noProof/>
                <w:sz w:val="20"/>
              </w:rPr>
              <w:t xml:space="preserve"> förenar de två övergripande målen är detta det alternativ</w:t>
            </w:r>
            <w:r>
              <w:rPr>
                <w:rFonts w:ascii="Tahoma" w:hAnsi="Tahoma"/>
                <w:noProof/>
                <w:sz w:val="20"/>
              </w:rPr>
              <w:t xml:space="preserve"> som har stöd av de flesta berörda parter.</w:t>
            </w:r>
          </w:p>
        </w:tc>
      </w:tr>
      <w:tr w:rsidR="0009705D">
        <w:trPr>
          <w:trHeight w:val="194"/>
        </w:trPr>
        <w:tc>
          <w:tcPr>
            <w:tcW w:w="10196" w:type="dxa"/>
            <w:tcBorders>
              <w:bottom w:val="single" w:sz="4" w:space="0" w:color="auto"/>
            </w:tcBorders>
            <w:shd w:val="clear" w:color="auto" w:fill="CCCCCC"/>
          </w:tcPr>
          <w:p w:rsidR="0009705D" w:rsidRDefault="007E38D9">
            <w:pPr>
              <w:spacing w:before="60" w:after="60"/>
              <w:rPr>
                <w:rFonts w:ascii="Tahoma" w:hAnsi="Tahoma" w:cs="Tahoma"/>
                <w:b/>
                <w:noProof/>
                <w:sz w:val="20"/>
                <w:szCs w:val="20"/>
              </w:rPr>
            </w:pPr>
            <w:r>
              <w:rPr>
                <w:rFonts w:ascii="Tahoma" w:hAnsi="Tahoma"/>
                <w:b/>
                <w:noProof/>
                <w:sz w:val="20"/>
              </w:rPr>
              <w:t>C. Det rekommenderade alternativets konsekvenser</w:t>
            </w:r>
          </w:p>
        </w:tc>
      </w:tr>
      <w:tr w:rsidR="0009705D">
        <w:trPr>
          <w:trHeight w:val="12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Vad är nyttan med det rekommenderade alternativet (om sådant alternativ finns, annars anges för huvudsakliga alternativ)? </w:t>
            </w:r>
          </w:p>
        </w:tc>
      </w:tr>
      <w:tr w:rsidR="0009705D">
        <w:trPr>
          <w:trHeight w:val="940"/>
        </w:trPr>
        <w:tc>
          <w:tcPr>
            <w:tcW w:w="10196" w:type="dxa"/>
            <w:tcBorders>
              <w:bottom w:val="single" w:sz="4" w:space="0" w:color="auto"/>
            </w:tcBorders>
            <w:shd w:val="clear" w:color="auto" w:fill="auto"/>
          </w:tcPr>
          <w:p w:rsidR="0009705D" w:rsidRDefault="007E38D9">
            <w:pPr>
              <w:jc w:val="both"/>
              <w:rPr>
                <w:rFonts w:ascii="Tahoma" w:hAnsi="Tahoma" w:cs="Tahoma"/>
                <w:noProof/>
                <w:sz w:val="20"/>
                <w:szCs w:val="20"/>
              </w:rPr>
            </w:pPr>
            <w:r>
              <w:rPr>
                <w:rFonts w:ascii="Tahoma" w:hAnsi="Tahoma"/>
                <w:b/>
                <w:noProof/>
                <w:sz w:val="20"/>
              </w:rPr>
              <w:t>Miljömässig</w:t>
            </w:r>
            <w:r>
              <w:rPr>
                <w:rFonts w:ascii="Tahoma" w:hAnsi="Tahoma"/>
                <w:noProof/>
                <w:sz w:val="20"/>
              </w:rPr>
              <w:t xml:space="preserve">: En avsevärd del av de </w:t>
            </w:r>
            <w:r>
              <w:rPr>
                <w:rFonts w:ascii="Tahoma" w:hAnsi="Tahoma"/>
                <w:noProof/>
                <w:sz w:val="20"/>
              </w:rPr>
              <w:t>olagliga avfallsutsläppen till sjöss begränsas, och ett viktigt bidrag görs till den cirkulära ekonomin. De miljömässiga fördelarna är svåra att kvantifiera, men blir betydande, vilket framgår av kostnaderna för rengöring (av stränder) och skadorna för fis</w:t>
            </w:r>
            <w:r>
              <w:rPr>
                <w:rFonts w:ascii="Tahoma" w:hAnsi="Tahoma"/>
                <w:noProof/>
                <w:sz w:val="20"/>
              </w:rPr>
              <w:t>kerisektorn.</w:t>
            </w:r>
          </w:p>
          <w:p w:rsidR="0009705D" w:rsidRDefault="007E38D9">
            <w:pPr>
              <w:jc w:val="both"/>
              <w:rPr>
                <w:rFonts w:ascii="Tahoma" w:hAnsi="Tahoma" w:cs="Tahoma"/>
                <w:noProof/>
                <w:sz w:val="20"/>
                <w:szCs w:val="20"/>
              </w:rPr>
            </w:pPr>
            <w:r>
              <w:rPr>
                <w:rFonts w:ascii="Tahoma" w:hAnsi="Tahoma"/>
                <w:b/>
                <w:noProof/>
                <w:sz w:val="20"/>
              </w:rPr>
              <w:t>Ekonomisk</w:t>
            </w:r>
            <w:r>
              <w:rPr>
                <w:rFonts w:ascii="Tahoma" w:hAnsi="Tahoma"/>
                <w:noProof/>
                <w:sz w:val="20"/>
              </w:rPr>
              <w:t>: Minskning av kostnaderna för att se till att bestämmelserna följs med cirka 286 000 EUR och minskning av den administrativa bördan med cirka 6,5 miljoner euro.</w:t>
            </w:r>
          </w:p>
          <w:p w:rsidR="0009705D" w:rsidRDefault="007E38D9">
            <w:pPr>
              <w:jc w:val="both"/>
              <w:rPr>
                <w:rFonts w:ascii="Tahoma" w:hAnsi="Tahoma" w:cs="Tahoma"/>
                <w:noProof/>
                <w:sz w:val="20"/>
                <w:szCs w:val="20"/>
              </w:rPr>
            </w:pPr>
            <w:r>
              <w:rPr>
                <w:rFonts w:ascii="Tahoma" w:hAnsi="Tahoma"/>
                <w:b/>
                <w:noProof/>
                <w:sz w:val="20"/>
              </w:rPr>
              <w:t>Social</w:t>
            </w:r>
            <w:r>
              <w:rPr>
                <w:rFonts w:ascii="Tahoma" w:hAnsi="Tahoma"/>
                <w:noProof/>
                <w:sz w:val="20"/>
              </w:rPr>
              <w:t>: Förväntad ökad sysselsättning inom sektorerna för avfallshanteri</w:t>
            </w:r>
            <w:r>
              <w:rPr>
                <w:rFonts w:ascii="Tahoma" w:hAnsi="Tahoma"/>
                <w:noProof/>
                <w:sz w:val="20"/>
              </w:rPr>
              <w:t>ng och turism. Ökad miljömedvetenhet i fråga om marint skräp från källor till havs.</w:t>
            </w:r>
          </w:p>
        </w:tc>
      </w:tr>
      <w:tr w:rsidR="0009705D">
        <w:trPr>
          <w:trHeight w:val="12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lastRenderedPageBreak/>
              <w:t xml:space="preserve">Vad är kostnaderna för det rekommenderade alternativet (om sådant alternativ finns, annars anges för huvudsakliga alternativ)? </w:t>
            </w:r>
          </w:p>
        </w:tc>
      </w:tr>
      <w:tr w:rsidR="0009705D">
        <w:trPr>
          <w:trHeight w:val="268"/>
        </w:trPr>
        <w:tc>
          <w:tcPr>
            <w:tcW w:w="10196" w:type="dxa"/>
            <w:tcBorders>
              <w:bottom w:val="single" w:sz="4" w:space="0" w:color="auto"/>
            </w:tcBorders>
            <w:shd w:val="clear" w:color="auto" w:fill="auto"/>
          </w:tcPr>
          <w:p w:rsidR="0009705D" w:rsidRDefault="007E38D9">
            <w:pPr>
              <w:jc w:val="both"/>
              <w:rPr>
                <w:rFonts w:ascii="Tahoma" w:hAnsi="Tahoma" w:cs="Tahoma"/>
                <w:noProof/>
                <w:sz w:val="20"/>
                <w:szCs w:val="20"/>
              </w:rPr>
            </w:pPr>
            <w:bookmarkStart w:id="1" w:name="_GoBack"/>
            <w:bookmarkEnd w:id="1"/>
            <w:r>
              <w:rPr>
                <w:rFonts w:ascii="Tahoma" w:hAnsi="Tahoma"/>
                <w:noProof/>
                <w:sz w:val="20"/>
              </w:rPr>
              <w:t xml:space="preserve">– </w:t>
            </w:r>
            <w:r>
              <w:rPr>
                <w:rFonts w:ascii="Tahoma" w:hAnsi="Tahoma"/>
                <w:b/>
                <w:noProof/>
                <w:sz w:val="20"/>
              </w:rPr>
              <w:t>Efterlevnadskostnader</w:t>
            </w:r>
            <w:r>
              <w:rPr>
                <w:rFonts w:ascii="Tahoma" w:hAnsi="Tahoma"/>
                <w:noProof/>
                <w:sz w:val="20"/>
              </w:rPr>
              <w:t xml:space="preserve"> för att inrätta separata system för insamling av avfall i hamnar, tillhandahålla anordningar för mottagning av skrubberavfall och införa en indirekt avgift på 100 % för fast avfall.</w:t>
            </w:r>
          </w:p>
          <w:p w:rsidR="0009705D" w:rsidRDefault="007E38D9">
            <w:pPr>
              <w:jc w:val="both"/>
              <w:rPr>
                <w:rFonts w:ascii="Tahoma" w:hAnsi="Tahoma" w:cs="Tahoma"/>
                <w:i/>
                <w:noProof/>
                <w:sz w:val="20"/>
                <w:szCs w:val="20"/>
              </w:rPr>
            </w:pPr>
            <w:r>
              <w:rPr>
                <w:rFonts w:ascii="Tahoma" w:hAnsi="Tahoma"/>
                <w:noProof/>
                <w:sz w:val="20"/>
              </w:rPr>
              <w:t xml:space="preserve">– </w:t>
            </w:r>
            <w:r>
              <w:rPr>
                <w:rFonts w:ascii="Tahoma" w:hAnsi="Tahoma"/>
                <w:b/>
                <w:noProof/>
                <w:sz w:val="20"/>
              </w:rPr>
              <w:t>Driftskostnader</w:t>
            </w:r>
            <w:r>
              <w:rPr>
                <w:rFonts w:ascii="Tahoma" w:hAnsi="Tahoma"/>
                <w:noProof/>
                <w:sz w:val="20"/>
              </w:rPr>
              <w:t xml:space="preserve"> för driften av incitamentssystem, organisering av samråd för antagande/översyn av planer för mottagande och hantering av avfall.</w:t>
            </w:r>
          </w:p>
        </w:tc>
      </w:tr>
      <w:tr w:rsidR="0009705D">
        <w:trPr>
          <w:trHeight w:val="7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Hur påverkas små och medelstora företag och konkurrenskraften? </w:t>
            </w:r>
          </w:p>
        </w:tc>
      </w:tr>
      <w:tr w:rsidR="0009705D">
        <w:trPr>
          <w:trHeight w:val="79"/>
        </w:trPr>
        <w:tc>
          <w:tcPr>
            <w:tcW w:w="10196" w:type="dxa"/>
            <w:tcBorders>
              <w:bottom w:val="single" w:sz="4" w:space="0" w:color="auto"/>
            </w:tcBorders>
            <w:shd w:val="clear" w:color="auto" w:fill="auto"/>
          </w:tcPr>
          <w:p w:rsidR="0009705D" w:rsidRDefault="007E38D9">
            <w:pPr>
              <w:spacing w:before="60" w:after="60"/>
              <w:jc w:val="both"/>
              <w:rPr>
                <w:rFonts w:ascii="Tahoma" w:hAnsi="Tahoma" w:cs="Tahoma"/>
                <w:i/>
                <w:noProof/>
                <w:sz w:val="20"/>
                <w:szCs w:val="20"/>
              </w:rPr>
            </w:pPr>
            <w:r>
              <w:rPr>
                <w:rFonts w:ascii="Tahoma" w:hAnsi="Tahoma"/>
                <w:noProof/>
                <w:sz w:val="20"/>
              </w:rPr>
              <w:t xml:space="preserve">Större affärsmöjligheter och effekter för konkurrenskraften </w:t>
            </w:r>
            <w:r>
              <w:rPr>
                <w:rFonts w:ascii="Tahoma" w:hAnsi="Tahoma"/>
                <w:noProof/>
                <w:sz w:val="20"/>
              </w:rPr>
              <w:t xml:space="preserve">kan förväntas för </w:t>
            </w:r>
            <w:r>
              <w:rPr>
                <w:rFonts w:ascii="Tahoma" w:hAnsi="Tahoma"/>
                <w:b/>
                <w:noProof/>
                <w:sz w:val="20"/>
              </w:rPr>
              <w:t>operatörer av mottagningsanordningar i hamn</w:t>
            </w:r>
            <w:r>
              <w:rPr>
                <w:rFonts w:ascii="Tahoma" w:hAnsi="Tahoma"/>
                <w:noProof/>
                <w:sz w:val="20"/>
              </w:rPr>
              <w:t xml:space="preserve">, av vilka vissa kan betraktas som små och medelstora företag, och </w:t>
            </w:r>
            <w:r>
              <w:rPr>
                <w:rFonts w:ascii="Tahoma" w:hAnsi="Tahoma"/>
                <w:b/>
                <w:noProof/>
                <w:sz w:val="20"/>
              </w:rPr>
              <w:t>fiske- och fritidssektorerna</w:t>
            </w:r>
            <w:r>
              <w:rPr>
                <w:rFonts w:ascii="Tahoma" w:hAnsi="Tahoma"/>
                <w:noProof/>
                <w:sz w:val="20"/>
              </w:rPr>
              <w:t>, som i stor utsträckning består av små och medelstora företag.</w:t>
            </w:r>
          </w:p>
        </w:tc>
      </w:tr>
      <w:tr w:rsidR="0009705D">
        <w:trPr>
          <w:trHeight w:val="7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Påverkas medlemsstaternas budgetar och förvaltningar i betydande grad? </w:t>
            </w:r>
          </w:p>
        </w:tc>
      </w:tr>
      <w:tr w:rsidR="0009705D">
        <w:trPr>
          <w:trHeight w:val="79"/>
        </w:trPr>
        <w:tc>
          <w:tcPr>
            <w:tcW w:w="10196" w:type="dxa"/>
            <w:shd w:val="clear" w:color="auto" w:fill="auto"/>
          </w:tcPr>
          <w:p w:rsidR="0009705D" w:rsidRDefault="007E38D9">
            <w:pPr>
              <w:jc w:val="both"/>
              <w:rPr>
                <w:rFonts w:ascii="Tahoma" w:hAnsi="Tahoma" w:cs="Tahoma"/>
                <w:noProof/>
                <w:sz w:val="20"/>
                <w:szCs w:val="20"/>
              </w:rPr>
            </w:pPr>
            <w:r>
              <w:rPr>
                <w:rFonts w:ascii="Tahoma" w:hAnsi="Tahoma"/>
                <w:noProof/>
                <w:sz w:val="20"/>
              </w:rPr>
              <w:t>Nej. Regleringskostnaderna förväntas vara begränsade och uppvägas av förväntade effektivitetsvinster.</w:t>
            </w:r>
          </w:p>
        </w:tc>
      </w:tr>
      <w:tr w:rsidR="0009705D">
        <w:trPr>
          <w:trHeight w:val="7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Uppstår andra betydande konsekvenser? </w:t>
            </w:r>
          </w:p>
        </w:tc>
      </w:tr>
      <w:tr w:rsidR="0009705D">
        <w:trPr>
          <w:trHeight w:val="79"/>
        </w:trPr>
        <w:tc>
          <w:tcPr>
            <w:tcW w:w="10196" w:type="dxa"/>
            <w:tcBorders>
              <w:bottom w:val="single" w:sz="4" w:space="0" w:color="auto"/>
            </w:tcBorders>
            <w:shd w:val="clear" w:color="auto" w:fill="auto"/>
          </w:tcPr>
          <w:p w:rsidR="0009705D" w:rsidRDefault="007E38D9">
            <w:pPr>
              <w:jc w:val="both"/>
              <w:rPr>
                <w:rFonts w:ascii="Tahoma" w:hAnsi="Tahoma" w:cs="Tahoma"/>
                <w:noProof/>
                <w:sz w:val="20"/>
                <w:szCs w:val="20"/>
              </w:rPr>
            </w:pPr>
            <w:r>
              <w:rPr>
                <w:rFonts w:ascii="Tahoma" w:hAnsi="Tahoma"/>
                <w:noProof/>
                <w:sz w:val="20"/>
              </w:rPr>
              <w:t xml:space="preserve">Positiv inverkan på </w:t>
            </w:r>
            <w:r>
              <w:rPr>
                <w:rFonts w:ascii="Tahoma" w:hAnsi="Tahoma"/>
                <w:b/>
                <w:noProof/>
                <w:sz w:val="20"/>
              </w:rPr>
              <w:t>innovation och konku</w:t>
            </w:r>
            <w:r>
              <w:rPr>
                <w:rFonts w:ascii="Tahoma" w:hAnsi="Tahoma"/>
                <w:b/>
                <w:noProof/>
                <w:sz w:val="20"/>
              </w:rPr>
              <w:t>rrenskraft</w:t>
            </w:r>
            <w:r>
              <w:rPr>
                <w:rFonts w:ascii="Tahoma" w:hAnsi="Tahoma"/>
                <w:noProof/>
                <w:sz w:val="20"/>
              </w:rPr>
              <w:t xml:space="preserve">, särskilt genom vidare utveckling av begreppet ”gröna fartyg” och förbättring av avfallshanteringen i hamnar. </w:t>
            </w:r>
          </w:p>
        </w:tc>
      </w:tr>
      <w:tr w:rsidR="0009705D">
        <w:trPr>
          <w:trHeight w:val="7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Proportionalitetsprincipen </w:t>
            </w:r>
          </w:p>
        </w:tc>
      </w:tr>
      <w:tr w:rsidR="0009705D">
        <w:trPr>
          <w:trHeight w:val="79"/>
        </w:trPr>
        <w:tc>
          <w:tcPr>
            <w:tcW w:w="10196" w:type="dxa"/>
            <w:shd w:val="clear" w:color="auto" w:fill="auto"/>
          </w:tcPr>
          <w:p w:rsidR="0009705D" w:rsidRDefault="007E38D9">
            <w:pPr>
              <w:jc w:val="both"/>
              <w:rPr>
                <w:rFonts w:ascii="Tahoma" w:hAnsi="Tahoma" w:cs="Tahoma"/>
                <w:i/>
                <w:noProof/>
                <w:sz w:val="20"/>
                <w:szCs w:val="20"/>
              </w:rPr>
            </w:pPr>
            <w:r>
              <w:rPr>
                <w:rFonts w:ascii="Tahoma" w:hAnsi="Tahoma"/>
                <w:noProof/>
                <w:sz w:val="20"/>
              </w:rPr>
              <w:t>Det rekommenderade alternativet går inte utöver vad som krävs för att uppnå de politiska målen.</w:t>
            </w:r>
          </w:p>
        </w:tc>
      </w:tr>
      <w:tr w:rsidR="0009705D">
        <w:trPr>
          <w:trHeight w:val="79"/>
        </w:trPr>
        <w:tc>
          <w:tcPr>
            <w:tcW w:w="10196" w:type="dxa"/>
            <w:tcBorders>
              <w:bottom w:val="single" w:sz="4" w:space="0" w:color="auto"/>
            </w:tcBorders>
            <w:shd w:val="clear" w:color="auto" w:fill="C0C0C0"/>
          </w:tcPr>
          <w:p w:rsidR="0009705D" w:rsidRDefault="007E38D9">
            <w:pPr>
              <w:spacing w:before="60" w:after="60"/>
              <w:rPr>
                <w:rFonts w:ascii="Tahoma" w:hAnsi="Tahoma" w:cs="Tahoma"/>
                <w:b/>
                <w:noProof/>
                <w:sz w:val="20"/>
                <w:szCs w:val="20"/>
              </w:rPr>
            </w:pPr>
            <w:r>
              <w:rPr>
                <w:rFonts w:ascii="Tahoma" w:hAnsi="Tahoma"/>
                <w:b/>
                <w:noProof/>
                <w:sz w:val="20"/>
              </w:rPr>
              <w:t xml:space="preserve">D. </w:t>
            </w:r>
            <w:r>
              <w:rPr>
                <w:rFonts w:ascii="Tahoma" w:hAnsi="Tahoma"/>
                <w:b/>
                <w:noProof/>
                <w:sz w:val="20"/>
              </w:rPr>
              <w:t>Uppföljning</w:t>
            </w:r>
          </w:p>
        </w:tc>
      </w:tr>
      <w:tr w:rsidR="0009705D">
        <w:trPr>
          <w:trHeight w:val="79"/>
        </w:trPr>
        <w:tc>
          <w:tcPr>
            <w:tcW w:w="10196" w:type="dxa"/>
            <w:tcBorders>
              <w:bottom w:val="single" w:sz="4" w:space="0" w:color="auto"/>
            </w:tcBorders>
            <w:shd w:val="clear" w:color="auto" w:fill="E6E6E6"/>
          </w:tcPr>
          <w:p w:rsidR="0009705D" w:rsidRDefault="007E38D9">
            <w:pPr>
              <w:pStyle w:val="Default"/>
              <w:jc w:val="both"/>
              <w:rPr>
                <w:rFonts w:ascii="Tahoma" w:hAnsi="Tahoma" w:cs="Tahoma"/>
                <w:noProof/>
                <w:sz w:val="20"/>
                <w:szCs w:val="20"/>
              </w:rPr>
            </w:pPr>
            <w:r>
              <w:rPr>
                <w:rFonts w:ascii="Tahoma" w:hAnsi="Tahoma"/>
                <w:b/>
                <w:noProof/>
                <w:sz w:val="20"/>
              </w:rPr>
              <w:t xml:space="preserve">När kommer åtgärderna att ses över? </w:t>
            </w:r>
          </w:p>
        </w:tc>
      </w:tr>
      <w:tr w:rsidR="0009705D">
        <w:trPr>
          <w:trHeight w:val="79"/>
        </w:trPr>
        <w:tc>
          <w:tcPr>
            <w:tcW w:w="10196" w:type="dxa"/>
            <w:tcBorders>
              <w:bottom w:val="single" w:sz="4" w:space="0" w:color="auto"/>
            </w:tcBorders>
            <w:shd w:val="clear" w:color="auto" w:fill="auto"/>
          </w:tcPr>
          <w:p w:rsidR="0009705D" w:rsidRDefault="007E38D9">
            <w:pPr>
              <w:jc w:val="both"/>
              <w:rPr>
                <w:rFonts w:ascii="Tahoma" w:hAnsi="Tahoma" w:cs="Tahoma"/>
                <w:b/>
                <w:noProof/>
                <w:sz w:val="20"/>
                <w:szCs w:val="20"/>
              </w:rPr>
            </w:pPr>
            <w:r>
              <w:rPr>
                <w:rFonts w:ascii="Tahoma" w:hAnsi="Tahoma"/>
                <w:noProof/>
                <w:sz w:val="20"/>
              </w:rPr>
              <w:t>Det reviderade direktivet bör ses över sju år efter det att det har trätt i kraft, på grundval av en uppsättning centrala resultatindikatorer.</w:t>
            </w:r>
          </w:p>
        </w:tc>
      </w:tr>
    </w:tbl>
    <w:p w:rsidR="0009705D" w:rsidRDefault="0009705D">
      <w:pPr>
        <w:rPr>
          <w:rFonts w:ascii="Tahoma" w:hAnsi="Tahoma" w:cs="Tahoma"/>
          <w:noProof/>
          <w:sz w:val="20"/>
          <w:szCs w:val="20"/>
        </w:rPr>
      </w:pPr>
    </w:p>
    <w:p w:rsidR="0009705D" w:rsidRDefault="0009705D">
      <w:pPr>
        <w:rPr>
          <w:rFonts w:ascii="Tahoma" w:hAnsi="Tahoma" w:cs="Tahoma"/>
          <w:noProof/>
          <w:sz w:val="20"/>
          <w:szCs w:val="20"/>
        </w:rPr>
      </w:pPr>
    </w:p>
    <w:p w:rsidR="0009705D" w:rsidRDefault="0009705D">
      <w:pPr>
        <w:rPr>
          <w:rFonts w:ascii="Tahoma" w:hAnsi="Tahoma" w:cs="Tahoma"/>
          <w:noProof/>
          <w:sz w:val="20"/>
          <w:szCs w:val="20"/>
        </w:rPr>
        <w:sectPr w:rsidR="0009705D" w:rsidSect="007E38D9">
          <w:headerReference w:type="even" r:id="rId19"/>
          <w:headerReference w:type="default" r:id="rId20"/>
          <w:footerReference w:type="even" r:id="rId21"/>
          <w:footerReference w:type="default" r:id="rId22"/>
          <w:headerReference w:type="first" r:id="rId23"/>
          <w:footerReference w:type="first" r:id="rId24"/>
          <w:pgSz w:w="11906" w:h="16838" w:code="9"/>
          <w:pgMar w:top="1276" w:right="567" w:bottom="624" w:left="1134" w:header="284" w:footer="259" w:gutter="0"/>
          <w:pgNumType w:start="1"/>
          <w:cols w:space="720"/>
          <w:titlePg/>
          <w:docGrid w:linePitch="360"/>
        </w:sectPr>
      </w:pPr>
    </w:p>
    <w:p w:rsidR="0009705D" w:rsidRDefault="0009705D">
      <w:pPr>
        <w:rPr>
          <w:rFonts w:ascii="Tahoma" w:hAnsi="Tahoma" w:cs="Tahoma"/>
          <w:noProof/>
          <w:sz w:val="20"/>
          <w:szCs w:val="20"/>
        </w:rPr>
      </w:pPr>
    </w:p>
    <w:p w:rsidR="0009705D" w:rsidRDefault="0009705D">
      <w:pPr>
        <w:rPr>
          <w:rFonts w:ascii="Tahoma" w:hAnsi="Tahoma" w:cs="Tahoma"/>
          <w:noProof/>
          <w:sz w:val="20"/>
          <w:szCs w:val="20"/>
        </w:rPr>
      </w:pPr>
    </w:p>
    <w:p w:rsidR="0009705D" w:rsidRDefault="0009705D">
      <w:pPr>
        <w:rPr>
          <w:rFonts w:ascii="Tahoma" w:hAnsi="Tahoma" w:cs="Tahoma"/>
          <w:noProof/>
          <w:sz w:val="20"/>
          <w:szCs w:val="20"/>
        </w:rPr>
      </w:pPr>
    </w:p>
    <w:p w:rsidR="0009705D" w:rsidRDefault="007E38D9">
      <w:pPr>
        <w:tabs>
          <w:tab w:val="left" w:pos="8489"/>
        </w:tabs>
        <w:rPr>
          <w:rFonts w:ascii="Tahoma" w:hAnsi="Tahoma" w:cs="Tahoma"/>
          <w:noProof/>
          <w:sz w:val="20"/>
          <w:szCs w:val="20"/>
        </w:rPr>
      </w:pPr>
      <w:r>
        <w:rPr>
          <w:noProof/>
        </w:rPr>
        <w:tab/>
      </w:r>
    </w:p>
    <w:sectPr w:rsidR="0009705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5D" w:rsidRDefault="007E38D9">
      <w:r>
        <w:separator/>
      </w:r>
    </w:p>
  </w:endnote>
  <w:endnote w:type="continuationSeparator" w:id="0">
    <w:p w:rsidR="0009705D" w:rsidRDefault="007E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7E38D9">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proofErr w:type="spellStart"/>
    <w:r>
      <w:rPr>
        <w:rFonts w:ascii="Arial" w:hAnsi="Arial" w:cs="Arial"/>
        <w:b/>
        <w:sz w:val="48"/>
      </w:rPr>
      <w:t>SV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22406"/>
      <w:docPartObj>
        <w:docPartGallery w:val="Page Numbers (Bottom of Page)"/>
        <w:docPartUnique/>
      </w:docPartObj>
    </w:sdtPr>
    <w:sdtEndPr>
      <w:rPr>
        <w:noProof/>
      </w:rPr>
    </w:sdtEndPr>
    <w:sdtContent>
      <w:p w:rsidR="007E38D9" w:rsidRDefault="007E3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705D" w:rsidRDefault="000970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04172"/>
      <w:docPartObj>
        <w:docPartGallery w:val="Page Numbers (Bottom of Page)"/>
        <w:docPartUnique/>
      </w:docPartObj>
    </w:sdtPr>
    <w:sdtEndPr>
      <w:rPr>
        <w:noProof/>
      </w:rPr>
    </w:sdtEndPr>
    <w:sdtContent>
      <w:p w:rsidR="0009705D" w:rsidRDefault="007E38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9705D" w:rsidRDefault="000970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51962"/>
      <w:docPartObj>
        <w:docPartGallery w:val="Page Numbers (Bottom of Page)"/>
        <w:docPartUnique/>
      </w:docPartObj>
    </w:sdtPr>
    <w:sdtEndPr>
      <w:rPr>
        <w:noProof/>
      </w:rPr>
    </w:sdtEndPr>
    <w:sdtContent>
      <w:p w:rsidR="0009705D" w:rsidRDefault="007E38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705D" w:rsidRDefault="00097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5D" w:rsidRDefault="007E38D9">
      <w:r>
        <w:separator/>
      </w:r>
    </w:p>
  </w:footnote>
  <w:footnote w:type="continuationSeparator" w:id="0">
    <w:p w:rsidR="0009705D" w:rsidRDefault="007E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5D" w:rsidRDefault="000970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73"/>
    <w:multiLevelType w:val="hybridMultilevel"/>
    <w:tmpl w:val="52F033A4"/>
    <w:lvl w:ilvl="0" w:tplc="08090001">
      <w:start w:val="1"/>
      <w:numFmt w:val="bullet"/>
      <w:lvlText w:val=""/>
      <w:lvlJc w:val="left"/>
      <w:pPr>
        <w:ind w:left="720" w:hanging="360"/>
      </w:pPr>
      <w:rPr>
        <w:rFonts w:ascii="Symbol" w:hAnsi="Symbol" w:hint="default"/>
      </w:rPr>
    </w:lvl>
    <w:lvl w:ilvl="1" w:tplc="790E94B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5340B"/>
    <w:multiLevelType w:val="hybridMultilevel"/>
    <w:tmpl w:val="95C2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7">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1"/>
  </w:num>
  <w:num w:numId="7">
    <w:abstractNumId w:val="0"/>
  </w:num>
  <w:num w:numId="8">
    <w:abstractNumId w:val="6"/>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24C5252D-48CE-4B49-AABE-8521EB7C0A28"/>
    <w:docVar w:name="LW_COVERPAGE_TYPE" w:val="1"/>
    <w:docVar w:name="LW_CROSSREFERENCE" w:val="{COM(2018) 33 final}_x000b_{SWD(2018) 21 final}"/>
    <w:docVar w:name="LW_DocType" w:val="NORMAL"/>
    <w:docVar w:name="LW_EMISSION" w:val="16.1.2018"/>
    <w:docVar w:name="LW_EMISSION_ISODATE" w:val="2018-01-16"/>
    <w:docVar w:name="LW_EMISSION_LOCATION" w:val="STR"/>
    <w:docVar w:name="LW_EMISSION_PREFIX" w:val="Strasbourg den "/>
    <w:docVar w:name="LW_EMISSION_SUFFIX" w:val="&lt;EMPTY&gt;"/>
    <w:docVar w:name="LW_ID_DOCTYPE_NONLW" w:val="CP-027"/>
    <w:docVar w:name="LW_LANGUE" w:val="SV"/>
    <w:docVar w:name="LW_LEVEL_OF_SENSITIVITY" w:val="Standard treatment"/>
    <w:docVar w:name="LW_NOM.INST" w:val="EUROPEISKA KOMMISSIONEN"/>
    <w:docVar w:name="LW_NOM.INST_JOINTDOC" w:val="&lt;EMPTY&gt;"/>
    <w:docVar w:name="LW_OBJETACTEPRINCIPAL.CP" w:val="om mottagningsanordningar i hamn för avlämning av avfall från fartyg, om upphävande av direktiv 2000/59/EG och ändring av direktiv 2009/16/EG och direktiv 2010/65/EU"/>
    <w:docVar w:name="LW_PART_NBR" w:val="1"/>
    <w:docVar w:name="LW_PART_NBR_TOTAL" w:val="1"/>
    <w:docVar w:name="LW_REF.INST.NEW" w:val="SWD"/>
    <w:docVar w:name="LW_REF.INST.NEW_ADOPTED" w:val="final"/>
    <w:docVar w:name="LW_REF.INST.NEW_TEXT" w:val="(2018) 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RBETSDOKUMENT FRÅN KOMMISSIONENS AVDELNINGAR_x000b__x000b_SAMMANFATTNING AV KONSEKVENSBEDÖMNINGEN_x000b_"/>
    <w:docVar w:name="LW_TYPEACTEPRINCIPAL.CP" w:val="Förslag till Europaparlamentets och rådets direktiv"/>
  </w:docVars>
  <w:rsids>
    <w:rsidRoot w:val="0009705D"/>
    <w:rsid w:val="0009705D"/>
    <w:rsid w:val="007E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sv-SE"/>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paragraph" w:customStyle="1" w:styleId="list-bullet-color">
    <w:name w:val="list-bullet-color"/>
    <w:basedOn w:val="Normal"/>
    <w:link w:val="list-bullet-colorChar"/>
    <w:pPr>
      <w:numPr>
        <w:numId w:val="8"/>
      </w:numPr>
      <w:spacing w:line="280" w:lineRule="atLeast"/>
    </w:pPr>
    <w:rPr>
      <w:rFonts w:ascii="Arial" w:hAnsi="Arial"/>
      <w:sz w:val="18"/>
    </w:rPr>
  </w:style>
  <w:style w:type="character" w:customStyle="1" w:styleId="list-bullet-colorChar">
    <w:name w:val="list-bullet-color Char"/>
    <w:basedOn w:val="DefaultParagraphFont"/>
    <w:link w:val="list-bullet-color"/>
    <w:rPr>
      <w:rFonts w:ascii="Arial" w:hAnsi="Arial"/>
      <w:sz w:val="18"/>
      <w:szCs w:val="24"/>
      <w:lang w:val="sv-SE" w:eastAsia="sv-SE"/>
    </w:r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sv-SE"/>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paragraph" w:styleId="FootnoteText">
    <w:name w:val="footnote text"/>
    <w:basedOn w:val="Normal"/>
    <w:semiHidden/>
    <w:pPr>
      <w:ind w:left="720" w:hanging="720"/>
      <w:jc w:val="both"/>
    </w:pPr>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rFonts w:eastAsiaTheme="minorHAnsi"/>
      <w:sz w:val="24"/>
      <w:szCs w:val="22"/>
      <w:lang w:eastAsia="sv-SE"/>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paragraph" w:customStyle="1" w:styleId="list-bullet-color">
    <w:name w:val="list-bullet-color"/>
    <w:basedOn w:val="Normal"/>
    <w:link w:val="list-bullet-colorChar"/>
    <w:pPr>
      <w:numPr>
        <w:numId w:val="8"/>
      </w:numPr>
      <w:spacing w:line="280" w:lineRule="atLeast"/>
    </w:pPr>
    <w:rPr>
      <w:rFonts w:ascii="Arial" w:hAnsi="Arial"/>
      <w:sz w:val="18"/>
    </w:rPr>
  </w:style>
  <w:style w:type="character" w:customStyle="1" w:styleId="list-bullet-colorChar">
    <w:name w:val="list-bullet-color Char"/>
    <w:basedOn w:val="DefaultParagraphFont"/>
    <w:link w:val="list-bullet-color"/>
    <w:rPr>
      <w:rFonts w:ascii="Arial" w:hAnsi="Arial"/>
      <w:sz w:val="18"/>
      <w:szCs w:val="24"/>
      <w:lang w:val="sv-SE" w:eastAsia="sv-SE"/>
    </w:rPr>
  </w:style>
  <w:style w:type="paragraph" w:styleId="Revision">
    <w:name w:val="Revision"/>
    <w:hidden/>
    <w:uiPriority w:val="99"/>
    <w:semiHidden/>
    <w:rPr>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FooterChar">
    <w:name w:val="Footer Char"/>
    <w:basedOn w:val="DefaultParagraphFont"/>
    <w:link w:val="Footer"/>
    <w:uiPriority w:val="99"/>
    <w:rPr>
      <w:rFonts w:eastAsiaTheme="minorHAnsi"/>
      <w:sz w:val="24"/>
      <w:szCs w:val="22"/>
      <w:lang w:eastAsia="sv-SE"/>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2FF24BEE692C4CA94781A66E31F216" ma:contentTypeVersion="1" ma:contentTypeDescription="Create a new document." ma:contentTypeScope="" ma:versionID="7d6ee1b4a7e3a71187b7d9d3fe1f644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4173-A8CF-4AAB-BE0C-126D8400FDC0}">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C7B3CE-EE00-43FE-BE10-7423387A8B58}">
  <ds:schemaRefs>
    <ds:schemaRef ds:uri="http://schemas.microsoft.com/sharepoint/v3/contenttype/forms"/>
  </ds:schemaRefs>
</ds:datastoreItem>
</file>

<file path=customXml/itemProps3.xml><?xml version="1.0" encoding="utf-8"?>
<ds:datastoreItem xmlns:ds="http://schemas.openxmlformats.org/officeDocument/2006/customXml" ds:itemID="{6B0C5FE9-6CE3-4E9C-B9CD-1391676A2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5CB50-90E3-4530-9305-168C1D83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706</Words>
  <Characters>4539</Characters>
  <Application>Microsoft Office Word</Application>
  <DocSecurity>0</DocSecurity>
  <Lines>252</Lines>
  <Paragraphs>100</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Stefanie Heilemann</cp:lastModifiedBy>
  <cp:revision>25</cp:revision>
  <cp:lastPrinted>2017-11-24T11:10:00Z</cp:lastPrinted>
  <dcterms:created xsi:type="dcterms:W3CDTF">2017-10-05T12:46:00Z</dcterms:created>
  <dcterms:modified xsi:type="dcterms:W3CDTF">2018-01-18T13:41:00Z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0x010100622FF24BEE692C4CA94781A66E31F216</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400</vt:r8>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y fmtid="{D5CDD505-2E9C-101B-9397-08002B2CF9AE}" pid="11" name="Level of sensitivity">
    <vt:lpwstr>Standard treatment</vt:lpwstr>
  </property>
</Properties>
</file>