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_Toc487129517"/>
      <w:bookmarkStart w:id="1" w:name="_Toc488060477"/>
      <w:bookmarkStart w:id="2" w:name="_Toc488070186"/>
      <w:bookmarkStart w:id="3" w:name="_Toc488072993"/>
      <w:bookmarkStart w:id="4" w:name="_Toc493773067"/>
      <w:bookmarkStart w:id="5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alt="0AF8332B-7100-411B-A9ED-4B9FDCBF1BFC" style="width:450.8pt;height:395.05pt">
            <v:imagedata r:id="rId9" o:title=""/>
          </v:shape>
        </w:pict>
      </w:r>
    </w:p>
    <w:bookmarkEnd w:id="5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7" w:bottom="1134" w:left="1417" w:header="709" w:footer="709" w:gutter="0"/>
          <w:pgNumType w:fmt="lowerRoman" w:start="1"/>
          <w:cols w:space="720"/>
          <w:docGrid w:linePitch="299"/>
        </w:sect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jc w:val="center"/>
              <w:rPr>
                <w:rFonts w:eastAsiaTheme="minorHAnsi"/>
                <w:noProof/>
                <w:sz w:val="24"/>
              </w:rPr>
            </w:pPr>
            <w:bookmarkStart w:id="6" w:name="_GoBack"/>
            <w:bookmarkEnd w:id="0"/>
            <w:bookmarkEnd w:id="1"/>
            <w:bookmarkEnd w:id="2"/>
            <w:bookmarkEnd w:id="3"/>
            <w:bookmarkEnd w:id="4"/>
            <w:bookmarkEnd w:id="6"/>
            <w:r>
              <w:rPr>
                <w:rFonts w:ascii="Tahoma" w:eastAsiaTheme="minorHAnsi" w:hAnsi="Tahoma"/>
                <w:b/>
                <w:noProof/>
              </w:rPr>
              <w:lastRenderedPageBreak/>
              <w:t>Sammanfattning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rPr>
                <w:noProof/>
              </w:rPr>
            </w:pPr>
            <w:r>
              <w:rPr>
                <w:rFonts w:ascii="Arial" w:hAnsi="Arial"/>
                <w:noProof/>
                <w:color w:val="FFFFFF" w:themeColor="background1"/>
              </w:rPr>
              <w:t>Konsekvensbedömning av förslaget till rådets direktiv om ändring av direktiv 2006/112/EG om ett gemensamt system för mervärdesskatt vad gäller den särskilda ordningen för små företag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A. Behov av åtgärder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Varför? Vilket problem behöver åtgärdas?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De nuvarande reglerna om mervärdesskattebehandling av små och medelstora företag (nedan kallade </w:t>
            </w:r>
            <w:r>
              <w:rPr>
                <w:rFonts w:ascii="Arial" w:hAnsi="Arial"/>
                <w:i/>
                <w:noProof/>
              </w:rPr>
              <w:t>småföretag</w:t>
            </w:r>
            <w:r>
              <w:rPr>
                <w:rFonts w:ascii="Arial" w:hAnsi="Arial"/>
                <w:noProof/>
              </w:rPr>
              <w:t>) resulterar i 1) oproportionerliga kostnader för regelefterlevnad för småföretag jämfört med stora företag (småföretag spenderar i genomsnitt 2,6 % av sina försäljningsintäkter på kostnader för skatteregelefterlevnad</w:t>
            </w:r>
            <w:r>
              <w:rPr>
                <w:noProof/>
              </w:rPr>
              <w:t>, medan kostnaderna för stora företag bara uppgår till 0,02 %), 2) brist på neutralitet, särskilt i förhållande till leverantörer från andra medlemsstater och 3) intäktsförluster för medlemsstaterna. Redan i dag återspeglar inte gällande småföretagsordning dessa företags rättsliga och ekonomiska verklighet och den kommer att bli ännu mer otillräcklig när mervärdesskattesystemets utveckling mot destinationsbaserad beskattning är avslutad.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Vad förväntas initiativet leda till?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Översynen kommer att bidra till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en minskning av kostnaderna för regelefterlevnad, 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skapande av mer likvärdiga villkor för småföretag och 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t>bekämpning av mervärdesskattebedrägeri.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Vad är mervärdet med åtgärder på EU-nivå?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En ändring av direktivet är nödvändigt för att ändra de nuvarande reglerna om mervärdesskattebehandling av småföretag som har nått sina begränsningar.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B. Lösningar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Vilka alternativ, både lagstiftning och andra åtgärder, har övervägts?</w:t>
            </w:r>
            <w:r>
              <w:rPr>
                <w:rFonts w:ascii="Tahoma" w:hAnsi="Tahoma"/>
                <w:noProof/>
              </w:rPr>
              <w:t xml:space="preserve"> </w:t>
            </w:r>
            <w:r>
              <w:rPr>
                <w:rFonts w:ascii="Tahoma" w:hAnsi="Tahoma"/>
                <w:b/>
                <w:noProof/>
              </w:rPr>
              <w:t xml:space="preserve">Finns det ett rekommenderat alternativ? Varför?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ind w:left="1134" w:hanging="113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Alternativ 1: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</w:rPr>
              <w:t>Oförändrat läge, inklusive ändringar av e-handeln (referensscenario)</w:t>
            </w:r>
          </w:p>
          <w:p>
            <w:pPr>
              <w:ind w:left="1418" w:hanging="141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Alternativ 2: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</w:rPr>
              <w:t>Undantag för småföretag som utvidgas till att omfatta leveranser från andra medlemsstater och                  inbegriper effektiviserade och förenklade mervärdesskatteskyldigheter</w:t>
            </w:r>
          </w:p>
          <w:p>
            <w:pPr>
              <w:ind w:left="1418" w:hanging="141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Alternativ 3: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</w:rPr>
              <w:t xml:space="preserve">Alternativ 2 samt åtgärder för att minska de negativa effekterna av övergången från undantag till beskattning </w:t>
            </w:r>
          </w:p>
          <w:p>
            <w:pPr>
              <w:ind w:left="1134" w:hanging="113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noProof/>
              </w:rPr>
              <w:t>Alternativ 4:</w:t>
            </w:r>
            <w:r>
              <w:rPr>
                <w:noProof/>
              </w:rPr>
              <w:tab/>
            </w:r>
            <w:r>
              <w:rPr>
                <w:rFonts w:ascii="Arial" w:hAnsi="Arial"/>
                <w:noProof/>
              </w:rPr>
              <w:t>Alternativ 3 plus obligatorisk gemensam behandling av tillfälliga näringsidkare</w:t>
            </w:r>
          </w:p>
          <w:p>
            <w:pPr>
              <w:jc w:val="both"/>
              <w:rPr>
                <w:rFonts w:ascii="Arial" w:hAnsi="Arial" w:cs="Arial"/>
                <w:noProof/>
              </w:rPr>
            </w:pPr>
          </w:p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Alternativ 3 är lämpligast.</w:t>
            </w: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Vem stöder vilket alternativ? 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Det finns ett brett stöd för alternativ 3 både från berörda parter och medlemsstater. Medlemsstaterna förhåller sig dock mer reserverade än småföretag när det gäller ökad harmonisering, både av undantag från skatteplikt och förenklingsåtgärder.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C. De rekommenderade alternativens konsekvenser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Vad är nyttan</w:t>
            </w:r>
            <w:r>
              <w:rPr>
                <w:noProof/>
              </w:rPr>
              <w:t xml:space="preserve"> </w:t>
            </w:r>
            <w:r>
              <w:rPr>
                <w:rFonts w:ascii="Tahoma" w:hAnsi="Tahoma"/>
                <w:b/>
                <w:noProof/>
              </w:rPr>
              <w:t>med det rekommenderade alternativet (om sådant alternativ finns, annars anges för huvudsakliga alternativ)?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Minskning av kostnader för regelefterlevnad på upp till 18 % 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Ökning av småföretagens gränsöverskridande verksamhet med cirka 13 %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Den positiva effekten på intäkterna på lång sikt på grund av en positiv effekt  på småföretags produktion och positiva effekter på frivillig regelefterlevnad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Vad är kostnaderna för det rekommenderade alternativet (om sådant alternativ finns, annars anges för huvudsakliga alternativ)?</w:t>
            </w:r>
            <w:r>
              <w:rPr>
                <w:rFonts w:ascii="Tahoma" w:hAnsi="Tahoma"/>
                <w:noProof/>
              </w:rPr>
              <w:t xml:space="preserve">                                     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Mindre, tillfälliga negativa effekter på mervärdesskatteintäkterna i medlemsstaterna till följd av utvidgningen av tillämpningen av undantaget (del av en procentenhet).</w:t>
            </w:r>
          </w:p>
          <w:p>
            <w:pPr>
              <w:jc w:val="both"/>
              <w:rPr>
                <w:rFonts w:ascii="Arial" w:hAnsi="Arial" w:cs="Arial"/>
                <w:noProof/>
              </w:rPr>
            </w:pPr>
          </w:p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Påverkan på miljön och samhället är inte betydande.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Hur påverkas företagen, särskilt små och medelstora företag och mikroföretag?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En sammanlagd minskning av kostnaderna för regelefterlevnad för småföretag på upp till 18 %, mer likvärdiga konkurrensvillkor på den inre marknaden. </w:t>
            </w:r>
          </w:p>
          <w:p>
            <w:pPr>
              <w:jc w:val="both"/>
              <w:rPr>
                <w:rFonts w:ascii="Arial" w:hAnsi="Arial" w:cs="Arial"/>
                <w:noProof/>
              </w:rPr>
            </w:pPr>
          </w:p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 xml:space="preserve">Positiv effekt på de små företagens produktion (cirka 16 %) och på småföretagens gränsöverskridande </w:t>
            </w:r>
            <w:r>
              <w:rPr>
                <w:rFonts w:ascii="Arial" w:hAnsi="Arial"/>
                <w:noProof/>
              </w:rPr>
              <w:lastRenderedPageBreak/>
              <w:t>verksamhet (cirka 13 %).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</w:rPr>
            </w:pPr>
            <w:r>
              <w:rPr>
                <w:rFonts w:ascii="Tahoma" w:hAnsi="Tahoma"/>
                <w:b/>
                <w:noProof/>
              </w:rPr>
              <w:lastRenderedPageBreak/>
              <w:t>Påverkas medlemsstaternas</w:t>
            </w:r>
            <w:r>
              <w:rPr>
                <w:noProof/>
              </w:rPr>
              <w:t xml:space="preserve"> </w:t>
            </w:r>
            <w:r>
              <w:rPr>
                <w:rFonts w:ascii="Tahoma" w:hAnsi="Tahoma"/>
                <w:b/>
                <w:noProof/>
              </w:rPr>
              <w:t>budgetar och förvaltningar i betydande grad?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Mindre sammanlagd effekt på mervärdesskatteintäkterna (del av en procentenhet), inga betydande effekter på administrativa kostnader och positiva effekter på frivillig regelefterlevnad.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Uppstår andra betydande konsekvenser?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Medlemsstaterna, berörda parter och kommissionen kommer att behöva anpassa sig till de nya reglerna för genomförande och kontroll.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>Proportionalitet?</w:t>
            </w:r>
            <w:r>
              <w:rPr>
                <w:rFonts w:ascii="Tahoma" w:hAnsi="Tahoma"/>
                <w:noProof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Det rekommenderade alternativet har utarbetats på ett sådant sätt att det effektivt ska ta itu med rotproblemen utan att gå utöver vad som behövs för att uppnå målen.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/>
                <w:b/>
                <w:noProof/>
              </w:rPr>
              <w:t>D. Uppföljning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/>
                <w:b/>
                <w:noProof/>
              </w:rPr>
              <w:t xml:space="preserve">När kommer åtgärderna att ses över?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En retrospektiv utvärdering av hur direktivet fungerar kommer att göras första gången fem år efter ikraftträdandet.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>
      <w:pPr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88789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86061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id w:val="1686017526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>
            <w:pPr>
              <w:pStyle w:val="Footer"/>
              <w:jc w:val="right"/>
            </w:pPr>
            <w:r>
              <w:rPr>
                <w:bCs/>
                <w:szCs w:val="16"/>
              </w:rPr>
              <w:fldChar w:fldCharType="begin"/>
            </w:r>
            <w:r>
              <w:rPr>
                <w:bCs/>
                <w:szCs w:val="16"/>
              </w:rPr>
              <w:instrText xml:space="preserve"> PAGE </w:instrText>
            </w:r>
            <w:r>
              <w:rPr>
                <w:bCs/>
                <w:szCs w:val="16"/>
              </w:rPr>
              <w:fldChar w:fldCharType="separate"/>
            </w:r>
            <w:r>
              <w:rPr>
                <w:bCs/>
                <w:noProof/>
                <w:szCs w:val="16"/>
              </w:rPr>
              <w:t>1</w:t>
            </w:r>
            <w:r>
              <w:rPr>
                <w:bCs/>
                <w:szCs w:val="16"/>
              </w:rPr>
              <w:fldChar w:fldCharType="end"/>
            </w:r>
            <w:r>
              <w:t>/</w:t>
            </w:r>
            <w:r>
              <w:rPr>
                <w:bCs/>
                <w:szCs w:val="16"/>
              </w:rPr>
              <w:fldChar w:fldCharType="begin"/>
            </w:r>
            <w:r>
              <w:rPr>
                <w:bCs/>
                <w:szCs w:val="16"/>
              </w:rPr>
              <w:instrText xml:space="preserve"> NUMPAGES  </w:instrText>
            </w:r>
            <w:r>
              <w:rPr>
                <w:bCs/>
                <w:szCs w:val="16"/>
              </w:rPr>
              <w:fldChar w:fldCharType="separate"/>
            </w:r>
            <w:r>
              <w:rPr>
                <w:bCs/>
                <w:noProof/>
                <w:szCs w:val="16"/>
              </w:rPr>
              <w:t>5</w:t>
            </w:r>
            <w:r>
              <w:rPr>
                <w:bCs/>
                <w:szCs w:val="16"/>
              </w:rPr>
              <w:fldChar w:fldCharType="end"/>
            </w:r>
          </w:p>
        </w:sdtContent>
      </w:sdt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ECD"/>
    <w:multiLevelType w:val="hybridMultilevel"/>
    <w:tmpl w:val="99E6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3293"/>
    <w:multiLevelType w:val="hybridMultilevel"/>
    <w:tmpl w:val="C2E6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6224C"/>
    <w:multiLevelType w:val="hybridMultilevel"/>
    <w:tmpl w:val="CB90E83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Följedokument till"/>
    <w:docVar w:name="LW_CORRIGENDUM" w:val="&lt;UNUSED&gt;"/>
    <w:docVar w:name="LW_COVERPAGE_EXISTS" w:val="True"/>
    <w:docVar w:name="LW_COVERPAGE_GUID" w:val="0AF8332B-7100-411B-A9ED-4B9FDCBF1BFC"/>
    <w:docVar w:name="LW_COVERPAGE_TYPE" w:val="1"/>
    <w:docVar w:name="LW_CROSSREFERENCE" w:val="{COM(2018) 21 final}_x000b_{SWD(2018) 9 final}"/>
    <w:docVar w:name="LW_DocType" w:val="NORMAL"/>
    <w:docVar w:name="LW_EMISSION" w:val="18.1.2018"/>
    <w:docVar w:name="LW_EMISSION_ISODATE" w:val="2018-01-18"/>
    <w:docVar w:name="LW_EMISSION_LOCATION" w:val="BRX"/>
    <w:docVar w:name="LW_EMISSION_PREFIX" w:val="Bryssel den "/>
    <w:docVar w:name="LW_EMISSION_SUFFIX" w:val="&lt;EMPTY&gt;"/>
    <w:docVar w:name="LW_ID_DOCTYPE_NONLW" w:val="CP-027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.CP" w:val="om ändring av direktiv 2006/112/EG om det gemensamma systemet för mervärdesskatt vad gäller den särskilda ordningen för småföretag"/>
    <w:docVar w:name="LW_PART_NBR" w:val="1"/>
    <w:docVar w:name="LW_PART_NBR_TOTAL" w:val="1"/>
    <w:docVar w:name="LW_REF.INST.NEW" w:val="SWD"/>
    <w:docVar w:name="LW_REF.INST.NEW_ADOPTED" w:val="final"/>
    <w:docVar w:name="LW_REF.INST.NEW_TEXT" w:val="(2018) 1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ARBETSDOKUMENT FRÅN KOMMISSIONENS AVDELNINGAR_x000b__x000b_SAMMANFATTNING AV KONSEKVENSBEDÖMNINGEN_x000b_"/>
    <w:docVar w:name="LW_TYPEACTEPRINCIPAL.CP" w:val="Förslag till rådets direktiv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keepNext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keepNext/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  <w:lang w:eastAsia="en-US" w:bidi="ar-SA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  <w:lang w:eastAsia="en-US" w:bidi="ar-SA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  <w:lang w:eastAsia="en-US" w:bidi="ar-SA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  <w:lang w:eastAsia="en-US" w:bidi="ar-SA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keepNext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outlineLvl w:val="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keepNext/>
      <w:tabs>
        <w:tab w:val="center" w:pos="4535"/>
        <w:tab w:val="right" w:pos="9071"/>
      </w:tabs>
      <w:spacing w:after="120" w:line="240" w:lineRule="auto"/>
      <w:jc w:val="both"/>
      <w:outlineLvl w:val="0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Typedudocument">
    <w:name w:val="Type du document"/>
    <w:basedOn w:val="Normal"/>
    <w:next w:val="Normal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  <w:lang w:eastAsia="en-US" w:bidi="ar-SA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  <w:lang w:eastAsia="en-US" w:bidi="ar-SA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  <w:lang w:eastAsia="en-US" w:bidi="ar-SA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  <w:lang w:eastAsia="en-US" w:bidi="ar-SA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2D9E-5887-4899-9D7C-4233DAF9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575</Words>
  <Characters>3812</Characters>
  <Application>Microsoft Office Word</Application>
  <DocSecurity>0</DocSecurity>
  <Lines>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25</cp:revision>
  <cp:lastPrinted>2017-10-03T08:14:00Z</cp:lastPrinted>
  <dcterms:created xsi:type="dcterms:W3CDTF">2017-11-10T10:35:00Z</dcterms:created>
  <dcterms:modified xsi:type="dcterms:W3CDTF">2018-01-19T14:17:00Z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</Properties>
</file>