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487129517"/>
      <w:bookmarkStart w:id="1" w:name="_Toc488060477"/>
      <w:bookmarkStart w:id="2" w:name="_Toc488070186"/>
      <w:bookmarkStart w:id="3" w:name="_Toc488072993"/>
      <w:bookmarkStart w:id="4" w:name="_Toc493773067"/>
      <w:bookmarkStart w:id="5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19958B8D-844D-4AE2-931B-06FEF1E405C5" style="width:450.5pt;height:395pt">
            <v:imagedata r:id="rId9" o:title=""/>
          </v:shape>
        </w:pict>
      </w:r>
    </w:p>
    <w:bookmarkEnd w:id="5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fmt="lowerRoman" w:start="1"/>
          <w:cols w:space="720"/>
          <w:docGrid w:linePitch="299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eastAsiaTheme="minorHAnsi"/>
                <w:noProof/>
                <w:sz w:val="24"/>
              </w:rPr>
            </w:pPr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6"/>
            <w:r>
              <w:rPr>
                <w:rFonts w:ascii="Tahoma" w:eastAsiaTheme="minorHAnsi" w:hAnsi="Tahoma"/>
                <w:b/>
                <w:noProof/>
              </w:rPr>
              <w:lastRenderedPageBreak/>
              <w:t>Sažetak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rPr>
                <w:noProof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t>Procjena učinka uz Prijedlog direktive Vijeća o izmjeni Direktive 2006/112/EZ o zajedničkom sustavu poreza na dodanu vrijednost u pogledu posebne odredbe za mala poduzeća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A. Potreba za djelovanjem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Zašto? Koji se problem rješava?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Važeća pravila o PDV-u za mala i srednja poduzeća dovode do: 1. nerazmjernih troškova usklađivanja za mala poduzeća u usporedbi s velikim poduzećima (MSP-ovi prosječno potroše 2,6 % svojih prihoda od prodaje na troškove ispunjavanja poreznih obveza, a kod velikih poduzeća ti troškovi čine samo 0,02 %), 2. nedostatne neutralnosti, a posebno u odnosu na dobavljače iz drugih država članica i 3. gubitaka prihoda država članica. Važeći sustav PDV-a za MSP-ove ne odražava pravnu i gospodarsku stvarnost u kojoj MSP-ovi već posluju te će postati sve neprikladniji nakon dovršetka sustava PDV-a na načelu oporezivanja na odredištu.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Što se nastoji postići ovom inicijativom?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Preispitivanjem će se doprinijeti: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smanjenju troškova usklađivanja,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stvaranju jednakih uvjeta poslovanja za mala poduzeća i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borbi protiv prijevara u vezi s PDV-om.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Koja je dodana vrijednost djelovanja na razini EU-a?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Izmjena direktive potrebna je radi promjena važećih pravila o PDV-u za mala poduzeća, koja su dosegla svoje granice.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B. Rješenja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Koje su se zakonodavne i nezakonodavne opcije razmatrale?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 xml:space="preserve">Postoji li najpoželjnija opcija? Zašto?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Opcija 1: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Nepromijenjeno stanje, uključujući promjene u e-trgovini (osnovni scenarij)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Opcija 2: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Proširivanje izuzeća za MSP-ove na isporuke iz drugih država članica uključujući pojednostavnjene obveze povezane s PDV-om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Opcija 3: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 xml:space="preserve">Opcija 2 zajedno s mjerama za smanjivanje negativnog učinka prijelaza s izuzeća na oporezivanje 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Opcija 4: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Opcija 3 zajedno s obveznim jednakim postupanjem s povremenim trgovcima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Prednost se daje opciji 3.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Tko podržava koju opciju?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Dionici i države članice izrazili su široku potporu opciji 3. Iako mala poduzeća podupiru veće usklađivanje izuzeća za MSP-ove i mjera pojednostavnjenja, države članice bile su suzdržanije.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C. Učinci najpoželjnije opcije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Koje su prednosti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>najpoželjnije opcije (ako postoji, inače prednosti glavnih opcija)?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Smanjenje troškova usklađivanja do 18 %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Povećanje prekograničnih aktivnosti trgovanja MSP-ova od otprilike 13 %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Dugoročni pozitivni učinak na prihode zbog pozitivnog učinka na promet MSP-ova i pozitivan učinak na dobrovoljno izvršavanje obveza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Koji su troškovi najpoželjnije opcije (ako postoji, inače troškovi glavnih opcija)?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Manji privremeni negativan učinak na prihode država članica od PDV-a zbog proširenja primjene izuzeća (frakcija postotnog boda).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Okolišni i socijalni učinci su neznatni.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Kako će to utjecati na poduzeća, MSP-ove i mikropoduzeća?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Ukupno smanjenje troškova usklađivanja za MSP-ove do 18 % i ujednačeniji uvjeti na unutarnjem tržištu.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Pozitivan utjecaj na promet MSP-ova (otprilike 16 %) i na prekogranične aktivnosti MSP-ova (otprilike 13 %).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>
              <w:rPr>
                <w:rFonts w:ascii="Tahoma" w:hAnsi="Tahoma"/>
                <w:b/>
                <w:noProof/>
              </w:rPr>
              <w:t>Hoće li to bitno utjecati na državne proračune i uprave?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Manji ukupni učinak na prihode od PDV-a (frakcija postotnog boda), bez znatnih učinaka na administrativne troškove i pozitivan učinak na dobrovoljno izvršavanje obveza.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Hoće li biti drugih bitnih učinaka?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Države članice, dionici i Komisija trebat će se prilagoditi novim pravilima u pogledu provedbe i nadzora.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Proporcionalnost?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Najpoželjnija opcija razrađena je tako da se njome učinkovito riješe izvorni problemi, a da se ne prijeđe ono što je potrebno za postizanje ciljeva.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D. Daljnje mjere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Kad će se ta politika preispitati?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Naknadna evaluacija funkcioniranja direktive provest će se pet godina nakon njezina stupanja na snagu.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878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6061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id w:val="1686017526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>
            <w:pPr>
              <w:pStyle w:val="Footer"/>
              <w:jc w:val="right"/>
            </w:pP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PAGE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1</w:t>
            </w:r>
            <w:r>
              <w:rPr>
                <w:bCs/>
                <w:szCs w:val="16"/>
              </w:rPr>
              <w:fldChar w:fldCharType="end"/>
            </w:r>
            <w:r>
              <w:t>/</w:t>
            </w: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NUMPAGES 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5</w:t>
            </w:r>
            <w:r>
              <w:rPr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CD"/>
    <w:multiLevelType w:val="hybridMultilevel"/>
    <w:tmpl w:val="99E6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293"/>
    <w:multiLevelType w:val="hybridMultilevel"/>
    <w:tmpl w:val="C2E6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24C"/>
    <w:multiLevelType w:val="hybridMultilevel"/>
    <w:tmpl w:val="CB90E8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lo\u382?en dokumentu"/>
    <w:docVar w:name="LW_CORRIGENDUM" w:val="&lt;UNUSED&gt;"/>
    <w:docVar w:name="LW_COVERPAGE_EXISTS" w:val="True"/>
    <w:docVar w:name="LW_COVERPAGE_GUID" w:val="19958B8D-844D-4AE2-931B-06FEF1E405C5"/>
    <w:docVar w:name="LW_COVERPAGE_TYPE" w:val="1"/>
    <w:docVar w:name="LW_CROSSREFERENCE" w:val="{COM(2018) 21 final}_x000b_{SWD(2018) 9 final}"/>
    <w:docVar w:name="LW_DocType" w:val="NORMAL"/>
    <w:docVar w:name="LW_EMISSION" w:val="18.1.2018."/>
    <w:docVar w:name="LW_EMISSION_ISODATE" w:val="2018-01-18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izmjeni Direktive 2006/112/EZ o zajedni\u269?kom sustavu poreza na dodanu vrijednost u pogledu posebne odredbe za mala poduze\u263?a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RADNI DOKUMENT SLU\u381?BI KOMISIJE_x000b__x000b_SA\u381?ETAK PROCJENE U\u268?INKA_x000b_"/>
    <w:docVar w:name="LW_TYPEACTEPRINCIPAL.CP" w:val="Prijedlog Direktiv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CE93-496C-408E-B7EF-42CD2079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3172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2017-10-03T08:14:00Z</cp:lastPrinted>
  <dcterms:created xsi:type="dcterms:W3CDTF">2017-11-10T10:35:00Z</dcterms:created>
  <dcterms:modified xsi:type="dcterms:W3CDTF">2018-01-19T14:18:00Z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